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E4CA23" w14:textId="77777777" w:rsidR="007A2D51" w:rsidRDefault="00701BD2" w:rsidP="00701BD2">
      <w:pPr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01B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Порівняльна таблиця проєкту постанови </w:t>
      </w:r>
      <w:r w:rsidR="009F4B88">
        <w:rPr>
          <w:rFonts w:ascii="Times New Roman" w:hAnsi="Times New Roman" w:cs="Times New Roman"/>
          <w:b/>
          <w:sz w:val="28"/>
          <w:szCs w:val="28"/>
          <w:lang w:val="uk-UA"/>
        </w:rPr>
        <w:t>НКРЕКП від 14.03.2018 № 310 «Про затвердження Кодексу систем розподілу»</w:t>
      </w:r>
    </w:p>
    <w:tbl>
      <w:tblPr>
        <w:tblStyle w:val="a3"/>
        <w:tblW w:w="13573" w:type="dxa"/>
        <w:tblLook w:val="04A0" w:firstRow="1" w:lastRow="0" w:firstColumn="1" w:lastColumn="0" w:noHBand="0" w:noVBand="1"/>
      </w:tblPr>
      <w:tblGrid>
        <w:gridCol w:w="1056"/>
        <w:gridCol w:w="6206"/>
        <w:gridCol w:w="6311"/>
      </w:tblGrid>
      <w:tr w:rsidR="001A7A0E" w14:paraId="6A40E901" w14:textId="77777777" w:rsidTr="001A7A0E">
        <w:trPr>
          <w:trHeight w:val="435"/>
        </w:trPr>
        <w:tc>
          <w:tcPr>
            <w:tcW w:w="1056" w:type="dxa"/>
          </w:tcPr>
          <w:p w14:paraId="4D2D4479" w14:textId="77777777" w:rsidR="001A7A0E" w:rsidRPr="00701BD2" w:rsidRDefault="001A7A0E" w:rsidP="001A7A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206" w:type="dxa"/>
            <w:shd w:val="clear" w:color="auto" w:fill="auto"/>
            <w:vAlign w:val="center"/>
          </w:tcPr>
          <w:p w14:paraId="5CA8C0F4" w14:textId="0C2FF491" w:rsidR="001A7A0E" w:rsidRPr="001A7A0E" w:rsidRDefault="001A7A0E" w:rsidP="001A7A0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A7A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ПОЛОЖЕННЯ ДІЮЧОЇ РЕДАКЦІЇ</w:t>
            </w:r>
          </w:p>
        </w:tc>
        <w:tc>
          <w:tcPr>
            <w:tcW w:w="6311" w:type="dxa"/>
            <w:shd w:val="clear" w:color="auto" w:fill="auto"/>
            <w:vAlign w:val="center"/>
          </w:tcPr>
          <w:p w14:paraId="50FF392A" w14:textId="1AE0AF3E" w:rsidR="001A7A0E" w:rsidRPr="001A7A0E" w:rsidRDefault="001A7A0E" w:rsidP="001A7A0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A7A0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>ЗМІСТ ПОЛОЖЕНЬ ПРОЄКТУ ПОСТАНОВИ</w:t>
            </w:r>
          </w:p>
        </w:tc>
      </w:tr>
      <w:tr w:rsidR="00A1272B" w14:paraId="35B2F1A1" w14:textId="77777777" w:rsidTr="001A7A0E">
        <w:trPr>
          <w:trHeight w:val="425"/>
        </w:trPr>
        <w:tc>
          <w:tcPr>
            <w:tcW w:w="1056" w:type="dxa"/>
          </w:tcPr>
          <w:p w14:paraId="532B86D7" w14:textId="77777777" w:rsidR="00A1272B" w:rsidRPr="00701BD2" w:rsidRDefault="00A1272B" w:rsidP="00A127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01BD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12517" w:type="dxa"/>
            <w:gridSpan w:val="2"/>
          </w:tcPr>
          <w:p w14:paraId="17807270" w14:textId="53100FCB" w:rsidR="00A1272B" w:rsidRPr="00A1272B" w:rsidRDefault="00A1272B" w:rsidP="00A127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134D5">
              <w:rPr>
                <w:rStyle w:val="rvts44"/>
                <w:rFonts w:ascii="Times New Roman" w:hAnsi="Times New Roman" w:cs="Times New Roman"/>
                <w:b/>
                <w:sz w:val="24"/>
                <w:szCs w:val="24"/>
              </w:rPr>
              <w:t xml:space="preserve">4.1. </w:t>
            </w:r>
            <w:proofErr w:type="spellStart"/>
            <w:r w:rsidRPr="00B134D5">
              <w:rPr>
                <w:rStyle w:val="rvts44"/>
                <w:rFonts w:ascii="Times New Roman" w:hAnsi="Times New Roman" w:cs="Times New Roman"/>
                <w:b/>
                <w:sz w:val="24"/>
                <w:szCs w:val="24"/>
              </w:rPr>
              <w:t>Загальні</w:t>
            </w:r>
            <w:proofErr w:type="spellEnd"/>
            <w:r w:rsidRPr="00B134D5">
              <w:rPr>
                <w:rStyle w:val="rvts44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134D5">
              <w:rPr>
                <w:rStyle w:val="rvts44"/>
                <w:rFonts w:ascii="Times New Roman" w:hAnsi="Times New Roman" w:cs="Times New Roman"/>
                <w:b/>
                <w:sz w:val="24"/>
                <w:szCs w:val="24"/>
              </w:rPr>
              <w:t>положення</w:t>
            </w:r>
            <w:proofErr w:type="spellEnd"/>
          </w:p>
        </w:tc>
      </w:tr>
      <w:tr w:rsidR="00A1272B" w:rsidRPr="003B63C0" w14:paraId="23211D52" w14:textId="77777777" w:rsidTr="001A7A0E">
        <w:trPr>
          <w:trHeight w:val="2234"/>
        </w:trPr>
        <w:tc>
          <w:tcPr>
            <w:tcW w:w="1056" w:type="dxa"/>
          </w:tcPr>
          <w:p w14:paraId="6FD621E8" w14:textId="1A7D5FE2" w:rsidR="00A1272B" w:rsidRPr="001A7A0E" w:rsidRDefault="001A7A0E" w:rsidP="00A127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7A0E">
              <w:rPr>
                <w:rFonts w:ascii="Times New Roman" w:hAnsi="Times New Roman" w:cs="Times New Roman"/>
                <w:sz w:val="24"/>
                <w:szCs w:val="24"/>
              </w:rPr>
              <w:t>4.1.11.1.</w:t>
            </w:r>
          </w:p>
        </w:tc>
        <w:tc>
          <w:tcPr>
            <w:tcW w:w="6206" w:type="dxa"/>
          </w:tcPr>
          <w:p w14:paraId="04DFB7BF" w14:textId="584642CC" w:rsidR="00A1272B" w:rsidRPr="00E44649" w:rsidRDefault="00A1272B" w:rsidP="00A1272B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</w:rPr>
            </w:pPr>
            <w:r w:rsidRPr="00A40DAF">
              <w:t>Замовнику не може бути надана послуга з приєднання від електричних мереж суб'єкта господарювання, який не є ОСР, згідно з вимогами цього пункту електроустановок об'єктів (будівель), що належать до житлового фонду, призначених та придатних для постійного або тимчасового проживання в них (крім зміни технічних параметрів існуючих користувачів системи розподілу) та (або) приєднання об'єктів (будівель) індивідуального побутового споживача, що належать до житлового фонду).</w:t>
            </w:r>
          </w:p>
        </w:tc>
        <w:tc>
          <w:tcPr>
            <w:tcW w:w="6311" w:type="dxa"/>
          </w:tcPr>
          <w:p w14:paraId="1598D49C" w14:textId="10209F8D" w:rsidR="00A1272B" w:rsidRPr="00E44649" w:rsidRDefault="00A1272B" w:rsidP="00A1272B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</w:rPr>
            </w:pPr>
            <w:r w:rsidRPr="00A40DAF">
              <w:t xml:space="preserve">Замовнику не може бути надана послуга з приєднання від електричних мереж суб'єкта господарювання, який не є ОСР, згідно з вимогами цього пункту електроустановок об'єктів (будівель), що належать до житлового фонду, призначених та придатних для постійного або тимчасового проживання в них (крім зміни технічних параметрів існуючих користувачів системи </w:t>
            </w:r>
            <w:r w:rsidRPr="00A22C78">
              <w:rPr>
                <w:b/>
              </w:rPr>
              <w:t>розподілу</w:t>
            </w:r>
            <w:r w:rsidRPr="009D565F">
              <w:rPr>
                <w:b/>
                <w:strike/>
              </w:rPr>
              <w:t>)</w:t>
            </w:r>
            <w:r w:rsidRPr="00A40DAF">
              <w:t xml:space="preserve"> та (або) приєднання об'єктів (будівель) індивідуального побутового споживача, що належать до житлового фонду).</w:t>
            </w:r>
          </w:p>
        </w:tc>
      </w:tr>
      <w:tr w:rsidR="001A7A0E" w:rsidRPr="003B63C0" w14:paraId="7C9B51FF" w14:textId="77777777" w:rsidTr="001A7A0E">
        <w:trPr>
          <w:trHeight w:val="455"/>
        </w:trPr>
        <w:tc>
          <w:tcPr>
            <w:tcW w:w="13573" w:type="dxa"/>
            <w:gridSpan w:val="3"/>
          </w:tcPr>
          <w:p w14:paraId="2FF24705" w14:textId="5D39D091" w:rsidR="001A7A0E" w:rsidRDefault="001A7A0E" w:rsidP="001A7A0E">
            <w:pPr>
              <w:pStyle w:val="rvps2"/>
              <w:shd w:val="clear" w:color="auto" w:fill="FFFFFF"/>
              <w:spacing w:before="0" w:beforeAutospacing="0" w:after="0" w:afterAutospacing="0" w:line="360" w:lineRule="auto"/>
              <w:ind w:left="1156"/>
              <w:jc w:val="center"/>
            </w:pPr>
            <w:r w:rsidRPr="00885907">
              <w:rPr>
                <w:b/>
              </w:rPr>
              <w:t>4.3. Нестандартне приєднання</w:t>
            </w:r>
          </w:p>
        </w:tc>
      </w:tr>
      <w:tr w:rsidR="00A1272B" w:rsidRPr="003B63C0" w14:paraId="56547E37" w14:textId="77777777" w:rsidTr="001A7A0E">
        <w:tc>
          <w:tcPr>
            <w:tcW w:w="1056" w:type="dxa"/>
          </w:tcPr>
          <w:p w14:paraId="102A5C2F" w14:textId="03109BFA" w:rsidR="00A1272B" w:rsidRPr="007F6418" w:rsidRDefault="001A7A0E" w:rsidP="00A127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4.3.6.</w:t>
            </w:r>
          </w:p>
        </w:tc>
        <w:tc>
          <w:tcPr>
            <w:tcW w:w="6206" w:type="dxa"/>
          </w:tcPr>
          <w:p w14:paraId="7B262EA5" w14:textId="1E42C873" w:rsidR="00A1272B" w:rsidRPr="00766D55" w:rsidRDefault="00A1272B" w:rsidP="00A1272B">
            <w:pPr>
              <w:ind w:firstLine="63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6D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ОСР проводить розрахунок вартості плати за нестандартне приєднання до електричних мереж відповідно до Методики (порядку) формування плати за приєднання.</w:t>
            </w:r>
          </w:p>
          <w:p w14:paraId="02D872B2" w14:textId="77777777" w:rsidR="00A1272B" w:rsidRPr="00766D55" w:rsidRDefault="00A1272B" w:rsidP="00A1272B">
            <w:pPr>
              <w:ind w:firstLine="63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6D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ОСР надає Замовнику рахунки на сплату плати за приєднання в такому порядку:</w:t>
            </w:r>
          </w:p>
          <w:p w14:paraId="44B4C8CB" w14:textId="77777777" w:rsidR="00A1272B" w:rsidRPr="00766D55" w:rsidRDefault="00A1272B" w:rsidP="00A1272B">
            <w:pPr>
              <w:ind w:firstLine="63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6D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розмірі 50 відсотків складової плати за приєднання потужності, визначеної у розрахунку вартості плати за приєднання до електричних мереж. Замовник оплачує на поточний рахунок ОСР цей рахунок упродовж 20 робочих днів з дня, наступного за днем отримання технічних умов, розрахунку вартості плати за приєднання до електричних мереж та рахунку на сплату плати за приєднання;</w:t>
            </w:r>
          </w:p>
          <w:p w14:paraId="6687DB14" w14:textId="77777777" w:rsidR="00A1272B" w:rsidRPr="00766D55" w:rsidRDefault="00A1272B" w:rsidP="00A1272B">
            <w:pPr>
              <w:ind w:firstLine="63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6D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розмірі 40 відсотків від складової плати за приєднання потужності та 90 відсотків вартості лінійної частини приєднання, визначених у розрахунку вартості плати за приєднання до електричних мереж. Замовник оплачує на поточний рахунок ОСР цей рахунок упродовж </w:t>
            </w:r>
            <w:r w:rsidRPr="00766D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5 робочих днів з дня, наступного за днем узгодження з усіма заінтересованими сторонами розробленої Замовником проєктної документації;</w:t>
            </w:r>
          </w:p>
          <w:p w14:paraId="04EC7C1D" w14:textId="77777777" w:rsidR="00A1272B" w:rsidRPr="00766D55" w:rsidRDefault="00A1272B" w:rsidP="00A1272B">
            <w:pPr>
              <w:ind w:firstLine="63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6D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залишок вартості плати за приєднання, визначеної у розрахунку вартості плати за приєднання до електричних мереж, разом з повідомленням про надання послуги з приєднання. Замовник сплачує на поточний рахунок ОСР цей рахунок упродовж 5 робочих днів з дня, наступного за днем отримання повідомленням про надання послуги з приєднання.</w:t>
            </w:r>
          </w:p>
          <w:p w14:paraId="441F40BB" w14:textId="7F6222F2" w:rsidR="00A1272B" w:rsidRPr="00E44649" w:rsidRDefault="00A1272B" w:rsidP="00A1272B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</w:rPr>
            </w:pPr>
            <w:r w:rsidRPr="00766D55">
              <w:t>За домовленістю сторін може бути визначено інший порядок оплати вартості послуги з приєднання шляхом укладання додаткової угоди.</w:t>
            </w:r>
          </w:p>
        </w:tc>
        <w:tc>
          <w:tcPr>
            <w:tcW w:w="6311" w:type="dxa"/>
          </w:tcPr>
          <w:p w14:paraId="75ECEA5D" w14:textId="2F3C8224" w:rsidR="00A1272B" w:rsidRPr="00766D55" w:rsidRDefault="00A1272B" w:rsidP="00A1272B">
            <w:pPr>
              <w:ind w:firstLine="63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6D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ОСР проводить розрахунок вартості плати за нестандартне приєднання до електричних мереж відповідно до Методики (порядку) формування плати за приєднання.</w:t>
            </w:r>
          </w:p>
          <w:p w14:paraId="1CE7DA50" w14:textId="77777777" w:rsidR="00A1272B" w:rsidRPr="00766D55" w:rsidRDefault="00A1272B" w:rsidP="00A1272B">
            <w:pPr>
              <w:ind w:firstLine="63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6D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ОСР надає Замовнику рахунки на сплату плати за приєднання в такому порядку:</w:t>
            </w:r>
          </w:p>
          <w:p w14:paraId="05AEF187" w14:textId="77777777" w:rsidR="00A1272B" w:rsidRPr="00766D55" w:rsidRDefault="00A1272B" w:rsidP="00A1272B">
            <w:pPr>
              <w:ind w:firstLine="63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0" w:name="_Hlk174012485"/>
            <w:r w:rsidRPr="00766D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розмірі </w:t>
            </w:r>
            <w:r w:rsidRPr="00FC39A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</w:t>
            </w:r>
            <w:r w:rsidRPr="00766D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відсотків складової плати за приєднання потужності, визначеної у розрахунку вартості плати за приєднання до електричних мереж. Замовник оплачує на поточний рахунок ОСР цей рахунок упродовж 20 робочих днів з дня, наступного за днем отримання технічних умов, розрахунку вартості плати за приєднання до електричних мереж та рахунку на сплату плати за приєднання;</w:t>
            </w:r>
          </w:p>
          <w:p w14:paraId="23747FF1" w14:textId="6EE7139B" w:rsidR="00A1272B" w:rsidRPr="00C058C5" w:rsidRDefault="00A1272B" w:rsidP="00A1272B">
            <w:pPr>
              <w:ind w:firstLine="63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66D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розмірі </w:t>
            </w:r>
            <w:r w:rsidRPr="00FC39A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60</w:t>
            </w:r>
            <w:r w:rsidRPr="00766D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відсотків від складової плати за приєднання потужності та 90 відсотків вартості лінійної частини приєднання, визначених у розрахунку вартості плати за приєднання до електричних мереж. </w:t>
            </w:r>
            <w:r w:rsidRPr="00035F14">
              <w:rPr>
                <w:rFonts w:ascii="Times New Roman" w:hAnsi="Times New Roman" w:cs="Times New Roman"/>
                <w:strike/>
                <w:sz w:val="24"/>
                <w:szCs w:val="24"/>
                <w:lang w:val="uk-UA"/>
              </w:rPr>
              <w:t>Замовник оплачує на поточний рахунок</w:t>
            </w:r>
            <w:r w:rsidRPr="006723D6">
              <w:rPr>
                <w:rFonts w:ascii="Times New Roman" w:hAnsi="Times New Roman" w:cs="Times New Roman"/>
                <w:color w:val="5B9BD5" w:themeColor="accent1"/>
                <w:sz w:val="24"/>
                <w:szCs w:val="24"/>
                <w:lang w:val="uk-UA"/>
              </w:rPr>
              <w:t xml:space="preserve"> </w:t>
            </w:r>
            <w:r w:rsidRPr="00766D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ОСР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видає </w:t>
            </w:r>
            <w:r w:rsidRPr="006723D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Замовнику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66D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рахунок упродовж 5 робочих днів з дня, наступного за днем </w:t>
            </w:r>
            <w:r w:rsidRPr="00766D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узгодження з усіма заінтересованими сторонами розробленої </w:t>
            </w:r>
            <w:r w:rsidRPr="00E8309B">
              <w:rPr>
                <w:rFonts w:ascii="Times New Roman" w:hAnsi="Times New Roman" w:cs="Times New Roman"/>
                <w:strike/>
                <w:sz w:val="24"/>
                <w:szCs w:val="24"/>
                <w:lang w:val="uk-UA"/>
              </w:rPr>
              <w:t>Замовником</w:t>
            </w:r>
            <w:r w:rsidRPr="006F6FCE"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  <w:lang w:val="uk-UA"/>
              </w:rPr>
              <w:t xml:space="preserve"> </w:t>
            </w:r>
            <w:r w:rsidRPr="00766D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проєктної документації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Pr="006723D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Замовник оплачує на поточний рахунок ОСР цей рахунок упродовж 20 робочих днів з дня, наступного за днем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його </w:t>
            </w:r>
            <w:r w:rsidRPr="006723D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отримання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058C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У разі надання ОСР послуги з нестандартного приєднання з </w:t>
            </w:r>
            <w:proofErr w:type="spellStart"/>
            <w:r w:rsidRPr="00C058C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проєктуванням</w:t>
            </w:r>
            <w:proofErr w:type="spellEnd"/>
            <w:r w:rsidRPr="00C058C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замовником лінійної частини приєднання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ОСР актуалізує розрахунок </w:t>
            </w:r>
            <w:r w:rsidRPr="00C058C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вартості плати за приєднання до електричних мереж 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видає </w:t>
            </w:r>
            <w:r w:rsidRPr="00C058C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рахун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</w:t>
            </w:r>
            <w:r w:rsidRPr="00C058C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 на сплату плати за приєднання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відповідно до чинних на дату видачі рахунку, зазначеного в цьому абзаці, ставок плати за приєднання потужності</w:t>
            </w:r>
            <w:r w:rsidRPr="00C058C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;</w:t>
            </w:r>
          </w:p>
          <w:bookmarkEnd w:id="0"/>
          <w:p w14:paraId="475D075C" w14:textId="77777777" w:rsidR="00A1272B" w:rsidRPr="00766D55" w:rsidRDefault="00A1272B" w:rsidP="00A1272B">
            <w:pPr>
              <w:ind w:firstLine="63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6D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залишок вартості плати за приєднання, визначеної у розрахунку вартості плати за приєднання до електричних мереж, разом з повідомленням про надання послуги з приєднання. Замовник сплачує на поточний рахунок ОСР цей рахунок упродовж 5 робочих днів з дня, наступного за днем отримання повідомленням про надання послуги з приєднання.</w:t>
            </w:r>
          </w:p>
          <w:p w14:paraId="7E030E9C" w14:textId="14B1AA1D" w:rsidR="00A1272B" w:rsidRPr="00E8309B" w:rsidRDefault="00A1272B" w:rsidP="00A1272B">
            <w:pPr>
              <w:ind w:firstLine="63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6D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домовленістю сторін може бути визначено інший порядок оплати вартості послуги з приєднання шляхом укладання додаткової угоди.</w:t>
            </w:r>
          </w:p>
        </w:tc>
      </w:tr>
      <w:tr w:rsidR="001A7A0E" w:rsidRPr="003B63C0" w14:paraId="4BCEE15A" w14:textId="77777777" w:rsidTr="00A87170">
        <w:tc>
          <w:tcPr>
            <w:tcW w:w="13573" w:type="dxa"/>
            <w:gridSpan w:val="3"/>
          </w:tcPr>
          <w:p w14:paraId="648B3721" w14:textId="15AD4E03" w:rsidR="001A7A0E" w:rsidRPr="001A7A0E" w:rsidRDefault="001A7A0E" w:rsidP="001A7A0E">
            <w:pPr>
              <w:ind w:firstLine="63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A7A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lastRenderedPageBreak/>
              <w:t>4.10. Порядок оприлюднення ОСР інформації щодо організаційних та технічних заходів, які здійснюються з метою надання послуги з приєднання замовнику</w:t>
            </w:r>
          </w:p>
        </w:tc>
      </w:tr>
      <w:tr w:rsidR="00A1272B" w:rsidRPr="003B63C0" w14:paraId="79F7C128" w14:textId="77777777" w:rsidTr="001A7A0E">
        <w:tc>
          <w:tcPr>
            <w:tcW w:w="1056" w:type="dxa"/>
          </w:tcPr>
          <w:p w14:paraId="325DD472" w14:textId="356AB0DE" w:rsidR="00A1272B" w:rsidRPr="001A7A0E" w:rsidRDefault="001A7A0E" w:rsidP="00A127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7A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4.10.2.</w:t>
            </w:r>
          </w:p>
        </w:tc>
        <w:tc>
          <w:tcPr>
            <w:tcW w:w="6206" w:type="dxa"/>
          </w:tcPr>
          <w:p w14:paraId="54ABDE92" w14:textId="361A98F5" w:rsidR="00A1272B" w:rsidRPr="00E44649" w:rsidRDefault="00A1272B" w:rsidP="00A1272B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</w:rPr>
            </w:pPr>
            <w:r w:rsidRPr="00E44649">
              <w:rPr>
                <w:color w:val="000000" w:themeColor="text1"/>
              </w:rPr>
              <w:t xml:space="preserve">ОСР має забезпечити роботу сервісу «Особистий кабінет замовника» на власному офіційному </w:t>
            </w:r>
            <w:proofErr w:type="spellStart"/>
            <w:r w:rsidRPr="00E44649">
              <w:rPr>
                <w:color w:val="000000" w:themeColor="text1"/>
              </w:rPr>
              <w:t>вебсайті</w:t>
            </w:r>
            <w:proofErr w:type="spellEnd"/>
            <w:r w:rsidRPr="00E44649">
              <w:rPr>
                <w:color w:val="000000" w:themeColor="text1"/>
              </w:rPr>
              <w:t xml:space="preserve"> ОСР у мережі Інтернет.</w:t>
            </w:r>
          </w:p>
          <w:p w14:paraId="608679FA" w14:textId="77777777" w:rsidR="00A1272B" w:rsidRPr="00E44649" w:rsidRDefault="00A1272B" w:rsidP="00A1272B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</w:rPr>
            </w:pPr>
            <w:bookmarkStart w:id="1" w:name="n3763"/>
            <w:bookmarkEnd w:id="1"/>
            <w:r w:rsidRPr="00E44649">
              <w:rPr>
                <w:color w:val="000000" w:themeColor="text1"/>
              </w:rPr>
              <w:t xml:space="preserve">Сервіс «Особистий кабінет замовника» є ресурсом, який має забезпечити інформування замовника про стан надання ОСР послуги з приєднання та забезпечити відображення інформації про поточний стан виконання (виконано/на виконанні) відповідних організаційних та технічних заходів, які здійснюються ОСР для надання послуги з приєднання замовнику (проєктування та здійснення заходів щодо відведення земельних ділянок </w:t>
            </w:r>
            <w:r w:rsidRPr="00E44649">
              <w:rPr>
                <w:color w:val="000000" w:themeColor="text1"/>
              </w:rPr>
              <w:lastRenderedPageBreak/>
              <w:t>для розміщення відповідних об'єктів електроенергетики (у разі необхідності), погодження проєктної документації з іншими заінтересованими сторонами, отримання дозволу на виконання будівельно-монтажних робіт, дата початку та орієнтовна дата завершення проведення тендерних процедур з метою придбання обладнання та матеріалів для виконання будівельно-монтажних робіт, виготовлення та поставка обладнання та матеріалів, виконання будівельно-монтажних робіт, пусконалагоджувальних та випробувальних робіт та підключення електроустановок (об'єкта) замовника тощо), із зазначенням очікуваних та граничних термінів їх виконання.</w:t>
            </w:r>
          </w:p>
          <w:p w14:paraId="22025E17" w14:textId="77777777" w:rsidR="00A1272B" w:rsidRPr="00E44649" w:rsidRDefault="00A1272B" w:rsidP="00A1272B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</w:rPr>
            </w:pPr>
            <w:bookmarkStart w:id="2" w:name="n3764"/>
            <w:bookmarkEnd w:id="2"/>
            <w:r w:rsidRPr="00E44649">
              <w:rPr>
                <w:color w:val="000000" w:themeColor="text1"/>
              </w:rPr>
              <w:t>Сервіс «Особистий кабінет замовника» має забезпечувати можливість:</w:t>
            </w:r>
          </w:p>
          <w:p w14:paraId="4FE04BE8" w14:textId="77777777" w:rsidR="00A1272B" w:rsidRPr="00E44649" w:rsidRDefault="00A1272B" w:rsidP="00A1272B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</w:rPr>
            </w:pPr>
            <w:bookmarkStart w:id="3" w:name="n3765"/>
            <w:bookmarkEnd w:id="3"/>
            <w:r w:rsidRPr="00E44649">
              <w:rPr>
                <w:color w:val="000000" w:themeColor="text1"/>
              </w:rPr>
              <w:t>подання в електронному вигляді заяви про приєднання та додатків, передбачених цим Кодексом (з можливістю використання кваліфікованого електронного підпису);</w:t>
            </w:r>
          </w:p>
          <w:p w14:paraId="6ACCDBEB" w14:textId="77777777" w:rsidR="00A1272B" w:rsidRPr="00E44649" w:rsidRDefault="00A1272B" w:rsidP="00A1272B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</w:rPr>
            </w:pPr>
            <w:bookmarkStart w:id="4" w:name="n3766"/>
            <w:bookmarkEnd w:id="4"/>
            <w:r w:rsidRPr="00E44649">
              <w:rPr>
                <w:color w:val="000000" w:themeColor="text1"/>
              </w:rPr>
              <w:t>підписання договору про приєднання електроустановок до електричних мереж та технічних умов на приєднання кваліфікованим електронним підписом;</w:t>
            </w:r>
          </w:p>
          <w:p w14:paraId="501DC201" w14:textId="77777777" w:rsidR="00A1272B" w:rsidRPr="00E44649" w:rsidRDefault="00A1272B" w:rsidP="00A1272B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</w:rPr>
            </w:pPr>
            <w:bookmarkStart w:id="5" w:name="n3767"/>
            <w:bookmarkEnd w:id="5"/>
            <w:r w:rsidRPr="00E44649">
              <w:rPr>
                <w:color w:val="000000" w:themeColor="text1"/>
              </w:rPr>
              <w:t>отримання рахунка на сплату плати за приєднання;</w:t>
            </w:r>
          </w:p>
          <w:p w14:paraId="20A86F1D" w14:textId="77777777" w:rsidR="00A1272B" w:rsidRPr="00E44649" w:rsidRDefault="00A1272B" w:rsidP="00A1272B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</w:rPr>
            </w:pPr>
            <w:bookmarkStart w:id="6" w:name="n4922"/>
            <w:bookmarkEnd w:id="6"/>
            <w:r w:rsidRPr="00E44649">
              <w:rPr>
                <w:color w:val="000000" w:themeColor="text1"/>
              </w:rPr>
              <w:t>отримання рахунка на сплату вартості послуги з комерційного обліку електричної енергії (якщо замовником у заяві про приєднання обрано ОСР, який надає послугу з приєднання такому замовнику, постачальником послуг комерційного обліку);</w:t>
            </w:r>
            <w:bookmarkStart w:id="7" w:name="n4923"/>
            <w:bookmarkEnd w:id="7"/>
          </w:p>
          <w:p w14:paraId="78BB81B3" w14:textId="77777777" w:rsidR="00A1272B" w:rsidRPr="00E44649" w:rsidRDefault="00A1272B" w:rsidP="00A1272B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</w:rPr>
            </w:pPr>
            <w:bookmarkStart w:id="8" w:name="n3768"/>
            <w:bookmarkEnd w:id="8"/>
            <w:r w:rsidRPr="00E44649">
              <w:rPr>
                <w:color w:val="000000" w:themeColor="text1"/>
              </w:rPr>
              <w:t>відображення інформації щодо оплати замовником послуги з приєднання;</w:t>
            </w:r>
          </w:p>
          <w:p w14:paraId="4C6BABE2" w14:textId="77777777" w:rsidR="00A1272B" w:rsidRPr="00E44649" w:rsidRDefault="00A1272B" w:rsidP="00A1272B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</w:rPr>
            </w:pPr>
            <w:bookmarkStart w:id="9" w:name="n3769"/>
            <w:bookmarkEnd w:id="9"/>
            <w:r w:rsidRPr="00E44649">
              <w:rPr>
                <w:color w:val="000000" w:themeColor="text1"/>
              </w:rPr>
              <w:t>отримання та підписання акта надання/отримання послуги з приєднання кваліфікованим електронним підписом;</w:t>
            </w:r>
          </w:p>
          <w:p w14:paraId="59ADE0AE" w14:textId="77777777" w:rsidR="00A1272B" w:rsidRPr="00E44649" w:rsidRDefault="00A1272B" w:rsidP="00A1272B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</w:rPr>
            </w:pPr>
            <w:bookmarkStart w:id="10" w:name="n3770"/>
            <w:bookmarkEnd w:id="10"/>
            <w:r w:rsidRPr="00E44649">
              <w:rPr>
                <w:color w:val="000000" w:themeColor="text1"/>
              </w:rPr>
              <w:lastRenderedPageBreak/>
              <w:t>підписання договору про надання послуг з розподілу електричної енергії кваліфікованим електронним підписом;</w:t>
            </w:r>
          </w:p>
          <w:p w14:paraId="7E915C68" w14:textId="77777777" w:rsidR="00A1272B" w:rsidRPr="00E44649" w:rsidRDefault="00A1272B" w:rsidP="00A1272B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</w:rPr>
            </w:pPr>
            <w:bookmarkStart w:id="11" w:name="n3771"/>
            <w:bookmarkEnd w:id="11"/>
            <w:r w:rsidRPr="00E44649">
              <w:rPr>
                <w:color w:val="000000" w:themeColor="text1"/>
              </w:rPr>
              <w:t>подання в електронному вигляді заяви про підключення.</w:t>
            </w:r>
          </w:p>
          <w:p w14:paraId="299302E2" w14:textId="77777777" w:rsidR="00A1272B" w:rsidRPr="00E44649" w:rsidRDefault="00A1272B" w:rsidP="00A1272B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</w:rPr>
            </w:pPr>
            <w:bookmarkStart w:id="12" w:name="n3772"/>
            <w:bookmarkEnd w:id="12"/>
            <w:r w:rsidRPr="00E44649">
              <w:rPr>
                <w:color w:val="000000" w:themeColor="text1"/>
              </w:rPr>
              <w:t>За зверненням замовника послуги з приєднання (у тому числі електронним) ОСР має надати запитувану інформацію щодо приєднання в запропонованому замовником вигляді.</w:t>
            </w:r>
          </w:p>
          <w:p w14:paraId="07E270BF" w14:textId="77777777" w:rsidR="00A1272B" w:rsidRDefault="00A1272B" w:rsidP="00A1272B">
            <w:pPr>
              <w:pStyle w:val="rvps2"/>
              <w:spacing w:before="0" w:beforeAutospacing="0" w:after="0" w:afterAutospacing="0"/>
              <w:ind w:firstLine="450"/>
              <w:jc w:val="both"/>
            </w:pPr>
            <w:bookmarkStart w:id="13" w:name="n3762"/>
            <w:bookmarkEnd w:id="13"/>
          </w:p>
        </w:tc>
        <w:tc>
          <w:tcPr>
            <w:tcW w:w="6311" w:type="dxa"/>
          </w:tcPr>
          <w:p w14:paraId="150BFE4B" w14:textId="59100186" w:rsidR="00A1272B" w:rsidRDefault="00A1272B" w:rsidP="00A1272B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</w:rPr>
            </w:pPr>
            <w:r w:rsidRPr="00E44649">
              <w:rPr>
                <w:color w:val="000000" w:themeColor="text1"/>
              </w:rPr>
              <w:lastRenderedPageBreak/>
              <w:t xml:space="preserve">ОСР має забезпечити </w:t>
            </w:r>
            <w:r w:rsidRPr="006306B1">
              <w:rPr>
                <w:b/>
                <w:color w:val="000000" w:themeColor="text1"/>
              </w:rPr>
              <w:t xml:space="preserve">безперервну </w:t>
            </w:r>
            <w:r w:rsidRPr="00E44649">
              <w:rPr>
                <w:color w:val="000000" w:themeColor="text1"/>
              </w:rPr>
              <w:t>роботу сервісу «Особистий кабінет замовника</w:t>
            </w:r>
            <w:r>
              <w:rPr>
                <w:color w:val="000000" w:themeColor="text1"/>
              </w:rPr>
              <w:t xml:space="preserve"> </w:t>
            </w:r>
            <w:r w:rsidRPr="009F57A7">
              <w:rPr>
                <w:b/>
                <w:color w:val="000000" w:themeColor="text1"/>
              </w:rPr>
              <w:t>послуги з приєднання</w:t>
            </w:r>
            <w:r w:rsidRPr="00E44649">
              <w:rPr>
                <w:color w:val="000000" w:themeColor="text1"/>
              </w:rPr>
              <w:t xml:space="preserve">» </w:t>
            </w:r>
            <w:r w:rsidRPr="009F57A7">
              <w:rPr>
                <w:b/>
                <w:color w:val="000000" w:themeColor="text1"/>
              </w:rPr>
              <w:t xml:space="preserve">(далі </w:t>
            </w:r>
            <w:r w:rsidRPr="006C1BDE">
              <w:rPr>
                <w:color w:val="000000" w:themeColor="text1"/>
                <w:sz w:val="27"/>
                <w:szCs w:val="27"/>
              </w:rPr>
              <w:t>–</w:t>
            </w:r>
            <w:r w:rsidRPr="009F57A7">
              <w:rPr>
                <w:b/>
                <w:color w:val="000000" w:themeColor="text1"/>
              </w:rPr>
              <w:t xml:space="preserve"> сервіс «Особистий кабінет замовника») </w:t>
            </w:r>
            <w:r w:rsidRPr="00E44649">
              <w:rPr>
                <w:color w:val="000000" w:themeColor="text1"/>
              </w:rPr>
              <w:t xml:space="preserve">на власному офіційному </w:t>
            </w:r>
            <w:proofErr w:type="spellStart"/>
            <w:r w:rsidRPr="00E44649">
              <w:rPr>
                <w:color w:val="000000" w:themeColor="text1"/>
              </w:rPr>
              <w:t>вебсайті</w:t>
            </w:r>
            <w:proofErr w:type="spellEnd"/>
            <w:r w:rsidRPr="00E44649">
              <w:rPr>
                <w:color w:val="000000" w:themeColor="text1"/>
              </w:rPr>
              <w:t xml:space="preserve"> ОСР у мережі Інтернет.</w:t>
            </w:r>
          </w:p>
          <w:p w14:paraId="0F7102C0" w14:textId="545268C9" w:rsidR="00A1272B" w:rsidRDefault="00A1272B" w:rsidP="00A1272B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На головній сторінці </w:t>
            </w:r>
            <w:proofErr w:type="spellStart"/>
            <w:r w:rsidRPr="006306B1">
              <w:rPr>
                <w:b/>
                <w:color w:val="000000" w:themeColor="text1"/>
              </w:rPr>
              <w:t>вебсайт</w:t>
            </w:r>
            <w:r>
              <w:rPr>
                <w:b/>
                <w:color w:val="000000" w:themeColor="text1"/>
              </w:rPr>
              <w:t>у</w:t>
            </w:r>
            <w:proofErr w:type="spellEnd"/>
            <w:r w:rsidRPr="006306B1">
              <w:rPr>
                <w:b/>
                <w:color w:val="000000" w:themeColor="text1"/>
              </w:rPr>
              <w:t xml:space="preserve"> ОСР у мережі Інтернет </w:t>
            </w:r>
            <w:r>
              <w:rPr>
                <w:b/>
                <w:color w:val="000000" w:themeColor="text1"/>
              </w:rPr>
              <w:t>має бути забезпечено вхід до с</w:t>
            </w:r>
            <w:r w:rsidRPr="009F57A7">
              <w:rPr>
                <w:b/>
                <w:color w:val="000000" w:themeColor="text1"/>
              </w:rPr>
              <w:t>ервіс</w:t>
            </w:r>
            <w:r>
              <w:rPr>
                <w:b/>
                <w:color w:val="000000" w:themeColor="text1"/>
              </w:rPr>
              <w:t>у</w:t>
            </w:r>
            <w:r w:rsidRPr="009F57A7">
              <w:rPr>
                <w:b/>
                <w:color w:val="000000" w:themeColor="text1"/>
              </w:rPr>
              <w:t xml:space="preserve"> «Особистий кабінет замовника»</w:t>
            </w:r>
            <w:r>
              <w:rPr>
                <w:b/>
                <w:color w:val="000000" w:themeColor="text1"/>
              </w:rPr>
              <w:t>.</w:t>
            </w:r>
          </w:p>
          <w:p w14:paraId="49E126AC" w14:textId="4C341469" w:rsidR="00A1272B" w:rsidRPr="00035F14" w:rsidRDefault="00A1272B" w:rsidP="00A1272B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color w:val="000000" w:themeColor="text1"/>
                <w:lang w:val="en-US"/>
              </w:rPr>
            </w:pPr>
            <w:r>
              <w:rPr>
                <w:b/>
                <w:color w:val="000000" w:themeColor="text1"/>
              </w:rPr>
              <w:t>С</w:t>
            </w:r>
            <w:r w:rsidRPr="009F57A7">
              <w:rPr>
                <w:b/>
                <w:color w:val="000000" w:themeColor="text1"/>
              </w:rPr>
              <w:t>ерві</w:t>
            </w:r>
            <w:r>
              <w:rPr>
                <w:b/>
                <w:color w:val="000000" w:themeColor="text1"/>
              </w:rPr>
              <w:t>с</w:t>
            </w:r>
            <w:r w:rsidRPr="009F57A7">
              <w:rPr>
                <w:b/>
                <w:color w:val="000000" w:themeColor="text1"/>
              </w:rPr>
              <w:t xml:space="preserve"> «Особистий кабінет замовника»</w:t>
            </w:r>
            <w:r>
              <w:rPr>
                <w:b/>
                <w:color w:val="000000" w:themeColor="text1"/>
              </w:rPr>
              <w:t xml:space="preserve"> має містити, </w:t>
            </w:r>
            <w:r w:rsidRPr="00F72984">
              <w:rPr>
                <w:b/>
                <w:color w:val="000000" w:themeColor="text1"/>
              </w:rPr>
              <w:t>принаймні таку інформацію:</w:t>
            </w:r>
          </w:p>
          <w:p w14:paraId="66827344" w14:textId="04403451" w:rsidR="00A1272B" w:rsidRDefault="00A1272B" w:rsidP="00A1272B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подача заяви про приєднання;</w:t>
            </w:r>
          </w:p>
          <w:p w14:paraId="2E23C086" w14:textId="451303AC" w:rsidR="00A1272B" w:rsidRDefault="00A1272B" w:rsidP="00A1272B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lastRenderedPageBreak/>
              <w:t>отримання інформації про стан надання послуги з приєднання;</w:t>
            </w:r>
          </w:p>
          <w:p w14:paraId="0580C8B6" w14:textId="5048FB1E" w:rsidR="00A1272B" w:rsidRPr="00C559E2" w:rsidRDefault="00A1272B" w:rsidP="00A1272B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документи, які використовуються при наданні послуги з приєднання, передбачені Кодексом систем розподілу, </w:t>
            </w:r>
            <w:r w:rsidRPr="00C559E2">
              <w:rPr>
                <w:b/>
                <w:color w:val="000000" w:themeColor="text1"/>
              </w:rPr>
              <w:t xml:space="preserve">зокрема технічні умови приєднання, договір про приєднання, </w:t>
            </w:r>
            <w:r w:rsidRPr="00C559E2">
              <w:rPr>
                <w:b/>
              </w:rPr>
              <w:t>розрахунок вартості плати за приєднання до електричних мереж та рахунок на оплату вартості плати за приєднання до електричних мереж</w:t>
            </w:r>
            <w:r w:rsidRPr="00C559E2">
              <w:rPr>
                <w:b/>
                <w:color w:val="000000" w:themeColor="text1"/>
              </w:rPr>
              <w:t xml:space="preserve"> тощо. </w:t>
            </w:r>
          </w:p>
          <w:p w14:paraId="677BBA10" w14:textId="77777777" w:rsidR="00A1272B" w:rsidRPr="00E44649" w:rsidRDefault="00A1272B" w:rsidP="00A1272B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</w:rPr>
            </w:pPr>
            <w:r w:rsidRPr="00E44649">
              <w:rPr>
                <w:color w:val="000000" w:themeColor="text1"/>
              </w:rPr>
              <w:t>Сервіс «Особистий кабінет замовника» є ресурсом, який має забезпечити інформування замовника про стан надання ОСР послуги з приєднання та забезпечити відображення інформації про поточний стан виконання (виконано/на виконанні) відповідних організаційних та технічних заходів, які здійснюються ОСР для надання послуги з приєднання замовнику (проєктування та здійснення заходів щодо відведення земельних ділянок для розміщення відповідних об'єктів електроенергетики (у разі необхідності), погодження проєктної документації з іншими заінтересованими сторонами, отримання дозволу на виконання будівельно-монтажних робіт, дата початку та орієнтовна дата завершення проведення тендерних процедур з метою придбання обладнання та матеріалів для виконання будівельно-монтажних робіт, виготовлення та поставка обладнання та матеріалів, виконання будівельно-монтажних робіт, пусконалагоджувальних та випробувальних робіт та підключення електроустановок (об'єкта) замовника тощо), із зазначенням очікуваних та граничних термінів їх виконання.</w:t>
            </w:r>
          </w:p>
          <w:p w14:paraId="109DD58D" w14:textId="77777777" w:rsidR="00A1272B" w:rsidRPr="00E44649" w:rsidRDefault="00A1272B" w:rsidP="00A1272B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</w:rPr>
            </w:pPr>
            <w:r w:rsidRPr="00E44649">
              <w:rPr>
                <w:color w:val="000000" w:themeColor="text1"/>
              </w:rPr>
              <w:t>Сервіс «Особистий кабінет замовника» має забезпечувати можливість:</w:t>
            </w:r>
          </w:p>
          <w:p w14:paraId="12163E9E" w14:textId="77777777" w:rsidR="00A1272B" w:rsidRPr="00E44649" w:rsidRDefault="00A1272B" w:rsidP="00A1272B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</w:rPr>
            </w:pPr>
            <w:r w:rsidRPr="00E44649">
              <w:rPr>
                <w:color w:val="000000" w:themeColor="text1"/>
              </w:rPr>
              <w:t>подання в електронному вигляді заяви про приєднання та додатків, передбачених цим Кодексом (з можливістю використання кваліфікованого електронного підпису);</w:t>
            </w:r>
          </w:p>
          <w:p w14:paraId="7A6CF64E" w14:textId="77777777" w:rsidR="00A1272B" w:rsidRPr="00DD2624" w:rsidRDefault="00A1272B" w:rsidP="00A1272B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strike/>
                <w:color w:val="000000" w:themeColor="text1"/>
              </w:rPr>
            </w:pPr>
            <w:r w:rsidRPr="00DD2624">
              <w:rPr>
                <w:b/>
                <w:strike/>
                <w:color w:val="000000" w:themeColor="text1"/>
              </w:rPr>
              <w:lastRenderedPageBreak/>
              <w:t>підписання договору про приєднання електроустановок до електричних мереж та технічних умов на приєднання кваліфікованим електронним підписом;</w:t>
            </w:r>
          </w:p>
          <w:p w14:paraId="41321668" w14:textId="77777777" w:rsidR="00A1272B" w:rsidRPr="00E44649" w:rsidRDefault="00A1272B" w:rsidP="00A1272B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</w:rPr>
            </w:pPr>
            <w:r w:rsidRPr="00E44649">
              <w:rPr>
                <w:color w:val="000000" w:themeColor="text1"/>
              </w:rPr>
              <w:t>отримання рахунка на сплату плати за приєднання;</w:t>
            </w:r>
          </w:p>
          <w:p w14:paraId="40B547BF" w14:textId="3C3C7B99" w:rsidR="00A1272B" w:rsidRPr="00B922CB" w:rsidRDefault="00A1272B" w:rsidP="00A1272B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rStyle w:val="rvts46"/>
                <w:color w:val="000000" w:themeColor="text1"/>
              </w:rPr>
            </w:pPr>
            <w:r w:rsidRPr="00E44649">
              <w:rPr>
                <w:color w:val="000000" w:themeColor="text1"/>
              </w:rPr>
              <w:t>отримання рахунка на сплату вартості послуги з комерційного обліку електричної енергії (якщо замовником у заяві про приєднання обрано ОСР, який надає послугу з приєднання такому замовнику, постачальником послуг комерційного обліку);</w:t>
            </w:r>
          </w:p>
          <w:p w14:paraId="058E3997" w14:textId="4BFCB493" w:rsidR="00A1272B" w:rsidRPr="00DD2624" w:rsidRDefault="00A1272B" w:rsidP="00A1272B">
            <w:pPr>
              <w:pStyle w:val="rvps2"/>
              <w:spacing w:before="0" w:beforeAutospacing="0" w:after="0" w:afterAutospacing="0"/>
              <w:ind w:firstLine="450"/>
              <w:jc w:val="both"/>
              <w:rPr>
                <w:b/>
                <w:shd w:val="clear" w:color="auto" w:fill="FFFFFF"/>
              </w:rPr>
            </w:pPr>
            <w:r w:rsidRPr="00DD2624">
              <w:rPr>
                <w:b/>
              </w:rPr>
              <w:t>завантаження квитанції про оплату вартості плати за приєднання до електричних мереж;</w:t>
            </w:r>
          </w:p>
          <w:p w14:paraId="3C44091B" w14:textId="77777777" w:rsidR="00A1272B" w:rsidRPr="00E44649" w:rsidRDefault="00A1272B" w:rsidP="00A1272B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</w:rPr>
            </w:pPr>
            <w:r w:rsidRPr="00E44649">
              <w:rPr>
                <w:color w:val="000000" w:themeColor="text1"/>
              </w:rPr>
              <w:t>відображення інформації щодо оплати замовником послуги з приєднання;</w:t>
            </w:r>
          </w:p>
          <w:p w14:paraId="191E33F1" w14:textId="06C77B68" w:rsidR="00A1272B" w:rsidRPr="00DD2624" w:rsidRDefault="00A1272B" w:rsidP="00A1272B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</w:rPr>
            </w:pPr>
            <w:r w:rsidRPr="00DD2624">
              <w:rPr>
                <w:b/>
              </w:rPr>
              <w:t xml:space="preserve">відображення інформації щодо стану </w:t>
            </w:r>
            <w:r>
              <w:rPr>
                <w:b/>
              </w:rPr>
              <w:t xml:space="preserve">та результатів </w:t>
            </w:r>
            <w:r w:rsidRPr="00DD2624">
              <w:rPr>
                <w:b/>
              </w:rPr>
              <w:t>опрацювання заяви про приєднання;</w:t>
            </w:r>
          </w:p>
          <w:p w14:paraId="36BB63F1" w14:textId="6ECDC834" w:rsidR="00A1272B" w:rsidRPr="003B63C0" w:rsidRDefault="00A1272B" w:rsidP="00A1272B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  <w:lang w:val="ru-RU"/>
              </w:rPr>
            </w:pPr>
            <w:r w:rsidRPr="00E44649">
              <w:rPr>
                <w:color w:val="000000" w:themeColor="text1"/>
              </w:rPr>
              <w:t>отримання та підписання акт</w:t>
            </w:r>
            <w:r>
              <w:rPr>
                <w:color w:val="000000" w:themeColor="text1"/>
              </w:rPr>
              <w:t>а</w:t>
            </w:r>
            <w:r w:rsidRPr="00E44649">
              <w:rPr>
                <w:color w:val="000000" w:themeColor="text1"/>
              </w:rPr>
              <w:t xml:space="preserve"> надання/отримання послуги з приєднання кваліфікованим електронним підписом;</w:t>
            </w:r>
          </w:p>
          <w:p w14:paraId="554B06AE" w14:textId="56C79293" w:rsidR="00A1272B" w:rsidRPr="00F72984" w:rsidRDefault="00A1272B" w:rsidP="00A1272B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bCs/>
                <w:color w:val="000000" w:themeColor="text1"/>
              </w:rPr>
            </w:pPr>
            <w:r w:rsidRPr="005B6E59">
              <w:rPr>
                <w:b/>
                <w:bCs/>
                <w:color w:val="000000" w:themeColor="text1"/>
              </w:rPr>
              <w:t>отримання та підписання акт</w:t>
            </w:r>
            <w:r>
              <w:rPr>
                <w:b/>
                <w:bCs/>
                <w:color w:val="000000" w:themeColor="text1"/>
              </w:rPr>
              <w:t>а</w:t>
            </w:r>
            <w:r w:rsidRPr="005B6E59">
              <w:rPr>
                <w:b/>
                <w:bCs/>
                <w:color w:val="000000" w:themeColor="text1"/>
              </w:rPr>
              <w:t xml:space="preserve"> надання/отримання послуг з</w:t>
            </w:r>
            <w:r w:rsidRPr="005B6E59">
              <w:rPr>
                <w:b/>
                <w:bCs/>
                <w:color w:val="000000" w:themeColor="text1"/>
                <w:lang w:val="ru-RU"/>
              </w:rPr>
              <w:t xml:space="preserve"> </w:t>
            </w:r>
            <w:r w:rsidRPr="005B6E59">
              <w:rPr>
                <w:b/>
                <w:bCs/>
                <w:color w:val="000000" w:themeColor="text1"/>
              </w:rPr>
              <w:t>комерційного обліку електричної енергії в рамках даного приєднання (пломбування, подача напруги) кваліфікованим електронним підписом;</w:t>
            </w:r>
          </w:p>
          <w:p w14:paraId="4DF5E1A7" w14:textId="1E940A94" w:rsidR="00A1272B" w:rsidRPr="00E44649" w:rsidRDefault="00A1272B" w:rsidP="00A1272B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</w:rPr>
            </w:pPr>
            <w:r w:rsidRPr="00E44649">
              <w:rPr>
                <w:color w:val="000000" w:themeColor="text1"/>
              </w:rPr>
              <w:t xml:space="preserve">підписання </w:t>
            </w:r>
            <w:r w:rsidRPr="00DD7FBC">
              <w:rPr>
                <w:color w:val="000000" w:themeColor="text1"/>
              </w:rPr>
              <w:t>договору про надання послуг з розподілу електричної енергії</w:t>
            </w:r>
            <w:r>
              <w:rPr>
                <w:color w:val="000000" w:themeColor="text1"/>
              </w:rPr>
              <w:t xml:space="preserve"> </w:t>
            </w:r>
            <w:r w:rsidRPr="00E44649">
              <w:rPr>
                <w:color w:val="000000" w:themeColor="text1"/>
              </w:rPr>
              <w:t>кваліфікованим електронним підписом;</w:t>
            </w:r>
          </w:p>
          <w:p w14:paraId="6CDE99FC" w14:textId="77777777" w:rsidR="00A1272B" w:rsidRPr="00E44649" w:rsidRDefault="00A1272B" w:rsidP="00A1272B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</w:rPr>
            </w:pPr>
            <w:r w:rsidRPr="00E44649">
              <w:rPr>
                <w:color w:val="000000" w:themeColor="text1"/>
              </w:rPr>
              <w:t>подання в електронному вигляді заяви про підключення.</w:t>
            </w:r>
          </w:p>
          <w:p w14:paraId="32C63BFA" w14:textId="77777777" w:rsidR="00A1272B" w:rsidRPr="00A521C9" w:rsidRDefault="00A1272B" w:rsidP="00A1272B">
            <w:pPr>
              <w:ind w:firstLine="63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4464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За зверненням замовника послуги з приєднання (у тому числі електронним) ОСР має надати запитувану інформацію щодо приєднання в запропонованому замовником вигляді.</w:t>
            </w:r>
          </w:p>
        </w:tc>
      </w:tr>
      <w:tr w:rsidR="00A1272B" w:rsidRPr="003B63C0" w14:paraId="28D2D517" w14:textId="77777777" w:rsidTr="001A7A0E">
        <w:tc>
          <w:tcPr>
            <w:tcW w:w="1056" w:type="dxa"/>
          </w:tcPr>
          <w:p w14:paraId="30BA057B" w14:textId="77777777" w:rsidR="00A1272B" w:rsidRPr="007E32ED" w:rsidRDefault="00A1272B" w:rsidP="00A127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206" w:type="dxa"/>
          </w:tcPr>
          <w:p w14:paraId="6B711387" w14:textId="77777777" w:rsidR="00A1272B" w:rsidRPr="007E32ED" w:rsidRDefault="00A1272B" w:rsidP="00A1272B">
            <w:pPr>
              <w:ind w:firstLine="63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Положення відсутні </w:t>
            </w:r>
          </w:p>
        </w:tc>
        <w:tc>
          <w:tcPr>
            <w:tcW w:w="6311" w:type="dxa"/>
          </w:tcPr>
          <w:p w14:paraId="6C0705B2" w14:textId="67866DEC" w:rsidR="00A1272B" w:rsidRDefault="00A1272B" w:rsidP="00A1272B">
            <w:pPr>
              <w:ind w:firstLine="43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11A6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4.10.3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Pr="00011A6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Для забезпечення доступності сервісу «Особистий кабінет замовника» ОСР має забезпечити  на офіційному сайті докладну інструкцію, у тому числі у формі інфографіки, з вичерпними роз’ясненнями щодо </w:t>
            </w:r>
            <w:r w:rsidRPr="00011A6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 xml:space="preserve">роботи сервісу, у тому числі щодо кожного етапу подання заяви про приєднання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через сервіс</w:t>
            </w:r>
            <w:r w:rsidRPr="00011A6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14:paraId="60BE342E" w14:textId="5004B3ED" w:rsidR="00A1272B" w:rsidRDefault="00A1272B" w:rsidP="00A1272B">
            <w:pPr>
              <w:ind w:firstLine="43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Кожне поле заяви про приєднання у сервісі «Особистий кабінет замовника» має містити опис-інструкцію про її заповнення, у тому числі форма введення даних (числовий, текстовий тощо), (розмір та розширення завантажених документів, вимоги до графічних матеріалів, короткий опис рекомендацій щодо інформації, що має бути занесена у рядку, тощо).</w:t>
            </w:r>
          </w:p>
          <w:p w14:paraId="0EECB409" w14:textId="667310C7" w:rsidR="00A1272B" w:rsidRDefault="00A1272B" w:rsidP="00A1272B">
            <w:pPr>
              <w:ind w:firstLine="43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Завершальний</w:t>
            </w:r>
            <w:r w:rsidRPr="00011A6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етап подання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замовником</w:t>
            </w:r>
            <w:r w:rsidRPr="00011A6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заяви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 приєднання через сервіс «Особистий кабінет замовника» має</w:t>
            </w:r>
            <w:r w:rsidRPr="00011A6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містити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алгоритм перевірки правильності та достатності заповнення заяви про приєднання, а також інформування замовника про недоліки при її заповненні з описом зауважень або про успішність процесу її заповнення та подання. </w:t>
            </w:r>
          </w:p>
          <w:p w14:paraId="6C9EF2BB" w14:textId="0BC67EC6" w:rsidR="00A1272B" w:rsidRPr="00011A6E" w:rsidRDefault="00A1272B" w:rsidP="00A1272B">
            <w:pPr>
              <w:ind w:firstLine="43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За наявності недоліків при заповнені заяви про приєднання сервіс «Особистий кабінет замовника» не має завершити етап її </w:t>
            </w:r>
            <w:r w:rsidRPr="00011A6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подання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та інформувати замовника</w:t>
            </w:r>
            <w:r w:rsidRPr="00011A6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лист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ом</w:t>
            </w:r>
            <w:r w:rsidRPr="00011A6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-роз’яснення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м, у тому числі на електронну пошту,</w:t>
            </w:r>
            <w:r w:rsidRPr="00011A6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щодо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недоліків із поясненнями щодо правильності її заповнення</w:t>
            </w:r>
            <w:r w:rsidRPr="00011A6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</w:tc>
      </w:tr>
      <w:tr w:rsidR="00A1272B" w:rsidRPr="003B63C0" w14:paraId="67695D5B" w14:textId="77777777" w:rsidTr="001A7A0E">
        <w:tc>
          <w:tcPr>
            <w:tcW w:w="1056" w:type="dxa"/>
          </w:tcPr>
          <w:p w14:paraId="7AA014A4" w14:textId="77777777" w:rsidR="00A1272B" w:rsidRPr="007F6418" w:rsidRDefault="00A1272B" w:rsidP="00A127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206" w:type="dxa"/>
          </w:tcPr>
          <w:p w14:paraId="6A44D814" w14:textId="77777777" w:rsidR="00A1272B" w:rsidRDefault="00A1272B" w:rsidP="00A1272B">
            <w:pPr>
              <w:ind w:firstLine="63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Положення відсутні</w:t>
            </w:r>
          </w:p>
        </w:tc>
        <w:tc>
          <w:tcPr>
            <w:tcW w:w="6311" w:type="dxa"/>
          </w:tcPr>
          <w:p w14:paraId="38852857" w14:textId="02CF9835" w:rsidR="00A1272B" w:rsidRPr="00011A6E" w:rsidRDefault="00A1272B" w:rsidP="00A1272B">
            <w:pPr>
              <w:ind w:firstLine="43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11A6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4.10.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4.</w:t>
            </w:r>
            <w:r w:rsidRPr="00011A6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ОСР протягом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однієї</w:t>
            </w:r>
            <w:r w:rsidRPr="00011A6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години (поточного робочого дня) має забезпечити інформування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замовника</w:t>
            </w:r>
            <w:r w:rsidRPr="00011A6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в сервісі «Особистий кабінет замовника»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 на електронну пошту про</w:t>
            </w:r>
            <w:r w:rsidRPr="00011A6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успішн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ість</w:t>
            </w:r>
            <w:r w:rsidRPr="00011A6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подачі</w:t>
            </w:r>
            <w:r w:rsidRPr="00011A6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підписаної кваліфікованим цифровим підписом заяви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про приєднання </w:t>
            </w:r>
            <w:r w:rsidRPr="00011A6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з наданням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реєстраційного</w:t>
            </w:r>
            <w:r w:rsidRPr="00011A6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номер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r w:rsidRPr="00011A6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заяви та зазначення обраного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замовником</w:t>
            </w:r>
            <w:r w:rsidRPr="00011A6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каналу отримання інформації про стадії опрацювання заяви та надання послуги.</w:t>
            </w:r>
          </w:p>
        </w:tc>
      </w:tr>
      <w:tr w:rsidR="00A1272B" w:rsidRPr="003B63C0" w14:paraId="3368097E" w14:textId="77777777" w:rsidTr="001A7A0E">
        <w:tc>
          <w:tcPr>
            <w:tcW w:w="1056" w:type="dxa"/>
          </w:tcPr>
          <w:p w14:paraId="502F5E66" w14:textId="77777777" w:rsidR="00A1272B" w:rsidRPr="007F6418" w:rsidRDefault="00A1272B" w:rsidP="00A127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206" w:type="dxa"/>
          </w:tcPr>
          <w:p w14:paraId="44454FF0" w14:textId="77777777" w:rsidR="00A1272B" w:rsidRDefault="00A1272B" w:rsidP="00A1272B">
            <w:pPr>
              <w:ind w:firstLine="63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Положення відсутні</w:t>
            </w:r>
          </w:p>
        </w:tc>
        <w:tc>
          <w:tcPr>
            <w:tcW w:w="6311" w:type="dxa"/>
          </w:tcPr>
          <w:p w14:paraId="6446E624" w14:textId="22D76F4D" w:rsidR="00A1272B" w:rsidRPr="00401B4F" w:rsidRDefault="00A1272B" w:rsidP="00A1272B">
            <w:pPr>
              <w:ind w:firstLine="43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01B4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4.10.5. У разі технічних збоїв у роботі сервісу «Особистий кабінет замовника» ОСР має на головній сторінці власного </w:t>
            </w:r>
            <w:proofErr w:type="spellStart"/>
            <w:r w:rsidRPr="00401B4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вебсайту</w:t>
            </w:r>
            <w:proofErr w:type="spellEnd"/>
            <w:r w:rsidRPr="00401B4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в мережі Інтернет </w:t>
            </w:r>
            <w:r w:rsidRPr="00401B4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розмі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</w:t>
            </w:r>
            <w:r w:rsidRPr="00401B4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тити інформаційне повідомлення із зазначенням інформації:</w:t>
            </w:r>
          </w:p>
          <w:p w14:paraId="54E0EE8D" w14:textId="75F78A71" w:rsidR="00A1272B" w:rsidRPr="00401B4F" w:rsidRDefault="00A1272B" w:rsidP="00A1272B">
            <w:pPr>
              <w:ind w:firstLine="43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01B4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 причини технічного збою;</w:t>
            </w:r>
          </w:p>
          <w:p w14:paraId="7D21E0E8" w14:textId="5D51AF26" w:rsidR="00A1272B" w:rsidRPr="00401B4F" w:rsidRDefault="00A1272B" w:rsidP="00A1272B">
            <w:pPr>
              <w:ind w:firstLine="43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01B4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функції, які не працюють;</w:t>
            </w:r>
          </w:p>
          <w:p w14:paraId="21B92A2F" w14:textId="77E199E1" w:rsidR="00A1272B" w:rsidRPr="00401B4F" w:rsidRDefault="00A1272B" w:rsidP="00A1272B">
            <w:pPr>
              <w:ind w:firstLine="43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01B4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час початку технічного збою;</w:t>
            </w:r>
          </w:p>
          <w:p w14:paraId="1432B1F4" w14:textId="25F1B5E7" w:rsidR="00A1272B" w:rsidRPr="00401B4F" w:rsidRDefault="00A1272B" w:rsidP="00A1272B">
            <w:pPr>
              <w:ind w:firstLine="43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01B4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орієнтовний час відновлення сервісу «Особистий кабінет замовника» у повному обсязі». </w:t>
            </w:r>
          </w:p>
          <w:p w14:paraId="533F0322" w14:textId="67578007" w:rsidR="00A1272B" w:rsidRPr="00401B4F" w:rsidRDefault="00A1272B" w:rsidP="00A1272B">
            <w:pPr>
              <w:ind w:firstLine="43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01B4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Протягом наступного робочого дня ОСР має повідомити Регулятора про технічний збій у роботі сервісу «Особистий кабінет замовника» із наданням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</w:t>
            </w:r>
            <w:r w:rsidRPr="00401B4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німку екрану із інформаційним повідомлення на головній сторінці власного </w:t>
            </w:r>
            <w:proofErr w:type="spellStart"/>
            <w:r w:rsidRPr="00401B4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вебсайту</w:t>
            </w:r>
            <w:proofErr w:type="spellEnd"/>
            <w:r w:rsidRPr="00401B4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в мережі Інтернет, фактичного часу відновлення роботи сервісу та підтвердними документами щодо причин технічного збою. </w:t>
            </w:r>
          </w:p>
        </w:tc>
      </w:tr>
      <w:tr w:rsidR="00A1272B" w:rsidRPr="003B63C0" w14:paraId="2D537EFF" w14:textId="77777777" w:rsidTr="001A7A0E">
        <w:tc>
          <w:tcPr>
            <w:tcW w:w="1056" w:type="dxa"/>
          </w:tcPr>
          <w:p w14:paraId="3940EDF5" w14:textId="77777777" w:rsidR="00A1272B" w:rsidRPr="007F6418" w:rsidRDefault="00A1272B" w:rsidP="00A127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206" w:type="dxa"/>
          </w:tcPr>
          <w:p w14:paraId="0AF598EA" w14:textId="77777777" w:rsidR="00A1272B" w:rsidRDefault="00A1272B" w:rsidP="00A1272B">
            <w:pPr>
              <w:ind w:firstLine="63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Положення відсутні</w:t>
            </w:r>
          </w:p>
        </w:tc>
        <w:tc>
          <w:tcPr>
            <w:tcW w:w="6311" w:type="dxa"/>
          </w:tcPr>
          <w:p w14:paraId="4EC60AAA" w14:textId="77777777" w:rsidR="00A1272B" w:rsidRDefault="00A1272B" w:rsidP="00A1272B">
            <w:pPr>
              <w:ind w:firstLine="43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B4FB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4.10.6. </w:t>
            </w:r>
            <w:proofErr w:type="spellStart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>Підтвердженням</w:t>
            </w:r>
            <w:proofErr w:type="spellEnd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>нефункціонування</w:t>
            </w:r>
            <w:proofErr w:type="spellEnd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>сервісу</w:t>
            </w:r>
            <w:proofErr w:type="spellEnd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>Особистий</w:t>
            </w:r>
            <w:proofErr w:type="spellEnd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>кабінет</w:t>
            </w:r>
            <w:proofErr w:type="spellEnd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>замовника</w:t>
            </w:r>
            <w:proofErr w:type="spellEnd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», </w:t>
            </w:r>
            <w:proofErr w:type="spellStart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>некоректного</w:t>
            </w:r>
            <w:proofErr w:type="spellEnd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>його</w:t>
            </w:r>
            <w:proofErr w:type="spellEnd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>функціонування</w:t>
            </w:r>
            <w:proofErr w:type="spellEnd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>або</w:t>
            </w:r>
            <w:proofErr w:type="spellEnd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>окремих</w:t>
            </w:r>
            <w:proofErr w:type="spellEnd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>його</w:t>
            </w:r>
            <w:proofErr w:type="spellEnd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>функцій</w:t>
            </w:r>
            <w:proofErr w:type="spellEnd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>тощо</w:t>
            </w:r>
            <w:proofErr w:type="spellEnd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у </w:t>
            </w:r>
            <w:proofErr w:type="spellStart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>випадках</w:t>
            </w:r>
            <w:proofErr w:type="spellEnd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>відсутності</w:t>
            </w:r>
            <w:proofErr w:type="spellEnd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>технічних</w:t>
            </w:r>
            <w:proofErr w:type="spellEnd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>збоїв</w:t>
            </w:r>
            <w:proofErr w:type="spellEnd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 </w:t>
            </w:r>
            <w:proofErr w:type="spellStart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>його</w:t>
            </w:r>
            <w:proofErr w:type="spellEnd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>роботі</w:t>
            </w:r>
            <w:proofErr w:type="spellEnd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>може</w:t>
            </w:r>
            <w:proofErr w:type="spellEnd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>бути</w:t>
            </w:r>
            <w:proofErr w:type="spellEnd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>відповідний</w:t>
            </w:r>
            <w:proofErr w:type="spellEnd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>відеофайл</w:t>
            </w:r>
            <w:proofErr w:type="spellEnd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>або</w:t>
            </w:r>
            <w:proofErr w:type="spellEnd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>знімок</w:t>
            </w:r>
            <w:proofErr w:type="spellEnd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 </w:t>
            </w:r>
            <w:proofErr w:type="spellStart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>екрану</w:t>
            </w:r>
            <w:proofErr w:type="spellEnd"/>
            <w:r w:rsidRPr="006B4FB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6519E42D" w14:textId="1C7722DB" w:rsidR="00A1272B" w:rsidRPr="00DD7FBC" w:rsidRDefault="00A1272B" w:rsidP="00A1272B">
            <w:pPr>
              <w:ind w:firstLine="43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A1272B" w:rsidRPr="003B63C0" w14:paraId="1C084647" w14:textId="77777777" w:rsidTr="00B74703">
        <w:tc>
          <w:tcPr>
            <w:tcW w:w="13573" w:type="dxa"/>
            <w:gridSpan w:val="3"/>
          </w:tcPr>
          <w:p w14:paraId="6F647EEC" w14:textId="77777777" w:rsidR="00A1272B" w:rsidRDefault="00A1272B" w:rsidP="00A1272B">
            <w:pPr>
              <w:ind w:firstLine="4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29D6500A" w14:textId="6DFE2232" w:rsidR="001A7A0E" w:rsidRDefault="00A1272B" w:rsidP="001A7A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7F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Додаток 2</w:t>
            </w:r>
          </w:p>
          <w:p w14:paraId="340E22DB" w14:textId="4972D778" w:rsidR="00A1272B" w:rsidRDefault="00A1272B" w:rsidP="001A7A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7F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до Кодексу систем розподілу</w:t>
            </w:r>
          </w:p>
          <w:p w14:paraId="253D3EDE" w14:textId="77777777" w:rsidR="00A1272B" w:rsidRDefault="009D565F" w:rsidP="00D672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hyperlink r:id="rId7" w:tgtFrame="_blank" w:history="1">
              <w:r w:rsidR="001A7A0E" w:rsidRPr="001A7A0E">
                <w:rPr>
                  <w:rStyle w:val="a7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u w:val="none"/>
                  <w:lang w:val="uk-UA"/>
                </w:rPr>
                <w:t>Типовий договір</w:t>
              </w:r>
              <w:r w:rsidR="001A7A0E" w:rsidRPr="001A7A0E">
                <w:rPr>
                  <w:rStyle w:val="a7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u w:val="none"/>
                  <w:lang w:val="uk-UA"/>
                </w:rPr>
                <w:br/>
                <w:t xml:space="preserve">про нестандартне приєднання до електричних мереж системи розподілу з </w:t>
              </w:r>
              <w:proofErr w:type="spellStart"/>
              <w:r w:rsidR="001A7A0E" w:rsidRPr="001A7A0E">
                <w:rPr>
                  <w:rStyle w:val="a7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u w:val="none"/>
                  <w:lang w:val="uk-UA"/>
                </w:rPr>
                <w:t>проєктуванням</w:t>
              </w:r>
              <w:proofErr w:type="spellEnd"/>
              <w:r w:rsidR="001A7A0E" w:rsidRPr="001A7A0E">
                <w:rPr>
                  <w:rStyle w:val="a7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u w:val="none"/>
                  <w:lang w:val="uk-UA"/>
                </w:rPr>
                <w:t xml:space="preserve"> лінійної частини приєднання замовником</w:t>
              </w:r>
            </w:hyperlink>
          </w:p>
          <w:p w14:paraId="5DEE5A3A" w14:textId="1DFAF257" w:rsidR="00D67236" w:rsidRPr="00DD7FBC" w:rsidRDefault="00D67236" w:rsidP="00D672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D67236" w:rsidRPr="003B63C0" w14:paraId="1387C536" w14:textId="77777777" w:rsidTr="00B74703">
        <w:tc>
          <w:tcPr>
            <w:tcW w:w="13573" w:type="dxa"/>
            <w:gridSpan w:val="3"/>
          </w:tcPr>
          <w:p w14:paraId="3E5B534D" w14:textId="77777777" w:rsidR="00D67236" w:rsidRDefault="00D67236" w:rsidP="00D672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14:paraId="2E6CA3F3" w14:textId="0075B2DC" w:rsidR="00D67236" w:rsidRPr="00D67236" w:rsidRDefault="009D565F" w:rsidP="00D672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hyperlink r:id="rId8" w:tgtFrame="_blank" w:history="1">
              <w:r w:rsidR="00D67236" w:rsidRPr="00D67236">
                <w:rPr>
                  <w:rStyle w:val="a7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u w:val="none"/>
                  <w:lang w:val="uk-UA"/>
                </w:rPr>
                <w:t>4. Плата за приєднання та порядок розрахунків</w:t>
              </w:r>
            </w:hyperlink>
          </w:p>
          <w:p w14:paraId="7BC018E3" w14:textId="77777777" w:rsidR="00D67236" w:rsidRDefault="00D67236" w:rsidP="00A1272B">
            <w:pPr>
              <w:ind w:firstLine="4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A1272B" w:rsidRPr="003B63C0" w14:paraId="60F78240" w14:textId="77777777" w:rsidTr="001A7A0E">
        <w:tc>
          <w:tcPr>
            <w:tcW w:w="1056" w:type="dxa"/>
          </w:tcPr>
          <w:p w14:paraId="374B86A7" w14:textId="105A1D47" w:rsidR="00A1272B" w:rsidRPr="007F6418" w:rsidRDefault="001A7A0E" w:rsidP="00A127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7A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4.1.</w:t>
            </w:r>
          </w:p>
        </w:tc>
        <w:tc>
          <w:tcPr>
            <w:tcW w:w="6206" w:type="dxa"/>
          </w:tcPr>
          <w:p w14:paraId="01DC7C44" w14:textId="10262C93" w:rsidR="00A1272B" w:rsidRPr="0062308E" w:rsidRDefault="009D565F" w:rsidP="00A1272B">
            <w:pPr>
              <w:ind w:firstLine="63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9" w:tgtFrame="_blank" w:history="1">
              <w:r w:rsidR="00A1272B" w:rsidRPr="0062308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t xml:space="preserve"> Замовник сплачує попередню оплату за приєднання на поточний рахунок Виконавця в такому порядку:</w:t>
              </w:r>
            </w:hyperlink>
          </w:p>
          <w:p w14:paraId="0297F4F9" w14:textId="77777777" w:rsidR="00A1272B" w:rsidRPr="0062308E" w:rsidRDefault="009D565F" w:rsidP="00A1272B">
            <w:pPr>
              <w:ind w:firstLine="63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0" w:tgtFrame="_blank" w:history="1">
              <w:r w:rsidR="00A1272B" w:rsidRPr="0062308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t xml:space="preserve">оплата в розмірі 50 відсотків від визначеної складової плати за приєднання потужності упродовж 20 </w:t>
              </w:r>
              <w:r w:rsidR="00A1272B" w:rsidRPr="0062308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lastRenderedPageBreak/>
                <w:t>робочих днів починаючи з наступного робочого дня від дати отримання технічних умов, розрахунку вартості плати за приєднання до електричних мереж та рахунку на сплату плати за приєднання;</w:t>
              </w:r>
            </w:hyperlink>
          </w:p>
          <w:p w14:paraId="1A9DA49F" w14:textId="77777777" w:rsidR="00A1272B" w:rsidRPr="0062308E" w:rsidRDefault="009D565F" w:rsidP="00A1272B">
            <w:pPr>
              <w:ind w:firstLine="63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1" w:tgtFrame="_blank" w:history="1">
              <w:r w:rsidR="00A1272B" w:rsidRPr="0062308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t xml:space="preserve">оплата в розмірі 40 відсотків від складової плати за приєднання потужності та оплата 90 відсотків від визначеної вартості лінійної частини приєднання упродовж 5 робочих днів починаючи з наступного робочого дня від дати узгодження з усіма заінтересованими сторонами розробленої Виконавцем послуг </w:t>
              </w:r>
              <w:proofErr w:type="spellStart"/>
              <w:r w:rsidR="00A1272B" w:rsidRPr="0062308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t>проєктної</w:t>
              </w:r>
              <w:proofErr w:type="spellEnd"/>
              <w:r w:rsidR="00A1272B" w:rsidRPr="0062308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t xml:space="preserve"> документації;</w:t>
              </w:r>
            </w:hyperlink>
          </w:p>
          <w:p w14:paraId="2CC13238" w14:textId="77777777" w:rsidR="00A1272B" w:rsidRPr="0062308E" w:rsidRDefault="009D565F" w:rsidP="00A1272B">
            <w:pPr>
              <w:ind w:firstLine="63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2" w:tgtFrame="_blank" w:history="1">
              <w:r w:rsidR="00A1272B" w:rsidRPr="0062308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t>остаточний розрахунок плати упродовж 5 робочих днів починаючи з наступного робочого дня після надання послуги з приєднання, що підтверджується повідомленням про надання послуги з приєднання.</w:t>
              </w:r>
            </w:hyperlink>
          </w:p>
          <w:p w14:paraId="67798404" w14:textId="77777777" w:rsidR="00A1272B" w:rsidRDefault="00A1272B" w:rsidP="00A1272B">
            <w:pPr>
              <w:ind w:firstLine="63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11" w:type="dxa"/>
          </w:tcPr>
          <w:p w14:paraId="640681B7" w14:textId="6C21F698" w:rsidR="00A1272B" w:rsidRPr="0062308E" w:rsidRDefault="009D565F" w:rsidP="00A1272B">
            <w:pPr>
              <w:ind w:firstLine="63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3" w:tgtFrame="_blank" w:history="1">
              <w:r w:rsidR="00A1272B" w:rsidRPr="0062308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t>Замовник сплачує попередню оплату за приєднання на поточний рахунок Виконавця в такому порядку:</w:t>
              </w:r>
            </w:hyperlink>
          </w:p>
          <w:p w14:paraId="30D7881D" w14:textId="77777777" w:rsidR="00A1272B" w:rsidRPr="0062308E" w:rsidRDefault="00A1272B" w:rsidP="00A1272B">
            <w:pPr>
              <w:tabs>
                <w:tab w:val="left" w:pos="1134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08E">
              <w:rPr>
                <w:rFonts w:ascii="Times New Roman" w:hAnsi="Times New Roman" w:cs="Times New Roman"/>
                <w:bCs/>
                <w:sz w:val="24"/>
                <w:szCs w:val="24"/>
              </w:rPr>
              <w:t>оплата</w:t>
            </w:r>
            <w:proofErr w:type="spellEnd"/>
            <w:r w:rsidRPr="006230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розмірі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відсотків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складової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плати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приєднання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потужності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визначеної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розрахунку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вартості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плати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приєднання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електричних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мереж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Замовник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оплачує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поточний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рахунок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ОСР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цей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рахунок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упродовж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20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робочих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днів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дня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днем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отримання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технічних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умов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розрахунку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вартості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плати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приєднання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електричних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мереж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рахунку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сплату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плати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приєднання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14:paraId="19B46D1B" w14:textId="2EC94C4C" w:rsidR="00A1272B" w:rsidRPr="00D67236" w:rsidRDefault="00A1272B" w:rsidP="00A1272B">
            <w:pPr>
              <w:ind w:firstLine="4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оплата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розмірі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відсотків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складової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плати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приєднання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потужності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90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відсотків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вартості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лінійної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частини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приєднання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визначених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розрахунку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вартості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плати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приєднання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електричних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мереж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ОСР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видає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Замовнику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рахунок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упродовж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робочих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днів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дня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днем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узгодження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усіма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заінтересованими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сторонами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розробленої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проєктної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Замовник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оплачує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поточний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рахунок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ОСР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цей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рахунок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упродовж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робочих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днів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дня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наступного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днем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його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отримання</w:t>
            </w:r>
            <w:proofErr w:type="spellEnd"/>
            <w:r w:rsidR="00D672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 w:rsidR="00D67236" w:rsidRPr="007C6D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ОСР </w:t>
            </w:r>
            <w:proofErr w:type="spellStart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також</w:t>
            </w:r>
            <w:proofErr w:type="spellEnd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актуалізує</w:t>
            </w:r>
            <w:proofErr w:type="spellEnd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розрахунок</w:t>
            </w:r>
            <w:proofErr w:type="spellEnd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вартості</w:t>
            </w:r>
            <w:proofErr w:type="spellEnd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плати</w:t>
            </w:r>
            <w:proofErr w:type="spellEnd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</w:t>
            </w:r>
            <w:proofErr w:type="spellEnd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приєднання</w:t>
            </w:r>
            <w:proofErr w:type="spellEnd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</w:t>
            </w:r>
            <w:proofErr w:type="spellEnd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електричних</w:t>
            </w:r>
            <w:proofErr w:type="spellEnd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мереж</w:t>
            </w:r>
            <w:proofErr w:type="spellEnd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</w:t>
            </w:r>
            <w:proofErr w:type="spellEnd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видає</w:t>
            </w:r>
            <w:proofErr w:type="spellEnd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рахунок</w:t>
            </w:r>
            <w:proofErr w:type="spellEnd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</w:t>
            </w:r>
            <w:proofErr w:type="spellEnd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сплату</w:t>
            </w:r>
            <w:proofErr w:type="spellEnd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плати</w:t>
            </w:r>
            <w:proofErr w:type="spellEnd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</w:t>
            </w:r>
            <w:proofErr w:type="spellEnd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приєднання</w:t>
            </w:r>
            <w:proofErr w:type="spellEnd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відповідно</w:t>
            </w:r>
            <w:proofErr w:type="spellEnd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</w:t>
            </w:r>
            <w:proofErr w:type="spellEnd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чинних</w:t>
            </w:r>
            <w:proofErr w:type="spellEnd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</w:t>
            </w:r>
            <w:proofErr w:type="spellEnd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дату</w:t>
            </w:r>
            <w:proofErr w:type="spellEnd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видачі</w:t>
            </w:r>
            <w:proofErr w:type="spellEnd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рахунку</w:t>
            </w:r>
            <w:proofErr w:type="spellEnd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зазначеного</w:t>
            </w:r>
            <w:proofErr w:type="spellEnd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</w:t>
            </w:r>
            <w:proofErr w:type="spellStart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цьому</w:t>
            </w:r>
            <w:proofErr w:type="spellEnd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абзаці</w:t>
            </w:r>
            <w:proofErr w:type="spellEnd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ставок</w:t>
            </w:r>
            <w:proofErr w:type="spellEnd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плати</w:t>
            </w:r>
            <w:proofErr w:type="spellEnd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</w:t>
            </w:r>
            <w:proofErr w:type="spellEnd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приєднання</w:t>
            </w:r>
            <w:proofErr w:type="spellEnd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потужності</w:t>
            </w:r>
            <w:proofErr w:type="spellEnd"/>
            <w:r w:rsidR="00D67236" w:rsidRPr="00D67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;</w:t>
            </w:r>
            <w:proofErr w:type="gramEnd"/>
          </w:p>
          <w:p w14:paraId="3BCA7501" w14:textId="2BA10451" w:rsidR="00A1272B" w:rsidRPr="0062308E" w:rsidRDefault="009D565F" w:rsidP="00A1272B">
            <w:pPr>
              <w:ind w:firstLine="63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4" w:tgtFrame="_blank" w:history="1">
              <w:r w:rsidR="00A1272B" w:rsidRPr="0062308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t>остаточний розрахунок плати упродовж 5 робочих днів починаючи з наступного робочого дня після надання послуги з приєднання, що підтверджується повідомленням про надання послуги з приєднання.</w:t>
              </w:r>
            </w:hyperlink>
          </w:p>
        </w:tc>
      </w:tr>
      <w:tr w:rsidR="00D67236" w:rsidRPr="003B63C0" w14:paraId="5308F465" w14:textId="77777777" w:rsidTr="00814ACA">
        <w:tc>
          <w:tcPr>
            <w:tcW w:w="13573" w:type="dxa"/>
            <w:gridSpan w:val="3"/>
          </w:tcPr>
          <w:p w14:paraId="2F37E501" w14:textId="77777777" w:rsidR="00D67236" w:rsidRDefault="00D67236" w:rsidP="00D672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3DE6ABD0" w14:textId="5F7F3C44" w:rsidR="00D67236" w:rsidRDefault="00D67236" w:rsidP="00D672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7F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Додаток 2</w:t>
            </w:r>
          </w:p>
          <w:p w14:paraId="4813CD9E" w14:textId="77777777" w:rsidR="00D67236" w:rsidRDefault="00D67236" w:rsidP="00D672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7FB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до Кодексу систем розподілу</w:t>
            </w:r>
          </w:p>
          <w:p w14:paraId="06A0BE92" w14:textId="77777777" w:rsidR="00D67236" w:rsidRDefault="009D565F" w:rsidP="00D672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hyperlink r:id="rId15" w:tgtFrame="_blank" w:history="1">
              <w:r w:rsidR="00D67236" w:rsidRPr="00D67236">
                <w:rPr>
                  <w:rStyle w:val="a7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u w:val="none"/>
                  <w:lang w:val="uk-UA"/>
                </w:rPr>
                <w:t>Типовий договір</w:t>
              </w:r>
              <w:r w:rsidR="00D67236" w:rsidRPr="00D67236">
                <w:rPr>
                  <w:rStyle w:val="a7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u w:val="none"/>
                  <w:lang w:val="uk-UA"/>
                </w:rPr>
                <w:br/>
              </w:r>
              <w:hyperlink r:id="rId16" w:tgtFrame="_blank" w:history="1">
                <w:r w:rsidR="00D67236" w:rsidRPr="00D67236">
                  <w:rPr>
                    <w:rStyle w:val="a7"/>
                    <w:rFonts w:ascii="Times New Roman" w:hAnsi="Times New Roman" w:cs="Times New Roman"/>
                    <w:b/>
                    <w:bCs/>
                    <w:color w:val="auto"/>
                    <w:sz w:val="24"/>
                    <w:szCs w:val="24"/>
                    <w:u w:val="none"/>
                    <w:lang w:val="uk-UA"/>
                  </w:rPr>
                  <w:t>про нестандартне приєднання до електричних мереж системи розподілу "під ключ"</w:t>
                </w:r>
              </w:hyperlink>
            </w:hyperlink>
          </w:p>
          <w:p w14:paraId="7FC566E2" w14:textId="5EFD5E7C" w:rsidR="00D67236" w:rsidRPr="00D67236" w:rsidRDefault="00D67236" w:rsidP="00D672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D67236" w:rsidRPr="003B63C0" w14:paraId="6D61258E" w14:textId="77777777" w:rsidTr="00814ACA">
        <w:tc>
          <w:tcPr>
            <w:tcW w:w="13573" w:type="dxa"/>
            <w:gridSpan w:val="3"/>
          </w:tcPr>
          <w:p w14:paraId="066C8322" w14:textId="77777777" w:rsidR="00D67236" w:rsidRDefault="00D67236" w:rsidP="00D672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14:paraId="77D12DCA" w14:textId="5EBCA756" w:rsidR="00D67236" w:rsidRPr="00D67236" w:rsidRDefault="009D565F" w:rsidP="00D672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hyperlink r:id="rId17" w:tgtFrame="_blank" w:history="1">
              <w:r w:rsidR="00D67236" w:rsidRPr="00D67236">
                <w:rPr>
                  <w:rStyle w:val="a7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u w:val="none"/>
                  <w:lang w:val="uk-UA"/>
                </w:rPr>
                <w:t>4. Плата за приєднання та порядок розрахунків</w:t>
              </w:r>
            </w:hyperlink>
          </w:p>
          <w:p w14:paraId="02AE2229" w14:textId="77777777" w:rsidR="00D67236" w:rsidRPr="00DD7FBC" w:rsidRDefault="00D67236" w:rsidP="00D672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D67236" w:rsidRPr="003B63C0" w14:paraId="3895A5DC" w14:textId="77777777" w:rsidTr="001A7A0E">
        <w:tc>
          <w:tcPr>
            <w:tcW w:w="1056" w:type="dxa"/>
          </w:tcPr>
          <w:p w14:paraId="5197C882" w14:textId="69048C09" w:rsidR="00D67236" w:rsidRPr="001A7A0E" w:rsidRDefault="00D67236" w:rsidP="00A127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67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4.1.</w:t>
            </w:r>
          </w:p>
        </w:tc>
        <w:tc>
          <w:tcPr>
            <w:tcW w:w="6206" w:type="dxa"/>
          </w:tcPr>
          <w:p w14:paraId="1134380F" w14:textId="7502A837" w:rsidR="00D67236" w:rsidRPr="00D67236" w:rsidRDefault="009D565F" w:rsidP="00D67236">
            <w:pPr>
              <w:ind w:firstLine="63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8" w:tgtFrame="_blank" w:history="1">
              <w:r w:rsidR="00D67236" w:rsidRPr="00D6723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t xml:space="preserve"> Замовник сплачує попередню оплату за приєднання на поточний рахунок Виконавця в такому порядку:</w:t>
              </w:r>
            </w:hyperlink>
          </w:p>
          <w:p w14:paraId="1B575185" w14:textId="77777777" w:rsidR="00D67236" w:rsidRPr="00D67236" w:rsidRDefault="009D565F" w:rsidP="00D67236">
            <w:pPr>
              <w:ind w:firstLine="63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9" w:tgtFrame="_blank" w:history="1">
              <w:r w:rsidR="00D67236" w:rsidRPr="00D6723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t>оплата в розмірі 50 відсотків від визначеної складової плати за приєднання потужності упродовж 20 робочих днів починаючи з наступного робочого дня від дати отримання технічних умов, розрахунку вартості плати за приєднання до електричних мереж та рахунку на сплату плати за приєднання;</w:t>
              </w:r>
            </w:hyperlink>
          </w:p>
          <w:p w14:paraId="7FDF2C63" w14:textId="77777777" w:rsidR="00D67236" w:rsidRPr="00D67236" w:rsidRDefault="009D565F" w:rsidP="00D67236">
            <w:pPr>
              <w:ind w:firstLine="63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0" w:tgtFrame="_blank" w:history="1">
              <w:r w:rsidR="00D67236" w:rsidRPr="00D6723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t xml:space="preserve">оплата в розмірі 40 відсотків від складової плати за приєднання потужності та оплата 90 відсотків від визначеної вартості лінійної частини приєднання упродовж 5 робочих днів починаючи з наступного робочого дня від дати узгодження з усіма заінтересованими сторонами розробленої Виконавцем послуг </w:t>
              </w:r>
              <w:proofErr w:type="spellStart"/>
              <w:r w:rsidR="00D67236" w:rsidRPr="00D6723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t>проєктної</w:t>
              </w:r>
              <w:proofErr w:type="spellEnd"/>
              <w:r w:rsidR="00D67236" w:rsidRPr="00D6723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t xml:space="preserve"> документації;</w:t>
              </w:r>
            </w:hyperlink>
          </w:p>
          <w:p w14:paraId="2FB6C056" w14:textId="77777777" w:rsidR="00D67236" w:rsidRPr="00D67236" w:rsidRDefault="009D565F" w:rsidP="00D67236">
            <w:pPr>
              <w:ind w:firstLine="63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1" w:tgtFrame="_blank" w:history="1">
              <w:r w:rsidR="00D67236" w:rsidRPr="00D6723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t>остаточний розрахунок плати упродовж 5 робочих днів починаючи з наступного робочого дня після надання послуги з приєднання, що підтверджується повідомленням про надання послуги з приєднання.</w:t>
              </w:r>
            </w:hyperlink>
          </w:p>
          <w:p w14:paraId="46F3F25A" w14:textId="77777777" w:rsidR="00D67236" w:rsidRDefault="00D67236" w:rsidP="00A1272B">
            <w:pPr>
              <w:ind w:firstLine="630"/>
              <w:jc w:val="both"/>
            </w:pPr>
          </w:p>
        </w:tc>
        <w:tc>
          <w:tcPr>
            <w:tcW w:w="6311" w:type="dxa"/>
          </w:tcPr>
          <w:p w14:paraId="1AC45422" w14:textId="77777777" w:rsidR="00D67236" w:rsidRPr="0062308E" w:rsidRDefault="009D565F" w:rsidP="00D67236">
            <w:pPr>
              <w:ind w:firstLine="63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22" w:tgtFrame="_blank" w:history="1">
              <w:r w:rsidR="00D67236" w:rsidRPr="0062308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t>Замовник сплачує попередню оплату за приєднання на поточний рахунок Виконавця в такому порядку:</w:t>
              </w:r>
            </w:hyperlink>
          </w:p>
          <w:p w14:paraId="78DC4FE6" w14:textId="77777777" w:rsidR="00D67236" w:rsidRPr="0062308E" w:rsidRDefault="00D67236" w:rsidP="00D67236">
            <w:pPr>
              <w:tabs>
                <w:tab w:val="left" w:pos="1134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08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оплата</w:t>
            </w:r>
            <w:proofErr w:type="spellEnd"/>
            <w:r w:rsidRPr="006230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розмірі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відсотків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складової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плати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приєднання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потужності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визначеної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розрахунку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вартості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плати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приєднання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електричних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мереж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Замовник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оплачує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поточний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рахунок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ОСР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цей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рахунок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упродовж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20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робочих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днів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дня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днем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отримання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технічних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умов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розрахунку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вартості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плати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приєднання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електричних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мереж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рахунку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сплату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плати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приєднання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14:paraId="36F2298F" w14:textId="638D17A4" w:rsidR="00D67236" w:rsidRPr="00D67236" w:rsidRDefault="00D67236" w:rsidP="00D67236">
            <w:pPr>
              <w:ind w:firstLine="4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оплата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розмірі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відсотків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складової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плати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приєднання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потужності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90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відсотків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вартості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лінійної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частини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приєднання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визначених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розрахунку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вартості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плати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приєднання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електричних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мереж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ОСР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видає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Замовнику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рахунок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упродовж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робочих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днів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дня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днем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узгодження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усіма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заінтересованими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сторонами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розробленої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проєктної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62308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Замовник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оплачує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поточний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рахунок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ОСР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цей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рахунок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упродовж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робочих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днів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дня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наступного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днем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його</w:t>
            </w:r>
            <w:proofErr w:type="spellEnd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30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отримання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;</w:t>
            </w:r>
            <w:proofErr w:type="gramEnd"/>
          </w:p>
          <w:p w14:paraId="17A53958" w14:textId="0331284C" w:rsidR="00D67236" w:rsidRDefault="009D565F" w:rsidP="00D67236">
            <w:pPr>
              <w:ind w:firstLine="630"/>
              <w:jc w:val="both"/>
            </w:pPr>
            <w:hyperlink r:id="rId23" w:tgtFrame="_blank" w:history="1">
              <w:r w:rsidR="00D67236" w:rsidRPr="0062308E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t>остаточний розрахунок плати упродовж 5 робочих днів починаючи з наступного робочого дня після надання послуги з приєднання, що підтверджується повідомленням про надання послуги з приєднання.</w:t>
              </w:r>
            </w:hyperlink>
          </w:p>
        </w:tc>
      </w:tr>
    </w:tbl>
    <w:p w14:paraId="773BBEA5" w14:textId="77777777" w:rsidR="00701BD2" w:rsidRPr="00AB1BAA" w:rsidRDefault="00701BD2" w:rsidP="00701BD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01BD2" w:rsidRPr="00AB1BAA" w:rsidSect="007E32ED">
      <w:headerReference w:type="even" r:id="rId24"/>
      <w:headerReference w:type="default" r:id="rId25"/>
      <w:headerReference w:type="first" r:id="rId26"/>
      <w:pgSz w:w="15840" w:h="12240" w:orient="landscape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3275E2" w14:textId="77777777" w:rsidR="00F939A4" w:rsidRDefault="00F939A4" w:rsidP="00AB1BAA">
      <w:pPr>
        <w:spacing w:after="0" w:line="240" w:lineRule="auto"/>
      </w:pPr>
      <w:r>
        <w:separator/>
      </w:r>
    </w:p>
  </w:endnote>
  <w:endnote w:type="continuationSeparator" w:id="0">
    <w:p w14:paraId="6121EBF3" w14:textId="77777777" w:rsidR="00F939A4" w:rsidRDefault="00F939A4" w:rsidP="00AB1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62AD56" w14:textId="77777777" w:rsidR="00F939A4" w:rsidRDefault="00F939A4" w:rsidP="00AB1BAA">
      <w:pPr>
        <w:spacing w:after="0" w:line="240" w:lineRule="auto"/>
      </w:pPr>
      <w:r>
        <w:separator/>
      </w:r>
    </w:p>
  </w:footnote>
  <w:footnote w:type="continuationSeparator" w:id="0">
    <w:p w14:paraId="1E3AB15E" w14:textId="77777777" w:rsidR="00F939A4" w:rsidRDefault="00F939A4" w:rsidP="00AB1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362E6" w14:textId="6F41DDDC" w:rsidR="00AB1BAA" w:rsidRDefault="00AB1BAA">
    <w:pPr>
      <w:pStyle w:val="a8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CE9343C" wp14:editId="297C6062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4445"/>
              <wp:wrapNone/>
              <wp:docPr id="2" name="Поле 2" descr="Конфіденційно/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FD083D" w14:textId="0731F690" w:rsidR="00AB1BAA" w:rsidRPr="00AB1BAA" w:rsidRDefault="00AB1BAA" w:rsidP="00AB1BA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B1BA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Конфіденційно/Confidential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E9343C"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alt="Конфіденційно/Confidential" style="position:absolute;margin-left:-16.25pt;margin-top:0;width:34.95pt;height:34.9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75FD083D" w14:textId="0731F690" w:rsidR="00AB1BAA" w:rsidRPr="00AB1BAA" w:rsidRDefault="00AB1BAA" w:rsidP="00AB1BA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B1BAA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Конфіденційно/Confidential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30395" w14:textId="0CB48B7D" w:rsidR="00AB1BAA" w:rsidRDefault="00AB1BAA">
    <w:pPr>
      <w:pStyle w:val="a8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557FB87" wp14:editId="66CB9D0F">
              <wp:simplePos x="914400" y="451338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4445"/>
              <wp:wrapNone/>
              <wp:docPr id="3" name="Поле 3" descr="Конфіденційно/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183DF0" w14:textId="310F9B4A" w:rsidR="00AB1BAA" w:rsidRPr="00AB1BAA" w:rsidRDefault="00AB1BAA" w:rsidP="00AB1BA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57FB87"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7" type="#_x0000_t202" alt="Конфіденційно/Confidential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31183DF0" w14:textId="310F9B4A" w:rsidR="00AB1BAA" w:rsidRPr="00AB1BAA" w:rsidRDefault="00AB1BAA" w:rsidP="00AB1BA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4C1C5" w14:textId="3735C22C" w:rsidR="00AB1BAA" w:rsidRDefault="00AB1BAA">
    <w:pPr>
      <w:pStyle w:val="a8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466F019" wp14:editId="116A1EBC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4445"/>
              <wp:wrapNone/>
              <wp:docPr id="1" name="Поле 1" descr="Конфіденційно/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538A47" w14:textId="66ECAEFE" w:rsidR="00AB1BAA" w:rsidRPr="00AB1BAA" w:rsidRDefault="00AB1BAA" w:rsidP="00AB1BA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B1BA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Конфіденційно/Confidential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66F019"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8" type="#_x0000_t202" alt="Конфіденційно/Confidential" style="position:absolute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73538A47" w14:textId="66ECAEFE" w:rsidR="00AB1BAA" w:rsidRPr="00AB1BAA" w:rsidRDefault="00AB1BAA" w:rsidP="00AB1BA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B1BAA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Конфіденційно/Confidential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54108"/>
    <w:multiLevelType w:val="hybridMultilevel"/>
    <w:tmpl w:val="E576A34A"/>
    <w:lvl w:ilvl="0" w:tplc="3CEC830C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num w:numId="1" w16cid:durableId="1354112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13A"/>
    <w:rsid w:val="000017C6"/>
    <w:rsid w:val="00010BEF"/>
    <w:rsid w:val="00011A6E"/>
    <w:rsid w:val="0002243E"/>
    <w:rsid w:val="00034E70"/>
    <w:rsid w:val="00035F14"/>
    <w:rsid w:val="000463DC"/>
    <w:rsid w:val="0006108E"/>
    <w:rsid w:val="00063CA3"/>
    <w:rsid w:val="00074743"/>
    <w:rsid w:val="0007692B"/>
    <w:rsid w:val="00086131"/>
    <w:rsid w:val="00097FA0"/>
    <w:rsid w:val="000B4C28"/>
    <w:rsid w:val="000D311F"/>
    <w:rsid w:val="000D459C"/>
    <w:rsid w:val="000D5FEC"/>
    <w:rsid w:val="001230DF"/>
    <w:rsid w:val="00141879"/>
    <w:rsid w:val="0014296B"/>
    <w:rsid w:val="001733AB"/>
    <w:rsid w:val="00174802"/>
    <w:rsid w:val="00185BF4"/>
    <w:rsid w:val="0019062C"/>
    <w:rsid w:val="001A7A0E"/>
    <w:rsid w:val="001D216B"/>
    <w:rsid w:val="001D7A8F"/>
    <w:rsid w:val="001E79A4"/>
    <w:rsid w:val="001F315D"/>
    <w:rsid w:val="002003E2"/>
    <w:rsid w:val="00226D65"/>
    <w:rsid w:val="0023113D"/>
    <w:rsid w:val="0024226A"/>
    <w:rsid w:val="002464E2"/>
    <w:rsid w:val="0025032C"/>
    <w:rsid w:val="00272B6F"/>
    <w:rsid w:val="00275E7A"/>
    <w:rsid w:val="002B3D80"/>
    <w:rsid w:val="002C03ED"/>
    <w:rsid w:val="002C176D"/>
    <w:rsid w:val="002D2DE0"/>
    <w:rsid w:val="002E1119"/>
    <w:rsid w:val="002F2EB0"/>
    <w:rsid w:val="002F2FB0"/>
    <w:rsid w:val="00310450"/>
    <w:rsid w:val="00311258"/>
    <w:rsid w:val="00342FE5"/>
    <w:rsid w:val="003506C2"/>
    <w:rsid w:val="00354908"/>
    <w:rsid w:val="003662A7"/>
    <w:rsid w:val="00377B7A"/>
    <w:rsid w:val="00387C81"/>
    <w:rsid w:val="00394E94"/>
    <w:rsid w:val="003A2C1F"/>
    <w:rsid w:val="003A4CF5"/>
    <w:rsid w:val="003B63C0"/>
    <w:rsid w:val="003B66D0"/>
    <w:rsid w:val="003B6ED8"/>
    <w:rsid w:val="003D1F5D"/>
    <w:rsid w:val="003D5FEC"/>
    <w:rsid w:val="003E3A8F"/>
    <w:rsid w:val="003F0133"/>
    <w:rsid w:val="00401B4F"/>
    <w:rsid w:val="00443495"/>
    <w:rsid w:val="0044358D"/>
    <w:rsid w:val="0044699D"/>
    <w:rsid w:val="00453385"/>
    <w:rsid w:val="00453E38"/>
    <w:rsid w:val="00455C05"/>
    <w:rsid w:val="004770D5"/>
    <w:rsid w:val="004830CB"/>
    <w:rsid w:val="0049112A"/>
    <w:rsid w:val="0049244F"/>
    <w:rsid w:val="00494E92"/>
    <w:rsid w:val="004B3BF7"/>
    <w:rsid w:val="004E1C12"/>
    <w:rsid w:val="004E474B"/>
    <w:rsid w:val="004E76B6"/>
    <w:rsid w:val="005036A4"/>
    <w:rsid w:val="00515D66"/>
    <w:rsid w:val="00520B07"/>
    <w:rsid w:val="00521742"/>
    <w:rsid w:val="00563B7C"/>
    <w:rsid w:val="005A1567"/>
    <w:rsid w:val="005A34C5"/>
    <w:rsid w:val="005A365D"/>
    <w:rsid w:val="005B6E59"/>
    <w:rsid w:val="005C2549"/>
    <w:rsid w:val="005E22F4"/>
    <w:rsid w:val="005F26E5"/>
    <w:rsid w:val="00600A93"/>
    <w:rsid w:val="0062308E"/>
    <w:rsid w:val="006245BF"/>
    <w:rsid w:val="00626CE4"/>
    <w:rsid w:val="006306B1"/>
    <w:rsid w:val="00635CAF"/>
    <w:rsid w:val="00636E19"/>
    <w:rsid w:val="00650AFB"/>
    <w:rsid w:val="0067421D"/>
    <w:rsid w:val="00683C7F"/>
    <w:rsid w:val="0068423A"/>
    <w:rsid w:val="00693019"/>
    <w:rsid w:val="006959B9"/>
    <w:rsid w:val="006B0BD6"/>
    <w:rsid w:val="006B4FB8"/>
    <w:rsid w:val="006B699B"/>
    <w:rsid w:val="006C4347"/>
    <w:rsid w:val="006C6E90"/>
    <w:rsid w:val="007003F4"/>
    <w:rsid w:val="00701BD2"/>
    <w:rsid w:val="00716D59"/>
    <w:rsid w:val="00725C92"/>
    <w:rsid w:val="00734EDF"/>
    <w:rsid w:val="00772712"/>
    <w:rsid w:val="007816E1"/>
    <w:rsid w:val="00783489"/>
    <w:rsid w:val="00793C81"/>
    <w:rsid w:val="007A2D51"/>
    <w:rsid w:val="007A65A5"/>
    <w:rsid w:val="007B16A2"/>
    <w:rsid w:val="007D6109"/>
    <w:rsid w:val="007E32ED"/>
    <w:rsid w:val="007F353B"/>
    <w:rsid w:val="007F6418"/>
    <w:rsid w:val="008068CC"/>
    <w:rsid w:val="00861331"/>
    <w:rsid w:val="00861E90"/>
    <w:rsid w:val="008B2326"/>
    <w:rsid w:val="008C3960"/>
    <w:rsid w:val="008D42BB"/>
    <w:rsid w:val="008E1779"/>
    <w:rsid w:val="008F10AC"/>
    <w:rsid w:val="008F6E05"/>
    <w:rsid w:val="00906950"/>
    <w:rsid w:val="00941973"/>
    <w:rsid w:val="00944517"/>
    <w:rsid w:val="00950A73"/>
    <w:rsid w:val="00955BBF"/>
    <w:rsid w:val="00961871"/>
    <w:rsid w:val="0097768F"/>
    <w:rsid w:val="009878C1"/>
    <w:rsid w:val="009B132F"/>
    <w:rsid w:val="009D565F"/>
    <w:rsid w:val="009D64A2"/>
    <w:rsid w:val="009F3941"/>
    <w:rsid w:val="009F4B88"/>
    <w:rsid w:val="009F57A7"/>
    <w:rsid w:val="00A01C0A"/>
    <w:rsid w:val="00A037D7"/>
    <w:rsid w:val="00A1272B"/>
    <w:rsid w:val="00A4148F"/>
    <w:rsid w:val="00A460B6"/>
    <w:rsid w:val="00A47F34"/>
    <w:rsid w:val="00A521C9"/>
    <w:rsid w:val="00A6025F"/>
    <w:rsid w:val="00A75D63"/>
    <w:rsid w:val="00A939BF"/>
    <w:rsid w:val="00AB1BAA"/>
    <w:rsid w:val="00AD11A4"/>
    <w:rsid w:val="00B163E1"/>
    <w:rsid w:val="00B5513D"/>
    <w:rsid w:val="00B707C9"/>
    <w:rsid w:val="00B717A4"/>
    <w:rsid w:val="00B74DD1"/>
    <w:rsid w:val="00B7513A"/>
    <w:rsid w:val="00B8439D"/>
    <w:rsid w:val="00B922CB"/>
    <w:rsid w:val="00BA66D5"/>
    <w:rsid w:val="00BB4392"/>
    <w:rsid w:val="00BD105B"/>
    <w:rsid w:val="00BF16AB"/>
    <w:rsid w:val="00BF6CDA"/>
    <w:rsid w:val="00C0202C"/>
    <w:rsid w:val="00C0650D"/>
    <w:rsid w:val="00C175B3"/>
    <w:rsid w:val="00C2499F"/>
    <w:rsid w:val="00C42981"/>
    <w:rsid w:val="00C559E2"/>
    <w:rsid w:val="00CA5C0D"/>
    <w:rsid w:val="00CF4B7F"/>
    <w:rsid w:val="00D041E3"/>
    <w:rsid w:val="00D32BD2"/>
    <w:rsid w:val="00D354A7"/>
    <w:rsid w:val="00D36775"/>
    <w:rsid w:val="00D67236"/>
    <w:rsid w:val="00DA4687"/>
    <w:rsid w:val="00DC0744"/>
    <w:rsid w:val="00DC1047"/>
    <w:rsid w:val="00DD2053"/>
    <w:rsid w:val="00DD2624"/>
    <w:rsid w:val="00DD7FBC"/>
    <w:rsid w:val="00DE7B6E"/>
    <w:rsid w:val="00DF79D5"/>
    <w:rsid w:val="00E102CD"/>
    <w:rsid w:val="00E13DF0"/>
    <w:rsid w:val="00E17A65"/>
    <w:rsid w:val="00E26398"/>
    <w:rsid w:val="00E44649"/>
    <w:rsid w:val="00E52A80"/>
    <w:rsid w:val="00E54D31"/>
    <w:rsid w:val="00E72A83"/>
    <w:rsid w:val="00E8309B"/>
    <w:rsid w:val="00E90BD9"/>
    <w:rsid w:val="00EC322C"/>
    <w:rsid w:val="00EC4E8C"/>
    <w:rsid w:val="00ED3C02"/>
    <w:rsid w:val="00EE0EBE"/>
    <w:rsid w:val="00F2565D"/>
    <w:rsid w:val="00F33408"/>
    <w:rsid w:val="00F72984"/>
    <w:rsid w:val="00F939A4"/>
    <w:rsid w:val="00FC088F"/>
    <w:rsid w:val="00FF0FBB"/>
    <w:rsid w:val="00FF424B"/>
    <w:rsid w:val="00FF5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AA1B81"/>
  <w15:docId w15:val="{6557FA59-33F0-4F8B-9E90-25DD267D8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7236"/>
  </w:style>
  <w:style w:type="paragraph" w:styleId="3">
    <w:name w:val="heading 3"/>
    <w:basedOn w:val="a"/>
    <w:next w:val="a"/>
    <w:link w:val="30"/>
    <w:uiPriority w:val="9"/>
    <w:unhideWhenUsed/>
    <w:qFormat/>
    <w:rsid w:val="00D6723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1B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E22F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102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102CD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EC4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46">
    <w:name w:val="rvts46"/>
    <w:basedOn w:val="a0"/>
    <w:rsid w:val="00EC4E8C"/>
  </w:style>
  <w:style w:type="character" w:styleId="a7">
    <w:name w:val="Hyperlink"/>
    <w:basedOn w:val="a0"/>
    <w:uiPriority w:val="99"/>
    <w:unhideWhenUsed/>
    <w:rsid w:val="00EC4E8C"/>
    <w:rPr>
      <w:color w:val="0000FF"/>
      <w:u w:val="single"/>
    </w:rPr>
  </w:style>
  <w:style w:type="character" w:customStyle="1" w:styleId="rvts11">
    <w:name w:val="rvts11"/>
    <w:basedOn w:val="a0"/>
    <w:rsid w:val="00EC4E8C"/>
  </w:style>
  <w:style w:type="paragraph" w:styleId="a8">
    <w:name w:val="header"/>
    <w:basedOn w:val="a"/>
    <w:link w:val="a9"/>
    <w:uiPriority w:val="99"/>
    <w:unhideWhenUsed/>
    <w:rsid w:val="00AB1BA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AB1BAA"/>
  </w:style>
  <w:style w:type="character" w:styleId="aa">
    <w:name w:val="Unresolved Mention"/>
    <w:basedOn w:val="a0"/>
    <w:uiPriority w:val="99"/>
    <w:semiHidden/>
    <w:unhideWhenUsed/>
    <w:rsid w:val="0062308E"/>
    <w:rPr>
      <w:color w:val="605E5C"/>
      <w:shd w:val="clear" w:color="auto" w:fill="E1DFDD"/>
    </w:rPr>
  </w:style>
  <w:style w:type="character" w:customStyle="1" w:styleId="rvts44">
    <w:name w:val="rvts44"/>
    <w:rsid w:val="00A1272B"/>
  </w:style>
  <w:style w:type="character" w:customStyle="1" w:styleId="30">
    <w:name w:val="Заголовок 3 Знак"/>
    <w:basedOn w:val="a0"/>
    <w:link w:val="3"/>
    <w:uiPriority w:val="9"/>
    <w:rsid w:val="00D6723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226D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226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6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4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8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9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5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1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1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9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0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5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72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2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15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1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s.ligazakon.net/document/view/gk48701?ed=2021_04_28&amp;an=397" TargetMode="External"/><Relationship Id="rId13" Type="http://schemas.openxmlformats.org/officeDocument/2006/relationships/hyperlink" Target="https://ips.ligazakon.net/document/view/gk48701?ed=2021_04_28&amp;an=398" TargetMode="External"/><Relationship Id="rId18" Type="http://schemas.openxmlformats.org/officeDocument/2006/relationships/hyperlink" Target="https://ips.ligazakon.net/document/view/gk48701?ed=2021_04_28&amp;an=398" TargetMode="External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hyperlink" Target="https://ips.ligazakon.net/document/view/gk48701?ed=2021_04_28&amp;an=401" TargetMode="External"/><Relationship Id="rId7" Type="http://schemas.openxmlformats.org/officeDocument/2006/relationships/hyperlink" Target="https://ips.ligazakon.net/document/view/gk48701?ed=2021_04_28&amp;an=303" TargetMode="External"/><Relationship Id="rId12" Type="http://schemas.openxmlformats.org/officeDocument/2006/relationships/hyperlink" Target="https://ips.ligazakon.net/document/view/gk48701?ed=2021_04_28&amp;an=401" TargetMode="External"/><Relationship Id="rId17" Type="http://schemas.openxmlformats.org/officeDocument/2006/relationships/hyperlink" Target="https://ips.ligazakon.net/document/view/gk48701?ed=2021_04_28&amp;an=397" TargetMode="External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https://ips.ligazakon.net/document/view/gk48701?ed=2021_04_28&amp;an=372" TargetMode="External"/><Relationship Id="rId20" Type="http://schemas.openxmlformats.org/officeDocument/2006/relationships/hyperlink" Target="https://ips.ligazakon.net/document/view/gk48701?ed=2021_04_28&amp;an=40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ps.ligazakon.net/document/view/gk48701?ed=2021_04_28&amp;an=400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ips.ligazakon.net/document/view/gk48701?ed=2021_04_28&amp;an=303" TargetMode="External"/><Relationship Id="rId23" Type="http://schemas.openxmlformats.org/officeDocument/2006/relationships/hyperlink" Target="https://ips.ligazakon.net/document/view/gk48701?ed=2021_04_28&amp;an=401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ips.ligazakon.net/document/view/gk48701?ed=2021_04_28&amp;an=399" TargetMode="External"/><Relationship Id="rId19" Type="http://schemas.openxmlformats.org/officeDocument/2006/relationships/hyperlink" Target="https://ips.ligazakon.net/document/view/gk48701?ed=2021_04_28&amp;an=39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ps.ligazakon.net/document/view/gk48701?ed=2021_04_28&amp;an=398" TargetMode="External"/><Relationship Id="rId14" Type="http://schemas.openxmlformats.org/officeDocument/2006/relationships/hyperlink" Target="https://ips.ligazakon.net/document/view/gk48701?ed=2021_04_28&amp;an=401" TargetMode="External"/><Relationship Id="rId22" Type="http://schemas.openxmlformats.org/officeDocument/2006/relationships/hyperlink" Target="https://ips.ligazakon.net/document/view/gk48701?ed=2021_04_28&amp;an=398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8</Pages>
  <Words>12377</Words>
  <Characters>7056</Characters>
  <Application>Microsoft Office Word</Application>
  <DocSecurity>0</DocSecurity>
  <Lines>58</Lines>
  <Paragraphs>38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Vitaliy Shlyakhtin</dc:creator>
  <cp:keywords/>
  <dc:description/>
  <cp:lastModifiedBy>Катерина Ляхова</cp:lastModifiedBy>
  <cp:revision>18</cp:revision>
  <cp:lastPrinted>2024-07-31T14:25:00Z</cp:lastPrinted>
  <dcterms:created xsi:type="dcterms:W3CDTF">2024-08-02T08:56:00Z</dcterms:created>
  <dcterms:modified xsi:type="dcterms:W3CDTF">2024-08-14T14:27:00Z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1,2,3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Конфіденційно/Confidential</vt:lpwstr>
  </property>
  <property fmtid="{D5CDD505-2E9C-101B-9397-08002B2CF9AE}" pid="5" name="MSIP_Label_ba0bbd62-8f66-428f-b368-631d7d28f661_Enabled">
    <vt:lpwstr>true</vt:lpwstr>
  </property>
  <property fmtid="{D5CDD505-2E9C-101B-9397-08002B2CF9AE}" pid="6" name="MSIP_Label_ba0bbd62-8f66-428f-b368-631d7d28f661_SetDate">
    <vt:lpwstr>2024-08-01T21:27:05Z</vt:lpwstr>
  </property>
  <property fmtid="{D5CDD505-2E9C-101B-9397-08002B2CF9AE}" pid="7" name="MSIP_Label_ba0bbd62-8f66-428f-b368-631d7d28f661_Method">
    <vt:lpwstr>Standard</vt:lpwstr>
  </property>
  <property fmtid="{D5CDD505-2E9C-101B-9397-08002B2CF9AE}" pid="8" name="MSIP_Label_ba0bbd62-8f66-428f-b368-631d7d28f661_Name">
    <vt:lpwstr>Конфіденційно_Confidential</vt:lpwstr>
  </property>
  <property fmtid="{D5CDD505-2E9C-101B-9397-08002B2CF9AE}" pid="9" name="MSIP_Label_ba0bbd62-8f66-428f-b368-631d7d28f661_SiteId">
    <vt:lpwstr>f8f9bd57-3bba-4300-a6ec-3b8e70a30986</vt:lpwstr>
  </property>
  <property fmtid="{D5CDD505-2E9C-101B-9397-08002B2CF9AE}" pid="10" name="MSIP_Label_ba0bbd62-8f66-428f-b368-631d7d28f661_ActionId">
    <vt:lpwstr>0d5927ab-929a-463f-b4d1-6f9eb5e01344</vt:lpwstr>
  </property>
  <property fmtid="{D5CDD505-2E9C-101B-9397-08002B2CF9AE}" pid="11" name="MSIP_Label_ba0bbd62-8f66-428f-b368-631d7d28f661_ContentBits">
    <vt:lpwstr>1</vt:lpwstr>
  </property>
</Properties>
</file>