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E7AF9C" w14:textId="77777777" w:rsidR="00CC7D4B" w:rsidRPr="00D0186D" w:rsidRDefault="00CC7D4B" w:rsidP="00CC7D4B">
      <w:pPr>
        <w:jc w:val="center"/>
        <w:rPr>
          <w:b/>
          <w:bCs/>
          <w:lang w:val="uk-UA"/>
        </w:rPr>
      </w:pPr>
      <w:bookmarkStart w:id="0" w:name="_Hlk168992315"/>
      <w:r w:rsidRPr="00D0186D">
        <w:rPr>
          <w:b/>
          <w:lang w:val="uk-UA"/>
        </w:rPr>
        <w:t xml:space="preserve">Порівняльна таблиця до проєкту постанови НКРЕКП </w:t>
      </w:r>
      <w:r w:rsidRPr="00D0186D">
        <w:rPr>
          <w:b/>
          <w:lang w:val="uk-UA"/>
        </w:rPr>
        <w:br/>
      </w:r>
      <w:r w:rsidRPr="00D0186D">
        <w:rPr>
          <w:b/>
          <w:bCs/>
          <w:lang w:val="uk-UA"/>
        </w:rPr>
        <w:t>«Про затвердження Змін до деяких постанов НКРЕ та НКРЕКП»</w:t>
      </w:r>
      <w:bookmarkEnd w:id="0"/>
    </w:p>
    <w:tbl>
      <w:tblPr>
        <w:tblStyle w:val="a7"/>
        <w:tblW w:w="15871" w:type="dxa"/>
        <w:tblLayout w:type="fixed"/>
        <w:tblLook w:val="04A0" w:firstRow="1" w:lastRow="0" w:firstColumn="1" w:lastColumn="0" w:noHBand="0" w:noVBand="1"/>
      </w:tblPr>
      <w:tblGrid>
        <w:gridCol w:w="7934"/>
        <w:gridCol w:w="7937"/>
      </w:tblGrid>
      <w:tr w:rsidR="00572C6A" w:rsidRPr="00D0186D" w14:paraId="537FC52D" w14:textId="77777777" w:rsidTr="00274934">
        <w:tc>
          <w:tcPr>
            <w:tcW w:w="7934" w:type="dxa"/>
          </w:tcPr>
          <w:p w14:paraId="0925FB01" w14:textId="5FCD0FA1" w:rsidR="00CC7D4B" w:rsidRPr="00D0186D" w:rsidRDefault="00CC7D4B" w:rsidP="00A82A57">
            <w:pPr>
              <w:rPr>
                <w:lang w:val="uk-UA"/>
              </w:rPr>
            </w:pPr>
            <w:r w:rsidRPr="00D0186D">
              <w:rPr>
                <w:b/>
                <w:lang w:val="uk-UA"/>
              </w:rPr>
              <w:t>Чинна редакція</w:t>
            </w:r>
          </w:p>
        </w:tc>
        <w:tc>
          <w:tcPr>
            <w:tcW w:w="7937" w:type="dxa"/>
          </w:tcPr>
          <w:p w14:paraId="111AFD9A" w14:textId="52ADF815" w:rsidR="00CC7D4B" w:rsidRPr="00D0186D" w:rsidRDefault="00CC7D4B" w:rsidP="00A82A57">
            <w:pPr>
              <w:rPr>
                <w:lang w:val="uk-UA"/>
              </w:rPr>
            </w:pPr>
            <w:r w:rsidRPr="00D0186D">
              <w:rPr>
                <w:b/>
                <w:lang w:val="uk-UA"/>
              </w:rPr>
              <w:t>Запропоновані зміни</w:t>
            </w:r>
          </w:p>
        </w:tc>
      </w:tr>
      <w:tr w:rsidR="00CC7D4B" w:rsidRPr="00D0186D" w14:paraId="2E8EF265" w14:textId="77777777" w:rsidTr="00822C61">
        <w:tc>
          <w:tcPr>
            <w:tcW w:w="15871" w:type="dxa"/>
            <w:gridSpan w:val="2"/>
          </w:tcPr>
          <w:p w14:paraId="7BDB7E73" w14:textId="3FFD262E" w:rsidR="00CC7D4B" w:rsidRPr="00D0186D" w:rsidRDefault="00CC7D4B" w:rsidP="00A82A57">
            <w:pPr>
              <w:rPr>
                <w:lang w:val="uk-UA"/>
              </w:rPr>
            </w:pPr>
            <w:r w:rsidRPr="00D0186D">
              <w:rPr>
                <w:b/>
                <w:i/>
                <w:lang w:val="uk-UA"/>
              </w:rPr>
              <w:t>постанова НКРЕ від 11.07.2013 № 899 «Про затвердження Порядку визначення регуляторної бази активів суб’єктів природних монополій у сфері електроенергетики»</w:t>
            </w:r>
          </w:p>
        </w:tc>
      </w:tr>
      <w:tr w:rsidR="00572C6A" w:rsidRPr="00D0186D" w14:paraId="44599935" w14:textId="77777777" w:rsidTr="00274934">
        <w:tc>
          <w:tcPr>
            <w:tcW w:w="7934" w:type="dxa"/>
          </w:tcPr>
          <w:p w14:paraId="0BE1BF5F" w14:textId="77777777" w:rsidR="00447EBE" w:rsidRPr="00D0186D" w:rsidRDefault="00447EBE" w:rsidP="00447EBE">
            <w:pPr>
              <w:ind w:firstLine="284"/>
              <w:jc w:val="both"/>
              <w:rPr>
                <w:b/>
                <w:bCs/>
                <w:shd w:val="clear" w:color="auto" w:fill="FFFFFF"/>
                <w:lang w:val="uk-UA"/>
              </w:rPr>
            </w:pPr>
            <w:r w:rsidRPr="00D0186D">
              <w:rPr>
                <w:b/>
                <w:bCs/>
                <w:shd w:val="clear" w:color="auto" w:fill="FFFFFF"/>
                <w:lang w:val="uk-UA"/>
              </w:rPr>
              <w:t>І. Загальні положення</w:t>
            </w:r>
          </w:p>
          <w:p w14:paraId="6E775276" w14:textId="77777777" w:rsidR="00447EBE" w:rsidRPr="00D0186D" w:rsidRDefault="00447EBE" w:rsidP="00447EBE">
            <w:pPr>
              <w:ind w:firstLine="284"/>
              <w:jc w:val="both"/>
              <w:rPr>
                <w:shd w:val="clear" w:color="auto" w:fill="FFFFFF"/>
                <w:lang w:val="uk-UA"/>
              </w:rPr>
            </w:pPr>
            <w:r w:rsidRPr="00D0186D">
              <w:rPr>
                <w:shd w:val="clear" w:color="auto" w:fill="FFFFFF"/>
                <w:lang w:val="uk-UA"/>
              </w:rPr>
              <w:t>1.5. У цьому Порядку терміни вживаються у таких значеннях:</w:t>
            </w:r>
          </w:p>
          <w:p w14:paraId="04EC0313" w14:textId="240A754F" w:rsidR="00124923" w:rsidRPr="00D0186D" w:rsidRDefault="00124923" w:rsidP="00124923">
            <w:pPr>
              <w:pStyle w:val="Default"/>
              <w:jc w:val="both"/>
              <w:rPr>
                <w:color w:val="auto"/>
              </w:rPr>
            </w:pPr>
            <w:r w:rsidRPr="00D0186D">
              <w:rPr>
                <w:color w:val="auto"/>
              </w:rPr>
              <w:t>………………………………………………..</w:t>
            </w:r>
          </w:p>
          <w:p w14:paraId="237BB216" w14:textId="77777777" w:rsidR="00CC7D4B" w:rsidRPr="00D0186D" w:rsidRDefault="00447EBE" w:rsidP="00447EBE">
            <w:pPr>
              <w:jc w:val="both"/>
              <w:rPr>
                <w:shd w:val="clear" w:color="auto" w:fill="FFFFFF"/>
                <w:lang w:val="uk-UA"/>
              </w:rPr>
            </w:pPr>
            <w:r w:rsidRPr="00D0186D">
              <w:rPr>
                <w:shd w:val="clear" w:color="auto" w:fill="FFFFFF"/>
                <w:lang w:val="uk-UA"/>
              </w:rPr>
              <w:t>виведення з експлуатації активу (елементів активу) - припинення використання активу (елементів активу) (у тому числі в рамках виконання заходів, передбачених інвестиційною програмою, та/або за рахунок заходів з приєднання) у зв'язку з переміщенням (у тому числі до обмінного фонду), консервацією, відчуженням (вибуттям), іншими причинами, що передбачає вилучення цього активу (елементів активу) із регуляторних баз активів, які створено на дату або після переходу до стимулюючого регулювання;</w:t>
            </w:r>
          </w:p>
          <w:p w14:paraId="50816207" w14:textId="77777777" w:rsidR="008E5308" w:rsidRPr="00D0186D" w:rsidRDefault="008E5308" w:rsidP="00447EBE">
            <w:pPr>
              <w:jc w:val="both"/>
              <w:rPr>
                <w:shd w:val="clear" w:color="auto" w:fill="FFFFFF"/>
                <w:lang w:val="uk-UA"/>
              </w:rPr>
            </w:pPr>
          </w:p>
          <w:p w14:paraId="57C62693" w14:textId="77777777" w:rsidR="008E5308" w:rsidRPr="00D0186D" w:rsidRDefault="008E5308" w:rsidP="00447EBE">
            <w:pPr>
              <w:jc w:val="both"/>
              <w:rPr>
                <w:shd w:val="clear" w:color="auto" w:fill="FFFFFF"/>
                <w:lang w:val="uk-UA"/>
              </w:rPr>
            </w:pPr>
          </w:p>
          <w:p w14:paraId="350B7534" w14:textId="77777777" w:rsidR="008E5308" w:rsidRPr="00D0186D" w:rsidRDefault="008E5308" w:rsidP="00447EBE">
            <w:pPr>
              <w:jc w:val="both"/>
              <w:rPr>
                <w:shd w:val="clear" w:color="auto" w:fill="FFFFFF"/>
                <w:lang w:val="uk-UA"/>
              </w:rPr>
            </w:pPr>
          </w:p>
          <w:p w14:paraId="64E81091" w14:textId="77777777" w:rsidR="008E5308" w:rsidRPr="00D0186D" w:rsidRDefault="008E5308" w:rsidP="00447EBE">
            <w:pPr>
              <w:jc w:val="both"/>
              <w:rPr>
                <w:shd w:val="clear" w:color="auto" w:fill="FFFFFF"/>
                <w:lang w:val="uk-UA"/>
              </w:rPr>
            </w:pPr>
          </w:p>
          <w:p w14:paraId="17B8419A" w14:textId="77777777" w:rsidR="008E5308" w:rsidRPr="00D0186D" w:rsidRDefault="008E5308" w:rsidP="00447EBE">
            <w:pPr>
              <w:jc w:val="both"/>
              <w:rPr>
                <w:shd w:val="clear" w:color="auto" w:fill="FFFFFF"/>
                <w:lang w:val="uk-UA"/>
              </w:rPr>
            </w:pPr>
          </w:p>
          <w:p w14:paraId="6D4B7508" w14:textId="77777777" w:rsidR="008E5308" w:rsidRPr="00D0186D" w:rsidRDefault="008E5308" w:rsidP="00447EBE">
            <w:pPr>
              <w:jc w:val="both"/>
              <w:rPr>
                <w:shd w:val="clear" w:color="auto" w:fill="FFFFFF"/>
                <w:lang w:val="uk-UA"/>
              </w:rPr>
            </w:pPr>
          </w:p>
          <w:p w14:paraId="5BF84181" w14:textId="77777777" w:rsidR="008E5308" w:rsidRPr="00D0186D" w:rsidRDefault="008E5308" w:rsidP="00447EBE">
            <w:pPr>
              <w:jc w:val="both"/>
              <w:rPr>
                <w:shd w:val="clear" w:color="auto" w:fill="FFFFFF"/>
                <w:lang w:val="uk-UA"/>
              </w:rPr>
            </w:pPr>
          </w:p>
          <w:p w14:paraId="3DBF1116" w14:textId="77777777" w:rsidR="008E5308" w:rsidRPr="00D0186D" w:rsidRDefault="008E5308" w:rsidP="00447EBE">
            <w:pPr>
              <w:jc w:val="both"/>
              <w:rPr>
                <w:shd w:val="clear" w:color="auto" w:fill="FFFFFF"/>
                <w:lang w:val="uk-UA"/>
              </w:rPr>
            </w:pPr>
          </w:p>
          <w:p w14:paraId="0E840DC7" w14:textId="5565868D" w:rsidR="008E5308" w:rsidRPr="00D0186D" w:rsidRDefault="008E5308" w:rsidP="00447EBE">
            <w:pPr>
              <w:jc w:val="both"/>
              <w:rPr>
                <w:shd w:val="clear" w:color="auto" w:fill="FFFFFF"/>
                <w:lang w:val="uk-UA"/>
              </w:rPr>
            </w:pPr>
          </w:p>
          <w:p w14:paraId="32E7ADEF" w14:textId="3F58663E" w:rsidR="00D0186D" w:rsidRPr="00D0186D" w:rsidRDefault="00D0186D" w:rsidP="00447EBE">
            <w:pPr>
              <w:jc w:val="both"/>
              <w:rPr>
                <w:shd w:val="clear" w:color="auto" w:fill="FFFFFF"/>
                <w:lang w:val="uk-UA"/>
              </w:rPr>
            </w:pPr>
          </w:p>
          <w:p w14:paraId="3D57337D" w14:textId="555F0984" w:rsidR="00D0186D" w:rsidRPr="00D0186D" w:rsidRDefault="00D0186D" w:rsidP="00447EBE">
            <w:pPr>
              <w:jc w:val="both"/>
              <w:rPr>
                <w:shd w:val="clear" w:color="auto" w:fill="FFFFFF"/>
                <w:lang w:val="uk-UA"/>
              </w:rPr>
            </w:pPr>
          </w:p>
          <w:p w14:paraId="39FCF541" w14:textId="77777777" w:rsidR="00D0186D" w:rsidRPr="00D0186D" w:rsidRDefault="00D0186D" w:rsidP="00447EBE">
            <w:pPr>
              <w:jc w:val="both"/>
              <w:rPr>
                <w:shd w:val="clear" w:color="auto" w:fill="FFFFFF"/>
                <w:lang w:val="uk-UA"/>
              </w:rPr>
            </w:pPr>
          </w:p>
          <w:p w14:paraId="25B2C6C4" w14:textId="77777777" w:rsidR="008E5308" w:rsidRPr="00D0186D" w:rsidRDefault="008E5308" w:rsidP="00447EBE">
            <w:pPr>
              <w:jc w:val="both"/>
              <w:rPr>
                <w:shd w:val="clear" w:color="auto" w:fill="FFFFFF"/>
                <w:lang w:val="uk-UA"/>
              </w:rPr>
            </w:pPr>
            <w:r w:rsidRPr="00D0186D">
              <w:rPr>
                <w:shd w:val="clear" w:color="auto" w:fill="FFFFFF"/>
                <w:lang w:val="uk-UA"/>
              </w:rPr>
              <w:t>…</w:t>
            </w:r>
          </w:p>
          <w:p w14:paraId="0C52AF16" w14:textId="77777777" w:rsidR="008E5308" w:rsidRPr="00D0186D" w:rsidRDefault="008E5308" w:rsidP="00447EBE">
            <w:pPr>
              <w:jc w:val="both"/>
              <w:rPr>
                <w:shd w:val="clear" w:color="auto" w:fill="FFFFFF"/>
                <w:lang w:val="uk-UA"/>
              </w:rPr>
            </w:pPr>
          </w:p>
          <w:p w14:paraId="1EAA9D38" w14:textId="7574CE3A" w:rsidR="008E5308" w:rsidRPr="00D0186D" w:rsidRDefault="008E5308" w:rsidP="00447EBE">
            <w:pPr>
              <w:jc w:val="both"/>
              <w:rPr>
                <w:lang w:val="uk-UA"/>
              </w:rPr>
            </w:pPr>
            <w:r w:rsidRPr="00D0186D">
              <w:rPr>
                <w:lang w:val="uk-UA"/>
              </w:rPr>
              <w:t>створення активів - придбання, безоплатне отримання, нове будівництво, реконструкція, модернізація, добудова, технічне переобладнання, технічне переоснащення, дообладнання активів, які безпосередньо використовуються для провадження ліцензованої діяльності з розподілу електричної енергії.</w:t>
            </w:r>
          </w:p>
        </w:tc>
        <w:tc>
          <w:tcPr>
            <w:tcW w:w="7937" w:type="dxa"/>
          </w:tcPr>
          <w:p w14:paraId="72A3667C" w14:textId="77777777" w:rsidR="00447EBE" w:rsidRPr="00D0186D" w:rsidRDefault="00447EBE" w:rsidP="00447EBE">
            <w:pPr>
              <w:ind w:firstLine="284"/>
              <w:jc w:val="both"/>
              <w:rPr>
                <w:b/>
                <w:bCs/>
                <w:shd w:val="clear" w:color="auto" w:fill="FFFFFF"/>
                <w:lang w:val="uk-UA"/>
              </w:rPr>
            </w:pPr>
            <w:r w:rsidRPr="00D0186D">
              <w:rPr>
                <w:b/>
                <w:bCs/>
                <w:shd w:val="clear" w:color="auto" w:fill="FFFFFF"/>
                <w:lang w:val="uk-UA"/>
              </w:rPr>
              <w:t>І. Загальні положення</w:t>
            </w:r>
          </w:p>
          <w:p w14:paraId="019F995D" w14:textId="77777777" w:rsidR="00447EBE" w:rsidRPr="00D0186D" w:rsidRDefault="00447EBE" w:rsidP="00447EBE">
            <w:pPr>
              <w:ind w:firstLine="284"/>
              <w:jc w:val="both"/>
              <w:rPr>
                <w:shd w:val="clear" w:color="auto" w:fill="FFFFFF"/>
                <w:lang w:val="uk-UA"/>
              </w:rPr>
            </w:pPr>
            <w:r w:rsidRPr="00D0186D">
              <w:rPr>
                <w:shd w:val="clear" w:color="auto" w:fill="FFFFFF"/>
                <w:lang w:val="uk-UA"/>
              </w:rPr>
              <w:t>1.5. У цьому Порядку терміни вживаються у таких значеннях:</w:t>
            </w:r>
          </w:p>
          <w:p w14:paraId="0EA13631" w14:textId="77777777" w:rsidR="00124923" w:rsidRPr="00D0186D" w:rsidRDefault="00124923" w:rsidP="00447EBE">
            <w:pPr>
              <w:pStyle w:val="Default"/>
              <w:jc w:val="both"/>
              <w:rPr>
                <w:color w:val="auto"/>
              </w:rPr>
            </w:pPr>
            <w:r w:rsidRPr="00D0186D">
              <w:rPr>
                <w:color w:val="auto"/>
              </w:rPr>
              <w:t>………………………………………………..</w:t>
            </w:r>
          </w:p>
          <w:p w14:paraId="66470278" w14:textId="48CC7ED3" w:rsidR="00447EBE" w:rsidRPr="00D0186D" w:rsidRDefault="00447EBE" w:rsidP="00754A37">
            <w:pPr>
              <w:jc w:val="both"/>
              <w:rPr>
                <w:b/>
                <w:bCs/>
                <w:lang w:val="uk-UA"/>
              </w:rPr>
            </w:pPr>
            <w:r w:rsidRPr="00D0186D">
              <w:rPr>
                <w:shd w:val="clear" w:color="auto" w:fill="FFFFFF"/>
                <w:lang w:val="uk-UA"/>
              </w:rPr>
              <w:t xml:space="preserve">виведення з експлуатації активу (елементів активу) - припинення використання </w:t>
            </w:r>
            <w:r w:rsidR="00E82934" w:rsidRPr="00D0186D">
              <w:rPr>
                <w:b/>
                <w:bCs/>
                <w:shd w:val="clear" w:color="auto" w:fill="FFFFFF"/>
                <w:lang w:val="uk-UA"/>
              </w:rPr>
              <w:t>в ліцензованій діяльності</w:t>
            </w:r>
            <w:r w:rsidR="00E82934" w:rsidRPr="00D0186D">
              <w:rPr>
                <w:shd w:val="clear" w:color="auto" w:fill="FFFFFF"/>
                <w:lang w:val="uk-UA"/>
              </w:rPr>
              <w:t xml:space="preserve"> </w:t>
            </w:r>
            <w:r w:rsidRPr="00D0186D">
              <w:rPr>
                <w:shd w:val="clear" w:color="auto" w:fill="FFFFFF"/>
                <w:lang w:val="uk-UA"/>
              </w:rPr>
              <w:t>активу (елементів активу) (у тому числі в рамках виконання заходів, передбачених інвестиційною програмою, та/або за рахунок заходів з приєднання) у зв'язку з переміщенням (у тому числі до обмінного фонду), консервацією, відчуженням (вибуттям), іншими причинами, що передбачає вилучення цього активу (елементів активу) із регуляторних баз активів, які створено на дату або після переходу до стимулюючого регулювання.</w:t>
            </w:r>
            <w:r w:rsidR="00754A37" w:rsidRPr="00D0186D">
              <w:rPr>
                <w:shd w:val="clear" w:color="auto" w:fill="FFFFFF"/>
                <w:lang w:val="uk-UA"/>
              </w:rPr>
              <w:t xml:space="preserve"> </w:t>
            </w:r>
            <w:r w:rsidR="00E01361" w:rsidRPr="00D0186D">
              <w:rPr>
                <w:b/>
                <w:bCs/>
                <w:lang w:val="uk-UA"/>
              </w:rPr>
              <w:t xml:space="preserve">Зокрема, виведенню підлягають активи (елементи активів), що розташовані на тимчасово окупованих територіях держави, та/або над якими втрачено контроль унаслідок російської військової агресії проти України. </w:t>
            </w:r>
            <w:r w:rsidR="00E01361" w:rsidRPr="00D0186D">
              <w:rPr>
                <w:rFonts w:eastAsiaTheme="minorHAnsi"/>
                <w:b/>
                <w:lang w:val="uk-UA"/>
              </w:rPr>
              <w:t xml:space="preserve">З метою уніфікації розрахунків для ліцензіатів, перелік яких наведено в додатку 30 до </w:t>
            </w:r>
            <w:r w:rsidR="00E01361" w:rsidRPr="00D0186D">
              <w:rPr>
                <w:b/>
                <w:bCs/>
                <w:lang w:val="uk-UA"/>
              </w:rPr>
              <w:t>Порядку встановлення (формування) тарифів на послуги з розподілу електричної енергії, затвердженого постановою НКРЕКП від 05 жовтня 2018 року № 1175 (далі – Порядок № 1175)</w:t>
            </w:r>
            <w:r w:rsidR="00E01361" w:rsidRPr="00D0186D">
              <w:rPr>
                <w:rFonts w:eastAsiaTheme="minorHAnsi"/>
                <w:b/>
                <w:lang w:val="uk-UA"/>
              </w:rPr>
              <w:t>, для всіх активів, виведених у період від дати переходу на стимулююче регулювання по 31 грудня 2023 року, датою виведення цих активів приймається 31 грудня 2023 року;</w:t>
            </w:r>
          </w:p>
          <w:p w14:paraId="459BB3C8" w14:textId="77777777" w:rsidR="008E5308" w:rsidRPr="00D0186D" w:rsidRDefault="008E5308" w:rsidP="00754A37">
            <w:pPr>
              <w:jc w:val="both"/>
              <w:rPr>
                <w:b/>
                <w:bCs/>
                <w:lang w:val="uk-UA"/>
              </w:rPr>
            </w:pPr>
          </w:p>
          <w:p w14:paraId="2C679371" w14:textId="77777777" w:rsidR="008E5308" w:rsidRPr="00D0186D" w:rsidRDefault="008E5308" w:rsidP="00754A37">
            <w:pPr>
              <w:jc w:val="both"/>
              <w:rPr>
                <w:b/>
                <w:bCs/>
                <w:lang w:val="uk-UA"/>
              </w:rPr>
            </w:pPr>
            <w:r w:rsidRPr="00D0186D">
              <w:rPr>
                <w:b/>
                <w:bCs/>
                <w:lang w:val="uk-UA"/>
              </w:rPr>
              <w:t>…</w:t>
            </w:r>
          </w:p>
          <w:p w14:paraId="62A10E77" w14:textId="77777777" w:rsidR="008E5308" w:rsidRPr="00D0186D" w:rsidRDefault="008E5308" w:rsidP="00754A37">
            <w:pPr>
              <w:jc w:val="both"/>
              <w:rPr>
                <w:b/>
                <w:bCs/>
                <w:lang w:val="uk-UA"/>
              </w:rPr>
            </w:pPr>
          </w:p>
          <w:p w14:paraId="125E3D12" w14:textId="6E948E32" w:rsidR="008E5308" w:rsidRPr="00D0186D" w:rsidRDefault="008E5308" w:rsidP="00754A37">
            <w:pPr>
              <w:jc w:val="both"/>
              <w:rPr>
                <w:lang w:val="uk-UA"/>
              </w:rPr>
            </w:pPr>
            <w:r w:rsidRPr="00D0186D">
              <w:rPr>
                <w:lang w:val="uk-UA"/>
              </w:rPr>
              <w:t xml:space="preserve">створення активів - придбання, безоплатне отримання, нове будівництво, реконструкція, модернізація, добудова, технічне переобладнання, технічне переоснащення, дообладнання активів, які безпосередньо використовуються для провадження ліцензованої діяльності з розподілу електричної енергії. </w:t>
            </w:r>
            <w:r w:rsidR="00E01361" w:rsidRPr="00D0186D">
              <w:rPr>
                <w:rFonts w:eastAsiaTheme="minorHAnsi"/>
                <w:b/>
                <w:lang w:val="uk-UA"/>
              </w:rPr>
              <w:t>З метою уніфікації розрахунків для ліцензіатів, перелік яких наведено в додатку 30 до Порядку № 1175, для всіх активів, створених у період від дати переходу на стимулююче регулювання по 31 грудня 2023 року, датою введення цих активів приймається 31 грудня 2023 року.</w:t>
            </w:r>
          </w:p>
        </w:tc>
      </w:tr>
      <w:tr w:rsidR="00572C6A" w:rsidRPr="00D0186D" w14:paraId="1857D710" w14:textId="77777777" w:rsidTr="00274934">
        <w:tc>
          <w:tcPr>
            <w:tcW w:w="7934" w:type="dxa"/>
          </w:tcPr>
          <w:p w14:paraId="39EBAF41" w14:textId="77777777" w:rsidR="00DC760E" w:rsidRPr="00D0186D" w:rsidRDefault="00DC760E" w:rsidP="00DC760E">
            <w:pPr>
              <w:pStyle w:val="Default"/>
              <w:jc w:val="both"/>
              <w:rPr>
                <w:color w:val="auto"/>
              </w:rPr>
            </w:pPr>
            <w:r w:rsidRPr="00D0186D">
              <w:rPr>
                <w:color w:val="auto"/>
              </w:rPr>
              <w:lastRenderedPageBreak/>
              <w:t xml:space="preserve">2.4. Не включаються до складу регуляторної бази активів, яка створена на дату переходу до стимулюючого регулювання: </w:t>
            </w:r>
          </w:p>
          <w:p w14:paraId="21AF29DB" w14:textId="77777777" w:rsidR="00DC760E" w:rsidRPr="00D0186D" w:rsidRDefault="00DC760E" w:rsidP="00DC760E">
            <w:pPr>
              <w:pStyle w:val="Default"/>
              <w:jc w:val="both"/>
              <w:rPr>
                <w:color w:val="auto"/>
              </w:rPr>
            </w:pPr>
            <w:r w:rsidRPr="00D0186D">
              <w:rPr>
                <w:color w:val="auto"/>
              </w:rPr>
              <w:t xml:space="preserve">земельні ділянки та речові права на них; </w:t>
            </w:r>
          </w:p>
          <w:p w14:paraId="57E576D9" w14:textId="77777777" w:rsidR="00DC760E" w:rsidRPr="00D0186D" w:rsidRDefault="00DC760E" w:rsidP="00DC760E">
            <w:pPr>
              <w:pStyle w:val="Default"/>
              <w:jc w:val="both"/>
              <w:rPr>
                <w:color w:val="auto"/>
              </w:rPr>
            </w:pPr>
            <w:r w:rsidRPr="00D0186D">
              <w:rPr>
                <w:color w:val="auto"/>
              </w:rPr>
              <w:t xml:space="preserve">невиробничі об'єкти необоротних активів (у тому числі об'єкти соціально-культурного призначення); </w:t>
            </w:r>
          </w:p>
          <w:p w14:paraId="190D36D4" w14:textId="77777777" w:rsidR="00DC760E" w:rsidRPr="00D0186D" w:rsidRDefault="00DC760E" w:rsidP="00DC760E">
            <w:pPr>
              <w:pStyle w:val="Default"/>
              <w:jc w:val="both"/>
              <w:rPr>
                <w:color w:val="auto"/>
              </w:rPr>
            </w:pPr>
            <w:r w:rsidRPr="00D0186D">
              <w:rPr>
                <w:color w:val="auto"/>
              </w:rPr>
              <w:t xml:space="preserve">об'єкти незавершених капітальних інвестицій; </w:t>
            </w:r>
          </w:p>
          <w:p w14:paraId="2AFD2E3F" w14:textId="77777777" w:rsidR="00DC760E" w:rsidRPr="00D0186D" w:rsidRDefault="00DC760E" w:rsidP="00DC760E">
            <w:pPr>
              <w:pStyle w:val="Default"/>
              <w:jc w:val="both"/>
              <w:rPr>
                <w:color w:val="auto"/>
              </w:rPr>
            </w:pPr>
            <w:r w:rsidRPr="00D0186D">
              <w:rPr>
                <w:color w:val="auto"/>
              </w:rPr>
              <w:t xml:space="preserve">довгострокові фінансові інвестиції; </w:t>
            </w:r>
          </w:p>
          <w:p w14:paraId="4DE3E873" w14:textId="77777777" w:rsidR="00DC760E" w:rsidRPr="00D0186D" w:rsidRDefault="00DC760E" w:rsidP="00DC760E">
            <w:pPr>
              <w:pStyle w:val="Default"/>
              <w:jc w:val="both"/>
              <w:rPr>
                <w:color w:val="auto"/>
              </w:rPr>
            </w:pPr>
            <w:r w:rsidRPr="00D0186D">
              <w:rPr>
                <w:color w:val="auto"/>
              </w:rPr>
              <w:t xml:space="preserve">довгострокові біологічні активи; </w:t>
            </w:r>
          </w:p>
          <w:p w14:paraId="3B595B25" w14:textId="77777777" w:rsidR="00DC760E" w:rsidRPr="00D0186D" w:rsidRDefault="00DC760E" w:rsidP="00DC760E">
            <w:pPr>
              <w:pStyle w:val="Default"/>
              <w:jc w:val="both"/>
              <w:rPr>
                <w:color w:val="auto"/>
              </w:rPr>
            </w:pPr>
            <w:r w:rsidRPr="00D0186D">
              <w:rPr>
                <w:color w:val="auto"/>
              </w:rPr>
              <w:t xml:space="preserve">довгострокова дебіторська заборгованість; </w:t>
            </w:r>
          </w:p>
          <w:p w14:paraId="6E0A6C56" w14:textId="77777777" w:rsidR="00DC760E" w:rsidRPr="00D0186D" w:rsidRDefault="00DC760E" w:rsidP="00DC760E">
            <w:pPr>
              <w:pStyle w:val="Default"/>
              <w:jc w:val="both"/>
              <w:rPr>
                <w:color w:val="auto"/>
              </w:rPr>
            </w:pPr>
            <w:r w:rsidRPr="00D0186D">
              <w:rPr>
                <w:color w:val="auto"/>
              </w:rPr>
              <w:t xml:space="preserve">відстрочені податкові активи; </w:t>
            </w:r>
          </w:p>
          <w:p w14:paraId="20EB0D8A" w14:textId="77777777" w:rsidR="00DC760E" w:rsidRPr="00D0186D" w:rsidRDefault="00DC760E" w:rsidP="00DC760E">
            <w:pPr>
              <w:pStyle w:val="Default"/>
              <w:jc w:val="both"/>
              <w:rPr>
                <w:color w:val="auto"/>
              </w:rPr>
            </w:pPr>
            <w:r w:rsidRPr="00D0186D">
              <w:rPr>
                <w:color w:val="auto"/>
              </w:rPr>
              <w:t xml:space="preserve">інші необоротні активи; </w:t>
            </w:r>
          </w:p>
          <w:p w14:paraId="747328FE" w14:textId="77777777" w:rsidR="00DC760E" w:rsidRPr="00D0186D" w:rsidRDefault="00DC760E" w:rsidP="00DC760E">
            <w:pPr>
              <w:pStyle w:val="Default"/>
              <w:pageBreakBefore/>
              <w:jc w:val="both"/>
              <w:rPr>
                <w:color w:val="auto"/>
              </w:rPr>
            </w:pPr>
            <w:r w:rsidRPr="00D0186D">
              <w:rPr>
                <w:color w:val="auto"/>
              </w:rPr>
              <w:t xml:space="preserve">оборотні активи; </w:t>
            </w:r>
          </w:p>
          <w:p w14:paraId="07AB3EF3" w14:textId="00F88B84" w:rsidR="00DC760E" w:rsidRPr="00D0186D" w:rsidRDefault="00DC760E" w:rsidP="00DC760E">
            <w:pPr>
              <w:rPr>
                <w:lang w:val="uk-UA"/>
              </w:rPr>
            </w:pPr>
            <w:r w:rsidRPr="00D0186D">
              <w:rPr>
                <w:lang w:val="uk-UA"/>
              </w:rPr>
              <w:t>витрати майбутніх періодів.</w:t>
            </w:r>
          </w:p>
          <w:p w14:paraId="747EC240" w14:textId="1A5495E1" w:rsidR="00DC760E" w:rsidRPr="00D0186D" w:rsidRDefault="00DC760E" w:rsidP="00A82A57">
            <w:pPr>
              <w:rPr>
                <w:lang w:val="uk-UA"/>
              </w:rPr>
            </w:pPr>
          </w:p>
        </w:tc>
        <w:tc>
          <w:tcPr>
            <w:tcW w:w="7937" w:type="dxa"/>
          </w:tcPr>
          <w:p w14:paraId="1780E57A" w14:textId="77777777" w:rsidR="00DC760E" w:rsidRPr="00D0186D" w:rsidRDefault="00DC760E" w:rsidP="00DC760E">
            <w:pPr>
              <w:pStyle w:val="Default"/>
              <w:jc w:val="both"/>
              <w:rPr>
                <w:color w:val="auto"/>
              </w:rPr>
            </w:pPr>
            <w:r w:rsidRPr="00D0186D">
              <w:rPr>
                <w:color w:val="auto"/>
              </w:rPr>
              <w:t xml:space="preserve">2.4. Не включаються до складу регуляторної бази активів, яка створена на дату переходу до стимулюючого регулювання: </w:t>
            </w:r>
          </w:p>
          <w:p w14:paraId="46F031E4" w14:textId="77777777" w:rsidR="00DC760E" w:rsidRPr="00D0186D" w:rsidRDefault="00DC760E" w:rsidP="00DC760E">
            <w:pPr>
              <w:pStyle w:val="Default"/>
              <w:jc w:val="both"/>
              <w:rPr>
                <w:color w:val="auto"/>
              </w:rPr>
            </w:pPr>
            <w:r w:rsidRPr="00D0186D">
              <w:rPr>
                <w:color w:val="auto"/>
              </w:rPr>
              <w:t xml:space="preserve">земельні ділянки та речові права на них; </w:t>
            </w:r>
          </w:p>
          <w:p w14:paraId="07B6D6FE" w14:textId="77777777" w:rsidR="00DC760E" w:rsidRPr="00D0186D" w:rsidRDefault="00DC760E" w:rsidP="00DC760E">
            <w:pPr>
              <w:pStyle w:val="Default"/>
              <w:jc w:val="both"/>
              <w:rPr>
                <w:color w:val="auto"/>
              </w:rPr>
            </w:pPr>
            <w:r w:rsidRPr="00D0186D">
              <w:rPr>
                <w:color w:val="auto"/>
              </w:rPr>
              <w:t xml:space="preserve">невиробничі об'єкти необоротних активів (у тому числі об'єкти соціально-культурного призначення); </w:t>
            </w:r>
          </w:p>
          <w:p w14:paraId="0C62759D" w14:textId="77777777" w:rsidR="00DC760E" w:rsidRPr="00D0186D" w:rsidRDefault="00DC760E" w:rsidP="00DC760E">
            <w:pPr>
              <w:pStyle w:val="Default"/>
              <w:jc w:val="both"/>
              <w:rPr>
                <w:color w:val="auto"/>
              </w:rPr>
            </w:pPr>
            <w:r w:rsidRPr="00D0186D">
              <w:rPr>
                <w:color w:val="auto"/>
              </w:rPr>
              <w:t xml:space="preserve">об'єкти незавершених капітальних інвестицій; </w:t>
            </w:r>
          </w:p>
          <w:p w14:paraId="3846C960" w14:textId="77777777" w:rsidR="00DC760E" w:rsidRPr="00D0186D" w:rsidRDefault="00DC760E" w:rsidP="00DC760E">
            <w:pPr>
              <w:pStyle w:val="Default"/>
              <w:jc w:val="both"/>
              <w:rPr>
                <w:color w:val="auto"/>
              </w:rPr>
            </w:pPr>
            <w:r w:rsidRPr="00D0186D">
              <w:rPr>
                <w:color w:val="auto"/>
              </w:rPr>
              <w:t xml:space="preserve">довгострокові фінансові інвестиції; </w:t>
            </w:r>
          </w:p>
          <w:p w14:paraId="0EA82A57" w14:textId="77777777" w:rsidR="00DC760E" w:rsidRPr="00D0186D" w:rsidRDefault="00DC760E" w:rsidP="00DC760E">
            <w:pPr>
              <w:pStyle w:val="Default"/>
              <w:jc w:val="both"/>
              <w:rPr>
                <w:color w:val="auto"/>
              </w:rPr>
            </w:pPr>
            <w:r w:rsidRPr="00D0186D">
              <w:rPr>
                <w:color w:val="auto"/>
              </w:rPr>
              <w:t xml:space="preserve">довгострокові біологічні активи; </w:t>
            </w:r>
          </w:p>
          <w:p w14:paraId="646D0380" w14:textId="77777777" w:rsidR="00DC760E" w:rsidRPr="00D0186D" w:rsidRDefault="00DC760E" w:rsidP="00DC760E">
            <w:pPr>
              <w:pStyle w:val="Default"/>
              <w:jc w:val="both"/>
              <w:rPr>
                <w:color w:val="auto"/>
              </w:rPr>
            </w:pPr>
            <w:r w:rsidRPr="00D0186D">
              <w:rPr>
                <w:color w:val="auto"/>
              </w:rPr>
              <w:t xml:space="preserve">довгострокова дебіторська заборгованість; </w:t>
            </w:r>
          </w:p>
          <w:p w14:paraId="452C32AC" w14:textId="77777777" w:rsidR="00DC760E" w:rsidRPr="00D0186D" w:rsidRDefault="00DC760E" w:rsidP="00DC760E">
            <w:pPr>
              <w:pStyle w:val="Default"/>
              <w:jc w:val="both"/>
              <w:rPr>
                <w:color w:val="auto"/>
              </w:rPr>
            </w:pPr>
            <w:r w:rsidRPr="00D0186D">
              <w:rPr>
                <w:color w:val="auto"/>
              </w:rPr>
              <w:t xml:space="preserve">відстрочені податкові активи; </w:t>
            </w:r>
          </w:p>
          <w:p w14:paraId="4BA0BCE9" w14:textId="77777777" w:rsidR="00DC760E" w:rsidRPr="00D0186D" w:rsidRDefault="00DC760E" w:rsidP="00DC760E">
            <w:pPr>
              <w:pStyle w:val="Default"/>
              <w:jc w:val="both"/>
              <w:rPr>
                <w:color w:val="auto"/>
              </w:rPr>
            </w:pPr>
            <w:r w:rsidRPr="00D0186D">
              <w:rPr>
                <w:color w:val="auto"/>
              </w:rPr>
              <w:t xml:space="preserve">інші необоротні активи; </w:t>
            </w:r>
          </w:p>
          <w:p w14:paraId="707C1AF9" w14:textId="77777777" w:rsidR="00DC760E" w:rsidRPr="00D0186D" w:rsidRDefault="00DC760E" w:rsidP="00DC760E">
            <w:pPr>
              <w:pStyle w:val="Default"/>
              <w:pageBreakBefore/>
              <w:jc w:val="both"/>
              <w:rPr>
                <w:color w:val="auto"/>
              </w:rPr>
            </w:pPr>
            <w:r w:rsidRPr="00D0186D">
              <w:rPr>
                <w:color w:val="auto"/>
              </w:rPr>
              <w:t xml:space="preserve">оборотні активи; </w:t>
            </w:r>
          </w:p>
          <w:p w14:paraId="6423A49C" w14:textId="6B1F7F1B" w:rsidR="00DC760E" w:rsidRPr="00D0186D" w:rsidRDefault="00DC760E" w:rsidP="00DC760E">
            <w:pPr>
              <w:rPr>
                <w:lang w:val="uk-UA"/>
              </w:rPr>
            </w:pPr>
            <w:r w:rsidRPr="00D0186D">
              <w:rPr>
                <w:lang w:val="uk-UA"/>
              </w:rPr>
              <w:t>витрати майбутніх періодів;</w:t>
            </w:r>
          </w:p>
          <w:p w14:paraId="36CABE5D" w14:textId="0FF786C0" w:rsidR="00CC7D4B" w:rsidRPr="00D0186D" w:rsidRDefault="00DC760E" w:rsidP="00A82A57">
            <w:pPr>
              <w:rPr>
                <w:b/>
                <w:bCs/>
                <w:lang w:val="uk-UA"/>
              </w:rPr>
            </w:pPr>
            <w:bookmarkStart w:id="1" w:name="_Hlk173340260"/>
            <w:r w:rsidRPr="00D0186D">
              <w:rPr>
                <w:b/>
                <w:bCs/>
                <w:lang w:val="uk-UA"/>
              </w:rPr>
              <w:t xml:space="preserve">активи, що розташовані на тимчасово окупованих територіях держави, та/або над якими втрачено </w:t>
            </w:r>
            <w:r w:rsidR="008E5308" w:rsidRPr="00D0186D">
              <w:rPr>
                <w:b/>
                <w:bCs/>
                <w:lang w:val="uk-UA"/>
              </w:rPr>
              <w:t xml:space="preserve">контроль унаслідок російської </w:t>
            </w:r>
            <w:r w:rsidRPr="00D0186D">
              <w:rPr>
                <w:b/>
                <w:bCs/>
                <w:lang w:val="uk-UA"/>
              </w:rPr>
              <w:t>військової агресії проти України.</w:t>
            </w:r>
          </w:p>
          <w:bookmarkEnd w:id="1"/>
          <w:p w14:paraId="3DEF1726" w14:textId="5E1361A5" w:rsidR="00FE184B" w:rsidRPr="00D0186D" w:rsidRDefault="00FE184B" w:rsidP="00A82A57">
            <w:pPr>
              <w:rPr>
                <w:lang w:val="uk-UA"/>
              </w:rPr>
            </w:pPr>
          </w:p>
        </w:tc>
      </w:tr>
      <w:tr w:rsidR="007419FF" w:rsidRPr="00D0186D" w14:paraId="6F62E604" w14:textId="77777777" w:rsidTr="00274934">
        <w:tc>
          <w:tcPr>
            <w:tcW w:w="7934" w:type="dxa"/>
          </w:tcPr>
          <w:p w14:paraId="656B3E91" w14:textId="77777777" w:rsidR="007419FF" w:rsidRPr="00D0186D" w:rsidRDefault="007419FF" w:rsidP="007419FF">
            <w:pPr>
              <w:shd w:val="clear" w:color="auto" w:fill="FFFFFF"/>
              <w:spacing w:after="150"/>
              <w:ind w:firstLine="450"/>
              <w:jc w:val="both"/>
              <w:rPr>
                <w:lang w:val="uk-UA" w:eastAsia="uk-UA"/>
              </w:rPr>
            </w:pPr>
            <w:r w:rsidRPr="00D0186D">
              <w:rPr>
                <w:lang w:val="uk-UA" w:eastAsia="uk-UA"/>
              </w:rPr>
              <w:t>2.8. Строк корисного використання активів, які створені на дату переходу до стимулюючого регулювання, для нарахування амортизації становить 30 років.</w:t>
            </w:r>
          </w:p>
          <w:p w14:paraId="5E4C1CFD" w14:textId="77777777" w:rsidR="007419FF" w:rsidRPr="00D0186D" w:rsidRDefault="007419FF" w:rsidP="007419FF">
            <w:pPr>
              <w:shd w:val="clear" w:color="auto" w:fill="FFFFFF"/>
              <w:spacing w:after="150"/>
              <w:ind w:firstLine="450"/>
              <w:jc w:val="both"/>
              <w:rPr>
                <w:lang w:val="uk-UA" w:eastAsia="uk-UA"/>
              </w:rPr>
            </w:pPr>
            <w:bookmarkStart w:id="2" w:name="n165"/>
            <w:bookmarkStart w:id="3" w:name="n136"/>
            <w:bookmarkEnd w:id="2"/>
            <w:bookmarkEnd w:id="3"/>
            <w:r w:rsidRPr="00D0186D">
              <w:rPr>
                <w:lang w:val="uk-UA" w:eastAsia="uk-UA"/>
              </w:rPr>
              <w:t>Річна амортизація на активи, які створені на дату переходу до стимулюючого регулювання, розраховується за формулою</w:t>
            </w:r>
          </w:p>
          <w:p w14:paraId="2900F4FF" w14:textId="6996E847" w:rsidR="007419FF" w:rsidRPr="00D0186D" w:rsidRDefault="00ED4B6B" w:rsidP="007419FF">
            <w:pPr>
              <w:ind w:right="28" w:firstLine="567"/>
              <w:jc w:val="center"/>
              <w:rPr>
                <w:b/>
                <w:i/>
                <w:lang w:val="uk-UA"/>
              </w:rPr>
            </w:pPr>
            <m:oMath>
              <m:sSup>
                <m:sSupPr>
                  <m:ctrlPr>
                    <w:rPr>
                      <w:rFonts w:ascii="Cambria Math" w:hAnsi="Cambria Math"/>
                      <w:b/>
                      <w:bCs/>
                      <w:i/>
                      <w:lang w:val="uk-UA" w:eastAsia="uk-UA"/>
                    </w:rPr>
                  </m:ctrlPr>
                </m:sSupPr>
                <m:e>
                  <m:r>
                    <m:rPr>
                      <m:sty m:val="bi"/>
                    </m:rPr>
                    <w:rPr>
                      <w:rFonts w:ascii="Cambria Math" w:hAnsi="Cambria Math"/>
                      <w:lang w:val="uk-UA" w:eastAsia="uk-UA"/>
                    </w:rPr>
                    <m:t>А</m:t>
                  </m:r>
                </m:e>
                <m:sup>
                  <m:r>
                    <m:rPr>
                      <m:sty m:val="bi"/>
                    </m:rPr>
                    <w:rPr>
                      <w:rFonts w:ascii="Cambria Math" w:hAnsi="Cambria Math"/>
                      <w:lang w:val="uk-UA" w:eastAsia="uk-UA"/>
                    </w:rPr>
                    <m:t>0</m:t>
                  </m:r>
                </m:sup>
              </m:sSup>
              <m:r>
                <m:rPr>
                  <m:sty m:val="bi"/>
                </m:rPr>
                <w:rPr>
                  <w:rFonts w:ascii="Cambria Math" w:hAnsi="Cambria Math"/>
                  <w:lang w:val="uk-UA" w:eastAsia="uk-UA"/>
                </w:rPr>
                <m:t>=</m:t>
              </m:r>
              <m:f>
                <m:fPr>
                  <m:ctrlPr>
                    <w:rPr>
                      <w:rFonts w:ascii="Cambria Math" w:hAnsi="Cambria Math"/>
                      <w:b/>
                      <w:bCs/>
                      <w:i/>
                      <w:lang w:val="uk-UA" w:eastAsia="uk-UA"/>
                    </w:rPr>
                  </m:ctrlPr>
                </m:fPr>
                <m:num>
                  <m:sSup>
                    <m:sSupPr>
                      <m:ctrlPr>
                        <w:rPr>
                          <w:rFonts w:ascii="Cambria Math" w:hAnsi="Cambria Math"/>
                          <w:b/>
                          <w:bCs/>
                          <w:i/>
                          <w:lang w:val="uk-UA" w:eastAsia="uk-UA"/>
                        </w:rPr>
                      </m:ctrlPr>
                    </m:sSupPr>
                    <m:e>
                      <m:r>
                        <m:rPr>
                          <m:sty m:val="bi"/>
                        </m:rPr>
                        <w:rPr>
                          <w:rFonts w:ascii="Cambria Math" w:hAnsi="Cambria Math"/>
                          <w:lang w:val="uk-UA" w:eastAsia="uk-UA"/>
                        </w:rPr>
                        <m:t>РБА</m:t>
                      </m:r>
                    </m:e>
                    <m:sup>
                      <m:r>
                        <m:rPr>
                          <m:sty m:val="bi"/>
                        </m:rPr>
                        <w:rPr>
                          <w:rFonts w:ascii="Cambria Math" w:hAnsi="Cambria Math"/>
                          <w:lang w:val="uk-UA" w:eastAsia="uk-UA"/>
                        </w:rPr>
                        <m:t>0</m:t>
                      </m:r>
                    </m:sup>
                  </m:sSup>
                </m:num>
                <m:den>
                  <m:r>
                    <m:rPr>
                      <m:sty m:val="bi"/>
                    </m:rPr>
                    <w:rPr>
                      <w:rFonts w:ascii="Cambria Math" w:hAnsi="Cambria Math"/>
                      <w:lang w:val="uk-UA" w:eastAsia="uk-UA"/>
                    </w:rPr>
                    <m:t>30</m:t>
                  </m:r>
                </m:den>
              </m:f>
              <m:r>
                <m:rPr>
                  <m:sty m:val="bi"/>
                </m:rPr>
                <w:rPr>
                  <w:rFonts w:ascii="Cambria Math" w:hAnsi="Cambria Math"/>
                  <w:lang w:val="uk-UA" w:eastAsia="uk-UA"/>
                </w:rPr>
                <m:t>, тис грн;</m:t>
              </m:r>
            </m:oMath>
            <w:r w:rsidR="007419FF" w:rsidRPr="00D0186D">
              <w:rPr>
                <w:b/>
                <w:lang w:val="uk-UA" w:eastAsia="uk-UA"/>
              </w:rPr>
              <w:t xml:space="preserve"> </w:t>
            </w:r>
            <w:r w:rsidR="007419FF" w:rsidRPr="00D0186D">
              <w:rPr>
                <w:b/>
                <w:lang w:val="uk-UA"/>
              </w:rPr>
              <w:tab/>
              <w:t>(2)</w:t>
            </w:r>
          </w:p>
          <w:p w14:paraId="0E0D289D" w14:textId="77777777" w:rsidR="007419FF" w:rsidRPr="00D0186D" w:rsidRDefault="007419FF" w:rsidP="00DC760E">
            <w:pPr>
              <w:pStyle w:val="Default"/>
              <w:jc w:val="both"/>
              <w:rPr>
                <w:color w:val="auto"/>
              </w:rPr>
            </w:pPr>
          </w:p>
        </w:tc>
        <w:tc>
          <w:tcPr>
            <w:tcW w:w="7937" w:type="dxa"/>
          </w:tcPr>
          <w:p w14:paraId="6BA4746B" w14:textId="77777777" w:rsidR="007419FF" w:rsidRPr="00D0186D" w:rsidRDefault="007419FF" w:rsidP="007419FF">
            <w:pPr>
              <w:shd w:val="clear" w:color="auto" w:fill="FFFFFF"/>
              <w:spacing w:after="150"/>
              <w:ind w:firstLine="450"/>
              <w:jc w:val="both"/>
              <w:rPr>
                <w:b/>
                <w:lang w:val="uk-UA" w:eastAsia="uk-UA"/>
              </w:rPr>
            </w:pPr>
            <w:r w:rsidRPr="00D0186D">
              <w:rPr>
                <w:b/>
                <w:lang w:val="uk-UA" w:eastAsia="uk-UA"/>
              </w:rPr>
              <w:t>2.8. Строк корисного використання активів, які створені на дату переходу до стимулюючого регулювання, для нарахування амортизації становить 30 років.</w:t>
            </w:r>
          </w:p>
          <w:p w14:paraId="1F1321D6" w14:textId="77777777" w:rsidR="007419FF" w:rsidRPr="00D0186D" w:rsidRDefault="007419FF" w:rsidP="007419FF">
            <w:pPr>
              <w:shd w:val="clear" w:color="auto" w:fill="FFFFFF"/>
              <w:spacing w:after="150"/>
              <w:ind w:firstLine="450"/>
              <w:jc w:val="both"/>
              <w:rPr>
                <w:b/>
                <w:lang w:val="uk-UA" w:eastAsia="uk-UA"/>
              </w:rPr>
            </w:pPr>
            <w:r w:rsidRPr="00D0186D">
              <w:rPr>
                <w:b/>
                <w:lang w:val="uk-UA" w:eastAsia="uk-UA"/>
              </w:rPr>
              <w:t>Річна амортизація на активи, які створені на дату переходу до стимулюючого регулювання, розраховується за формулою:</w:t>
            </w:r>
          </w:p>
          <w:p w14:paraId="3C05D70C" w14:textId="77777777" w:rsidR="007419FF" w:rsidRPr="00D0186D" w:rsidRDefault="007419FF" w:rsidP="007419FF">
            <w:pPr>
              <w:shd w:val="clear" w:color="auto" w:fill="FFFFFF"/>
              <w:spacing w:after="150"/>
              <w:ind w:firstLine="450"/>
              <w:jc w:val="both"/>
              <w:rPr>
                <w:b/>
                <w:lang w:val="uk-UA" w:eastAsia="uk-UA"/>
              </w:rPr>
            </w:pPr>
            <w:r w:rsidRPr="00D0186D">
              <w:rPr>
                <w:b/>
                <w:lang w:val="uk-UA" w:eastAsia="uk-UA"/>
              </w:rPr>
              <w:t>для першого року першого регуляторного періоду:</w:t>
            </w:r>
          </w:p>
          <w:p w14:paraId="4717CC10" w14:textId="7D032F41" w:rsidR="007419FF" w:rsidRPr="00D0186D" w:rsidRDefault="00ED4B6B" w:rsidP="007419FF">
            <w:pPr>
              <w:ind w:right="28" w:firstLine="567"/>
              <w:jc w:val="center"/>
              <w:rPr>
                <w:b/>
                <w:i/>
                <w:lang w:val="uk-UA"/>
              </w:rPr>
            </w:pPr>
            <m:oMath>
              <m:sSup>
                <m:sSupPr>
                  <m:ctrlPr>
                    <w:rPr>
                      <w:rFonts w:ascii="Cambria Math" w:hAnsi="Cambria Math"/>
                      <w:b/>
                      <w:bCs/>
                      <w:i/>
                      <w:lang w:val="uk-UA" w:eastAsia="uk-UA"/>
                    </w:rPr>
                  </m:ctrlPr>
                </m:sSupPr>
                <m:e>
                  <m:r>
                    <m:rPr>
                      <m:sty m:val="bi"/>
                    </m:rPr>
                    <w:rPr>
                      <w:rFonts w:ascii="Cambria Math" w:hAnsi="Cambria Math"/>
                      <w:lang w:val="uk-UA" w:eastAsia="uk-UA"/>
                    </w:rPr>
                    <m:t>А</m:t>
                  </m:r>
                </m:e>
                <m:sup>
                  <m:r>
                    <m:rPr>
                      <m:sty m:val="bi"/>
                    </m:rPr>
                    <w:rPr>
                      <w:rFonts w:ascii="Cambria Math" w:hAnsi="Cambria Math"/>
                      <w:lang w:val="uk-UA" w:eastAsia="uk-UA"/>
                    </w:rPr>
                    <m:t>0</m:t>
                  </m:r>
                </m:sup>
              </m:sSup>
              <m:r>
                <m:rPr>
                  <m:sty m:val="bi"/>
                </m:rPr>
                <w:rPr>
                  <w:rFonts w:ascii="Cambria Math" w:hAnsi="Cambria Math"/>
                  <w:lang w:val="uk-UA" w:eastAsia="uk-UA"/>
                </w:rPr>
                <m:t>=</m:t>
              </m:r>
              <m:f>
                <m:fPr>
                  <m:ctrlPr>
                    <w:rPr>
                      <w:rFonts w:ascii="Cambria Math" w:hAnsi="Cambria Math"/>
                      <w:b/>
                      <w:bCs/>
                      <w:i/>
                      <w:lang w:val="uk-UA" w:eastAsia="uk-UA"/>
                    </w:rPr>
                  </m:ctrlPr>
                </m:fPr>
                <m:num>
                  <m:sSup>
                    <m:sSupPr>
                      <m:ctrlPr>
                        <w:rPr>
                          <w:rFonts w:ascii="Cambria Math" w:hAnsi="Cambria Math"/>
                          <w:b/>
                          <w:bCs/>
                          <w:i/>
                          <w:lang w:val="uk-UA" w:eastAsia="uk-UA"/>
                        </w:rPr>
                      </m:ctrlPr>
                    </m:sSupPr>
                    <m:e>
                      <m:r>
                        <m:rPr>
                          <m:sty m:val="bi"/>
                        </m:rPr>
                        <w:rPr>
                          <w:rFonts w:ascii="Cambria Math" w:hAnsi="Cambria Math"/>
                          <w:lang w:val="uk-UA" w:eastAsia="uk-UA"/>
                        </w:rPr>
                        <m:t>РБА</m:t>
                      </m:r>
                    </m:e>
                    <m:sup>
                      <m:r>
                        <m:rPr>
                          <m:sty m:val="bi"/>
                        </m:rPr>
                        <w:rPr>
                          <w:rFonts w:ascii="Cambria Math" w:hAnsi="Cambria Math"/>
                          <w:lang w:val="uk-UA" w:eastAsia="uk-UA"/>
                        </w:rPr>
                        <m:t>0</m:t>
                      </m:r>
                    </m:sup>
                  </m:sSup>
                </m:num>
                <m:den>
                  <m:r>
                    <m:rPr>
                      <m:sty m:val="bi"/>
                    </m:rPr>
                    <w:rPr>
                      <w:rFonts w:ascii="Cambria Math" w:hAnsi="Cambria Math"/>
                      <w:lang w:val="uk-UA" w:eastAsia="uk-UA"/>
                    </w:rPr>
                    <m:t>30</m:t>
                  </m:r>
                </m:den>
              </m:f>
              <m:r>
                <m:rPr>
                  <m:sty m:val="bi"/>
                </m:rPr>
                <w:rPr>
                  <w:rFonts w:ascii="Cambria Math" w:hAnsi="Cambria Math"/>
                  <w:lang w:val="uk-UA" w:eastAsia="uk-UA"/>
                </w:rPr>
                <m:t>, тис грн;</m:t>
              </m:r>
            </m:oMath>
            <w:r w:rsidR="007419FF" w:rsidRPr="00D0186D">
              <w:rPr>
                <w:b/>
                <w:lang w:val="uk-UA" w:eastAsia="uk-UA"/>
              </w:rPr>
              <w:t xml:space="preserve"> </w:t>
            </w:r>
            <w:r w:rsidR="007419FF" w:rsidRPr="00D0186D">
              <w:rPr>
                <w:b/>
                <w:lang w:val="uk-UA"/>
              </w:rPr>
              <w:tab/>
              <w:t>(2)</w:t>
            </w:r>
          </w:p>
          <w:p w14:paraId="76FC6072" w14:textId="77777777" w:rsidR="007419FF" w:rsidRPr="00D0186D" w:rsidRDefault="007419FF" w:rsidP="007419FF">
            <w:pPr>
              <w:shd w:val="clear" w:color="auto" w:fill="FFFFFF"/>
              <w:spacing w:after="150"/>
              <w:jc w:val="both"/>
              <w:rPr>
                <w:b/>
                <w:lang w:val="uk-UA" w:eastAsia="uk-UA"/>
              </w:rPr>
            </w:pPr>
          </w:p>
          <w:p w14:paraId="4B0CDF10" w14:textId="77777777" w:rsidR="007419FF" w:rsidRPr="00D0186D" w:rsidRDefault="007419FF" w:rsidP="007419FF">
            <w:pPr>
              <w:shd w:val="clear" w:color="auto" w:fill="FFFFFF"/>
              <w:spacing w:after="150"/>
              <w:ind w:firstLine="450"/>
              <w:jc w:val="both"/>
              <w:rPr>
                <w:b/>
                <w:bCs/>
                <w:lang w:val="uk-UA" w:eastAsia="uk-UA"/>
              </w:rPr>
            </w:pPr>
            <w:r w:rsidRPr="00D0186D">
              <w:rPr>
                <w:b/>
                <w:bCs/>
                <w:lang w:val="uk-UA" w:eastAsia="uk-UA"/>
              </w:rPr>
              <w:t xml:space="preserve">для наступних років:  </w:t>
            </w:r>
          </w:p>
          <w:p w14:paraId="47D64726" w14:textId="30E3F934" w:rsidR="007419FF" w:rsidRPr="00D0186D" w:rsidRDefault="007419FF" w:rsidP="007419FF">
            <w:pPr>
              <w:ind w:right="28" w:firstLine="567"/>
              <w:jc w:val="center"/>
              <w:rPr>
                <w:b/>
                <w:i/>
                <w:lang w:val="uk-UA"/>
              </w:rPr>
            </w:pPr>
            <w:r w:rsidRPr="00D0186D">
              <w:rPr>
                <w:b/>
                <w:noProof/>
                <w:lang w:val="uk-UA" w:eastAsia="uk-UA"/>
              </w:rPr>
              <w:drawing>
                <wp:inline distT="0" distB="0" distL="0" distR="0" wp14:anchorId="2FBFB71A" wp14:editId="68E01B1D">
                  <wp:extent cx="136525" cy="259080"/>
                  <wp:effectExtent l="0" t="0" r="0" b="7620"/>
                  <wp:docPr id="2141187079" name="Рисунок 4">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525" cy="259080"/>
                          </a:xfrm>
                          <a:prstGeom prst="rect">
                            <a:avLst/>
                          </a:prstGeom>
                          <a:noFill/>
                          <a:ln>
                            <a:noFill/>
                          </a:ln>
                        </pic:spPr>
                      </pic:pic>
                    </a:graphicData>
                  </a:graphic>
                </wp:inline>
              </w:drawing>
            </w:r>
            <m:oMath>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t</m:t>
                  </m:r>
                </m:sub>
                <m:sup>
                  <m:r>
                    <m:rPr>
                      <m:sty m:val="bi"/>
                    </m:rPr>
                    <w:rPr>
                      <w:rFonts w:ascii="Cambria Math" w:hAnsi="Cambria Math"/>
                      <w:lang w:val="uk-UA"/>
                    </w:rPr>
                    <m:t>0</m:t>
                  </m:r>
                </m:sup>
              </m:sSubSup>
              <m:r>
                <m:rPr>
                  <m:sty m:val="bi"/>
                </m:rPr>
                <w:rPr>
                  <w:rFonts w:ascii="Cambria Math" w:hAnsi="Cambria Math"/>
                  <w:lang w:val="uk-UA"/>
                </w:rPr>
                <m:t>=</m:t>
              </m:r>
              <m:f>
                <m:fPr>
                  <m:ctrlPr>
                    <w:rPr>
                      <w:rFonts w:ascii="Cambria Math" w:hAnsi="Cambria Math"/>
                      <w:b/>
                      <w:i/>
                      <w:lang w:val="uk-UA"/>
                    </w:rPr>
                  </m:ctrlPr>
                </m:fPr>
                <m:num>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t</m:t>
                      </m:r>
                    </m:sub>
                    <m:sup>
                      <m:r>
                        <m:rPr>
                          <m:sty m:val="bi"/>
                        </m:rPr>
                        <w:rPr>
                          <w:rFonts w:ascii="Cambria Math" w:hAnsi="Cambria Math"/>
                          <w:lang w:val="uk-UA"/>
                        </w:rPr>
                        <m:t>0пп</m:t>
                      </m:r>
                    </m:sup>
                  </m:sSubSup>
                </m:num>
                <m:den>
                  <m:r>
                    <m:rPr>
                      <m:sty m:val="bi"/>
                    </m:rPr>
                    <w:rPr>
                      <w:rFonts w:ascii="Cambria Math" w:hAnsi="Cambria Math"/>
                      <w:lang w:val="uk-UA"/>
                    </w:rPr>
                    <m:t>30</m:t>
                  </m:r>
                </m:den>
              </m:f>
              <m:r>
                <m:rPr>
                  <m:sty m:val="bi"/>
                </m:rPr>
                <w:rPr>
                  <w:rFonts w:ascii="Cambria Math" w:hAnsi="Cambria Math"/>
                  <w:lang w:val="uk-UA"/>
                </w:rPr>
                <m:t>, тис грн,</m:t>
              </m:r>
            </m:oMath>
            <w:r w:rsidRPr="00D0186D">
              <w:rPr>
                <w:b/>
                <w:lang w:val="uk-UA"/>
              </w:rPr>
              <w:tab/>
              <w:t>(3)</w:t>
            </w:r>
          </w:p>
          <w:p w14:paraId="02744A96" w14:textId="77777777" w:rsidR="007419FF" w:rsidRPr="00D0186D" w:rsidRDefault="007419FF" w:rsidP="007419FF">
            <w:pPr>
              <w:jc w:val="center"/>
              <w:rPr>
                <w:b/>
                <w:noProof/>
                <w:lang w:val="uk-UA"/>
              </w:rPr>
            </w:pPr>
          </w:p>
          <w:p w14:paraId="0432D7E3" w14:textId="2C2D6270" w:rsidR="00060136" w:rsidRPr="00D0186D" w:rsidRDefault="00060136" w:rsidP="007419FF">
            <w:pPr>
              <w:jc w:val="both"/>
              <w:rPr>
                <w:b/>
                <w:bCs/>
                <w:lang w:val="uk-UA" w:eastAsia="uk-UA"/>
              </w:rPr>
            </w:pPr>
            <w:r w:rsidRPr="00D0186D">
              <w:rPr>
                <w:b/>
                <w:lang w:val="uk-UA"/>
              </w:rPr>
              <w:t xml:space="preserve">де </w:t>
            </w:r>
            <m:oMath>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t</m:t>
                  </m:r>
                </m:sub>
                <m:sup>
                  <m:r>
                    <m:rPr>
                      <m:sty m:val="bi"/>
                    </m:rPr>
                    <w:rPr>
                      <w:rFonts w:ascii="Cambria Math" w:hAnsi="Cambria Math"/>
                      <w:lang w:val="uk-UA"/>
                    </w:rPr>
                    <m:t>0 пп</m:t>
                  </m:r>
                </m:sup>
              </m:sSubSup>
            </m:oMath>
            <w:r w:rsidRPr="00D0186D">
              <w:rPr>
                <w:b/>
                <w:lang w:val="uk-UA"/>
              </w:rPr>
              <w:t xml:space="preserve"> </w:t>
            </w:r>
            <w:r w:rsidR="00E01361" w:rsidRPr="00D0186D">
              <w:rPr>
                <w:b/>
                <w:lang w:val="uk-UA"/>
              </w:rPr>
              <w:t>– регуляторна база активів, яка створена на дату переходу до стимулюючого регулювання, що з року, наступного після переходу до стимулюючого регулювання, визначається на підставі переоціненої/первісної вартості активів за формулою</w:t>
            </w:r>
          </w:p>
          <w:p w14:paraId="25A633FF" w14:textId="77777777" w:rsidR="00060136" w:rsidRPr="00D0186D" w:rsidRDefault="00060136" w:rsidP="007419FF">
            <w:pPr>
              <w:jc w:val="both"/>
              <w:rPr>
                <w:b/>
                <w:bCs/>
                <w:lang w:val="uk-UA" w:eastAsia="uk-UA"/>
              </w:rPr>
            </w:pPr>
          </w:p>
          <w:p w14:paraId="59247B2E" w14:textId="77777777" w:rsidR="007419FF" w:rsidRPr="00D0186D" w:rsidRDefault="007419FF" w:rsidP="007419FF">
            <w:pPr>
              <w:jc w:val="both"/>
              <w:rPr>
                <w:b/>
                <w:bCs/>
                <w:lang w:val="uk-UA" w:eastAsia="uk-UA"/>
              </w:rPr>
            </w:pPr>
            <w:r w:rsidRPr="00D0186D">
              <w:rPr>
                <w:b/>
                <w:bCs/>
                <w:lang w:val="uk-UA" w:eastAsia="uk-UA"/>
              </w:rPr>
              <w:t>у році, наступному після переходу до стимулюючого регулювання:</w:t>
            </w:r>
          </w:p>
          <w:p w14:paraId="6796744B" w14:textId="77777777" w:rsidR="007419FF" w:rsidRPr="00D0186D" w:rsidRDefault="007419FF" w:rsidP="007419FF">
            <w:pPr>
              <w:ind w:right="28" w:firstLine="567"/>
              <w:jc w:val="center"/>
              <w:rPr>
                <w:b/>
                <w:lang w:val="uk-UA"/>
              </w:rPr>
            </w:pPr>
          </w:p>
          <w:p w14:paraId="11F84042" w14:textId="6C207F8C" w:rsidR="007419FF" w:rsidRPr="00D0186D" w:rsidRDefault="00E01361" w:rsidP="007419FF">
            <w:pPr>
              <w:ind w:right="28"/>
              <w:jc w:val="center"/>
              <w:rPr>
                <w:b/>
                <w:i/>
                <w:lang w:val="uk-UA"/>
              </w:rPr>
            </w:pPr>
            <m:oMath>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t</m:t>
                  </m:r>
                </m:sub>
                <m:sup>
                  <m:r>
                    <m:rPr>
                      <m:sty m:val="bi"/>
                    </m:rPr>
                    <w:rPr>
                      <w:rFonts w:ascii="Cambria Math" w:hAnsi="Cambria Math"/>
                      <w:lang w:val="uk-UA"/>
                    </w:rPr>
                    <m:t>0 пп</m:t>
                  </m:r>
                </m:sup>
              </m:sSubSup>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sup>
                  <m:r>
                    <m:rPr>
                      <m:sty m:val="bi"/>
                    </m:rPr>
                    <w:rPr>
                      <w:rFonts w:ascii="Cambria Math" w:hAnsi="Cambria Math"/>
                      <w:lang w:val="uk-UA"/>
                    </w:rPr>
                    <m:t>0</m:t>
                  </m:r>
                </m:sup>
              </m:sSubSup>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I</m:t>
                  </m:r>
                </m:e>
                <m:sub>
                  <m:r>
                    <m:rPr>
                      <m:sty m:val="bi"/>
                    </m:rPr>
                    <w:rPr>
                      <w:rFonts w:ascii="Cambria Math" w:hAnsi="Cambria Math"/>
                      <w:lang w:val="uk-UA"/>
                    </w:rPr>
                    <m:t>t-1</m:t>
                  </m:r>
                </m:sub>
                <m:sup>
                  <m:r>
                    <m:rPr>
                      <m:sty m:val="bi"/>
                    </m:rPr>
                    <w:rPr>
                      <w:rFonts w:ascii="Cambria Math" w:hAnsi="Cambria Math"/>
                      <w:lang w:val="uk-UA"/>
                    </w:rPr>
                    <m:t>0 п</m:t>
                  </m:r>
                </m:sup>
              </m:sSubSup>
              <m:r>
                <m:rPr>
                  <m:sty m:val="bi"/>
                </m:rPr>
                <w:rPr>
                  <w:rFonts w:ascii="Cambria Math" w:hAnsi="Cambria Math"/>
                  <w:lang w:val="uk-UA"/>
                </w:rPr>
                <m:t>-B</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t-1</m:t>
                  </m:r>
                </m:sub>
                <m:sup>
                  <m:r>
                    <m:rPr>
                      <m:sty m:val="bi"/>
                    </m:rPr>
                    <w:rPr>
                      <w:rFonts w:ascii="Cambria Math" w:hAnsi="Cambria Math"/>
                      <w:lang w:val="uk-UA"/>
                    </w:rPr>
                    <m:t>0 п</m:t>
                  </m:r>
                </m:sup>
              </m:sSubSup>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I</m:t>
                  </m:r>
                </m:e>
                <m:sub>
                  <m:r>
                    <m:rPr>
                      <m:sty m:val="bi"/>
                    </m:rPr>
                    <w:rPr>
                      <w:rFonts w:ascii="Cambria Math" w:hAnsi="Cambria Math"/>
                      <w:lang w:val="uk-UA"/>
                    </w:rPr>
                    <m:t>ВП t-1</m:t>
                  </m:r>
                </m:sub>
                <m:sup>
                  <m:r>
                    <m:rPr>
                      <m:sty m:val="bi"/>
                    </m:rPr>
                    <w:rPr>
                      <w:rFonts w:ascii="Cambria Math" w:hAnsi="Cambria Math"/>
                      <w:lang w:val="uk-UA"/>
                    </w:rPr>
                    <m:t>0 п</m:t>
                  </m:r>
                </m:sup>
              </m:sSubSup>
            </m:oMath>
            <w:r w:rsidR="007419FF" w:rsidRPr="00D0186D">
              <w:rPr>
                <w:b/>
                <w:lang w:val="uk-UA"/>
              </w:rPr>
              <w:t>, тис. грн,</w:t>
            </w:r>
            <w:r w:rsidR="007419FF" w:rsidRPr="00D0186D">
              <w:rPr>
                <w:b/>
                <w:lang w:val="uk-UA"/>
              </w:rPr>
              <w:tab/>
            </w:r>
            <w:r w:rsidR="007419FF" w:rsidRPr="00D0186D">
              <w:rPr>
                <w:b/>
                <w:lang w:val="uk-UA"/>
              </w:rPr>
              <w:tab/>
              <w:t>(4)</w:t>
            </w:r>
          </w:p>
          <w:p w14:paraId="7BC5E3BD" w14:textId="77777777" w:rsidR="007419FF" w:rsidRPr="00D0186D" w:rsidRDefault="007419FF" w:rsidP="007419FF">
            <w:pPr>
              <w:jc w:val="both"/>
              <w:rPr>
                <w:b/>
                <w:bCs/>
                <w:lang w:val="uk-UA" w:eastAsia="uk-UA"/>
              </w:rPr>
            </w:pPr>
          </w:p>
          <w:p w14:paraId="71BEB99A" w14:textId="77777777" w:rsidR="007419FF" w:rsidRPr="00D0186D" w:rsidRDefault="007419FF" w:rsidP="007419FF">
            <w:pPr>
              <w:jc w:val="both"/>
              <w:rPr>
                <w:b/>
                <w:bCs/>
                <w:lang w:val="uk-UA" w:eastAsia="uk-UA"/>
              </w:rPr>
            </w:pPr>
            <w:r w:rsidRPr="00D0186D">
              <w:rPr>
                <w:b/>
                <w:bCs/>
                <w:lang w:val="uk-UA" w:eastAsia="uk-UA"/>
              </w:rPr>
              <w:t>для наступних років:</w:t>
            </w:r>
          </w:p>
          <w:p w14:paraId="3CE3312C" w14:textId="77777777" w:rsidR="007419FF" w:rsidRPr="00D0186D" w:rsidRDefault="007419FF" w:rsidP="007419FF">
            <w:pPr>
              <w:ind w:right="28" w:firstLine="567"/>
              <w:jc w:val="center"/>
              <w:rPr>
                <w:b/>
                <w:lang w:val="uk-UA"/>
              </w:rPr>
            </w:pPr>
          </w:p>
          <w:p w14:paraId="72E231EF" w14:textId="2E1C0A0C" w:rsidR="007419FF" w:rsidRPr="00D0186D" w:rsidRDefault="00E01361" w:rsidP="007419FF">
            <w:pPr>
              <w:ind w:right="28" w:firstLine="567"/>
              <w:jc w:val="center"/>
              <w:rPr>
                <w:b/>
                <w:lang w:val="uk-UA"/>
              </w:rPr>
            </w:pPr>
            <m:oMath>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t</m:t>
                  </m:r>
                </m:sub>
                <m:sup>
                  <m:r>
                    <m:rPr>
                      <m:sty m:val="bi"/>
                    </m:rPr>
                    <w:rPr>
                      <w:rFonts w:ascii="Cambria Math" w:hAnsi="Cambria Math"/>
                      <w:lang w:val="uk-UA"/>
                    </w:rPr>
                    <m:t>0 пп</m:t>
                  </m:r>
                </m:sup>
              </m:sSubSup>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t-1</m:t>
                  </m:r>
                </m:sub>
                <m:sup>
                  <m:r>
                    <m:rPr>
                      <m:sty m:val="bi"/>
                    </m:rPr>
                    <w:rPr>
                      <w:rFonts w:ascii="Cambria Math" w:hAnsi="Cambria Math"/>
                      <w:lang w:val="uk-UA"/>
                    </w:rPr>
                    <m:t>0пп</m:t>
                  </m:r>
                </m:sup>
              </m:sSubSup>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І</m:t>
                  </m:r>
                </m:e>
                <m:sub>
                  <m:r>
                    <m:rPr>
                      <m:sty m:val="bi"/>
                    </m:rPr>
                    <w:rPr>
                      <w:rFonts w:ascii="Cambria Math" w:hAnsi="Cambria Math"/>
                      <w:lang w:val="uk-UA"/>
                    </w:rPr>
                    <m:t>t-1</m:t>
                  </m:r>
                </m:sub>
                <m:sup>
                  <m:r>
                    <m:rPr>
                      <m:sty m:val="bi"/>
                    </m:rPr>
                    <w:rPr>
                      <w:rFonts w:ascii="Cambria Math" w:hAnsi="Cambria Math"/>
                      <w:lang w:val="uk-UA"/>
                    </w:rPr>
                    <m:t>0 п</m:t>
                  </m:r>
                </m:sup>
              </m:sSubSup>
              <m:r>
                <m:rPr>
                  <m:sty m:val="bi"/>
                </m:rPr>
                <w:rPr>
                  <w:rFonts w:ascii="Cambria Math" w:hAnsi="Cambria Math"/>
                  <w:lang w:val="uk-UA"/>
                </w:rPr>
                <m:t>-B</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t-1</m:t>
                  </m:r>
                </m:sub>
                <m:sup>
                  <m:r>
                    <m:rPr>
                      <m:sty m:val="bi"/>
                    </m:rPr>
                    <w:rPr>
                      <w:rFonts w:ascii="Cambria Math" w:hAnsi="Cambria Math"/>
                      <w:lang w:val="uk-UA"/>
                    </w:rPr>
                    <m:t>0 п</m:t>
                  </m:r>
                </m:sup>
              </m:sSubSup>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I</m:t>
                  </m:r>
                </m:e>
                <m:sub>
                  <m:r>
                    <m:rPr>
                      <m:sty m:val="bi"/>
                    </m:rPr>
                    <w:rPr>
                      <w:rFonts w:ascii="Cambria Math" w:hAnsi="Cambria Math"/>
                      <w:lang w:val="uk-UA"/>
                    </w:rPr>
                    <m:t>ВП t-1</m:t>
                  </m:r>
                </m:sub>
                <m:sup>
                  <m:r>
                    <m:rPr>
                      <m:sty m:val="bi"/>
                    </m:rPr>
                    <w:rPr>
                      <w:rFonts w:ascii="Cambria Math" w:hAnsi="Cambria Math"/>
                      <w:lang w:val="uk-UA"/>
                    </w:rPr>
                    <m:t>0 п</m:t>
                  </m:r>
                </m:sup>
              </m:sSubSup>
            </m:oMath>
            <w:r w:rsidR="007419FF" w:rsidRPr="00D0186D">
              <w:rPr>
                <w:b/>
                <w:lang w:val="uk-UA"/>
              </w:rPr>
              <w:t>, тис. грн,</w:t>
            </w:r>
            <w:r w:rsidR="007419FF" w:rsidRPr="00D0186D">
              <w:rPr>
                <w:b/>
                <w:lang w:val="uk-UA"/>
              </w:rPr>
              <w:tab/>
              <w:t>(5)</w:t>
            </w:r>
          </w:p>
          <w:p w14:paraId="6AA28C91" w14:textId="77777777" w:rsidR="007419FF" w:rsidRPr="00D0186D" w:rsidRDefault="007419FF" w:rsidP="007419FF">
            <w:pPr>
              <w:ind w:right="28" w:firstLine="567"/>
              <w:jc w:val="center"/>
              <w:rPr>
                <w:b/>
                <w:lang w:val="uk-UA"/>
              </w:rPr>
            </w:pPr>
          </w:p>
          <w:p w14:paraId="78F7827F" w14:textId="77777777" w:rsidR="007419FF" w:rsidRPr="00D0186D" w:rsidRDefault="007419FF" w:rsidP="007419FF">
            <w:pPr>
              <w:ind w:right="28" w:firstLine="567"/>
              <w:rPr>
                <w:b/>
                <w:lang w:val="uk-UA"/>
              </w:rPr>
            </w:pPr>
            <w:r w:rsidRPr="00D0186D">
              <w:rPr>
                <w:b/>
                <w:lang w:val="uk-UA"/>
              </w:rPr>
              <w:t>де</w:t>
            </w:r>
          </w:p>
          <w:p w14:paraId="4A562A96" w14:textId="77777777" w:rsidR="007419FF" w:rsidRPr="00D0186D" w:rsidRDefault="007419FF" w:rsidP="007419FF">
            <w:pPr>
              <w:ind w:right="28" w:firstLine="567"/>
              <w:rPr>
                <w:b/>
                <w:lang w:val="uk-UA"/>
              </w:rPr>
            </w:pPr>
          </w:p>
          <w:p w14:paraId="7596D059" w14:textId="21A17D5B" w:rsidR="00DD3D06" w:rsidRPr="00D0186D" w:rsidRDefault="00ED4B6B" w:rsidP="00DD3D06">
            <w:pPr>
              <w:ind w:right="28" w:firstLine="709"/>
              <w:jc w:val="both"/>
              <w:rPr>
                <w:b/>
                <w:bCs/>
                <w:lang w:val="uk-UA"/>
              </w:rPr>
            </w:pPr>
            <m:oMath>
              <m:sSubSup>
                <m:sSubSupPr>
                  <m:ctrlPr>
                    <w:rPr>
                      <w:rFonts w:ascii="Cambria Math" w:hAnsi="Cambria Math"/>
                      <w:b/>
                      <w:i/>
                      <w:lang w:val="uk-UA"/>
                    </w:rPr>
                  </m:ctrlPr>
                </m:sSubSupPr>
                <m:e>
                  <m:r>
                    <m:rPr>
                      <m:sty m:val="bi"/>
                    </m:rPr>
                    <w:rPr>
                      <w:rFonts w:ascii="Cambria Math" w:hAnsi="Cambria Math"/>
                      <w:lang w:val="uk-UA"/>
                    </w:rPr>
                    <m:t>I</m:t>
                  </m:r>
                </m:e>
                <m:sub>
                  <m:r>
                    <m:rPr>
                      <m:sty m:val="bi"/>
                    </m:rPr>
                    <w:rPr>
                      <w:rFonts w:ascii="Cambria Math" w:hAnsi="Cambria Math"/>
                      <w:lang w:val="uk-UA"/>
                    </w:rPr>
                    <m:t>t-1</m:t>
                  </m:r>
                </m:sub>
                <m:sup>
                  <m:r>
                    <m:rPr>
                      <m:sty m:val="bi"/>
                    </m:rPr>
                    <w:rPr>
                      <w:rFonts w:ascii="Cambria Math" w:hAnsi="Cambria Math"/>
                      <w:lang w:val="uk-UA"/>
                    </w:rPr>
                    <m:t>0 п</m:t>
                  </m:r>
                </m:sup>
              </m:sSubSup>
            </m:oMath>
            <w:r w:rsidR="00DD3D06" w:rsidRPr="00D0186D">
              <w:rPr>
                <w:b/>
                <w:bCs/>
                <w:lang w:val="uk-UA"/>
              </w:rPr>
              <w:t xml:space="preserve"> – </w:t>
            </w:r>
            <w:r w:rsidR="00E01361" w:rsidRPr="00D0186D">
              <w:rPr>
                <w:b/>
                <w:bCs/>
                <w:lang w:val="uk-UA"/>
              </w:rPr>
              <w:t xml:space="preserve">первісна вартість активів, створених відповідно до інвестиційної програми, затвердженої, погодженої та схваленої відповідно до Порядку формування інвестиційних програм, у році t-1 (для ліцензіатів, перелік яких наведено в додатку 30 до Порядку № 1175, на 2025 рік </w:t>
            </w:r>
            <w:r w:rsidR="00E01361" w:rsidRPr="00D0186D">
              <w:rPr>
                <w:b/>
                <w:lang w:val="uk-UA"/>
              </w:rPr>
              <w:t>–</w:t>
            </w:r>
            <w:r w:rsidR="00E01361" w:rsidRPr="00D0186D">
              <w:rPr>
                <w:b/>
                <w:bCs/>
                <w:lang w:val="uk-UA"/>
              </w:rPr>
              <w:t xml:space="preserve"> первісна вартість активів, створених відповідно до пунктів 2.5, 2.6 цього порядку у період від дати переходу на стимулююче регулювання по рік t-1 (включно), що не були враховані у діючих тарифах), тис. грн;</w:t>
            </w:r>
          </w:p>
          <w:p w14:paraId="643C4A6F" w14:textId="77777777" w:rsidR="00E1575C" w:rsidRPr="00D0186D" w:rsidRDefault="00E1575C" w:rsidP="007E454C">
            <w:pPr>
              <w:ind w:right="28" w:firstLine="709"/>
              <w:jc w:val="both"/>
              <w:rPr>
                <w:b/>
                <w:bCs/>
                <w:lang w:val="uk-UA"/>
              </w:rPr>
            </w:pPr>
          </w:p>
          <w:p w14:paraId="1212C832" w14:textId="77777777" w:rsidR="00DD3D06" w:rsidRPr="00D0186D" w:rsidRDefault="00DD3D06" w:rsidP="007E454C">
            <w:pPr>
              <w:ind w:right="28" w:firstLine="709"/>
              <w:jc w:val="both"/>
              <w:rPr>
                <w:b/>
                <w:bCs/>
                <w:lang w:val="uk-UA"/>
              </w:rPr>
            </w:pPr>
          </w:p>
          <w:p w14:paraId="2D9486AB" w14:textId="5B469ABD" w:rsidR="00E01361" w:rsidRPr="00D0186D" w:rsidRDefault="00E01361" w:rsidP="007E454C">
            <w:pPr>
              <w:pStyle w:val="tj"/>
              <w:spacing w:before="0" w:beforeAutospacing="0" w:after="0" w:afterAutospacing="0"/>
              <w:ind w:firstLine="709"/>
              <w:jc w:val="both"/>
              <w:rPr>
                <w:b/>
                <w:bCs/>
              </w:rPr>
            </w:pPr>
            <m:oMath>
              <m:r>
                <m:rPr>
                  <m:sty m:val="bi"/>
                </m:rPr>
                <w:rPr>
                  <w:rFonts w:ascii="Cambria Math" w:hAnsi="Cambria Math"/>
                </w:rPr>
                <m:t>B</m:t>
              </m:r>
              <m:sSubSup>
                <m:sSubSupPr>
                  <m:ctrlPr>
                    <w:rPr>
                      <w:rFonts w:ascii="Cambria Math" w:hAnsi="Cambria Math"/>
                      <w:b/>
                      <w:i/>
                    </w:rPr>
                  </m:ctrlPr>
                </m:sSubSupPr>
                <m:e>
                  <m:r>
                    <m:rPr>
                      <m:sty m:val="bi"/>
                    </m:rPr>
                    <w:rPr>
                      <w:rFonts w:ascii="Cambria Math" w:hAnsi="Cambria Math"/>
                    </w:rPr>
                    <m:t>А</m:t>
                  </m:r>
                </m:e>
                <m:sub>
                  <m:r>
                    <m:rPr>
                      <m:sty m:val="bi"/>
                    </m:rPr>
                    <w:rPr>
                      <w:rFonts w:ascii="Cambria Math" w:hAnsi="Cambria Math"/>
                    </w:rPr>
                    <m:t>t-1</m:t>
                  </m:r>
                </m:sub>
                <m:sup>
                  <m:r>
                    <m:rPr>
                      <m:sty m:val="bi"/>
                    </m:rPr>
                    <w:rPr>
                      <w:rFonts w:ascii="Cambria Math" w:hAnsi="Cambria Math"/>
                    </w:rPr>
                    <m:t>0 п</m:t>
                  </m:r>
                </m:sup>
              </m:sSubSup>
            </m:oMath>
            <w:r w:rsidR="007E454C" w:rsidRPr="00D0186D">
              <w:rPr>
                <w:b/>
                <w:bCs/>
              </w:rPr>
              <w:t xml:space="preserve"> – </w:t>
            </w:r>
            <w:r w:rsidRPr="00D0186D">
              <w:rPr>
                <w:b/>
                <w:bCs/>
              </w:rPr>
              <w:t>первісна/переоцінена вартість активів (елементів активу) на дату переходу до стимулюючого регулювання, що виведені з експлуатації, у</w:t>
            </w:r>
            <w:r w:rsidRPr="00D0186D">
              <w:rPr>
                <w:b/>
                <w:bCs/>
              </w:rPr>
              <w:br/>
              <w:t xml:space="preserve">році t-1 </w:t>
            </w:r>
            <w:bookmarkStart w:id="4" w:name="_Hlk173340536"/>
            <w:r w:rsidRPr="00D0186D">
              <w:rPr>
                <w:b/>
                <w:bCs/>
              </w:rPr>
              <w:t>(для ліцензіатів, перелік яких наведено в додатку 30 до Порядку № 1175, на 2025 рік – первісна/переоцінена вартість активів, виведених у період від дати переходу на стимулююче регулювання по рік t-1 (включно), що не були враховані у діючих тарифах)</w:t>
            </w:r>
            <w:bookmarkEnd w:id="4"/>
            <w:r w:rsidRPr="00D0186D">
              <w:rPr>
                <w:b/>
                <w:bCs/>
              </w:rPr>
              <w:t>, тис. грн;</w:t>
            </w:r>
          </w:p>
          <w:p w14:paraId="5E5CE86D" w14:textId="60E9280C" w:rsidR="00E01361" w:rsidRPr="00D0186D" w:rsidRDefault="00ED4B6B" w:rsidP="00E01361">
            <w:pPr>
              <w:ind w:firstLine="567"/>
              <w:contextualSpacing/>
              <w:jc w:val="both"/>
              <w:rPr>
                <w:b/>
                <w:bCs/>
                <w:lang w:val="uk-UA"/>
              </w:rPr>
            </w:pPr>
            <m:oMath>
              <m:sSubSup>
                <m:sSubSupPr>
                  <m:ctrlPr>
                    <w:rPr>
                      <w:rFonts w:ascii="Cambria Math" w:hAnsi="Cambria Math"/>
                      <w:b/>
                      <w:i/>
                      <w:lang w:val="uk-UA"/>
                    </w:rPr>
                  </m:ctrlPr>
                </m:sSubSupPr>
                <m:e>
                  <m:r>
                    <m:rPr>
                      <m:sty m:val="bi"/>
                    </m:rPr>
                    <w:rPr>
                      <w:rFonts w:ascii="Cambria Math" w:hAnsi="Cambria Math"/>
                      <w:lang w:val="uk-UA"/>
                    </w:rPr>
                    <m:t>I</m:t>
                  </m:r>
                </m:e>
                <m:sub>
                  <m:r>
                    <m:rPr>
                      <m:sty m:val="bi"/>
                    </m:rPr>
                    <w:rPr>
                      <w:rFonts w:ascii="Cambria Math" w:hAnsi="Cambria Math"/>
                      <w:lang w:val="uk-UA"/>
                    </w:rPr>
                    <m:t>ВП t-1</m:t>
                  </m:r>
                </m:sub>
                <m:sup>
                  <m:r>
                    <m:rPr>
                      <m:sty m:val="bi"/>
                    </m:rPr>
                    <w:rPr>
                      <w:rFonts w:ascii="Cambria Math" w:hAnsi="Cambria Math"/>
                      <w:lang w:val="uk-UA"/>
                    </w:rPr>
                    <m:t>0 п</m:t>
                  </m:r>
                </m:sup>
              </m:sSubSup>
            </m:oMath>
            <w:r w:rsidR="007E454C" w:rsidRPr="00D0186D">
              <w:rPr>
                <w:b/>
                <w:lang w:val="uk-UA"/>
              </w:rPr>
              <w:t xml:space="preserve"> </w:t>
            </w:r>
            <w:r w:rsidR="007E454C" w:rsidRPr="00D0186D">
              <w:rPr>
                <w:b/>
                <w:bCs/>
                <w:lang w:val="uk-UA"/>
              </w:rPr>
              <w:t xml:space="preserve">– </w:t>
            </w:r>
            <w:r w:rsidR="00E01361" w:rsidRPr="00D0186D">
              <w:rPr>
                <w:b/>
                <w:bCs/>
                <w:lang w:val="uk-UA"/>
              </w:rPr>
              <w:t>первісна вартість повторно введених активів (елементів активу), повернутих до експлуатації після тимчасового припинення їх використання у році t-1, тис. грн, з урахуванням:</w:t>
            </w:r>
          </w:p>
          <w:p w14:paraId="2D4D9004" w14:textId="77777777" w:rsidR="00E01361" w:rsidRPr="00D0186D" w:rsidRDefault="00E01361" w:rsidP="00E01361">
            <w:pPr>
              <w:pStyle w:val="tj"/>
              <w:spacing w:before="0" w:beforeAutospacing="0" w:after="0" w:afterAutospacing="0"/>
              <w:ind w:firstLine="567"/>
              <w:jc w:val="both"/>
              <w:rPr>
                <w:b/>
                <w:bCs/>
              </w:rPr>
            </w:pPr>
            <w:r w:rsidRPr="00D0186D">
              <w:rPr>
                <w:b/>
                <w:bCs/>
                <w:lang w:eastAsia="ru-RU"/>
              </w:rPr>
              <w:t>переоціненої вартості активів на дату переходу до стимулюючого регулювання на підставі даних звіту про незалежну оцінку активів;</w:t>
            </w:r>
          </w:p>
          <w:p w14:paraId="139AC1F2" w14:textId="77777777" w:rsidR="00E01361" w:rsidRPr="00D0186D" w:rsidRDefault="00E01361" w:rsidP="00E01361">
            <w:pPr>
              <w:ind w:firstLine="567"/>
              <w:contextualSpacing/>
              <w:jc w:val="both"/>
              <w:rPr>
                <w:b/>
                <w:bCs/>
                <w:lang w:val="uk-UA"/>
              </w:rPr>
            </w:pPr>
            <w:r w:rsidRPr="00D0186D">
              <w:rPr>
                <w:b/>
                <w:bCs/>
                <w:lang w:val="uk-UA"/>
              </w:rPr>
              <w:t xml:space="preserve">первісної вартості активів на дату переходу до стимулюючого регулювання, створених за період від дати проведення незалежної оцінки активів до дати переходу до стимулюючого регулювання; </w:t>
            </w:r>
          </w:p>
          <w:p w14:paraId="330F283F" w14:textId="77777777" w:rsidR="00E01361" w:rsidRPr="00D0186D" w:rsidRDefault="00E01361" w:rsidP="00E01361">
            <w:pPr>
              <w:ind w:firstLine="567"/>
              <w:contextualSpacing/>
              <w:jc w:val="both"/>
              <w:rPr>
                <w:b/>
                <w:lang w:val="uk-UA"/>
              </w:rPr>
            </w:pPr>
            <w:r w:rsidRPr="00D0186D">
              <w:rPr>
                <w:b/>
                <w:bCs/>
                <w:lang w:val="uk-UA"/>
              </w:rPr>
              <w:t>первісної вартості активів, створених згідно з пунктами 2.5 та 2.6 цього розділу.»;</w:t>
            </w:r>
          </w:p>
          <w:p w14:paraId="6787CFBA" w14:textId="77777777" w:rsidR="00E01361" w:rsidRPr="00D0186D" w:rsidRDefault="00E01361" w:rsidP="00E01361">
            <w:pPr>
              <w:ind w:firstLine="709"/>
              <w:jc w:val="both"/>
              <w:rPr>
                <w:b/>
                <w:bCs/>
                <w:lang w:val="uk-UA"/>
              </w:rPr>
            </w:pPr>
          </w:p>
          <w:p w14:paraId="29DBC6B5" w14:textId="02A3BB81" w:rsidR="008E5308" w:rsidRPr="00D0186D" w:rsidRDefault="008E5308" w:rsidP="007C5619">
            <w:pPr>
              <w:pStyle w:val="Default"/>
              <w:ind w:firstLine="742"/>
              <w:jc w:val="both"/>
              <w:rPr>
                <w:b/>
                <w:color w:val="auto"/>
              </w:rPr>
            </w:pPr>
          </w:p>
        </w:tc>
      </w:tr>
      <w:tr w:rsidR="007419FF" w:rsidRPr="00D0186D" w14:paraId="0E7A1746" w14:textId="77777777" w:rsidTr="00274934">
        <w:tc>
          <w:tcPr>
            <w:tcW w:w="7934" w:type="dxa"/>
          </w:tcPr>
          <w:p w14:paraId="71871C14" w14:textId="77777777" w:rsidR="007419FF" w:rsidRPr="00D0186D" w:rsidRDefault="007419FF" w:rsidP="007419FF">
            <w:pPr>
              <w:jc w:val="both"/>
              <w:rPr>
                <w:lang w:val="uk-UA" w:eastAsia="uk-UA"/>
              </w:rPr>
            </w:pPr>
            <w:r w:rsidRPr="00D0186D">
              <w:rPr>
                <w:lang w:val="uk-UA" w:eastAsia="uk-UA"/>
              </w:rPr>
              <w:lastRenderedPageBreak/>
              <w:t>3.4. Амортизація на активи, які створені після переходу до стимулюючого регулювання, нараховується із застосуванням прямолінійного методу щокварталу з урахуванням строків їх корисного використання згідно з додатком до цього Порядку починаючи з кварталу, наступного після введення їх в експлуатацію.</w:t>
            </w:r>
          </w:p>
          <w:p w14:paraId="674D2A1E" w14:textId="77777777" w:rsidR="007419FF" w:rsidRPr="00D0186D" w:rsidRDefault="007419FF" w:rsidP="007419FF">
            <w:pPr>
              <w:jc w:val="both"/>
              <w:rPr>
                <w:lang w:val="uk-UA"/>
              </w:rPr>
            </w:pPr>
          </w:p>
          <w:p w14:paraId="2A4012C0" w14:textId="1655AEAC" w:rsidR="007419FF" w:rsidRPr="00D0186D" w:rsidRDefault="007419FF" w:rsidP="007419FF">
            <w:pPr>
              <w:shd w:val="clear" w:color="auto" w:fill="FFFFFF"/>
              <w:spacing w:after="150"/>
              <w:ind w:firstLine="450"/>
              <w:jc w:val="both"/>
              <w:rPr>
                <w:lang w:val="uk-UA" w:eastAsia="uk-UA"/>
              </w:rPr>
            </w:pPr>
            <w:r w:rsidRPr="00D0186D">
              <w:rPr>
                <w:lang w:val="uk-UA"/>
              </w:rPr>
              <w:t>Пункт відсутній</w:t>
            </w:r>
          </w:p>
        </w:tc>
        <w:tc>
          <w:tcPr>
            <w:tcW w:w="7937" w:type="dxa"/>
          </w:tcPr>
          <w:p w14:paraId="38570178" w14:textId="77777777" w:rsidR="007419FF" w:rsidRPr="00D0186D" w:rsidRDefault="007419FF" w:rsidP="007419FF">
            <w:pPr>
              <w:shd w:val="clear" w:color="auto" w:fill="FFFFFF"/>
              <w:jc w:val="both"/>
              <w:rPr>
                <w:b/>
                <w:lang w:val="uk-UA" w:eastAsia="uk-UA"/>
              </w:rPr>
            </w:pPr>
            <w:r w:rsidRPr="00D0186D">
              <w:rPr>
                <w:b/>
                <w:lang w:val="uk-UA" w:eastAsia="uk-UA"/>
              </w:rPr>
              <w:t>3.4. Амортизація на активи, які створені після переходу до стимулюючого регулювання, нараховується із застосуванням прямолінійного методу щокварталу з урахуванням строків їх корисного використання згідно з додатком до цього Порядку починаючи з кварталу, наступного після введення їх в експлуатацію;</w:t>
            </w:r>
          </w:p>
          <w:p w14:paraId="7CE01DAD" w14:textId="77777777" w:rsidR="007419FF" w:rsidRPr="00D0186D" w:rsidRDefault="007419FF" w:rsidP="007419FF">
            <w:pPr>
              <w:shd w:val="clear" w:color="auto" w:fill="FFFFFF"/>
              <w:jc w:val="both"/>
              <w:rPr>
                <w:b/>
                <w:lang w:val="uk-UA"/>
              </w:rPr>
            </w:pPr>
          </w:p>
          <w:p w14:paraId="3CDF7035" w14:textId="694444FB" w:rsidR="007419FF" w:rsidRPr="00D0186D" w:rsidRDefault="007419FF" w:rsidP="007419FF">
            <w:pPr>
              <w:shd w:val="clear" w:color="auto" w:fill="FFFFFF"/>
              <w:jc w:val="both"/>
              <w:rPr>
                <w:b/>
                <w:lang w:val="uk-UA" w:eastAsia="uk-UA"/>
              </w:rPr>
            </w:pPr>
            <w:r w:rsidRPr="00D0186D">
              <w:rPr>
                <w:b/>
                <w:lang w:val="uk-UA" w:eastAsia="uk-UA"/>
              </w:rPr>
              <w:t xml:space="preserve">Квартальна амортизація на активи, які створені після переходу до стимулюючого регулювання, розраховується окремо для кожної категорії, визначеної Порядком </w:t>
            </w:r>
            <w:r w:rsidR="00244C5B" w:rsidRPr="00D0186D">
              <w:rPr>
                <w:b/>
                <w:lang w:val="uk-UA" w:eastAsia="uk-UA"/>
              </w:rPr>
              <w:t xml:space="preserve">№ 1157 </w:t>
            </w:r>
            <w:r w:rsidRPr="00D0186D">
              <w:rPr>
                <w:b/>
                <w:lang w:val="uk-UA" w:eastAsia="uk-UA"/>
              </w:rPr>
              <w:t>за формулою:</w:t>
            </w:r>
          </w:p>
          <w:p w14:paraId="62E06C8E" w14:textId="2D97974E" w:rsidR="007419FF" w:rsidRPr="00D0186D" w:rsidRDefault="007419FF" w:rsidP="007419FF">
            <w:pPr>
              <w:ind w:right="28" w:firstLine="567"/>
              <w:jc w:val="center"/>
              <w:rPr>
                <w:b/>
                <w:i/>
                <w:lang w:val="uk-UA"/>
              </w:rPr>
            </w:pPr>
            <w:r w:rsidRPr="00D0186D">
              <w:rPr>
                <w:b/>
                <w:noProof/>
                <w:lang w:val="uk-UA" w:eastAsia="uk-UA"/>
              </w:rPr>
              <w:drawing>
                <wp:inline distT="0" distB="0" distL="0" distR="0" wp14:anchorId="4303B173" wp14:editId="7FBB544D">
                  <wp:extent cx="136525" cy="259080"/>
                  <wp:effectExtent l="0" t="0" r="0" b="7620"/>
                  <wp:docPr id="29" name="Рисунок 4">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525" cy="259080"/>
                          </a:xfrm>
                          <a:prstGeom prst="rect">
                            <a:avLst/>
                          </a:prstGeom>
                          <a:noFill/>
                          <a:ln>
                            <a:noFill/>
                          </a:ln>
                        </pic:spPr>
                      </pic:pic>
                    </a:graphicData>
                  </a:graphic>
                </wp:inline>
              </w:drawing>
            </w:r>
            <m:oMath>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t</m:t>
                  </m:r>
                </m:sub>
                <m:sup>
                  <m:r>
                    <m:rPr>
                      <m:sty m:val="bi"/>
                    </m:rPr>
                    <w:rPr>
                      <w:rFonts w:ascii="Cambria Math" w:hAnsi="Cambria Math"/>
                      <w:lang w:val="uk-UA"/>
                    </w:rPr>
                    <m:t>нов</m:t>
                  </m:r>
                </m:sup>
              </m:sSubSup>
              <m:r>
                <m:rPr>
                  <m:sty m:val="bi"/>
                </m:rPr>
                <w:rPr>
                  <w:rFonts w:ascii="Cambria Math" w:hAnsi="Cambria Math"/>
                  <w:lang w:val="uk-UA"/>
                </w:rPr>
                <m:t>=</m:t>
              </m:r>
              <m:nary>
                <m:naryPr>
                  <m:chr m:val="∑"/>
                  <m:limLoc m:val="undOvr"/>
                  <m:ctrlPr>
                    <w:rPr>
                      <w:rFonts w:ascii="Cambria Math" w:hAnsi="Cambria Math"/>
                      <w:b/>
                      <w:i/>
                      <w:lang w:val="uk-UA"/>
                    </w:rPr>
                  </m:ctrlPr>
                </m:naryPr>
                <m:sub/>
                <m:sup/>
                <m:e>
                  <m:r>
                    <m:rPr>
                      <m:sty m:val="bi"/>
                    </m:rPr>
                    <w:rPr>
                      <w:rFonts w:ascii="Cambria Math" w:hAnsi="Cambria Math"/>
                      <w:lang w:val="uk-UA"/>
                    </w:rPr>
                    <m:t>(</m:t>
                  </m:r>
                  <m:f>
                    <m:fPr>
                      <m:ctrlPr>
                        <w:rPr>
                          <w:rFonts w:ascii="Cambria Math" w:hAnsi="Cambria Math"/>
                          <w:b/>
                          <w:i/>
                          <w:lang w:val="uk-UA"/>
                        </w:rPr>
                      </m:ctrlPr>
                    </m:fPr>
                    <m:num>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t</m:t>
                          </m:r>
                        </m:sub>
                        <m:sup>
                          <m:r>
                            <m:rPr>
                              <m:sty m:val="bi"/>
                            </m:rPr>
                            <w:rPr>
                              <w:rFonts w:ascii="Cambria Math" w:hAnsi="Cambria Math"/>
                              <w:lang w:val="uk-UA"/>
                            </w:rPr>
                            <m:t>нов п</m:t>
                          </m:r>
                        </m:sup>
                      </m:sSubSup>
                    </m:num>
                    <m:den>
                      <m:r>
                        <m:rPr>
                          <m:sty m:val="bi"/>
                        </m:rPr>
                        <w:rPr>
                          <w:rFonts w:ascii="Cambria Math" w:hAnsi="Cambria Math"/>
                          <w:lang w:val="uk-UA"/>
                        </w:rPr>
                        <m:t>n</m:t>
                      </m:r>
                    </m:den>
                  </m:f>
                  <m:r>
                    <m:rPr>
                      <m:sty m:val="bi"/>
                    </m:rPr>
                    <w:rPr>
                      <w:rFonts w:ascii="Cambria Math" w:hAnsi="Cambria Math"/>
                      <w:lang w:val="uk-UA"/>
                    </w:rPr>
                    <m:t>)/4</m:t>
                  </m:r>
                </m:e>
              </m:nary>
              <m:r>
                <m:rPr>
                  <m:sty m:val="bi"/>
                </m:rPr>
                <w:rPr>
                  <w:rFonts w:ascii="Cambria Math" w:hAnsi="Cambria Math"/>
                  <w:lang w:val="uk-UA"/>
                </w:rPr>
                <m:t>, тис грн,</m:t>
              </m:r>
            </m:oMath>
            <w:r w:rsidRPr="00D0186D">
              <w:rPr>
                <w:b/>
                <w:lang w:val="uk-UA"/>
              </w:rPr>
              <w:tab/>
              <w:t>(6)</w:t>
            </w:r>
          </w:p>
          <w:p w14:paraId="56B1727B" w14:textId="77777777" w:rsidR="007419FF" w:rsidRPr="00D0186D" w:rsidRDefault="007419FF" w:rsidP="007419FF">
            <w:pPr>
              <w:jc w:val="center"/>
              <w:rPr>
                <w:b/>
                <w:noProof/>
                <w:lang w:val="uk-UA"/>
              </w:rPr>
            </w:pPr>
          </w:p>
          <w:p w14:paraId="7081ABED" w14:textId="2EDE7201" w:rsidR="007419FF" w:rsidRPr="00D0186D" w:rsidRDefault="007419FF" w:rsidP="007419FF">
            <w:pPr>
              <w:jc w:val="both"/>
              <w:rPr>
                <w:b/>
                <w:bCs/>
                <w:lang w:val="uk-UA" w:eastAsia="uk-UA"/>
              </w:rPr>
            </w:pPr>
            <w:r w:rsidRPr="00D0186D">
              <w:rPr>
                <w:b/>
                <w:lang w:val="uk-UA"/>
              </w:rPr>
              <w:t xml:space="preserve">де </w:t>
            </w:r>
            <m:oMath>
              <m:sSubSup>
                <m:sSubSupPr>
                  <m:ctrlPr>
                    <w:rPr>
                      <w:rFonts w:ascii="Cambria Math" w:hAnsi="Cambria Math"/>
                      <w:b/>
                      <w:i/>
                      <w:lang w:val="uk-UA"/>
                    </w:rPr>
                  </m:ctrlPr>
                </m:sSubSupPr>
                <m:e>
                  <m:r>
                    <m:rPr>
                      <m:sty m:val="bi"/>
                    </m:rPr>
                    <w:rPr>
                      <w:rFonts w:ascii="Cambria Math" w:hAnsi="Cambria Math"/>
                      <w:lang w:val="uk-UA"/>
                    </w:rPr>
                    <m:t>РБА</m:t>
                  </m:r>
                </m:e>
                <m:sub>
                  <m:r>
                    <m:rPr>
                      <m:sty m:val="bi"/>
                    </m:rPr>
                    <w:rPr>
                      <w:rFonts w:ascii="Cambria Math" w:hAnsi="Cambria Math"/>
                      <w:lang w:val="uk-UA"/>
                    </w:rPr>
                    <m:t>t</m:t>
                  </m:r>
                </m:sub>
                <m:sup>
                  <m:r>
                    <m:rPr>
                      <m:sty m:val="bi"/>
                    </m:rPr>
                    <w:rPr>
                      <w:rFonts w:ascii="Cambria Math" w:hAnsi="Cambria Math"/>
                      <w:lang w:val="uk-UA"/>
                    </w:rPr>
                    <m:t xml:space="preserve">нов </m:t>
                  </m:r>
                  <m:r>
                    <m:rPr>
                      <m:sty m:val="b"/>
                    </m:rPr>
                    <w:rPr>
                      <w:rFonts w:ascii="Cambria Math" w:hAnsi="Cambria Math"/>
                      <w:lang w:val="uk-UA"/>
                    </w:rPr>
                    <m:t>п</m:t>
                  </m:r>
                </m:sup>
              </m:sSubSup>
            </m:oMath>
            <w:r w:rsidRPr="00D0186D">
              <w:rPr>
                <w:b/>
                <w:lang w:val="uk-UA"/>
              </w:rPr>
              <w:t xml:space="preserve"> </w:t>
            </w:r>
            <w:r w:rsidRPr="00D0186D">
              <w:rPr>
                <w:b/>
                <w:bCs/>
                <w:lang w:val="uk-UA"/>
              </w:rPr>
              <w:t xml:space="preserve">– </w:t>
            </w:r>
            <w:r w:rsidRPr="00D0186D">
              <w:rPr>
                <w:b/>
                <w:lang w:val="uk-UA"/>
              </w:rPr>
              <w:t xml:space="preserve"> </w:t>
            </w:r>
            <w:r w:rsidRPr="00D0186D">
              <w:rPr>
                <w:b/>
                <w:bCs/>
                <w:lang w:val="uk-UA" w:eastAsia="uk-UA"/>
              </w:rPr>
              <w:t xml:space="preserve">регуляторна база активів, яка створена після переходу до стимулюючого регулювання, у розрізі груп активів </w:t>
            </w:r>
            <w:r w:rsidR="00060136" w:rsidRPr="00D0186D">
              <w:rPr>
                <w:b/>
                <w:bCs/>
                <w:lang w:val="uk-UA" w:eastAsia="uk-UA"/>
              </w:rPr>
              <w:t xml:space="preserve">згідно з </w:t>
            </w:r>
            <w:r w:rsidRPr="00D0186D">
              <w:rPr>
                <w:b/>
                <w:bCs/>
                <w:lang w:val="uk-UA" w:eastAsia="uk-UA"/>
              </w:rPr>
              <w:t>додатк</w:t>
            </w:r>
            <w:r w:rsidR="00060136" w:rsidRPr="00D0186D">
              <w:rPr>
                <w:b/>
                <w:bCs/>
                <w:lang w:val="uk-UA" w:eastAsia="uk-UA"/>
              </w:rPr>
              <w:t>ом</w:t>
            </w:r>
            <w:r w:rsidRPr="00D0186D">
              <w:rPr>
                <w:b/>
                <w:bCs/>
                <w:lang w:val="uk-UA" w:eastAsia="uk-UA"/>
              </w:rPr>
              <w:t xml:space="preserve"> до цього Порядку, що визначається </w:t>
            </w:r>
            <w:r w:rsidR="00060136" w:rsidRPr="00D0186D">
              <w:rPr>
                <w:b/>
                <w:bCs/>
                <w:lang w:val="uk-UA" w:eastAsia="uk-UA"/>
              </w:rPr>
              <w:t xml:space="preserve">на підставі первісної вартості активів </w:t>
            </w:r>
            <w:r w:rsidRPr="00D0186D">
              <w:rPr>
                <w:b/>
                <w:bCs/>
                <w:lang w:val="uk-UA" w:eastAsia="uk-UA"/>
              </w:rPr>
              <w:t>за формулою:</w:t>
            </w:r>
          </w:p>
          <w:p w14:paraId="39AD9BBC" w14:textId="77777777" w:rsidR="007419FF" w:rsidRPr="00D0186D" w:rsidRDefault="007419FF" w:rsidP="007419FF">
            <w:pPr>
              <w:ind w:right="28" w:firstLine="567"/>
              <w:jc w:val="center"/>
              <w:rPr>
                <w:b/>
                <w:lang w:val="uk-UA"/>
              </w:rPr>
            </w:pPr>
          </w:p>
          <w:p w14:paraId="543C3FDB" w14:textId="548E9274" w:rsidR="007419FF" w:rsidRPr="00D0186D" w:rsidRDefault="00E01361" w:rsidP="007419FF">
            <w:pPr>
              <w:ind w:right="28" w:firstLine="567"/>
              <w:jc w:val="center"/>
              <w:rPr>
                <w:b/>
                <w:lang w:val="uk-UA"/>
              </w:rPr>
            </w:pPr>
            <m:oMath>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t</m:t>
                  </m:r>
                </m:sub>
                <m:sup>
                  <m:r>
                    <m:rPr>
                      <m:sty m:val="bi"/>
                    </m:rPr>
                    <w:rPr>
                      <w:rFonts w:ascii="Cambria Math" w:hAnsi="Cambria Math"/>
                      <w:lang w:val="uk-UA"/>
                    </w:rPr>
                    <m:t>нов п</m:t>
                  </m:r>
                </m:sup>
              </m:sSubSup>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t-1</m:t>
                  </m:r>
                </m:sub>
                <m:sup>
                  <m:r>
                    <m:rPr>
                      <m:sty m:val="bi"/>
                    </m:rPr>
                    <w:rPr>
                      <w:rFonts w:ascii="Cambria Math" w:hAnsi="Cambria Math"/>
                      <w:lang w:val="uk-UA"/>
                    </w:rPr>
                    <m:t>нов п</m:t>
                  </m:r>
                </m:sup>
              </m:sSubSup>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І</m:t>
                  </m:r>
                </m:e>
                <m:sub>
                  <m:r>
                    <m:rPr>
                      <m:sty m:val="bi"/>
                    </m:rPr>
                    <w:rPr>
                      <w:rFonts w:ascii="Cambria Math" w:hAnsi="Cambria Math"/>
                      <w:lang w:val="uk-UA"/>
                    </w:rPr>
                    <m:t>t-1</m:t>
                  </m:r>
                </m:sub>
                <m:sup>
                  <m:r>
                    <m:rPr>
                      <m:sty m:val="bi"/>
                    </m:rPr>
                    <w:rPr>
                      <w:rFonts w:ascii="Cambria Math" w:hAnsi="Cambria Math"/>
                      <w:lang w:val="uk-UA"/>
                    </w:rPr>
                    <m:t>нов п</m:t>
                  </m:r>
                </m:sup>
              </m:sSubSup>
              <m:r>
                <m:rPr>
                  <m:sty m:val="bi"/>
                </m:rPr>
                <w:rPr>
                  <w:rFonts w:ascii="Cambria Math" w:hAnsi="Cambria Math"/>
                  <w:lang w:val="uk-UA"/>
                </w:rPr>
                <m:t>-B</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t-1</m:t>
                  </m:r>
                </m:sub>
                <m:sup>
                  <m:r>
                    <m:rPr>
                      <m:sty m:val="bi"/>
                    </m:rPr>
                    <w:rPr>
                      <w:rFonts w:ascii="Cambria Math" w:hAnsi="Cambria Math"/>
                      <w:lang w:val="uk-UA"/>
                    </w:rPr>
                    <m:t>нов п</m:t>
                  </m:r>
                </m:sup>
              </m:sSubSup>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I</m:t>
                  </m:r>
                </m:e>
                <m:sub>
                  <m:r>
                    <m:rPr>
                      <m:sty m:val="bi"/>
                    </m:rPr>
                    <w:rPr>
                      <w:rFonts w:ascii="Cambria Math" w:hAnsi="Cambria Math"/>
                      <w:lang w:val="uk-UA"/>
                    </w:rPr>
                    <m:t>ВП t-1</m:t>
                  </m:r>
                </m:sub>
                <m:sup>
                  <m:r>
                    <m:rPr>
                      <m:sty m:val="bi"/>
                    </m:rPr>
                    <w:rPr>
                      <w:rFonts w:ascii="Cambria Math" w:hAnsi="Cambria Math"/>
                      <w:lang w:val="uk-UA"/>
                    </w:rPr>
                    <m:t>нов п</m:t>
                  </m:r>
                </m:sup>
              </m:sSubSup>
            </m:oMath>
            <w:r w:rsidR="007419FF" w:rsidRPr="00D0186D">
              <w:rPr>
                <w:b/>
                <w:lang w:val="uk-UA"/>
              </w:rPr>
              <w:t>, тис. грн,</w:t>
            </w:r>
            <w:r w:rsidR="007419FF" w:rsidRPr="00D0186D">
              <w:rPr>
                <w:b/>
                <w:lang w:val="uk-UA"/>
              </w:rPr>
              <w:tab/>
              <w:t>(7)</w:t>
            </w:r>
          </w:p>
          <w:p w14:paraId="266A961E" w14:textId="77777777" w:rsidR="007419FF" w:rsidRPr="00D0186D" w:rsidRDefault="007419FF" w:rsidP="007419FF">
            <w:pPr>
              <w:ind w:right="28" w:firstLine="567"/>
              <w:jc w:val="center"/>
              <w:rPr>
                <w:b/>
                <w:lang w:val="uk-UA"/>
              </w:rPr>
            </w:pPr>
          </w:p>
          <w:p w14:paraId="620DC367" w14:textId="77777777" w:rsidR="007419FF" w:rsidRPr="00D0186D" w:rsidRDefault="007419FF" w:rsidP="007419FF">
            <w:pPr>
              <w:ind w:right="28" w:firstLine="567"/>
              <w:rPr>
                <w:b/>
                <w:lang w:val="uk-UA"/>
              </w:rPr>
            </w:pPr>
            <w:r w:rsidRPr="00D0186D">
              <w:rPr>
                <w:b/>
                <w:lang w:val="uk-UA"/>
              </w:rPr>
              <w:t>де</w:t>
            </w:r>
          </w:p>
          <w:p w14:paraId="450E43B3" w14:textId="77777777" w:rsidR="007419FF" w:rsidRPr="00D0186D" w:rsidRDefault="007419FF" w:rsidP="007419FF">
            <w:pPr>
              <w:ind w:right="28" w:firstLine="567"/>
              <w:rPr>
                <w:b/>
                <w:lang w:val="uk-UA"/>
              </w:rPr>
            </w:pPr>
          </w:p>
          <w:p w14:paraId="0C4B469A" w14:textId="45B6E04C" w:rsidR="00691121" w:rsidRPr="00D0186D" w:rsidRDefault="00ED4B6B" w:rsidP="00691121">
            <w:pPr>
              <w:ind w:right="28" w:firstLine="709"/>
              <w:jc w:val="both"/>
              <w:rPr>
                <w:b/>
                <w:bCs/>
                <w:lang w:val="uk-UA"/>
              </w:rPr>
            </w:pPr>
            <m:oMath>
              <m:sSubSup>
                <m:sSubSupPr>
                  <m:ctrlPr>
                    <w:rPr>
                      <w:rFonts w:ascii="Cambria Math" w:hAnsi="Cambria Math"/>
                      <w:b/>
                      <w:i/>
                      <w:lang w:val="uk-UA"/>
                    </w:rPr>
                  </m:ctrlPr>
                </m:sSubSupPr>
                <m:e>
                  <m:r>
                    <m:rPr>
                      <m:sty m:val="bi"/>
                    </m:rPr>
                    <w:rPr>
                      <w:rFonts w:ascii="Cambria Math" w:hAnsi="Cambria Math"/>
                      <w:lang w:val="uk-UA"/>
                    </w:rPr>
                    <m:t>I</m:t>
                  </m:r>
                </m:e>
                <m:sub>
                  <m:r>
                    <m:rPr>
                      <m:sty m:val="bi"/>
                    </m:rPr>
                    <w:rPr>
                      <w:rFonts w:ascii="Cambria Math" w:hAnsi="Cambria Math"/>
                      <w:lang w:val="uk-UA"/>
                    </w:rPr>
                    <m:t>t-1</m:t>
                  </m:r>
                </m:sub>
                <m:sup>
                  <m:r>
                    <m:rPr>
                      <m:sty m:val="bi"/>
                    </m:rPr>
                    <w:rPr>
                      <w:rFonts w:ascii="Cambria Math" w:hAnsi="Cambria Math"/>
                      <w:lang w:val="uk-UA"/>
                    </w:rPr>
                    <m:t>нов п</m:t>
                  </m:r>
                </m:sup>
              </m:sSubSup>
            </m:oMath>
            <w:r w:rsidR="00691121" w:rsidRPr="00D0186D">
              <w:rPr>
                <w:b/>
                <w:lang w:val="uk-UA"/>
              </w:rPr>
              <w:t xml:space="preserve"> </w:t>
            </w:r>
            <w:r w:rsidR="00691121" w:rsidRPr="00D0186D">
              <w:rPr>
                <w:b/>
                <w:bCs/>
                <w:lang w:val="uk-UA"/>
              </w:rPr>
              <w:t xml:space="preserve">– </w:t>
            </w:r>
            <w:r w:rsidR="00E01361" w:rsidRPr="00D0186D">
              <w:rPr>
                <w:b/>
                <w:lang w:val="uk-UA" w:eastAsia="uk-UA"/>
              </w:rPr>
              <w:t>первісна вартість активів, створених після переходу до стимулюючого регулювання, у році t-1 (для ліцензіатів, перелік яких наведено в додатку 30 до Порядку № 1175, на 2025 рік – первісна вартість активів, створених у період від дати переходу на стимулююче регулювання по рік  t-1 (включно), що не були враховані у діючих тарифах), тис. грн;</w:t>
            </w:r>
          </w:p>
          <w:p w14:paraId="08DD899A" w14:textId="44F463A6" w:rsidR="00244C5B" w:rsidRPr="00D0186D" w:rsidRDefault="00E01361" w:rsidP="00244C5B">
            <w:pPr>
              <w:ind w:right="28" w:firstLine="709"/>
              <w:jc w:val="both"/>
              <w:rPr>
                <w:b/>
                <w:bCs/>
                <w:lang w:val="uk-UA"/>
              </w:rPr>
            </w:pPr>
            <m:oMath>
              <m:r>
                <m:rPr>
                  <m:sty m:val="bi"/>
                </m:rPr>
                <w:rPr>
                  <w:rFonts w:ascii="Cambria Math" w:hAnsi="Cambria Math"/>
                  <w:lang w:val="uk-UA"/>
                </w:rPr>
                <m:t>B</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t-1</m:t>
                  </m:r>
                </m:sub>
                <m:sup>
                  <m:r>
                    <m:rPr>
                      <m:sty m:val="bi"/>
                    </m:rPr>
                    <w:rPr>
                      <w:rFonts w:ascii="Cambria Math" w:hAnsi="Cambria Math"/>
                      <w:lang w:val="uk-UA"/>
                    </w:rPr>
                    <m:t>нов п</m:t>
                  </m:r>
                </m:sup>
              </m:sSubSup>
            </m:oMath>
            <w:r w:rsidR="00244C5B" w:rsidRPr="00D0186D">
              <w:rPr>
                <w:b/>
                <w:bCs/>
                <w:lang w:val="uk-UA"/>
              </w:rPr>
              <w:t xml:space="preserve"> – </w:t>
            </w:r>
            <w:r w:rsidRPr="00D0186D">
              <w:rPr>
                <w:b/>
                <w:lang w:val="uk-UA" w:eastAsia="uk-UA"/>
              </w:rPr>
              <w:t xml:space="preserve">первісна вартість активів (елементів активу), що були створені після переходу до стимулюючого регулювання та виведені з експлуатації, у році t-1 </w:t>
            </w:r>
            <w:bookmarkStart w:id="5" w:name="_Hlk173340915"/>
            <w:r w:rsidRPr="00D0186D">
              <w:rPr>
                <w:b/>
                <w:lang w:val="uk-UA" w:eastAsia="uk-UA"/>
              </w:rPr>
              <w:t>(для ліцензіатів, перелік яких наведено в додатку 30 до Порядку № 1175, на 2025 рік – первісна вартість активів, виведених у період від дати переходу на стимулююче регулювання по рік t-1 (включно), що не були враховані у діючих тарифах)</w:t>
            </w:r>
            <w:bookmarkEnd w:id="5"/>
            <w:r w:rsidRPr="00D0186D">
              <w:rPr>
                <w:b/>
                <w:lang w:val="uk-UA" w:eastAsia="uk-UA"/>
              </w:rPr>
              <w:t>, тис. грн;</w:t>
            </w:r>
          </w:p>
          <w:p w14:paraId="35F47CFD" w14:textId="38483405" w:rsidR="00244C5B" w:rsidRPr="00D0186D" w:rsidRDefault="00ED4B6B" w:rsidP="00244C5B">
            <w:pPr>
              <w:pStyle w:val="tj"/>
              <w:spacing w:before="0" w:beforeAutospacing="0" w:after="0" w:afterAutospacing="0"/>
              <w:ind w:firstLine="709"/>
              <w:jc w:val="both"/>
              <w:rPr>
                <w:b/>
                <w:bCs/>
              </w:rPr>
            </w:pPr>
            <m:oMath>
              <m:sSubSup>
                <m:sSubSupPr>
                  <m:ctrlPr>
                    <w:rPr>
                      <w:rFonts w:ascii="Cambria Math" w:hAnsi="Cambria Math"/>
                      <w:b/>
                      <w:i/>
                    </w:rPr>
                  </m:ctrlPr>
                </m:sSubSupPr>
                <m:e>
                  <m:r>
                    <m:rPr>
                      <m:sty m:val="bi"/>
                    </m:rPr>
                    <w:rPr>
                      <w:rFonts w:ascii="Cambria Math" w:hAnsi="Cambria Math"/>
                    </w:rPr>
                    <m:t>I</m:t>
                  </m:r>
                </m:e>
                <m:sub>
                  <m:r>
                    <m:rPr>
                      <m:sty m:val="bi"/>
                    </m:rPr>
                    <w:rPr>
                      <w:rFonts w:ascii="Cambria Math" w:hAnsi="Cambria Math"/>
                    </w:rPr>
                    <m:t>ВП t-1</m:t>
                  </m:r>
                </m:sub>
                <m:sup>
                  <m:r>
                    <m:rPr>
                      <m:sty m:val="bi"/>
                    </m:rPr>
                    <w:rPr>
                      <w:rFonts w:ascii="Cambria Math" w:hAnsi="Cambria Math"/>
                    </w:rPr>
                    <m:t>нов п</m:t>
                  </m:r>
                </m:sup>
              </m:sSubSup>
            </m:oMath>
            <w:r w:rsidR="00244C5B" w:rsidRPr="00D0186D">
              <w:rPr>
                <w:b/>
              </w:rPr>
              <w:t xml:space="preserve"> </w:t>
            </w:r>
            <w:r w:rsidR="00244C5B" w:rsidRPr="00D0186D">
              <w:rPr>
                <w:b/>
                <w:bCs/>
              </w:rPr>
              <w:t>–</w:t>
            </w:r>
            <w:r w:rsidR="00244C5B" w:rsidRPr="00D0186D">
              <w:rPr>
                <w:b/>
              </w:rPr>
              <w:t xml:space="preserve"> </w:t>
            </w:r>
            <w:r w:rsidR="00244C5B" w:rsidRPr="00D0186D">
              <w:rPr>
                <w:b/>
                <w:bCs/>
              </w:rPr>
              <w:t xml:space="preserve">первісна вартість повторно введених (повернутих після тимчасового припинення їх використання) до експлуатації активів </w:t>
            </w:r>
            <w:r w:rsidR="00244C5B" w:rsidRPr="00D0186D">
              <w:rPr>
                <w:b/>
                <w:bCs/>
              </w:rPr>
              <w:lastRenderedPageBreak/>
              <w:t>(елементів активу), що були створених після переходу до стимулюючого регулювання, у році t-1, тис. грн;</w:t>
            </w:r>
          </w:p>
          <w:p w14:paraId="4845201E" w14:textId="77777777" w:rsidR="007419FF" w:rsidRPr="00D0186D" w:rsidRDefault="007419FF" w:rsidP="007419FF">
            <w:pPr>
              <w:pStyle w:val="tj"/>
              <w:spacing w:before="0" w:beforeAutospacing="0" w:after="0" w:afterAutospacing="0"/>
              <w:ind w:firstLine="709"/>
              <w:jc w:val="both"/>
              <w:rPr>
                <w:b/>
                <w:bCs/>
              </w:rPr>
            </w:pPr>
            <w:r w:rsidRPr="00D0186D">
              <w:rPr>
                <w:b/>
                <w:bCs/>
              </w:rPr>
              <w:t>n – строк корисного використання активів (елементів активу) у розрізі груп активів згідно з додатком до цього Порядку.</w:t>
            </w:r>
          </w:p>
          <w:p w14:paraId="1EEDE8DB" w14:textId="77777777" w:rsidR="007419FF" w:rsidRPr="00D0186D" w:rsidRDefault="007419FF" w:rsidP="007419FF">
            <w:pPr>
              <w:pStyle w:val="tj"/>
              <w:spacing w:before="0" w:beforeAutospacing="0" w:after="0" w:afterAutospacing="0"/>
              <w:ind w:firstLine="709"/>
              <w:jc w:val="both"/>
              <w:rPr>
                <w:b/>
                <w:bCs/>
              </w:rPr>
            </w:pPr>
          </w:p>
          <w:p w14:paraId="27EBB609" w14:textId="77777777" w:rsidR="00E01361" w:rsidRPr="00D0186D" w:rsidRDefault="00E01361" w:rsidP="00E01361">
            <w:pPr>
              <w:shd w:val="clear" w:color="auto" w:fill="FFFFFF"/>
              <w:ind w:firstLine="567"/>
              <w:jc w:val="both"/>
              <w:rPr>
                <w:b/>
                <w:lang w:val="uk-UA" w:eastAsia="uk-UA"/>
              </w:rPr>
            </w:pPr>
            <w:r w:rsidRPr="00D0186D">
              <w:rPr>
                <w:b/>
                <w:lang w:val="uk-UA" w:eastAsia="uk-UA"/>
              </w:rPr>
              <w:t>Регуляторна норма доходу на регуляторну базу активів, яка створена після переходу до стимулюючого регулювання, на створені (повернуті) активи (елементи активу),</w:t>
            </w:r>
            <w:r w:rsidRPr="00D0186D">
              <w:rPr>
                <w:b/>
                <w:bCs/>
                <w:lang w:val="uk-UA"/>
              </w:rPr>
              <w:t xml:space="preserve"> віднесені до категорії 1 згідно з Порядком № 1175, </w:t>
            </w:r>
            <w:r w:rsidRPr="00D0186D">
              <w:rPr>
                <w:b/>
                <w:lang w:val="uk-UA" w:eastAsia="uk-UA"/>
              </w:rPr>
              <w:t>нараховується, починаючи з року, наступного за роком, у якому відбулось введення (повернення) в експлуатацію цього активу (елементів активу).</w:t>
            </w:r>
          </w:p>
          <w:p w14:paraId="3323D17F" w14:textId="65667D8F" w:rsidR="007419FF" w:rsidRPr="00D0186D" w:rsidRDefault="007419FF" w:rsidP="007419FF">
            <w:pPr>
              <w:shd w:val="clear" w:color="auto" w:fill="FFFFFF"/>
              <w:jc w:val="both"/>
              <w:rPr>
                <w:b/>
                <w:lang w:val="uk-UA" w:eastAsia="uk-UA"/>
              </w:rPr>
            </w:pPr>
          </w:p>
        </w:tc>
      </w:tr>
      <w:tr w:rsidR="00DC760E" w:rsidRPr="00D0186D" w14:paraId="3873B51C" w14:textId="77777777" w:rsidTr="00822C61">
        <w:tc>
          <w:tcPr>
            <w:tcW w:w="15871" w:type="dxa"/>
            <w:gridSpan w:val="2"/>
          </w:tcPr>
          <w:p w14:paraId="1A57E187" w14:textId="47A9DF01" w:rsidR="00DC760E" w:rsidRPr="00D0186D" w:rsidRDefault="00DC760E" w:rsidP="00DC760E">
            <w:pPr>
              <w:jc w:val="center"/>
              <w:rPr>
                <w:lang w:val="uk-UA"/>
              </w:rPr>
            </w:pPr>
            <w:r w:rsidRPr="00D0186D">
              <w:rPr>
                <w:b/>
                <w:bCs/>
                <w:i/>
                <w:iCs/>
                <w:lang w:val="uk-UA"/>
              </w:rPr>
              <w:lastRenderedPageBreak/>
              <w:t>Постанова НКРЕКП від 5 жовтня 2018 року № 1175 «Про затвердження Порядку встановлення (формування) тарифів на послуги з розподілу електричної енергії»</w:t>
            </w:r>
          </w:p>
        </w:tc>
      </w:tr>
      <w:tr w:rsidR="00572C6A" w:rsidRPr="00ED4B6B" w14:paraId="1EEEDF29" w14:textId="77777777" w:rsidTr="00274934">
        <w:tc>
          <w:tcPr>
            <w:tcW w:w="7934" w:type="dxa"/>
          </w:tcPr>
          <w:p w14:paraId="4E5CEE76" w14:textId="77777777" w:rsidR="00CC7D4B" w:rsidRPr="00D0186D" w:rsidRDefault="007A025C" w:rsidP="00041BB1">
            <w:pPr>
              <w:jc w:val="both"/>
              <w:rPr>
                <w:lang w:val="uk-UA"/>
              </w:rPr>
            </w:pPr>
            <w:r w:rsidRPr="00D0186D">
              <w:rPr>
                <w:lang w:val="uk-UA"/>
              </w:rPr>
              <w:t>5. Визначення необхідного доходу</w:t>
            </w:r>
          </w:p>
          <w:p w14:paraId="06FA0DFE" w14:textId="77777777" w:rsidR="007A025C" w:rsidRPr="00D0186D" w:rsidRDefault="007A025C" w:rsidP="00041BB1">
            <w:pPr>
              <w:jc w:val="both"/>
              <w:rPr>
                <w:lang w:val="uk-UA"/>
              </w:rPr>
            </w:pPr>
            <w:r w:rsidRPr="00D0186D">
              <w:rPr>
                <w:lang w:val="uk-UA"/>
              </w:rPr>
              <w:t>……………….</w:t>
            </w:r>
          </w:p>
          <w:p w14:paraId="10F02AE3" w14:textId="77777777" w:rsidR="00041BB1" w:rsidRPr="00D0186D" w:rsidRDefault="00041BB1" w:rsidP="00041BB1">
            <w:pPr>
              <w:jc w:val="both"/>
              <w:rPr>
                <w:lang w:val="uk-UA"/>
              </w:rPr>
            </w:pPr>
            <w:r w:rsidRPr="00D0186D">
              <w:rPr>
                <w:lang w:val="uk-UA"/>
              </w:rPr>
              <w:t>5.2. Щороку за фактичними даними базового року регуляторного періоду проводиться коригування необхідного доходу, яке враховує:</w:t>
            </w:r>
          </w:p>
          <w:p w14:paraId="68A9F54B" w14:textId="77777777" w:rsidR="00041BB1" w:rsidRPr="00D0186D" w:rsidRDefault="00041BB1" w:rsidP="00041BB1">
            <w:pPr>
              <w:jc w:val="both"/>
              <w:rPr>
                <w:lang w:val="uk-UA"/>
              </w:rPr>
            </w:pPr>
            <w:bookmarkStart w:id="6" w:name="122"/>
            <w:bookmarkEnd w:id="6"/>
            <w:r w:rsidRPr="00D0186D">
              <w:rPr>
                <w:lang w:val="uk-UA"/>
              </w:rPr>
              <w:t>фактичні обсяги виконання інвестиційної програми;</w:t>
            </w:r>
          </w:p>
          <w:p w14:paraId="5B342C3D" w14:textId="77777777" w:rsidR="00041BB1" w:rsidRPr="00D0186D" w:rsidRDefault="00041BB1" w:rsidP="00041BB1">
            <w:pPr>
              <w:jc w:val="both"/>
              <w:rPr>
                <w:lang w:val="uk-UA"/>
              </w:rPr>
            </w:pPr>
            <w:bookmarkStart w:id="7" w:name="123"/>
            <w:bookmarkEnd w:id="7"/>
            <w:r w:rsidRPr="00D0186D">
              <w:rPr>
                <w:lang w:val="uk-UA"/>
              </w:rPr>
              <w:t>фактичні значення параметрів розрахунку необхідного доходу;</w:t>
            </w:r>
          </w:p>
          <w:p w14:paraId="7B9212DF" w14:textId="77777777" w:rsidR="00041BB1" w:rsidRPr="00D0186D" w:rsidRDefault="00041BB1" w:rsidP="00041BB1">
            <w:pPr>
              <w:jc w:val="both"/>
              <w:rPr>
                <w:lang w:val="uk-UA"/>
              </w:rPr>
            </w:pPr>
            <w:bookmarkStart w:id="8" w:name="124"/>
            <w:bookmarkEnd w:id="8"/>
            <w:r w:rsidRPr="00D0186D">
              <w:rPr>
                <w:lang w:val="uk-UA"/>
              </w:rPr>
              <w:t>відповідність фактичної якості послуг ліцензіата індивідуальним цільовим показникам якості послуг;</w:t>
            </w:r>
          </w:p>
          <w:p w14:paraId="2DEAF8BD" w14:textId="77777777" w:rsidR="00041BB1" w:rsidRPr="00D0186D" w:rsidRDefault="00041BB1" w:rsidP="00041BB1">
            <w:pPr>
              <w:jc w:val="both"/>
              <w:rPr>
                <w:lang w:val="uk-UA"/>
              </w:rPr>
            </w:pPr>
            <w:bookmarkStart w:id="9" w:name="125"/>
            <w:bookmarkEnd w:id="9"/>
            <w:r w:rsidRPr="00D0186D">
              <w:rPr>
                <w:lang w:val="uk-UA"/>
              </w:rPr>
              <w:t>зміни в законодавстві в частині розміру ставок податків, зборів, обов'язкових платежів;</w:t>
            </w:r>
          </w:p>
          <w:p w14:paraId="2A552ABA" w14:textId="77777777" w:rsidR="00041BB1" w:rsidRPr="00D0186D" w:rsidRDefault="00041BB1" w:rsidP="00041BB1">
            <w:pPr>
              <w:jc w:val="both"/>
              <w:rPr>
                <w:lang w:val="uk-UA"/>
              </w:rPr>
            </w:pPr>
            <w:bookmarkStart w:id="10" w:name="126"/>
            <w:bookmarkEnd w:id="10"/>
            <w:r w:rsidRPr="00D0186D">
              <w:rPr>
                <w:lang w:val="uk-UA"/>
              </w:rPr>
              <w:t>зміну обсягів розподілу електричної енергії</w:t>
            </w:r>
            <w:bookmarkStart w:id="11" w:name="127"/>
            <w:r w:rsidRPr="00D0186D">
              <w:rPr>
                <w:lang w:val="uk-UA"/>
              </w:rPr>
              <w:t>;</w:t>
            </w:r>
            <w:bookmarkEnd w:id="11"/>
          </w:p>
          <w:p w14:paraId="2BE5A9F3" w14:textId="2054E0AA" w:rsidR="007A025C" w:rsidRPr="00D0186D" w:rsidRDefault="00041BB1" w:rsidP="00041BB1">
            <w:pPr>
              <w:jc w:val="both"/>
              <w:rPr>
                <w:lang w:val="uk-UA"/>
              </w:rPr>
            </w:pPr>
            <w:r w:rsidRPr="00D0186D">
              <w:rPr>
                <w:lang w:val="uk-UA"/>
              </w:rPr>
              <w:t xml:space="preserve"> </w:t>
            </w:r>
            <w:r w:rsidR="007A025C" w:rsidRPr="00D0186D">
              <w:rPr>
                <w:lang w:val="uk-UA"/>
              </w:rPr>
              <w:t>зміну кількості умовних одиниць обладнання;</w:t>
            </w:r>
          </w:p>
          <w:p w14:paraId="0F369728" w14:textId="44F5FC87" w:rsidR="007A025C" w:rsidRPr="00D0186D" w:rsidRDefault="007A025C" w:rsidP="00041BB1">
            <w:pPr>
              <w:jc w:val="both"/>
              <w:rPr>
                <w:lang w:val="uk-UA"/>
              </w:rPr>
            </w:pPr>
          </w:p>
        </w:tc>
        <w:tc>
          <w:tcPr>
            <w:tcW w:w="7937" w:type="dxa"/>
          </w:tcPr>
          <w:p w14:paraId="6DD4D9A3" w14:textId="77777777" w:rsidR="007A025C" w:rsidRPr="00D0186D" w:rsidRDefault="007A025C" w:rsidP="00041BB1">
            <w:pPr>
              <w:jc w:val="both"/>
              <w:rPr>
                <w:lang w:val="uk-UA"/>
              </w:rPr>
            </w:pPr>
            <w:r w:rsidRPr="00D0186D">
              <w:rPr>
                <w:lang w:val="uk-UA"/>
              </w:rPr>
              <w:t>5. Визначення необхідного доходу</w:t>
            </w:r>
          </w:p>
          <w:p w14:paraId="19AE4019" w14:textId="77777777" w:rsidR="007A025C" w:rsidRPr="00D0186D" w:rsidRDefault="007A025C" w:rsidP="00041BB1">
            <w:pPr>
              <w:jc w:val="both"/>
              <w:rPr>
                <w:lang w:val="uk-UA"/>
              </w:rPr>
            </w:pPr>
            <w:r w:rsidRPr="00D0186D">
              <w:rPr>
                <w:lang w:val="uk-UA"/>
              </w:rPr>
              <w:t>……………….</w:t>
            </w:r>
          </w:p>
          <w:p w14:paraId="1722012C" w14:textId="77777777" w:rsidR="00041BB1" w:rsidRPr="00D0186D" w:rsidRDefault="00041BB1" w:rsidP="00041BB1">
            <w:pPr>
              <w:jc w:val="both"/>
              <w:rPr>
                <w:lang w:val="uk-UA"/>
              </w:rPr>
            </w:pPr>
            <w:r w:rsidRPr="00D0186D">
              <w:rPr>
                <w:lang w:val="uk-UA"/>
              </w:rPr>
              <w:t>5.2. Щороку за фактичними даними базового року регуляторного періоду проводиться коригування необхідного доходу, яке враховує:</w:t>
            </w:r>
          </w:p>
          <w:p w14:paraId="0E93A9AA" w14:textId="77777777" w:rsidR="00041BB1" w:rsidRPr="00D0186D" w:rsidRDefault="00041BB1" w:rsidP="00041BB1">
            <w:pPr>
              <w:jc w:val="both"/>
              <w:rPr>
                <w:lang w:val="uk-UA"/>
              </w:rPr>
            </w:pPr>
            <w:r w:rsidRPr="00D0186D">
              <w:rPr>
                <w:lang w:val="uk-UA"/>
              </w:rPr>
              <w:t>фактичні обсяги виконання інвестиційної програми;</w:t>
            </w:r>
          </w:p>
          <w:p w14:paraId="51E08678" w14:textId="77777777" w:rsidR="00041BB1" w:rsidRPr="00D0186D" w:rsidRDefault="00041BB1" w:rsidP="00041BB1">
            <w:pPr>
              <w:jc w:val="both"/>
              <w:rPr>
                <w:lang w:val="uk-UA"/>
              </w:rPr>
            </w:pPr>
            <w:r w:rsidRPr="00D0186D">
              <w:rPr>
                <w:lang w:val="uk-UA"/>
              </w:rPr>
              <w:t>фактичні значення параметрів розрахунку необхідного доходу;</w:t>
            </w:r>
          </w:p>
          <w:p w14:paraId="2D938DC6" w14:textId="77777777" w:rsidR="00041BB1" w:rsidRPr="00D0186D" w:rsidRDefault="00041BB1" w:rsidP="00041BB1">
            <w:pPr>
              <w:jc w:val="both"/>
              <w:rPr>
                <w:lang w:val="uk-UA"/>
              </w:rPr>
            </w:pPr>
            <w:r w:rsidRPr="00D0186D">
              <w:rPr>
                <w:lang w:val="uk-UA"/>
              </w:rPr>
              <w:t>відповідність фактичної якості послуг ліцензіата індивідуальним цільовим показникам якості послуг;</w:t>
            </w:r>
          </w:p>
          <w:p w14:paraId="10B2B927" w14:textId="77777777" w:rsidR="00041BB1" w:rsidRPr="00D0186D" w:rsidRDefault="00041BB1" w:rsidP="00041BB1">
            <w:pPr>
              <w:jc w:val="both"/>
              <w:rPr>
                <w:lang w:val="uk-UA"/>
              </w:rPr>
            </w:pPr>
            <w:r w:rsidRPr="00D0186D">
              <w:rPr>
                <w:lang w:val="uk-UA"/>
              </w:rPr>
              <w:t>зміни в законодавстві в частині розміру ставок податків, зборів, обов'язкових платежів;</w:t>
            </w:r>
          </w:p>
          <w:p w14:paraId="3375C6F0" w14:textId="77777777" w:rsidR="00041BB1" w:rsidRPr="00D0186D" w:rsidRDefault="00041BB1" w:rsidP="00041BB1">
            <w:pPr>
              <w:jc w:val="both"/>
              <w:rPr>
                <w:lang w:val="uk-UA"/>
              </w:rPr>
            </w:pPr>
            <w:r w:rsidRPr="00D0186D">
              <w:rPr>
                <w:lang w:val="uk-UA"/>
              </w:rPr>
              <w:t>зміну обсягів розподілу електричної енергії;</w:t>
            </w:r>
          </w:p>
          <w:p w14:paraId="50198258" w14:textId="0CEBA2BB" w:rsidR="007A025C" w:rsidRPr="00D0186D" w:rsidRDefault="007A025C" w:rsidP="00041BB1">
            <w:pPr>
              <w:jc w:val="both"/>
              <w:rPr>
                <w:rStyle w:val="ac"/>
                <w:lang w:val="uk-UA"/>
              </w:rPr>
            </w:pPr>
            <w:bookmarkStart w:id="12" w:name="_Hlk173341850"/>
            <w:r w:rsidRPr="00D0186D">
              <w:rPr>
                <w:lang w:val="uk-UA"/>
              </w:rPr>
              <w:t>зміну кількості умовних одиниць обладнання</w:t>
            </w:r>
            <w:r w:rsidR="009405A2" w:rsidRPr="00D0186D">
              <w:rPr>
                <w:lang w:val="uk-UA"/>
              </w:rPr>
              <w:t xml:space="preserve">, </w:t>
            </w:r>
            <w:r w:rsidRPr="00D0186D">
              <w:rPr>
                <w:rStyle w:val="ac"/>
                <w:lang w:val="uk-UA"/>
              </w:rPr>
              <w:t xml:space="preserve">у тому числі в результаті </w:t>
            </w:r>
            <w:r w:rsidR="00041BB1" w:rsidRPr="00D0186D">
              <w:rPr>
                <w:rStyle w:val="ac"/>
                <w:lang w:val="uk-UA"/>
              </w:rPr>
              <w:t xml:space="preserve">виведення/повернення активів </w:t>
            </w:r>
            <w:r w:rsidR="00041BB1" w:rsidRPr="00D0186D">
              <w:rPr>
                <w:b/>
                <w:bCs/>
                <w:lang w:val="uk-UA"/>
              </w:rPr>
              <w:t xml:space="preserve">що розташовані на тимчасово окупованих територіях держави, та/або над якими втрачено контроль </w:t>
            </w:r>
            <w:r w:rsidR="00BE6BC0" w:rsidRPr="00D0186D">
              <w:rPr>
                <w:b/>
                <w:bCs/>
                <w:lang w:val="uk-UA"/>
              </w:rPr>
              <w:t>унаслідок</w:t>
            </w:r>
            <w:r w:rsidR="00041BB1" w:rsidRPr="00D0186D">
              <w:rPr>
                <w:b/>
                <w:bCs/>
                <w:lang w:val="uk-UA"/>
              </w:rPr>
              <w:t xml:space="preserve"> російської військової агресії проти України</w:t>
            </w:r>
          </w:p>
          <w:bookmarkEnd w:id="12"/>
          <w:p w14:paraId="3C518883" w14:textId="3ECFE631" w:rsidR="00CC7D4B" w:rsidRPr="00D0186D" w:rsidRDefault="00CC7D4B" w:rsidP="00041BB1">
            <w:pPr>
              <w:jc w:val="both"/>
              <w:rPr>
                <w:lang w:val="uk-UA"/>
              </w:rPr>
            </w:pPr>
          </w:p>
        </w:tc>
      </w:tr>
      <w:tr w:rsidR="00572C6A" w:rsidRPr="00D0186D" w14:paraId="53886453" w14:textId="77777777" w:rsidTr="00274934">
        <w:tc>
          <w:tcPr>
            <w:tcW w:w="7934" w:type="dxa"/>
          </w:tcPr>
          <w:p w14:paraId="69FB71A0" w14:textId="77777777" w:rsidR="00193723" w:rsidRPr="00D0186D" w:rsidRDefault="00193723" w:rsidP="00193723">
            <w:pPr>
              <w:pStyle w:val="rvps2"/>
              <w:shd w:val="clear" w:color="auto" w:fill="FFFFFF"/>
              <w:spacing w:before="0" w:beforeAutospacing="0" w:after="150" w:afterAutospacing="0"/>
              <w:ind w:firstLine="450"/>
              <w:jc w:val="both"/>
            </w:pPr>
            <w:r w:rsidRPr="00D0186D">
              <w:t>5.4. Прогнозовані операційні контрольовані витрати з розподілу електричної енергії розраховуються перед початком регуляторного періоду на кожний рік регуляторного періоду за формулою</w:t>
            </w:r>
          </w:p>
          <w:tbl>
            <w:tblPr>
              <w:tblW w:w="5000" w:type="pct"/>
              <w:tblLayout w:type="fixed"/>
              <w:tblCellMar>
                <w:left w:w="0" w:type="dxa"/>
                <w:right w:w="0" w:type="dxa"/>
              </w:tblCellMar>
              <w:tblLook w:val="04A0" w:firstRow="1" w:lastRow="0" w:firstColumn="1" w:lastColumn="0" w:noHBand="0" w:noVBand="1"/>
            </w:tblPr>
            <w:tblGrid>
              <w:gridCol w:w="507"/>
              <w:gridCol w:w="874"/>
              <w:gridCol w:w="299"/>
              <w:gridCol w:w="5219"/>
              <w:gridCol w:w="813"/>
            </w:tblGrid>
            <w:tr w:rsidR="00572C6A" w:rsidRPr="00D0186D" w14:paraId="7CBC89D8" w14:textId="77777777" w:rsidTr="00822C61">
              <w:tc>
                <w:tcPr>
                  <w:tcW w:w="8430" w:type="dxa"/>
                  <w:gridSpan w:val="4"/>
                  <w:tcBorders>
                    <w:top w:val="single" w:sz="2" w:space="0" w:color="auto"/>
                    <w:left w:val="single" w:sz="2" w:space="0" w:color="auto"/>
                    <w:bottom w:val="single" w:sz="2" w:space="0" w:color="auto"/>
                    <w:right w:val="single" w:sz="2" w:space="0" w:color="auto"/>
                  </w:tcBorders>
                  <w:hideMark/>
                </w:tcPr>
                <w:p w14:paraId="6E4301EE" w14:textId="77777777" w:rsidR="00193723" w:rsidRPr="00D0186D" w:rsidRDefault="00193723" w:rsidP="00193723">
                  <w:pPr>
                    <w:pStyle w:val="rvps12"/>
                    <w:spacing w:before="150" w:beforeAutospacing="0" w:after="150" w:afterAutospacing="0"/>
                    <w:jc w:val="center"/>
                  </w:pPr>
                  <w:bookmarkStart w:id="13" w:name="n135"/>
                  <w:bookmarkEnd w:id="13"/>
                  <w:r w:rsidRPr="00D0186D">
                    <w:rPr>
                      <w:noProof/>
                    </w:rPr>
                    <w:drawing>
                      <wp:inline distT="0" distB="0" distL="0" distR="0" wp14:anchorId="72ED98FD" wp14:editId="20131168">
                        <wp:extent cx="4118991" cy="361950"/>
                        <wp:effectExtent l="0" t="0" r="0" b="0"/>
                        <wp:docPr id="56" name="Рисунок 56" descr="https://zakon.rada.gov.ua/laws/file/imgs/78/p478167n135-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Рисунок 56" descr="https://zakon.rada.gov.ua/laws/file/imgs/78/p478167n135-22.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74423" cy="366821"/>
                                </a:xfrm>
                                <a:prstGeom prst="rect">
                                  <a:avLst/>
                                </a:prstGeom>
                                <a:noFill/>
                                <a:ln>
                                  <a:noFill/>
                                </a:ln>
                              </pic:spPr>
                            </pic:pic>
                          </a:graphicData>
                        </a:graphic>
                      </wp:inline>
                    </w:drawing>
                  </w:r>
                </w:p>
              </w:tc>
              <w:tc>
                <w:tcPr>
                  <w:tcW w:w="990" w:type="dxa"/>
                  <w:tcBorders>
                    <w:top w:val="single" w:sz="2" w:space="0" w:color="auto"/>
                    <w:left w:val="single" w:sz="2" w:space="0" w:color="auto"/>
                    <w:bottom w:val="single" w:sz="2" w:space="0" w:color="auto"/>
                    <w:right w:val="single" w:sz="2" w:space="0" w:color="auto"/>
                  </w:tcBorders>
                  <w:hideMark/>
                </w:tcPr>
                <w:p w14:paraId="1BADFC80" w14:textId="77777777" w:rsidR="00193723" w:rsidRPr="00D0186D" w:rsidRDefault="00193723" w:rsidP="00193723">
                  <w:pPr>
                    <w:pStyle w:val="rvps12"/>
                    <w:spacing w:before="150" w:beforeAutospacing="0" w:after="150" w:afterAutospacing="0"/>
                    <w:jc w:val="center"/>
                  </w:pPr>
                  <w:r w:rsidRPr="00D0186D">
                    <w:t>(7)</w:t>
                  </w:r>
                </w:p>
              </w:tc>
            </w:tr>
            <w:tr w:rsidR="00572C6A" w:rsidRPr="00ED4B6B" w14:paraId="2DAF370E" w14:textId="77777777" w:rsidTr="00822C61">
              <w:tc>
                <w:tcPr>
                  <w:tcW w:w="615" w:type="dxa"/>
                  <w:vMerge w:val="restart"/>
                  <w:tcBorders>
                    <w:top w:val="single" w:sz="2" w:space="0" w:color="auto"/>
                    <w:left w:val="single" w:sz="2" w:space="0" w:color="auto"/>
                    <w:bottom w:val="single" w:sz="2" w:space="0" w:color="auto"/>
                    <w:right w:val="single" w:sz="2" w:space="0" w:color="auto"/>
                  </w:tcBorders>
                  <w:hideMark/>
                </w:tcPr>
                <w:p w14:paraId="68013161" w14:textId="77777777" w:rsidR="00193723" w:rsidRPr="00D0186D" w:rsidRDefault="00193723" w:rsidP="00193723">
                  <w:pPr>
                    <w:pStyle w:val="rvps11"/>
                    <w:spacing w:before="150" w:beforeAutospacing="0" w:after="150" w:afterAutospacing="0"/>
                    <w:jc w:val="right"/>
                  </w:pPr>
                  <w:r w:rsidRPr="00D0186D">
                    <w:lastRenderedPageBreak/>
                    <w:t>де</w:t>
                  </w:r>
                </w:p>
              </w:tc>
              <w:tc>
                <w:tcPr>
                  <w:tcW w:w="1065" w:type="dxa"/>
                  <w:tcBorders>
                    <w:top w:val="single" w:sz="2" w:space="0" w:color="auto"/>
                    <w:left w:val="single" w:sz="2" w:space="0" w:color="auto"/>
                    <w:bottom w:val="single" w:sz="2" w:space="0" w:color="auto"/>
                    <w:right w:val="single" w:sz="2" w:space="0" w:color="auto"/>
                  </w:tcBorders>
                  <w:hideMark/>
                </w:tcPr>
                <w:p w14:paraId="10D057A5" w14:textId="77777777" w:rsidR="00193723" w:rsidRPr="00D0186D" w:rsidRDefault="00193723" w:rsidP="00193723">
                  <w:pPr>
                    <w:pStyle w:val="rvps12"/>
                    <w:spacing w:before="150" w:beforeAutospacing="0" w:after="150" w:afterAutospacing="0"/>
                    <w:jc w:val="center"/>
                  </w:pPr>
                  <w:r w:rsidRPr="00D0186D">
                    <w:rPr>
                      <w:noProof/>
                    </w:rPr>
                    <w:drawing>
                      <wp:inline distT="0" distB="0" distL="0" distR="0" wp14:anchorId="168F810D" wp14:editId="1A568107">
                        <wp:extent cx="466725" cy="257175"/>
                        <wp:effectExtent l="0" t="0" r="9525" b="9525"/>
                        <wp:docPr id="55" name="Рисунок 55" descr="https://zakon.rada.gov.ua/laws/file/imgs/99/p478167n136v3-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Рисунок 55" descr="https://zakon.rada.gov.ua/laws/file/imgs/99/p478167n136v3-23.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6725" cy="257175"/>
                                </a:xfrm>
                                <a:prstGeom prst="rect">
                                  <a:avLst/>
                                </a:prstGeom>
                                <a:noFill/>
                                <a:ln>
                                  <a:noFill/>
                                </a:ln>
                              </pic:spPr>
                            </pic:pic>
                          </a:graphicData>
                        </a:graphic>
                      </wp:inline>
                    </w:drawing>
                  </w:r>
                </w:p>
              </w:tc>
              <w:tc>
                <w:tcPr>
                  <w:tcW w:w="360" w:type="dxa"/>
                  <w:tcBorders>
                    <w:top w:val="single" w:sz="2" w:space="0" w:color="auto"/>
                    <w:left w:val="single" w:sz="2" w:space="0" w:color="auto"/>
                    <w:bottom w:val="single" w:sz="2" w:space="0" w:color="auto"/>
                    <w:right w:val="single" w:sz="2" w:space="0" w:color="auto"/>
                  </w:tcBorders>
                  <w:hideMark/>
                </w:tcPr>
                <w:p w14:paraId="23BEFCA8" w14:textId="77777777" w:rsidR="00193723" w:rsidRPr="00D0186D" w:rsidRDefault="00193723" w:rsidP="00193723">
                  <w:pPr>
                    <w:pStyle w:val="rvps12"/>
                    <w:spacing w:before="150" w:beforeAutospacing="0" w:after="150" w:afterAutospacing="0"/>
                    <w:jc w:val="center"/>
                  </w:pPr>
                  <w:r w:rsidRPr="00D0186D">
                    <w:t>-</w:t>
                  </w:r>
                </w:p>
              </w:tc>
              <w:tc>
                <w:tcPr>
                  <w:tcW w:w="7380" w:type="dxa"/>
                  <w:gridSpan w:val="2"/>
                  <w:tcBorders>
                    <w:top w:val="single" w:sz="2" w:space="0" w:color="auto"/>
                    <w:left w:val="single" w:sz="2" w:space="0" w:color="auto"/>
                    <w:bottom w:val="single" w:sz="2" w:space="0" w:color="auto"/>
                    <w:right w:val="single" w:sz="2" w:space="0" w:color="auto"/>
                  </w:tcBorders>
                  <w:hideMark/>
                </w:tcPr>
                <w:p w14:paraId="70EF76D8" w14:textId="77777777" w:rsidR="00193723" w:rsidRPr="00D0186D" w:rsidRDefault="00193723" w:rsidP="00193723">
                  <w:pPr>
                    <w:pStyle w:val="rvps14"/>
                    <w:spacing w:before="150" w:beforeAutospacing="0" w:after="150" w:afterAutospacing="0"/>
                    <w:jc w:val="both"/>
                  </w:pPr>
                  <w:r w:rsidRPr="00D0186D">
                    <w:t>прогнозовані операційні контрольовані витрати в році t-1 (для першого року першого періоду регулювання ОКВ</w:t>
                  </w:r>
                  <w:r w:rsidRPr="00D0186D">
                    <w:rPr>
                      <w:rStyle w:val="rvts37"/>
                      <w:b/>
                      <w:bCs/>
                      <w:vertAlign w:val="superscript"/>
                    </w:rPr>
                    <w:t>n</w:t>
                  </w:r>
                  <w:r w:rsidRPr="00D0186D">
                    <w:rPr>
                      <w:rStyle w:val="rvts40"/>
                      <w:b/>
                      <w:bCs/>
                      <w:vertAlign w:val="subscript"/>
                    </w:rPr>
                    <w:t>t-1</w:t>
                  </w:r>
                  <w:r w:rsidRPr="00D0186D">
                    <w:t> = ОКВ</w:t>
                  </w:r>
                  <w:r w:rsidRPr="00D0186D">
                    <w:rPr>
                      <w:rStyle w:val="rvts40"/>
                      <w:b/>
                      <w:bCs/>
                      <w:vertAlign w:val="subscript"/>
                    </w:rPr>
                    <w:t>0</w:t>
                  </w:r>
                  <w:r w:rsidRPr="00D0186D">
                    <w:t>, ОКВ</w:t>
                  </w:r>
                  <w:r w:rsidRPr="00D0186D">
                    <w:rPr>
                      <w:rStyle w:val="rvts40"/>
                      <w:b/>
                      <w:bCs/>
                      <w:vertAlign w:val="subscript"/>
                    </w:rPr>
                    <w:t>0</w:t>
                  </w:r>
                  <w:r w:rsidRPr="00D0186D">
                    <w:t> визначається з урахуванням пункту 5.6 цієї глави, а для першого року другого та наступних періодів регулювання визначається з урахуванням пункту 5.7 цієї глави), тис. грн;</w:t>
                  </w:r>
                </w:p>
              </w:tc>
            </w:tr>
            <w:tr w:rsidR="00572C6A" w:rsidRPr="00D0186D" w14:paraId="0C17D642" w14:textId="77777777" w:rsidTr="00822C61">
              <w:tc>
                <w:tcPr>
                  <w:tcW w:w="611" w:type="dxa"/>
                  <w:vMerge/>
                  <w:tcBorders>
                    <w:top w:val="single" w:sz="2" w:space="0" w:color="auto"/>
                    <w:left w:val="single" w:sz="2" w:space="0" w:color="auto"/>
                    <w:bottom w:val="single" w:sz="2" w:space="0" w:color="auto"/>
                    <w:right w:val="single" w:sz="2" w:space="0" w:color="auto"/>
                  </w:tcBorders>
                  <w:hideMark/>
                </w:tcPr>
                <w:p w14:paraId="35DFCDDB" w14:textId="77777777" w:rsidR="00193723" w:rsidRPr="00D0186D" w:rsidRDefault="00193723" w:rsidP="00193723">
                  <w:pPr>
                    <w:rPr>
                      <w:lang w:val="uk-UA"/>
                    </w:rPr>
                  </w:pPr>
                </w:p>
              </w:tc>
              <w:tc>
                <w:tcPr>
                  <w:tcW w:w="1065" w:type="dxa"/>
                  <w:tcBorders>
                    <w:top w:val="single" w:sz="2" w:space="0" w:color="auto"/>
                    <w:left w:val="single" w:sz="2" w:space="0" w:color="auto"/>
                    <w:bottom w:val="single" w:sz="2" w:space="0" w:color="auto"/>
                    <w:right w:val="single" w:sz="2" w:space="0" w:color="auto"/>
                  </w:tcBorders>
                  <w:hideMark/>
                </w:tcPr>
                <w:p w14:paraId="65E9261E" w14:textId="77777777" w:rsidR="00193723" w:rsidRPr="00D0186D" w:rsidRDefault="00193723" w:rsidP="00193723">
                  <w:pPr>
                    <w:pStyle w:val="rvps12"/>
                    <w:spacing w:before="150" w:beforeAutospacing="0" w:after="150" w:afterAutospacing="0"/>
                    <w:jc w:val="center"/>
                  </w:pPr>
                  <w:r w:rsidRPr="00D0186D">
                    <w:rPr>
                      <w:noProof/>
                    </w:rPr>
                    <w:drawing>
                      <wp:inline distT="0" distB="0" distL="0" distR="0" wp14:anchorId="03A0B0F4" wp14:editId="46B13816">
                        <wp:extent cx="514350" cy="257175"/>
                        <wp:effectExtent l="0" t="0" r="0" b="9525"/>
                        <wp:docPr id="54" name="Рисунок 54" descr="https://zakon.rada.gov.ua/laws/file/imgs/99/p478167n136v3-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Рисунок 54" descr="https://zakon.rada.gov.ua/laws/file/imgs/99/p478167n136v3-24.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4350" cy="257175"/>
                                </a:xfrm>
                                <a:prstGeom prst="rect">
                                  <a:avLst/>
                                </a:prstGeom>
                                <a:noFill/>
                                <a:ln>
                                  <a:noFill/>
                                </a:ln>
                              </pic:spPr>
                            </pic:pic>
                          </a:graphicData>
                        </a:graphic>
                      </wp:inline>
                    </w:drawing>
                  </w:r>
                </w:p>
              </w:tc>
              <w:tc>
                <w:tcPr>
                  <w:tcW w:w="360" w:type="dxa"/>
                  <w:tcBorders>
                    <w:top w:val="single" w:sz="2" w:space="0" w:color="auto"/>
                    <w:left w:val="single" w:sz="2" w:space="0" w:color="auto"/>
                    <w:bottom w:val="single" w:sz="2" w:space="0" w:color="auto"/>
                    <w:right w:val="single" w:sz="2" w:space="0" w:color="auto"/>
                  </w:tcBorders>
                  <w:hideMark/>
                </w:tcPr>
                <w:p w14:paraId="3C684BC1" w14:textId="77777777" w:rsidR="00193723" w:rsidRPr="00D0186D" w:rsidRDefault="00193723" w:rsidP="00193723">
                  <w:pPr>
                    <w:pStyle w:val="rvps12"/>
                    <w:spacing w:before="150" w:beforeAutospacing="0" w:after="150" w:afterAutospacing="0"/>
                    <w:jc w:val="center"/>
                  </w:pPr>
                  <w:r w:rsidRPr="00D0186D">
                    <w:t>-</w:t>
                  </w:r>
                </w:p>
              </w:tc>
              <w:tc>
                <w:tcPr>
                  <w:tcW w:w="7380" w:type="dxa"/>
                  <w:gridSpan w:val="2"/>
                  <w:tcBorders>
                    <w:top w:val="single" w:sz="2" w:space="0" w:color="auto"/>
                    <w:left w:val="single" w:sz="2" w:space="0" w:color="auto"/>
                    <w:bottom w:val="single" w:sz="2" w:space="0" w:color="auto"/>
                    <w:right w:val="single" w:sz="2" w:space="0" w:color="auto"/>
                  </w:tcBorders>
                  <w:hideMark/>
                </w:tcPr>
                <w:p w14:paraId="082EF273" w14:textId="77777777" w:rsidR="00193723" w:rsidRPr="00D0186D" w:rsidRDefault="00193723" w:rsidP="00193723">
                  <w:pPr>
                    <w:pStyle w:val="rvps14"/>
                    <w:spacing w:before="150" w:beforeAutospacing="0" w:after="150" w:afterAutospacing="0"/>
                    <w:jc w:val="both"/>
                  </w:pPr>
                  <w:r w:rsidRPr="00D0186D">
                    <w:t>прогнозований фонд оплати праці (витрати на оплату праці) у році t-1, що розрахований відповідно до Порядку визначення витрат на оплату праці, які враховуються у тарифах на послуги з розподілу електричної енергії, передачі електричної енергії, диспетчерського (</w:t>
                  </w:r>
                  <w:proofErr w:type="spellStart"/>
                  <w:r w:rsidRPr="00D0186D">
                    <w:t>оперативно</w:t>
                  </w:r>
                  <w:proofErr w:type="spellEnd"/>
                  <w:r w:rsidRPr="00D0186D">
                    <w:t>-технологічного) управління, послуги постачальника універсальних послуг, виробництво теплової та виробництво електричної енергії, затвердженого постановою НКРЕКП від 26 жовтня 2015 року № 2645, зареєстрованого в Міністерстві юстиції України 13 листопада 2015 року за № 1431/27876 (далі - Порядок визначення витрат на оплату праці), тис. грн;</w:t>
                  </w:r>
                </w:p>
              </w:tc>
            </w:tr>
            <w:tr w:rsidR="00572C6A" w:rsidRPr="00D0186D" w14:paraId="6E2F5DEC" w14:textId="77777777" w:rsidTr="00822C61">
              <w:tc>
                <w:tcPr>
                  <w:tcW w:w="611" w:type="dxa"/>
                  <w:vMerge/>
                  <w:tcBorders>
                    <w:top w:val="single" w:sz="2" w:space="0" w:color="auto"/>
                    <w:left w:val="single" w:sz="2" w:space="0" w:color="auto"/>
                    <w:bottom w:val="single" w:sz="2" w:space="0" w:color="auto"/>
                    <w:right w:val="single" w:sz="2" w:space="0" w:color="auto"/>
                  </w:tcBorders>
                  <w:hideMark/>
                </w:tcPr>
                <w:p w14:paraId="09836976" w14:textId="77777777" w:rsidR="00193723" w:rsidRPr="00D0186D" w:rsidRDefault="00193723" w:rsidP="00193723">
                  <w:pPr>
                    <w:rPr>
                      <w:lang w:val="uk-UA"/>
                    </w:rPr>
                  </w:pPr>
                </w:p>
              </w:tc>
              <w:tc>
                <w:tcPr>
                  <w:tcW w:w="1065" w:type="dxa"/>
                  <w:tcBorders>
                    <w:top w:val="single" w:sz="2" w:space="0" w:color="auto"/>
                    <w:left w:val="single" w:sz="2" w:space="0" w:color="auto"/>
                    <w:bottom w:val="single" w:sz="2" w:space="0" w:color="auto"/>
                    <w:right w:val="single" w:sz="2" w:space="0" w:color="auto"/>
                  </w:tcBorders>
                  <w:hideMark/>
                </w:tcPr>
                <w:p w14:paraId="11719249" w14:textId="77777777" w:rsidR="00193723" w:rsidRPr="00D0186D" w:rsidRDefault="00193723" w:rsidP="00193723">
                  <w:pPr>
                    <w:pStyle w:val="rvps12"/>
                    <w:spacing w:before="150" w:beforeAutospacing="0" w:after="150" w:afterAutospacing="0"/>
                    <w:jc w:val="center"/>
                  </w:pPr>
                  <w:r w:rsidRPr="00D0186D">
                    <w:rPr>
                      <w:noProof/>
                    </w:rPr>
                    <w:drawing>
                      <wp:inline distT="0" distB="0" distL="0" distR="0" wp14:anchorId="17C18DB8" wp14:editId="77668AA1">
                        <wp:extent cx="495300" cy="257175"/>
                        <wp:effectExtent l="0" t="0" r="0" b="9525"/>
                        <wp:docPr id="52" name="Рисунок 52" descr="https://zakon.rada.gov.ua/laws/file/imgs/99/p478167n136v3-2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Рисунок 52" descr="https://zakon.rada.gov.ua/laws/file/imgs/99/p478167n136v3-25.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5300" cy="257175"/>
                                </a:xfrm>
                                <a:prstGeom prst="rect">
                                  <a:avLst/>
                                </a:prstGeom>
                                <a:noFill/>
                                <a:ln>
                                  <a:noFill/>
                                </a:ln>
                              </pic:spPr>
                            </pic:pic>
                          </a:graphicData>
                        </a:graphic>
                      </wp:inline>
                    </w:drawing>
                  </w:r>
                </w:p>
              </w:tc>
              <w:tc>
                <w:tcPr>
                  <w:tcW w:w="360" w:type="dxa"/>
                  <w:tcBorders>
                    <w:top w:val="single" w:sz="2" w:space="0" w:color="auto"/>
                    <w:left w:val="single" w:sz="2" w:space="0" w:color="auto"/>
                    <w:bottom w:val="single" w:sz="2" w:space="0" w:color="auto"/>
                    <w:right w:val="single" w:sz="2" w:space="0" w:color="auto"/>
                  </w:tcBorders>
                  <w:hideMark/>
                </w:tcPr>
                <w:p w14:paraId="4D05B9C2" w14:textId="77777777" w:rsidR="00193723" w:rsidRPr="00D0186D" w:rsidRDefault="00193723" w:rsidP="00193723">
                  <w:pPr>
                    <w:pStyle w:val="rvps12"/>
                    <w:spacing w:before="150" w:beforeAutospacing="0" w:after="150" w:afterAutospacing="0"/>
                    <w:jc w:val="center"/>
                  </w:pPr>
                  <w:r w:rsidRPr="00D0186D">
                    <w:t>-</w:t>
                  </w:r>
                </w:p>
              </w:tc>
              <w:tc>
                <w:tcPr>
                  <w:tcW w:w="7380" w:type="dxa"/>
                  <w:gridSpan w:val="2"/>
                  <w:tcBorders>
                    <w:top w:val="single" w:sz="2" w:space="0" w:color="auto"/>
                    <w:left w:val="single" w:sz="2" w:space="0" w:color="auto"/>
                    <w:bottom w:val="single" w:sz="2" w:space="0" w:color="auto"/>
                    <w:right w:val="single" w:sz="2" w:space="0" w:color="auto"/>
                  </w:tcBorders>
                  <w:hideMark/>
                </w:tcPr>
                <w:p w14:paraId="6FB42D00" w14:textId="77777777" w:rsidR="00193723" w:rsidRPr="00D0186D" w:rsidRDefault="00193723" w:rsidP="00193723">
                  <w:pPr>
                    <w:pStyle w:val="rvps14"/>
                    <w:spacing w:before="150" w:beforeAutospacing="0" w:after="150" w:afterAutospacing="0"/>
                    <w:jc w:val="both"/>
                  </w:pPr>
                  <w:r w:rsidRPr="00D0186D">
                    <w:t xml:space="preserve">прогнозований фонд оплати праці (витрати на оплату праці) у році t, що розрахований відповідно до Порядку визначення витрат на оплату праці, </w:t>
                  </w:r>
                  <w:proofErr w:type="spellStart"/>
                  <w:r w:rsidRPr="00D0186D">
                    <w:t>тис.грн</w:t>
                  </w:r>
                  <w:proofErr w:type="spellEnd"/>
                  <w:r w:rsidRPr="00D0186D">
                    <w:t>;</w:t>
                  </w:r>
                </w:p>
              </w:tc>
            </w:tr>
            <w:tr w:rsidR="00572C6A" w:rsidRPr="00D0186D" w14:paraId="5BC44732" w14:textId="77777777" w:rsidTr="00822C61">
              <w:tc>
                <w:tcPr>
                  <w:tcW w:w="611" w:type="dxa"/>
                  <w:vMerge/>
                  <w:tcBorders>
                    <w:top w:val="single" w:sz="2" w:space="0" w:color="auto"/>
                    <w:left w:val="single" w:sz="2" w:space="0" w:color="auto"/>
                    <w:bottom w:val="single" w:sz="2" w:space="0" w:color="auto"/>
                    <w:right w:val="single" w:sz="2" w:space="0" w:color="auto"/>
                  </w:tcBorders>
                  <w:hideMark/>
                </w:tcPr>
                <w:p w14:paraId="2A330991" w14:textId="77777777" w:rsidR="00193723" w:rsidRPr="00D0186D" w:rsidRDefault="00193723" w:rsidP="00193723">
                  <w:pPr>
                    <w:rPr>
                      <w:lang w:val="uk-UA"/>
                    </w:rPr>
                  </w:pPr>
                </w:p>
              </w:tc>
              <w:tc>
                <w:tcPr>
                  <w:tcW w:w="1065" w:type="dxa"/>
                  <w:tcBorders>
                    <w:top w:val="single" w:sz="2" w:space="0" w:color="auto"/>
                    <w:left w:val="single" w:sz="2" w:space="0" w:color="auto"/>
                    <w:bottom w:val="single" w:sz="2" w:space="0" w:color="auto"/>
                    <w:right w:val="single" w:sz="2" w:space="0" w:color="auto"/>
                  </w:tcBorders>
                  <w:hideMark/>
                </w:tcPr>
                <w:p w14:paraId="0302C9A2" w14:textId="77777777" w:rsidR="00193723" w:rsidRPr="00D0186D" w:rsidRDefault="00193723" w:rsidP="00193723">
                  <w:pPr>
                    <w:pStyle w:val="rvps12"/>
                    <w:spacing w:before="150" w:beforeAutospacing="0" w:after="150" w:afterAutospacing="0"/>
                    <w:jc w:val="center"/>
                  </w:pPr>
                  <w:r w:rsidRPr="00D0186D">
                    <w:rPr>
                      <w:noProof/>
                    </w:rPr>
                    <w:drawing>
                      <wp:inline distT="0" distB="0" distL="0" distR="0" wp14:anchorId="33E14AEF" wp14:editId="650483D2">
                        <wp:extent cx="390525" cy="257175"/>
                        <wp:effectExtent l="0" t="0" r="9525" b="9525"/>
                        <wp:docPr id="46" name="Рисунок 46" descr="https://zakon.rada.gov.ua/laws/file/imgs/99/p478167n136v3-2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Рисунок 46" descr="https://zakon.rada.gov.ua/laws/file/imgs/99/p478167n136v3-26.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0525" cy="257175"/>
                                </a:xfrm>
                                <a:prstGeom prst="rect">
                                  <a:avLst/>
                                </a:prstGeom>
                                <a:noFill/>
                                <a:ln>
                                  <a:noFill/>
                                </a:ln>
                              </pic:spPr>
                            </pic:pic>
                          </a:graphicData>
                        </a:graphic>
                      </wp:inline>
                    </w:drawing>
                  </w:r>
                </w:p>
              </w:tc>
              <w:tc>
                <w:tcPr>
                  <w:tcW w:w="360" w:type="dxa"/>
                  <w:tcBorders>
                    <w:top w:val="single" w:sz="2" w:space="0" w:color="auto"/>
                    <w:left w:val="single" w:sz="2" w:space="0" w:color="auto"/>
                    <w:bottom w:val="single" w:sz="2" w:space="0" w:color="auto"/>
                    <w:right w:val="single" w:sz="2" w:space="0" w:color="auto"/>
                  </w:tcBorders>
                  <w:hideMark/>
                </w:tcPr>
                <w:p w14:paraId="1CFE0A0B" w14:textId="77777777" w:rsidR="00193723" w:rsidRPr="00D0186D" w:rsidRDefault="00193723" w:rsidP="00193723">
                  <w:pPr>
                    <w:pStyle w:val="rvps12"/>
                    <w:spacing w:before="150" w:beforeAutospacing="0" w:after="150" w:afterAutospacing="0"/>
                    <w:jc w:val="center"/>
                  </w:pPr>
                  <w:r w:rsidRPr="00D0186D">
                    <w:t>-</w:t>
                  </w:r>
                </w:p>
              </w:tc>
              <w:tc>
                <w:tcPr>
                  <w:tcW w:w="7380" w:type="dxa"/>
                  <w:gridSpan w:val="2"/>
                  <w:tcBorders>
                    <w:top w:val="single" w:sz="2" w:space="0" w:color="auto"/>
                    <w:left w:val="single" w:sz="2" w:space="0" w:color="auto"/>
                    <w:bottom w:val="single" w:sz="2" w:space="0" w:color="auto"/>
                    <w:right w:val="single" w:sz="2" w:space="0" w:color="auto"/>
                  </w:tcBorders>
                  <w:hideMark/>
                </w:tcPr>
                <w:p w14:paraId="58D418B2" w14:textId="77777777" w:rsidR="00193723" w:rsidRPr="00D0186D" w:rsidRDefault="00193723" w:rsidP="00193723">
                  <w:pPr>
                    <w:pStyle w:val="rvps14"/>
                    <w:spacing w:before="150" w:beforeAutospacing="0" w:after="150" w:afterAutospacing="0"/>
                    <w:jc w:val="both"/>
                  </w:pPr>
                  <w:r w:rsidRPr="00D0186D">
                    <w:t>прогнозований індекс цін виробників промислової продукції для року </w:t>
                  </w:r>
                  <w:r w:rsidRPr="00D0186D">
                    <w:rPr>
                      <w:rStyle w:val="rvts11"/>
                      <w:i/>
                      <w:iCs/>
                    </w:rPr>
                    <w:t>t</w:t>
                  </w:r>
                  <w:r w:rsidRPr="00D0186D">
                    <w:t>, %;</w:t>
                  </w:r>
                </w:p>
              </w:tc>
            </w:tr>
            <w:tr w:rsidR="00572C6A" w:rsidRPr="00D0186D" w14:paraId="7AF4DF93" w14:textId="77777777" w:rsidTr="00822C61">
              <w:tc>
                <w:tcPr>
                  <w:tcW w:w="611" w:type="dxa"/>
                  <w:vMerge/>
                  <w:tcBorders>
                    <w:top w:val="single" w:sz="2" w:space="0" w:color="auto"/>
                    <w:left w:val="single" w:sz="2" w:space="0" w:color="auto"/>
                    <w:bottom w:val="single" w:sz="2" w:space="0" w:color="auto"/>
                    <w:right w:val="single" w:sz="2" w:space="0" w:color="auto"/>
                  </w:tcBorders>
                  <w:hideMark/>
                </w:tcPr>
                <w:p w14:paraId="13EC1D89" w14:textId="77777777" w:rsidR="00193723" w:rsidRPr="00D0186D" w:rsidRDefault="00193723" w:rsidP="00193723">
                  <w:pPr>
                    <w:rPr>
                      <w:lang w:val="uk-UA"/>
                    </w:rPr>
                  </w:pPr>
                </w:p>
              </w:tc>
              <w:tc>
                <w:tcPr>
                  <w:tcW w:w="1065" w:type="dxa"/>
                  <w:tcBorders>
                    <w:top w:val="single" w:sz="2" w:space="0" w:color="auto"/>
                    <w:left w:val="single" w:sz="2" w:space="0" w:color="auto"/>
                    <w:bottom w:val="single" w:sz="2" w:space="0" w:color="auto"/>
                    <w:right w:val="single" w:sz="2" w:space="0" w:color="auto"/>
                  </w:tcBorders>
                  <w:hideMark/>
                </w:tcPr>
                <w:p w14:paraId="6435D879" w14:textId="77777777" w:rsidR="00193723" w:rsidRPr="00D0186D" w:rsidRDefault="00193723" w:rsidP="00193723">
                  <w:pPr>
                    <w:pStyle w:val="rvps12"/>
                    <w:spacing w:before="150" w:beforeAutospacing="0" w:after="150" w:afterAutospacing="0"/>
                    <w:jc w:val="center"/>
                  </w:pPr>
                  <w:r w:rsidRPr="00D0186D">
                    <w:rPr>
                      <w:noProof/>
                    </w:rPr>
                    <w:drawing>
                      <wp:inline distT="0" distB="0" distL="0" distR="0" wp14:anchorId="7941F6B0" wp14:editId="72A1B140">
                        <wp:extent cx="323850" cy="238125"/>
                        <wp:effectExtent l="0" t="0" r="0" b="9525"/>
                        <wp:docPr id="12" name="Рисунок 12" descr="https://zakon.rada.gov.ua/laws/file/imgs/99/p478167n136v3-2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descr="https://zakon.rada.gov.ua/laws/file/imgs/99/p478167n136v3-27.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3850" cy="238125"/>
                                </a:xfrm>
                                <a:prstGeom prst="rect">
                                  <a:avLst/>
                                </a:prstGeom>
                                <a:noFill/>
                                <a:ln>
                                  <a:noFill/>
                                </a:ln>
                              </pic:spPr>
                            </pic:pic>
                          </a:graphicData>
                        </a:graphic>
                      </wp:inline>
                    </w:drawing>
                  </w:r>
                </w:p>
              </w:tc>
              <w:tc>
                <w:tcPr>
                  <w:tcW w:w="360" w:type="dxa"/>
                  <w:tcBorders>
                    <w:top w:val="single" w:sz="2" w:space="0" w:color="auto"/>
                    <w:left w:val="single" w:sz="2" w:space="0" w:color="auto"/>
                    <w:bottom w:val="single" w:sz="2" w:space="0" w:color="auto"/>
                    <w:right w:val="single" w:sz="2" w:space="0" w:color="auto"/>
                  </w:tcBorders>
                  <w:hideMark/>
                </w:tcPr>
                <w:p w14:paraId="00BE93A5" w14:textId="77777777" w:rsidR="00193723" w:rsidRPr="00D0186D" w:rsidRDefault="00193723" w:rsidP="00193723">
                  <w:pPr>
                    <w:pStyle w:val="rvps12"/>
                    <w:spacing w:before="150" w:beforeAutospacing="0" w:after="150" w:afterAutospacing="0"/>
                    <w:jc w:val="center"/>
                  </w:pPr>
                  <w:r w:rsidRPr="00D0186D">
                    <w:t>-</w:t>
                  </w:r>
                </w:p>
              </w:tc>
              <w:tc>
                <w:tcPr>
                  <w:tcW w:w="7380" w:type="dxa"/>
                  <w:gridSpan w:val="2"/>
                  <w:tcBorders>
                    <w:top w:val="single" w:sz="2" w:space="0" w:color="auto"/>
                    <w:left w:val="single" w:sz="2" w:space="0" w:color="auto"/>
                    <w:bottom w:val="single" w:sz="2" w:space="0" w:color="auto"/>
                    <w:right w:val="single" w:sz="2" w:space="0" w:color="auto"/>
                  </w:tcBorders>
                  <w:hideMark/>
                </w:tcPr>
                <w:p w14:paraId="2A32D3D2" w14:textId="77777777" w:rsidR="00193723" w:rsidRPr="00D0186D" w:rsidRDefault="00193723" w:rsidP="00193723">
                  <w:pPr>
                    <w:pStyle w:val="rvps14"/>
                    <w:spacing w:before="150" w:beforeAutospacing="0" w:after="150" w:afterAutospacing="0"/>
                    <w:jc w:val="both"/>
                  </w:pPr>
                  <w:r w:rsidRPr="00D0186D">
                    <w:t>загальний показник ефективності для операційних контрольованих витрат, встановлений НКРЕКП, %;</w:t>
                  </w:r>
                </w:p>
              </w:tc>
            </w:tr>
            <w:tr w:rsidR="00572C6A" w:rsidRPr="00D0186D" w14:paraId="1CB550E8" w14:textId="77777777" w:rsidTr="00822C61">
              <w:tc>
                <w:tcPr>
                  <w:tcW w:w="611" w:type="dxa"/>
                  <w:vMerge/>
                  <w:tcBorders>
                    <w:top w:val="single" w:sz="2" w:space="0" w:color="auto"/>
                    <w:left w:val="single" w:sz="2" w:space="0" w:color="auto"/>
                    <w:bottom w:val="single" w:sz="2" w:space="0" w:color="auto"/>
                    <w:right w:val="single" w:sz="2" w:space="0" w:color="auto"/>
                  </w:tcBorders>
                  <w:hideMark/>
                </w:tcPr>
                <w:p w14:paraId="1F321044" w14:textId="77777777" w:rsidR="00193723" w:rsidRPr="00D0186D" w:rsidRDefault="00193723" w:rsidP="00193723">
                  <w:pPr>
                    <w:rPr>
                      <w:lang w:val="uk-UA"/>
                    </w:rPr>
                  </w:pPr>
                </w:p>
              </w:tc>
              <w:tc>
                <w:tcPr>
                  <w:tcW w:w="1065" w:type="dxa"/>
                  <w:tcBorders>
                    <w:top w:val="single" w:sz="2" w:space="0" w:color="auto"/>
                    <w:left w:val="single" w:sz="2" w:space="0" w:color="auto"/>
                    <w:bottom w:val="single" w:sz="2" w:space="0" w:color="auto"/>
                    <w:right w:val="single" w:sz="2" w:space="0" w:color="auto"/>
                  </w:tcBorders>
                  <w:hideMark/>
                </w:tcPr>
                <w:p w14:paraId="5EA6B454" w14:textId="77777777" w:rsidR="00193723" w:rsidRPr="00D0186D" w:rsidRDefault="00193723" w:rsidP="00193723">
                  <w:pPr>
                    <w:pStyle w:val="rvps12"/>
                    <w:spacing w:before="150" w:beforeAutospacing="0" w:after="150" w:afterAutospacing="0"/>
                    <w:jc w:val="center"/>
                  </w:pPr>
                  <w:r w:rsidRPr="00D0186D">
                    <w:rPr>
                      <w:noProof/>
                    </w:rPr>
                    <w:drawing>
                      <wp:inline distT="0" distB="0" distL="0" distR="0" wp14:anchorId="4019D312" wp14:editId="39C325E4">
                        <wp:extent cx="400050" cy="238125"/>
                        <wp:effectExtent l="0" t="0" r="0" b="9525"/>
                        <wp:docPr id="13" name="Рисунок 13" descr="https://zakon.rada.gov.ua/laws/file/imgs/99/p478167n136v3-2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https://zakon.rada.gov.ua/laws/file/imgs/99/p478167n136v3-28.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0050" cy="238125"/>
                                </a:xfrm>
                                <a:prstGeom prst="rect">
                                  <a:avLst/>
                                </a:prstGeom>
                                <a:noFill/>
                                <a:ln>
                                  <a:noFill/>
                                </a:ln>
                              </pic:spPr>
                            </pic:pic>
                          </a:graphicData>
                        </a:graphic>
                      </wp:inline>
                    </w:drawing>
                  </w:r>
                </w:p>
              </w:tc>
              <w:tc>
                <w:tcPr>
                  <w:tcW w:w="360" w:type="dxa"/>
                  <w:tcBorders>
                    <w:top w:val="single" w:sz="2" w:space="0" w:color="auto"/>
                    <w:left w:val="single" w:sz="2" w:space="0" w:color="auto"/>
                    <w:bottom w:val="single" w:sz="2" w:space="0" w:color="auto"/>
                    <w:right w:val="single" w:sz="2" w:space="0" w:color="auto"/>
                  </w:tcBorders>
                  <w:hideMark/>
                </w:tcPr>
                <w:p w14:paraId="3C60DA20" w14:textId="77777777" w:rsidR="00193723" w:rsidRPr="00D0186D" w:rsidRDefault="00193723" w:rsidP="00193723">
                  <w:pPr>
                    <w:pStyle w:val="rvps12"/>
                    <w:spacing w:before="150" w:beforeAutospacing="0" w:after="150" w:afterAutospacing="0"/>
                    <w:jc w:val="center"/>
                  </w:pPr>
                  <w:r w:rsidRPr="00D0186D">
                    <w:t>-</w:t>
                  </w:r>
                </w:p>
              </w:tc>
              <w:tc>
                <w:tcPr>
                  <w:tcW w:w="7380" w:type="dxa"/>
                  <w:gridSpan w:val="2"/>
                  <w:tcBorders>
                    <w:top w:val="single" w:sz="2" w:space="0" w:color="auto"/>
                    <w:left w:val="single" w:sz="2" w:space="0" w:color="auto"/>
                    <w:bottom w:val="single" w:sz="2" w:space="0" w:color="auto"/>
                    <w:right w:val="single" w:sz="2" w:space="0" w:color="auto"/>
                  </w:tcBorders>
                  <w:hideMark/>
                </w:tcPr>
                <w:p w14:paraId="6A9CCEC5" w14:textId="77777777" w:rsidR="00193723" w:rsidRPr="00D0186D" w:rsidRDefault="00193723" w:rsidP="00193723">
                  <w:pPr>
                    <w:pStyle w:val="rvps14"/>
                    <w:spacing w:before="150" w:beforeAutospacing="0" w:after="150" w:afterAutospacing="0"/>
                    <w:jc w:val="both"/>
                  </w:pPr>
                  <w:r w:rsidRPr="00D0186D">
                    <w:t>індивідуальний показник ефективності для контрольованих операційних витрат окремого ліцензіата, встановлений НКРЕКП, %.</w:t>
                  </w:r>
                </w:p>
              </w:tc>
            </w:tr>
          </w:tbl>
          <w:p w14:paraId="12435AC1" w14:textId="77777777" w:rsidR="00CC7D4B" w:rsidRPr="00D0186D" w:rsidRDefault="00CC7D4B" w:rsidP="00A82A57">
            <w:pPr>
              <w:rPr>
                <w:lang w:val="uk-UA"/>
              </w:rPr>
            </w:pPr>
          </w:p>
          <w:p w14:paraId="5C55695B" w14:textId="77777777" w:rsidR="00AE6C46" w:rsidRPr="00D0186D" w:rsidRDefault="00AE6C46" w:rsidP="00A82A57">
            <w:pPr>
              <w:rPr>
                <w:lang w:val="uk-UA"/>
              </w:rPr>
            </w:pPr>
          </w:p>
          <w:p w14:paraId="7231C130" w14:textId="0779E627" w:rsidR="00AE6C46" w:rsidRPr="00D0186D" w:rsidRDefault="00AE6C46" w:rsidP="00A82A57">
            <w:pPr>
              <w:rPr>
                <w:b/>
                <w:lang w:val="uk-UA"/>
              </w:rPr>
            </w:pPr>
            <w:r w:rsidRPr="00D0186D">
              <w:rPr>
                <w:b/>
                <w:lang w:val="uk-UA"/>
              </w:rPr>
              <w:t>Абзац відсутній</w:t>
            </w:r>
          </w:p>
        </w:tc>
        <w:tc>
          <w:tcPr>
            <w:tcW w:w="7937" w:type="dxa"/>
          </w:tcPr>
          <w:p w14:paraId="12EAB0F9" w14:textId="77777777" w:rsidR="000A37A1" w:rsidRPr="00D0186D" w:rsidRDefault="000A37A1" w:rsidP="000A37A1">
            <w:pPr>
              <w:pStyle w:val="rvps2"/>
              <w:shd w:val="clear" w:color="auto" w:fill="FFFFFF"/>
              <w:spacing w:before="0" w:beforeAutospacing="0" w:after="150" w:afterAutospacing="0"/>
              <w:ind w:firstLine="450"/>
              <w:jc w:val="both"/>
            </w:pPr>
            <w:r w:rsidRPr="00D0186D">
              <w:lastRenderedPageBreak/>
              <w:t>5.4. Прогнозовані операційні контрольовані витрати з розподілу електричної енергії розраховуються перед початком регуляторного періоду на кожний рік регуляторного періоду за формулою</w:t>
            </w:r>
          </w:p>
          <w:tbl>
            <w:tblPr>
              <w:tblW w:w="7433" w:type="dxa"/>
              <w:tblLayout w:type="fixed"/>
              <w:tblCellMar>
                <w:left w:w="0" w:type="dxa"/>
                <w:right w:w="0" w:type="dxa"/>
              </w:tblCellMar>
              <w:tblLook w:val="04A0" w:firstRow="1" w:lastRow="0" w:firstColumn="1" w:lastColumn="0" w:noHBand="0" w:noVBand="1"/>
            </w:tblPr>
            <w:tblGrid>
              <w:gridCol w:w="489"/>
              <w:gridCol w:w="843"/>
              <w:gridCol w:w="289"/>
              <w:gridCol w:w="5028"/>
              <w:gridCol w:w="784"/>
            </w:tblGrid>
            <w:tr w:rsidR="008150D9" w:rsidRPr="00D0186D" w14:paraId="154C3C16" w14:textId="77777777" w:rsidTr="00822C61">
              <w:tc>
                <w:tcPr>
                  <w:tcW w:w="6649" w:type="dxa"/>
                  <w:gridSpan w:val="4"/>
                  <w:tcBorders>
                    <w:top w:val="single" w:sz="2" w:space="0" w:color="auto"/>
                    <w:left w:val="single" w:sz="2" w:space="0" w:color="auto"/>
                    <w:bottom w:val="single" w:sz="2" w:space="0" w:color="auto"/>
                    <w:right w:val="single" w:sz="2" w:space="0" w:color="auto"/>
                  </w:tcBorders>
                  <w:hideMark/>
                </w:tcPr>
                <w:p w14:paraId="5093EAA4" w14:textId="77777777" w:rsidR="000A37A1" w:rsidRPr="00D0186D" w:rsidRDefault="000A37A1" w:rsidP="000A37A1">
                  <w:pPr>
                    <w:pStyle w:val="rvps12"/>
                    <w:spacing w:before="150" w:beforeAutospacing="0" w:after="150" w:afterAutospacing="0"/>
                    <w:jc w:val="center"/>
                  </w:pPr>
                  <w:r w:rsidRPr="00D0186D">
                    <w:rPr>
                      <w:noProof/>
                    </w:rPr>
                    <w:drawing>
                      <wp:inline distT="0" distB="0" distL="0" distR="0" wp14:anchorId="1AF2DB20" wp14:editId="71CD2075">
                        <wp:extent cx="4118991" cy="361950"/>
                        <wp:effectExtent l="0" t="0" r="0" b="0"/>
                        <wp:docPr id="1993780098" name="Рисунок 1993780098" descr="https://zakon.rada.gov.ua/laws/file/imgs/78/p478167n135-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Рисунок 56" descr="https://zakon.rada.gov.ua/laws/file/imgs/78/p478167n135-22.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74423" cy="366821"/>
                                </a:xfrm>
                                <a:prstGeom prst="rect">
                                  <a:avLst/>
                                </a:prstGeom>
                                <a:noFill/>
                                <a:ln>
                                  <a:noFill/>
                                </a:ln>
                              </pic:spPr>
                            </pic:pic>
                          </a:graphicData>
                        </a:graphic>
                      </wp:inline>
                    </w:drawing>
                  </w:r>
                </w:p>
              </w:tc>
              <w:tc>
                <w:tcPr>
                  <w:tcW w:w="784" w:type="dxa"/>
                  <w:tcBorders>
                    <w:top w:val="single" w:sz="2" w:space="0" w:color="auto"/>
                    <w:left w:val="single" w:sz="2" w:space="0" w:color="auto"/>
                    <w:bottom w:val="single" w:sz="2" w:space="0" w:color="auto"/>
                    <w:right w:val="single" w:sz="2" w:space="0" w:color="auto"/>
                  </w:tcBorders>
                  <w:hideMark/>
                </w:tcPr>
                <w:p w14:paraId="559D7988" w14:textId="77777777" w:rsidR="000A37A1" w:rsidRPr="00D0186D" w:rsidRDefault="000A37A1" w:rsidP="000A37A1">
                  <w:pPr>
                    <w:pStyle w:val="rvps12"/>
                    <w:spacing w:before="150" w:beforeAutospacing="0" w:after="150" w:afterAutospacing="0"/>
                    <w:jc w:val="center"/>
                  </w:pPr>
                  <w:r w:rsidRPr="00D0186D">
                    <w:t>(7)</w:t>
                  </w:r>
                </w:p>
              </w:tc>
            </w:tr>
            <w:tr w:rsidR="008150D9" w:rsidRPr="00ED4B6B" w14:paraId="01422E8D" w14:textId="77777777" w:rsidTr="00822C61">
              <w:tc>
                <w:tcPr>
                  <w:tcW w:w="489" w:type="dxa"/>
                  <w:vMerge w:val="restart"/>
                  <w:tcBorders>
                    <w:top w:val="single" w:sz="2" w:space="0" w:color="auto"/>
                    <w:left w:val="single" w:sz="2" w:space="0" w:color="auto"/>
                    <w:bottom w:val="single" w:sz="2" w:space="0" w:color="auto"/>
                    <w:right w:val="single" w:sz="2" w:space="0" w:color="auto"/>
                  </w:tcBorders>
                  <w:hideMark/>
                </w:tcPr>
                <w:p w14:paraId="28A9DE20" w14:textId="77777777" w:rsidR="000A37A1" w:rsidRPr="00D0186D" w:rsidRDefault="000A37A1" w:rsidP="000A37A1">
                  <w:pPr>
                    <w:pStyle w:val="rvps11"/>
                    <w:spacing w:before="150" w:beforeAutospacing="0" w:after="150" w:afterAutospacing="0"/>
                    <w:jc w:val="right"/>
                  </w:pPr>
                  <w:r w:rsidRPr="00D0186D">
                    <w:lastRenderedPageBreak/>
                    <w:t>де</w:t>
                  </w:r>
                </w:p>
              </w:tc>
              <w:tc>
                <w:tcPr>
                  <w:tcW w:w="843" w:type="dxa"/>
                  <w:tcBorders>
                    <w:top w:val="single" w:sz="2" w:space="0" w:color="auto"/>
                    <w:left w:val="single" w:sz="2" w:space="0" w:color="auto"/>
                    <w:bottom w:val="single" w:sz="2" w:space="0" w:color="auto"/>
                    <w:right w:val="single" w:sz="2" w:space="0" w:color="auto"/>
                  </w:tcBorders>
                  <w:hideMark/>
                </w:tcPr>
                <w:p w14:paraId="17BB4C11" w14:textId="77777777" w:rsidR="000A37A1" w:rsidRPr="00D0186D" w:rsidRDefault="000A37A1" w:rsidP="000A37A1">
                  <w:pPr>
                    <w:pStyle w:val="rvps12"/>
                    <w:spacing w:before="150" w:beforeAutospacing="0" w:after="150" w:afterAutospacing="0"/>
                    <w:jc w:val="center"/>
                  </w:pPr>
                  <w:r w:rsidRPr="00D0186D">
                    <w:rPr>
                      <w:noProof/>
                    </w:rPr>
                    <w:drawing>
                      <wp:inline distT="0" distB="0" distL="0" distR="0" wp14:anchorId="65630D6E" wp14:editId="24072894">
                        <wp:extent cx="466725" cy="257175"/>
                        <wp:effectExtent l="0" t="0" r="9525" b="9525"/>
                        <wp:docPr id="1993780099" name="Рисунок 1993780099" descr="https://zakon.rada.gov.ua/laws/file/imgs/99/p478167n136v3-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780099" name="Рисунок 1993780099" descr="https://zakon.rada.gov.ua/laws/file/imgs/99/p478167n136v3-23.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6725" cy="257175"/>
                                </a:xfrm>
                                <a:prstGeom prst="rect">
                                  <a:avLst/>
                                </a:prstGeom>
                                <a:noFill/>
                                <a:ln>
                                  <a:noFill/>
                                </a:ln>
                              </pic:spPr>
                            </pic:pic>
                          </a:graphicData>
                        </a:graphic>
                      </wp:inline>
                    </w:drawing>
                  </w:r>
                </w:p>
              </w:tc>
              <w:tc>
                <w:tcPr>
                  <w:tcW w:w="289" w:type="dxa"/>
                  <w:tcBorders>
                    <w:top w:val="single" w:sz="2" w:space="0" w:color="auto"/>
                    <w:left w:val="single" w:sz="2" w:space="0" w:color="auto"/>
                    <w:bottom w:val="single" w:sz="2" w:space="0" w:color="auto"/>
                    <w:right w:val="single" w:sz="2" w:space="0" w:color="auto"/>
                  </w:tcBorders>
                  <w:hideMark/>
                </w:tcPr>
                <w:p w14:paraId="0761E4DF" w14:textId="77777777" w:rsidR="000A37A1" w:rsidRPr="00D0186D" w:rsidRDefault="000A37A1" w:rsidP="000A37A1">
                  <w:pPr>
                    <w:pStyle w:val="rvps12"/>
                    <w:spacing w:before="150" w:beforeAutospacing="0" w:after="150" w:afterAutospacing="0"/>
                    <w:jc w:val="center"/>
                  </w:pPr>
                  <w:r w:rsidRPr="00D0186D">
                    <w:t>-</w:t>
                  </w:r>
                </w:p>
              </w:tc>
              <w:tc>
                <w:tcPr>
                  <w:tcW w:w="5812" w:type="dxa"/>
                  <w:gridSpan w:val="2"/>
                  <w:tcBorders>
                    <w:top w:val="single" w:sz="2" w:space="0" w:color="auto"/>
                    <w:left w:val="single" w:sz="2" w:space="0" w:color="auto"/>
                    <w:bottom w:val="single" w:sz="2" w:space="0" w:color="auto"/>
                    <w:right w:val="single" w:sz="2" w:space="0" w:color="auto"/>
                  </w:tcBorders>
                  <w:hideMark/>
                </w:tcPr>
                <w:p w14:paraId="5195F76F" w14:textId="77777777" w:rsidR="000A37A1" w:rsidRPr="00D0186D" w:rsidRDefault="000A37A1" w:rsidP="000A37A1">
                  <w:pPr>
                    <w:pStyle w:val="rvps14"/>
                    <w:spacing w:before="150" w:beforeAutospacing="0" w:after="150" w:afterAutospacing="0"/>
                    <w:jc w:val="both"/>
                  </w:pPr>
                  <w:r w:rsidRPr="00D0186D">
                    <w:t>прогнозовані операційні контрольовані витрати в році t-1 (для першого року першого періоду регулювання ОКВ</w:t>
                  </w:r>
                  <w:r w:rsidRPr="00D0186D">
                    <w:rPr>
                      <w:rStyle w:val="rvts37"/>
                      <w:b/>
                      <w:bCs/>
                      <w:vertAlign w:val="superscript"/>
                    </w:rPr>
                    <w:t>n</w:t>
                  </w:r>
                  <w:r w:rsidRPr="00D0186D">
                    <w:rPr>
                      <w:rStyle w:val="rvts40"/>
                      <w:b/>
                      <w:bCs/>
                      <w:vertAlign w:val="subscript"/>
                    </w:rPr>
                    <w:t>t-1</w:t>
                  </w:r>
                  <w:r w:rsidRPr="00D0186D">
                    <w:t> = ОКВ</w:t>
                  </w:r>
                  <w:r w:rsidRPr="00D0186D">
                    <w:rPr>
                      <w:rStyle w:val="rvts40"/>
                      <w:b/>
                      <w:bCs/>
                      <w:vertAlign w:val="subscript"/>
                    </w:rPr>
                    <w:t>0</w:t>
                  </w:r>
                  <w:r w:rsidRPr="00D0186D">
                    <w:t>, ОКВ</w:t>
                  </w:r>
                  <w:r w:rsidRPr="00D0186D">
                    <w:rPr>
                      <w:rStyle w:val="rvts40"/>
                      <w:b/>
                      <w:bCs/>
                      <w:vertAlign w:val="subscript"/>
                    </w:rPr>
                    <w:t>0</w:t>
                  </w:r>
                  <w:r w:rsidRPr="00D0186D">
                    <w:t> визначається з урахуванням пункту 5.6 цієї глави, а для першого року другого та наступних періодів регулювання визначається з урахуванням пункту 5.7 цієї глави), тис. грн;</w:t>
                  </w:r>
                </w:p>
              </w:tc>
            </w:tr>
            <w:tr w:rsidR="008150D9" w:rsidRPr="00D0186D" w14:paraId="32DD19EB" w14:textId="77777777" w:rsidTr="00822C61">
              <w:tc>
                <w:tcPr>
                  <w:tcW w:w="489" w:type="dxa"/>
                  <w:vMerge/>
                  <w:tcBorders>
                    <w:top w:val="single" w:sz="2" w:space="0" w:color="auto"/>
                    <w:left w:val="single" w:sz="2" w:space="0" w:color="auto"/>
                    <w:bottom w:val="single" w:sz="2" w:space="0" w:color="auto"/>
                    <w:right w:val="single" w:sz="2" w:space="0" w:color="auto"/>
                  </w:tcBorders>
                  <w:hideMark/>
                </w:tcPr>
                <w:p w14:paraId="630086CD" w14:textId="77777777" w:rsidR="000A37A1" w:rsidRPr="00D0186D" w:rsidRDefault="000A37A1" w:rsidP="000A37A1">
                  <w:pPr>
                    <w:rPr>
                      <w:lang w:val="uk-UA"/>
                    </w:rPr>
                  </w:pPr>
                </w:p>
              </w:tc>
              <w:tc>
                <w:tcPr>
                  <w:tcW w:w="843" w:type="dxa"/>
                  <w:tcBorders>
                    <w:top w:val="single" w:sz="2" w:space="0" w:color="auto"/>
                    <w:left w:val="single" w:sz="2" w:space="0" w:color="auto"/>
                    <w:bottom w:val="single" w:sz="2" w:space="0" w:color="auto"/>
                    <w:right w:val="single" w:sz="2" w:space="0" w:color="auto"/>
                  </w:tcBorders>
                  <w:hideMark/>
                </w:tcPr>
                <w:p w14:paraId="26404D6D" w14:textId="77777777" w:rsidR="000A37A1" w:rsidRPr="00D0186D" w:rsidRDefault="000A37A1" w:rsidP="000A37A1">
                  <w:pPr>
                    <w:pStyle w:val="rvps12"/>
                    <w:spacing w:before="150" w:beforeAutospacing="0" w:after="150" w:afterAutospacing="0"/>
                    <w:jc w:val="center"/>
                  </w:pPr>
                  <w:r w:rsidRPr="00D0186D">
                    <w:rPr>
                      <w:noProof/>
                    </w:rPr>
                    <w:drawing>
                      <wp:inline distT="0" distB="0" distL="0" distR="0" wp14:anchorId="41AC73A8" wp14:editId="0FDDCF39">
                        <wp:extent cx="514350" cy="257175"/>
                        <wp:effectExtent l="0" t="0" r="0" b="9525"/>
                        <wp:docPr id="1993780100" name="Рисунок 1993780100" descr="https://zakon.rada.gov.ua/laws/file/imgs/99/p478167n136v3-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780100" name="Рисунок 1993780100" descr="https://zakon.rada.gov.ua/laws/file/imgs/99/p478167n136v3-24.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4350" cy="257175"/>
                                </a:xfrm>
                                <a:prstGeom prst="rect">
                                  <a:avLst/>
                                </a:prstGeom>
                                <a:noFill/>
                                <a:ln>
                                  <a:noFill/>
                                </a:ln>
                              </pic:spPr>
                            </pic:pic>
                          </a:graphicData>
                        </a:graphic>
                      </wp:inline>
                    </w:drawing>
                  </w:r>
                </w:p>
              </w:tc>
              <w:tc>
                <w:tcPr>
                  <w:tcW w:w="289" w:type="dxa"/>
                  <w:tcBorders>
                    <w:top w:val="single" w:sz="2" w:space="0" w:color="auto"/>
                    <w:left w:val="single" w:sz="2" w:space="0" w:color="auto"/>
                    <w:bottom w:val="single" w:sz="2" w:space="0" w:color="auto"/>
                    <w:right w:val="single" w:sz="2" w:space="0" w:color="auto"/>
                  </w:tcBorders>
                  <w:hideMark/>
                </w:tcPr>
                <w:p w14:paraId="0BE72392" w14:textId="77777777" w:rsidR="000A37A1" w:rsidRPr="00D0186D" w:rsidRDefault="000A37A1" w:rsidP="000A37A1">
                  <w:pPr>
                    <w:pStyle w:val="rvps12"/>
                    <w:spacing w:before="150" w:beforeAutospacing="0" w:after="150" w:afterAutospacing="0"/>
                    <w:jc w:val="center"/>
                  </w:pPr>
                  <w:r w:rsidRPr="00D0186D">
                    <w:t>-</w:t>
                  </w:r>
                </w:p>
              </w:tc>
              <w:tc>
                <w:tcPr>
                  <w:tcW w:w="5812" w:type="dxa"/>
                  <w:gridSpan w:val="2"/>
                  <w:tcBorders>
                    <w:top w:val="single" w:sz="2" w:space="0" w:color="auto"/>
                    <w:left w:val="single" w:sz="2" w:space="0" w:color="auto"/>
                    <w:bottom w:val="single" w:sz="2" w:space="0" w:color="auto"/>
                    <w:right w:val="single" w:sz="2" w:space="0" w:color="auto"/>
                  </w:tcBorders>
                  <w:hideMark/>
                </w:tcPr>
                <w:p w14:paraId="3D4C4AC4" w14:textId="77777777" w:rsidR="000A37A1" w:rsidRPr="00D0186D" w:rsidRDefault="000A37A1" w:rsidP="000A37A1">
                  <w:pPr>
                    <w:pStyle w:val="rvps14"/>
                    <w:spacing w:before="150" w:beforeAutospacing="0" w:after="150" w:afterAutospacing="0"/>
                    <w:jc w:val="both"/>
                  </w:pPr>
                  <w:r w:rsidRPr="00D0186D">
                    <w:t>прогнозований фонд оплати праці (витрати на оплату праці) у році t-1, що розрахований відповідно до Порядку визначення витрат на оплату праці, які враховуються у тарифах на послуги з розподілу електричної енергії, передачі електричної енергії, диспетчерського (</w:t>
                  </w:r>
                  <w:proofErr w:type="spellStart"/>
                  <w:r w:rsidRPr="00D0186D">
                    <w:t>оперативно</w:t>
                  </w:r>
                  <w:proofErr w:type="spellEnd"/>
                  <w:r w:rsidRPr="00D0186D">
                    <w:t>-технологічного) управління, послуги постачальника універсальних послуг, виробництво теплової та виробництво електричної енергії, затвердженого постановою НКРЕКП від 26 жовтня 2015 року № 2645, зареєстрованого в Міністерстві юстиції України 13 листопада 2015 року за № 1431/27876 (далі - Порядок визначення витрат на оплату праці), тис. грн;</w:t>
                  </w:r>
                </w:p>
              </w:tc>
            </w:tr>
            <w:tr w:rsidR="008150D9" w:rsidRPr="00D0186D" w14:paraId="42690676" w14:textId="77777777" w:rsidTr="00822C61">
              <w:tc>
                <w:tcPr>
                  <w:tcW w:w="489" w:type="dxa"/>
                  <w:vMerge/>
                  <w:tcBorders>
                    <w:top w:val="single" w:sz="2" w:space="0" w:color="auto"/>
                    <w:left w:val="single" w:sz="2" w:space="0" w:color="auto"/>
                    <w:bottom w:val="single" w:sz="2" w:space="0" w:color="auto"/>
                    <w:right w:val="single" w:sz="2" w:space="0" w:color="auto"/>
                  </w:tcBorders>
                  <w:hideMark/>
                </w:tcPr>
                <w:p w14:paraId="6738289B" w14:textId="77777777" w:rsidR="000A37A1" w:rsidRPr="00D0186D" w:rsidRDefault="000A37A1" w:rsidP="000A37A1">
                  <w:pPr>
                    <w:rPr>
                      <w:lang w:val="uk-UA"/>
                    </w:rPr>
                  </w:pPr>
                </w:p>
              </w:tc>
              <w:tc>
                <w:tcPr>
                  <w:tcW w:w="843" w:type="dxa"/>
                  <w:tcBorders>
                    <w:top w:val="single" w:sz="2" w:space="0" w:color="auto"/>
                    <w:left w:val="single" w:sz="2" w:space="0" w:color="auto"/>
                    <w:bottom w:val="single" w:sz="2" w:space="0" w:color="auto"/>
                    <w:right w:val="single" w:sz="2" w:space="0" w:color="auto"/>
                  </w:tcBorders>
                  <w:hideMark/>
                </w:tcPr>
                <w:p w14:paraId="707AB326" w14:textId="77777777" w:rsidR="000A37A1" w:rsidRPr="00D0186D" w:rsidRDefault="000A37A1" w:rsidP="000A37A1">
                  <w:pPr>
                    <w:pStyle w:val="rvps12"/>
                    <w:spacing w:before="150" w:beforeAutospacing="0" w:after="150" w:afterAutospacing="0"/>
                    <w:jc w:val="center"/>
                  </w:pPr>
                  <w:r w:rsidRPr="00D0186D">
                    <w:rPr>
                      <w:noProof/>
                    </w:rPr>
                    <w:drawing>
                      <wp:inline distT="0" distB="0" distL="0" distR="0" wp14:anchorId="4B63735B" wp14:editId="414D45FF">
                        <wp:extent cx="495300" cy="257175"/>
                        <wp:effectExtent l="0" t="0" r="0" b="9525"/>
                        <wp:docPr id="1993780101" name="Рисунок 1993780101" descr="https://zakon.rada.gov.ua/laws/file/imgs/99/p478167n136v3-2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780101" name="Рисунок 1993780101" descr="https://zakon.rada.gov.ua/laws/file/imgs/99/p478167n136v3-25.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5300" cy="257175"/>
                                </a:xfrm>
                                <a:prstGeom prst="rect">
                                  <a:avLst/>
                                </a:prstGeom>
                                <a:noFill/>
                                <a:ln>
                                  <a:noFill/>
                                </a:ln>
                              </pic:spPr>
                            </pic:pic>
                          </a:graphicData>
                        </a:graphic>
                      </wp:inline>
                    </w:drawing>
                  </w:r>
                </w:p>
              </w:tc>
              <w:tc>
                <w:tcPr>
                  <w:tcW w:w="289" w:type="dxa"/>
                  <w:tcBorders>
                    <w:top w:val="single" w:sz="2" w:space="0" w:color="auto"/>
                    <w:left w:val="single" w:sz="2" w:space="0" w:color="auto"/>
                    <w:bottom w:val="single" w:sz="2" w:space="0" w:color="auto"/>
                    <w:right w:val="single" w:sz="2" w:space="0" w:color="auto"/>
                  </w:tcBorders>
                  <w:hideMark/>
                </w:tcPr>
                <w:p w14:paraId="2E37A7C6" w14:textId="77777777" w:rsidR="000A37A1" w:rsidRPr="00D0186D" w:rsidRDefault="000A37A1" w:rsidP="000A37A1">
                  <w:pPr>
                    <w:pStyle w:val="rvps12"/>
                    <w:spacing w:before="150" w:beforeAutospacing="0" w:after="150" w:afterAutospacing="0"/>
                    <w:jc w:val="center"/>
                  </w:pPr>
                  <w:r w:rsidRPr="00D0186D">
                    <w:t>-</w:t>
                  </w:r>
                </w:p>
              </w:tc>
              <w:tc>
                <w:tcPr>
                  <w:tcW w:w="5812" w:type="dxa"/>
                  <w:gridSpan w:val="2"/>
                  <w:tcBorders>
                    <w:top w:val="single" w:sz="2" w:space="0" w:color="auto"/>
                    <w:left w:val="single" w:sz="2" w:space="0" w:color="auto"/>
                    <w:bottom w:val="single" w:sz="2" w:space="0" w:color="auto"/>
                    <w:right w:val="single" w:sz="2" w:space="0" w:color="auto"/>
                  </w:tcBorders>
                  <w:hideMark/>
                </w:tcPr>
                <w:p w14:paraId="282C3138" w14:textId="77777777" w:rsidR="000A37A1" w:rsidRPr="00D0186D" w:rsidRDefault="000A37A1" w:rsidP="000A37A1">
                  <w:pPr>
                    <w:pStyle w:val="rvps14"/>
                    <w:spacing w:before="150" w:beforeAutospacing="0" w:after="150" w:afterAutospacing="0"/>
                    <w:jc w:val="both"/>
                  </w:pPr>
                  <w:r w:rsidRPr="00D0186D">
                    <w:t xml:space="preserve">прогнозований фонд оплати праці (витрати на оплату праці) у році t, що розрахований відповідно до Порядку визначення витрат на оплату праці, </w:t>
                  </w:r>
                  <w:proofErr w:type="spellStart"/>
                  <w:r w:rsidRPr="00D0186D">
                    <w:t>тис.грн</w:t>
                  </w:r>
                  <w:proofErr w:type="spellEnd"/>
                  <w:r w:rsidRPr="00D0186D">
                    <w:t>;</w:t>
                  </w:r>
                </w:p>
              </w:tc>
            </w:tr>
            <w:tr w:rsidR="008150D9" w:rsidRPr="00D0186D" w14:paraId="34995C69" w14:textId="77777777" w:rsidTr="00822C61">
              <w:tc>
                <w:tcPr>
                  <w:tcW w:w="489" w:type="dxa"/>
                  <w:vMerge/>
                  <w:tcBorders>
                    <w:top w:val="single" w:sz="2" w:space="0" w:color="auto"/>
                    <w:left w:val="single" w:sz="2" w:space="0" w:color="auto"/>
                    <w:bottom w:val="single" w:sz="2" w:space="0" w:color="auto"/>
                    <w:right w:val="single" w:sz="2" w:space="0" w:color="auto"/>
                  </w:tcBorders>
                  <w:hideMark/>
                </w:tcPr>
                <w:p w14:paraId="5229C3E5" w14:textId="77777777" w:rsidR="000A37A1" w:rsidRPr="00D0186D" w:rsidRDefault="000A37A1" w:rsidP="000A37A1">
                  <w:pPr>
                    <w:rPr>
                      <w:lang w:val="uk-UA"/>
                    </w:rPr>
                  </w:pPr>
                </w:p>
              </w:tc>
              <w:tc>
                <w:tcPr>
                  <w:tcW w:w="843" w:type="dxa"/>
                  <w:tcBorders>
                    <w:top w:val="single" w:sz="2" w:space="0" w:color="auto"/>
                    <w:left w:val="single" w:sz="2" w:space="0" w:color="auto"/>
                    <w:bottom w:val="single" w:sz="2" w:space="0" w:color="auto"/>
                    <w:right w:val="single" w:sz="2" w:space="0" w:color="auto"/>
                  </w:tcBorders>
                  <w:hideMark/>
                </w:tcPr>
                <w:p w14:paraId="274CF8AB" w14:textId="77777777" w:rsidR="000A37A1" w:rsidRPr="00D0186D" w:rsidRDefault="000A37A1" w:rsidP="000A37A1">
                  <w:pPr>
                    <w:pStyle w:val="rvps12"/>
                    <w:spacing w:before="150" w:beforeAutospacing="0" w:after="150" w:afterAutospacing="0"/>
                    <w:jc w:val="center"/>
                  </w:pPr>
                  <w:r w:rsidRPr="00D0186D">
                    <w:rPr>
                      <w:noProof/>
                    </w:rPr>
                    <w:drawing>
                      <wp:inline distT="0" distB="0" distL="0" distR="0" wp14:anchorId="4C831C9B" wp14:editId="5CED3F66">
                        <wp:extent cx="390525" cy="257175"/>
                        <wp:effectExtent l="0" t="0" r="9525" b="9525"/>
                        <wp:docPr id="1993780102" name="Рисунок 1993780102" descr="https://zakon.rada.gov.ua/laws/file/imgs/99/p478167n136v3-2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780102" name="Рисунок 1993780102" descr="https://zakon.rada.gov.ua/laws/file/imgs/99/p478167n136v3-26.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0525" cy="257175"/>
                                </a:xfrm>
                                <a:prstGeom prst="rect">
                                  <a:avLst/>
                                </a:prstGeom>
                                <a:noFill/>
                                <a:ln>
                                  <a:noFill/>
                                </a:ln>
                              </pic:spPr>
                            </pic:pic>
                          </a:graphicData>
                        </a:graphic>
                      </wp:inline>
                    </w:drawing>
                  </w:r>
                </w:p>
              </w:tc>
              <w:tc>
                <w:tcPr>
                  <w:tcW w:w="289" w:type="dxa"/>
                  <w:tcBorders>
                    <w:top w:val="single" w:sz="2" w:space="0" w:color="auto"/>
                    <w:left w:val="single" w:sz="2" w:space="0" w:color="auto"/>
                    <w:bottom w:val="single" w:sz="2" w:space="0" w:color="auto"/>
                    <w:right w:val="single" w:sz="2" w:space="0" w:color="auto"/>
                  </w:tcBorders>
                  <w:hideMark/>
                </w:tcPr>
                <w:p w14:paraId="4EEC6EBE" w14:textId="77777777" w:rsidR="000A37A1" w:rsidRPr="00D0186D" w:rsidRDefault="000A37A1" w:rsidP="000A37A1">
                  <w:pPr>
                    <w:pStyle w:val="rvps12"/>
                    <w:spacing w:before="150" w:beforeAutospacing="0" w:after="150" w:afterAutospacing="0"/>
                    <w:jc w:val="center"/>
                  </w:pPr>
                  <w:r w:rsidRPr="00D0186D">
                    <w:t>-</w:t>
                  </w:r>
                </w:p>
              </w:tc>
              <w:tc>
                <w:tcPr>
                  <w:tcW w:w="5812" w:type="dxa"/>
                  <w:gridSpan w:val="2"/>
                  <w:tcBorders>
                    <w:top w:val="single" w:sz="2" w:space="0" w:color="auto"/>
                    <w:left w:val="single" w:sz="2" w:space="0" w:color="auto"/>
                    <w:bottom w:val="single" w:sz="2" w:space="0" w:color="auto"/>
                    <w:right w:val="single" w:sz="2" w:space="0" w:color="auto"/>
                  </w:tcBorders>
                  <w:hideMark/>
                </w:tcPr>
                <w:p w14:paraId="5F6158D2" w14:textId="77777777" w:rsidR="000A37A1" w:rsidRPr="00D0186D" w:rsidRDefault="000A37A1" w:rsidP="000A37A1">
                  <w:pPr>
                    <w:pStyle w:val="rvps14"/>
                    <w:spacing w:before="150" w:beforeAutospacing="0" w:after="150" w:afterAutospacing="0"/>
                    <w:jc w:val="both"/>
                  </w:pPr>
                  <w:r w:rsidRPr="00D0186D">
                    <w:t>прогнозований індекс цін виробників промислової продукції для року </w:t>
                  </w:r>
                  <w:r w:rsidRPr="00D0186D">
                    <w:rPr>
                      <w:rStyle w:val="rvts11"/>
                      <w:i/>
                      <w:iCs/>
                    </w:rPr>
                    <w:t>t</w:t>
                  </w:r>
                  <w:r w:rsidRPr="00D0186D">
                    <w:t>, %;</w:t>
                  </w:r>
                </w:p>
              </w:tc>
            </w:tr>
            <w:tr w:rsidR="008150D9" w:rsidRPr="00D0186D" w14:paraId="54E2009E" w14:textId="77777777" w:rsidTr="00822C61">
              <w:tc>
                <w:tcPr>
                  <w:tcW w:w="489" w:type="dxa"/>
                  <w:vMerge/>
                  <w:tcBorders>
                    <w:top w:val="single" w:sz="2" w:space="0" w:color="auto"/>
                    <w:left w:val="single" w:sz="2" w:space="0" w:color="auto"/>
                    <w:bottom w:val="single" w:sz="2" w:space="0" w:color="auto"/>
                    <w:right w:val="single" w:sz="2" w:space="0" w:color="auto"/>
                  </w:tcBorders>
                  <w:hideMark/>
                </w:tcPr>
                <w:p w14:paraId="7A7B061A" w14:textId="77777777" w:rsidR="000A37A1" w:rsidRPr="00D0186D" w:rsidRDefault="000A37A1" w:rsidP="000A37A1">
                  <w:pPr>
                    <w:rPr>
                      <w:lang w:val="uk-UA"/>
                    </w:rPr>
                  </w:pPr>
                </w:p>
              </w:tc>
              <w:tc>
                <w:tcPr>
                  <w:tcW w:w="843" w:type="dxa"/>
                  <w:tcBorders>
                    <w:top w:val="single" w:sz="2" w:space="0" w:color="auto"/>
                    <w:left w:val="single" w:sz="2" w:space="0" w:color="auto"/>
                    <w:bottom w:val="single" w:sz="2" w:space="0" w:color="auto"/>
                    <w:right w:val="single" w:sz="2" w:space="0" w:color="auto"/>
                  </w:tcBorders>
                  <w:hideMark/>
                </w:tcPr>
                <w:p w14:paraId="5CA60B1B" w14:textId="77777777" w:rsidR="000A37A1" w:rsidRPr="00D0186D" w:rsidRDefault="000A37A1" w:rsidP="000A37A1">
                  <w:pPr>
                    <w:pStyle w:val="rvps12"/>
                    <w:spacing w:before="150" w:beforeAutospacing="0" w:after="150" w:afterAutospacing="0"/>
                    <w:jc w:val="center"/>
                  </w:pPr>
                  <w:r w:rsidRPr="00D0186D">
                    <w:rPr>
                      <w:noProof/>
                    </w:rPr>
                    <w:drawing>
                      <wp:inline distT="0" distB="0" distL="0" distR="0" wp14:anchorId="14A604C6" wp14:editId="4011D5CE">
                        <wp:extent cx="323850" cy="238125"/>
                        <wp:effectExtent l="0" t="0" r="0" b="9525"/>
                        <wp:docPr id="1993780103" name="Рисунок 1993780103" descr="https://zakon.rada.gov.ua/laws/file/imgs/99/p478167n136v3-2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780103" name="Рисунок 1993780103" descr="https://zakon.rada.gov.ua/laws/file/imgs/99/p478167n136v3-27.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3850" cy="238125"/>
                                </a:xfrm>
                                <a:prstGeom prst="rect">
                                  <a:avLst/>
                                </a:prstGeom>
                                <a:noFill/>
                                <a:ln>
                                  <a:noFill/>
                                </a:ln>
                              </pic:spPr>
                            </pic:pic>
                          </a:graphicData>
                        </a:graphic>
                      </wp:inline>
                    </w:drawing>
                  </w:r>
                </w:p>
              </w:tc>
              <w:tc>
                <w:tcPr>
                  <w:tcW w:w="289" w:type="dxa"/>
                  <w:tcBorders>
                    <w:top w:val="single" w:sz="2" w:space="0" w:color="auto"/>
                    <w:left w:val="single" w:sz="2" w:space="0" w:color="auto"/>
                    <w:bottom w:val="single" w:sz="2" w:space="0" w:color="auto"/>
                    <w:right w:val="single" w:sz="2" w:space="0" w:color="auto"/>
                  </w:tcBorders>
                  <w:hideMark/>
                </w:tcPr>
                <w:p w14:paraId="6904E7CB" w14:textId="77777777" w:rsidR="000A37A1" w:rsidRPr="00D0186D" w:rsidRDefault="000A37A1" w:rsidP="000A37A1">
                  <w:pPr>
                    <w:pStyle w:val="rvps12"/>
                    <w:spacing w:before="150" w:beforeAutospacing="0" w:after="150" w:afterAutospacing="0"/>
                    <w:jc w:val="center"/>
                  </w:pPr>
                  <w:r w:rsidRPr="00D0186D">
                    <w:t>-</w:t>
                  </w:r>
                </w:p>
              </w:tc>
              <w:tc>
                <w:tcPr>
                  <w:tcW w:w="5812" w:type="dxa"/>
                  <w:gridSpan w:val="2"/>
                  <w:tcBorders>
                    <w:top w:val="single" w:sz="2" w:space="0" w:color="auto"/>
                    <w:left w:val="single" w:sz="2" w:space="0" w:color="auto"/>
                    <w:bottom w:val="single" w:sz="2" w:space="0" w:color="auto"/>
                    <w:right w:val="single" w:sz="2" w:space="0" w:color="auto"/>
                  </w:tcBorders>
                  <w:hideMark/>
                </w:tcPr>
                <w:p w14:paraId="7C3D408B" w14:textId="77777777" w:rsidR="000A37A1" w:rsidRPr="00D0186D" w:rsidRDefault="000A37A1" w:rsidP="000A37A1">
                  <w:pPr>
                    <w:pStyle w:val="rvps14"/>
                    <w:spacing w:before="150" w:beforeAutospacing="0" w:after="150" w:afterAutospacing="0"/>
                    <w:jc w:val="both"/>
                  </w:pPr>
                  <w:r w:rsidRPr="00D0186D">
                    <w:t>загальний показник ефективності для операційних контрольованих витрат, встановлений НКРЕКП, %;</w:t>
                  </w:r>
                </w:p>
              </w:tc>
            </w:tr>
            <w:tr w:rsidR="008150D9" w:rsidRPr="00D0186D" w14:paraId="16A632F2" w14:textId="77777777" w:rsidTr="00822C61">
              <w:tc>
                <w:tcPr>
                  <w:tcW w:w="489" w:type="dxa"/>
                  <w:vMerge/>
                  <w:tcBorders>
                    <w:top w:val="single" w:sz="2" w:space="0" w:color="auto"/>
                    <w:left w:val="single" w:sz="2" w:space="0" w:color="auto"/>
                    <w:bottom w:val="single" w:sz="2" w:space="0" w:color="auto"/>
                    <w:right w:val="single" w:sz="2" w:space="0" w:color="auto"/>
                  </w:tcBorders>
                  <w:hideMark/>
                </w:tcPr>
                <w:p w14:paraId="7D3E8B6E" w14:textId="77777777" w:rsidR="000A37A1" w:rsidRPr="00D0186D" w:rsidRDefault="000A37A1" w:rsidP="000A37A1">
                  <w:pPr>
                    <w:rPr>
                      <w:lang w:val="uk-UA"/>
                    </w:rPr>
                  </w:pPr>
                </w:p>
              </w:tc>
              <w:tc>
                <w:tcPr>
                  <w:tcW w:w="843" w:type="dxa"/>
                  <w:tcBorders>
                    <w:top w:val="single" w:sz="2" w:space="0" w:color="auto"/>
                    <w:left w:val="single" w:sz="2" w:space="0" w:color="auto"/>
                    <w:bottom w:val="single" w:sz="2" w:space="0" w:color="auto"/>
                    <w:right w:val="single" w:sz="2" w:space="0" w:color="auto"/>
                  </w:tcBorders>
                  <w:hideMark/>
                </w:tcPr>
                <w:p w14:paraId="6377F997" w14:textId="77777777" w:rsidR="000A37A1" w:rsidRPr="00D0186D" w:rsidRDefault="000A37A1" w:rsidP="000A37A1">
                  <w:pPr>
                    <w:pStyle w:val="rvps12"/>
                    <w:spacing w:before="150" w:beforeAutospacing="0" w:after="150" w:afterAutospacing="0"/>
                    <w:jc w:val="center"/>
                  </w:pPr>
                  <w:r w:rsidRPr="00D0186D">
                    <w:rPr>
                      <w:noProof/>
                    </w:rPr>
                    <w:drawing>
                      <wp:inline distT="0" distB="0" distL="0" distR="0" wp14:anchorId="07440A52" wp14:editId="584C8E08">
                        <wp:extent cx="400050" cy="238125"/>
                        <wp:effectExtent l="0" t="0" r="0" b="9525"/>
                        <wp:docPr id="1993780104" name="Рисунок 1993780104" descr="https://zakon.rada.gov.ua/laws/file/imgs/99/p478167n136v3-2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780104" name="Рисунок 1993780104" descr="https://zakon.rada.gov.ua/laws/file/imgs/99/p478167n136v3-28.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0050" cy="238125"/>
                                </a:xfrm>
                                <a:prstGeom prst="rect">
                                  <a:avLst/>
                                </a:prstGeom>
                                <a:noFill/>
                                <a:ln>
                                  <a:noFill/>
                                </a:ln>
                              </pic:spPr>
                            </pic:pic>
                          </a:graphicData>
                        </a:graphic>
                      </wp:inline>
                    </w:drawing>
                  </w:r>
                </w:p>
              </w:tc>
              <w:tc>
                <w:tcPr>
                  <w:tcW w:w="289" w:type="dxa"/>
                  <w:tcBorders>
                    <w:top w:val="single" w:sz="2" w:space="0" w:color="auto"/>
                    <w:left w:val="single" w:sz="2" w:space="0" w:color="auto"/>
                    <w:bottom w:val="single" w:sz="2" w:space="0" w:color="auto"/>
                    <w:right w:val="single" w:sz="2" w:space="0" w:color="auto"/>
                  </w:tcBorders>
                  <w:hideMark/>
                </w:tcPr>
                <w:p w14:paraId="0CAEEECC" w14:textId="77777777" w:rsidR="000A37A1" w:rsidRPr="00D0186D" w:rsidRDefault="000A37A1" w:rsidP="000A37A1">
                  <w:pPr>
                    <w:pStyle w:val="rvps12"/>
                    <w:spacing w:before="150" w:beforeAutospacing="0" w:after="150" w:afterAutospacing="0"/>
                    <w:jc w:val="center"/>
                  </w:pPr>
                  <w:r w:rsidRPr="00D0186D">
                    <w:t>-</w:t>
                  </w:r>
                </w:p>
              </w:tc>
              <w:tc>
                <w:tcPr>
                  <w:tcW w:w="5812" w:type="dxa"/>
                  <w:gridSpan w:val="2"/>
                  <w:tcBorders>
                    <w:top w:val="single" w:sz="2" w:space="0" w:color="auto"/>
                    <w:left w:val="single" w:sz="2" w:space="0" w:color="auto"/>
                    <w:bottom w:val="single" w:sz="2" w:space="0" w:color="auto"/>
                    <w:right w:val="single" w:sz="2" w:space="0" w:color="auto"/>
                  </w:tcBorders>
                  <w:hideMark/>
                </w:tcPr>
                <w:p w14:paraId="2E0BD2E4" w14:textId="77777777" w:rsidR="000A37A1" w:rsidRPr="00D0186D" w:rsidRDefault="000A37A1" w:rsidP="000A37A1">
                  <w:pPr>
                    <w:pStyle w:val="rvps14"/>
                    <w:spacing w:before="150" w:beforeAutospacing="0" w:after="150" w:afterAutospacing="0"/>
                    <w:jc w:val="both"/>
                  </w:pPr>
                  <w:r w:rsidRPr="00D0186D">
                    <w:t>індивідуальний показник ефективності для контрольованих операційних витрат окремого ліцензіата, встановлений НКРЕКП, %.</w:t>
                  </w:r>
                </w:p>
              </w:tc>
            </w:tr>
          </w:tbl>
          <w:p w14:paraId="00FD37A6" w14:textId="77777777" w:rsidR="000A37A1" w:rsidRPr="00D0186D" w:rsidRDefault="000A37A1" w:rsidP="000A37A1">
            <w:pPr>
              <w:pStyle w:val="3"/>
              <w:shd w:val="clear" w:color="auto" w:fill="FFFFFF"/>
              <w:spacing w:before="0" w:after="0"/>
              <w:jc w:val="both"/>
              <w:outlineLvl w:val="2"/>
              <w:rPr>
                <w:rFonts w:ascii="Times New Roman" w:hAnsi="Times New Roman"/>
                <w:sz w:val="24"/>
                <w:szCs w:val="24"/>
              </w:rPr>
            </w:pPr>
          </w:p>
          <w:p w14:paraId="0D4C8498" w14:textId="77777777" w:rsidR="000A37A1" w:rsidRPr="00D0186D" w:rsidRDefault="000A37A1" w:rsidP="000A37A1">
            <w:pPr>
              <w:rPr>
                <w:lang w:val="uk-UA"/>
              </w:rPr>
            </w:pPr>
          </w:p>
          <w:p w14:paraId="4B8771EB" w14:textId="4A4F443C" w:rsidR="000A37A1" w:rsidRPr="00D0186D" w:rsidRDefault="000A37A1" w:rsidP="000A37A1">
            <w:pPr>
              <w:jc w:val="both"/>
              <w:rPr>
                <w:b/>
                <w:lang w:val="uk-UA"/>
              </w:rPr>
            </w:pPr>
            <w:bookmarkStart w:id="14" w:name="_Hlk173342139"/>
            <w:r w:rsidRPr="00D0186D">
              <w:rPr>
                <w:b/>
                <w:lang w:val="uk-UA"/>
              </w:rPr>
              <w:t xml:space="preserve">Для ліцензіатів, перелік яких наведено в додатку 30 до цього Порядку </w:t>
            </w:r>
            <w:r w:rsidR="00A92055" w:rsidRPr="00D0186D">
              <w:rPr>
                <w:b/>
                <w:lang w:val="uk-UA"/>
              </w:rPr>
              <w:t>п</w:t>
            </w:r>
            <w:r w:rsidRPr="00D0186D">
              <w:rPr>
                <w:b/>
                <w:lang w:val="uk-UA"/>
              </w:rPr>
              <w:t>рогнозовані операційні контрольовані витрати з розподілу електричної енергії на 2025 рік та на кожний наступний рік розраховуються за формулою</w:t>
            </w:r>
          </w:p>
          <w:bookmarkEnd w:id="14"/>
          <w:p w14:paraId="383EE61E" w14:textId="77777777" w:rsidR="000A37A1" w:rsidRPr="00D0186D" w:rsidRDefault="000A37A1" w:rsidP="000A37A1">
            <w:pPr>
              <w:rPr>
                <w:b/>
                <w:lang w:val="uk-UA"/>
              </w:rPr>
            </w:pPr>
          </w:p>
          <w:bookmarkStart w:id="15" w:name="_Hlk173342204"/>
          <w:p w14:paraId="600EDBF2" w14:textId="01F99A86" w:rsidR="000A37A1" w:rsidRPr="00D0186D" w:rsidRDefault="00ED4B6B" w:rsidP="00822C61">
            <w:pPr>
              <w:tabs>
                <w:tab w:val="left" w:pos="7347"/>
              </w:tabs>
              <w:ind w:left="37"/>
              <w:rPr>
                <w:b/>
                <w:lang w:val="uk-UA"/>
              </w:rPr>
            </w:pPr>
            <m:oMath>
              <m:sSubSup>
                <m:sSubSupPr>
                  <m:ctrlPr>
                    <w:rPr>
                      <w:rFonts w:ascii="Cambria Math" w:hAnsi="Cambria Math"/>
                      <w:b/>
                      <w:i/>
                      <w:lang w:val="uk-UA"/>
                    </w:rPr>
                  </m:ctrlPr>
                </m:sSubSupPr>
                <m:e>
                  <m:r>
                    <m:rPr>
                      <m:sty m:val="b"/>
                    </m:rPr>
                    <w:rPr>
                      <w:rFonts w:ascii="Cambria Math" w:hAnsi="Cambria Math"/>
                      <w:lang w:val="uk-UA"/>
                    </w:rPr>
                    <m:t>ОКВ</m:t>
                  </m:r>
                </m:e>
                <m:sub>
                  <m:r>
                    <m:rPr>
                      <m:sty m:val="bi"/>
                    </m:rPr>
                    <w:rPr>
                      <w:rFonts w:ascii="Cambria Math" w:hAnsi="Cambria Math"/>
                      <w:lang w:val="uk-UA"/>
                    </w:rPr>
                    <m:t>t</m:t>
                  </m:r>
                </m:sub>
                <m:sup>
                  <m:r>
                    <m:rPr>
                      <m:sty m:val="bi"/>
                    </m:rPr>
                    <w:rPr>
                      <w:rFonts w:ascii="Cambria Math" w:hAnsi="Cambria Math"/>
                      <w:lang w:val="uk-UA"/>
                    </w:rPr>
                    <m:t xml:space="preserve">n </m:t>
                  </m:r>
                </m:sup>
              </m:sSubSup>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ОКВ</m:t>
                  </m:r>
                </m:e>
                <m:sub>
                  <m:r>
                    <m:rPr>
                      <m:sty m:val="bi"/>
                    </m:rPr>
                    <w:rPr>
                      <w:rFonts w:ascii="Cambria Math" w:hAnsi="Cambria Math"/>
                      <w:lang w:val="uk-UA"/>
                    </w:rPr>
                    <m:t>t-1</m:t>
                  </m:r>
                </m:sub>
                <m:sup>
                  <m:r>
                    <m:rPr>
                      <m:sty m:val="bi"/>
                    </m:rPr>
                    <w:rPr>
                      <w:rFonts w:ascii="Cambria Math" w:hAnsi="Cambria Math"/>
                      <w:lang w:val="uk-UA"/>
                    </w:rPr>
                    <m:t xml:space="preserve">n </m:t>
                  </m:r>
                </m:sup>
              </m:sSubSup>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ФОП</m:t>
                  </m:r>
                </m:e>
                <m:sub>
                  <m:r>
                    <m:rPr>
                      <m:sty m:val="bi"/>
                    </m:rPr>
                    <w:rPr>
                      <w:rFonts w:ascii="Cambria Math" w:hAnsi="Cambria Math"/>
                      <w:lang w:val="uk-UA"/>
                    </w:rPr>
                    <m:t xml:space="preserve"> t-1</m:t>
                  </m:r>
                </m:sub>
                <m:sup>
                  <m:r>
                    <m:rPr>
                      <m:sty m:val="bi"/>
                    </m:rPr>
                    <w:rPr>
                      <w:rFonts w:ascii="Cambria Math" w:hAnsi="Cambria Math"/>
                      <w:lang w:val="uk-UA"/>
                    </w:rPr>
                    <m:t xml:space="preserve">n </m:t>
                  </m:r>
                </m:sup>
              </m:sSubSup>
              <m:r>
                <m:rPr>
                  <m:sty m:val="bi"/>
                </m:rPr>
                <w:rPr>
                  <w:rFonts w:ascii="Cambria Math" w:hAnsi="Cambria Math"/>
                  <w:lang w:val="uk-UA"/>
                </w:rPr>
                <m:t>)×</m:t>
              </m:r>
              <m:f>
                <m:fPr>
                  <m:ctrlPr>
                    <w:rPr>
                      <w:rFonts w:ascii="Cambria Math" w:hAnsi="Cambria Math"/>
                      <w:b/>
                      <w:i/>
                      <w:lang w:val="uk-UA"/>
                    </w:rPr>
                  </m:ctrlPr>
                </m:fPr>
                <m:num>
                  <m:sSubSup>
                    <m:sSubSupPr>
                      <m:ctrlPr>
                        <w:rPr>
                          <w:rFonts w:ascii="Cambria Math" w:hAnsi="Cambria Math"/>
                          <w:b/>
                          <w:i/>
                          <w:lang w:val="uk-UA"/>
                        </w:rPr>
                      </m:ctrlPr>
                    </m:sSubSupPr>
                    <m:e>
                      <m:r>
                        <m:rPr>
                          <m:sty m:val="bi"/>
                        </m:rPr>
                        <w:rPr>
                          <w:rFonts w:ascii="Cambria Math" w:hAnsi="Cambria Math"/>
                          <w:lang w:val="uk-UA"/>
                        </w:rPr>
                        <m:t>ІЦ</m:t>
                      </m:r>
                      <m:r>
                        <m:rPr>
                          <m:sty m:val="b"/>
                        </m:rPr>
                        <w:rPr>
                          <w:rFonts w:ascii="Cambria Math" w:hAnsi="Cambria Math"/>
                          <w:lang w:val="uk-UA"/>
                        </w:rPr>
                        <m:t>В</m:t>
                      </m:r>
                    </m:e>
                    <m:sub>
                      <m:r>
                        <m:rPr>
                          <m:sty m:val="bi"/>
                        </m:rPr>
                        <w:rPr>
                          <w:rFonts w:ascii="Cambria Math" w:hAnsi="Cambria Math"/>
                          <w:lang w:val="uk-UA"/>
                        </w:rPr>
                        <m:t>t</m:t>
                      </m:r>
                    </m:sub>
                    <m:sup>
                      <m:r>
                        <m:rPr>
                          <m:sty m:val="bi"/>
                        </m:rPr>
                        <w:rPr>
                          <w:rFonts w:ascii="Cambria Math" w:hAnsi="Cambria Math"/>
                          <w:lang w:val="uk-UA"/>
                        </w:rPr>
                        <m:t xml:space="preserve">n </m:t>
                      </m:r>
                    </m:sup>
                  </m:sSubSup>
                </m:num>
                <m:den>
                  <m:r>
                    <m:rPr>
                      <m:sty m:val="bi"/>
                    </m:rPr>
                    <w:rPr>
                      <w:rFonts w:ascii="Cambria Math" w:hAnsi="Cambria Math"/>
                      <w:lang w:val="uk-UA"/>
                    </w:rPr>
                    <m:t>100</m:t>
                  </m:r>
                </m:den>
              </m:f>
              <m:r>
                <m:rPr>
                  <m:sty m:val="bi"/>
                </m:rPr>
                <w:rPr>
                  <w:rFonts w:ascii="Cambria Math" w:hAnsi="Cambria Math"/>
                  <w:lang w:val="uk-UA"/>
                </w:rPr>
                <m:t>×</m:t>
              </m:r>
              <m:r>
                <m:rPr>
                  <m:sty m:val="b"/>
                </m:rPr>
                <w:rPr>
                  <w:rFonts w:ascii="Cambria Math" w:hAnsi="Cambria Math"/>
                  <w:lang w:val="uk-UA"/>
                </w:rPr>
                <m:t>КФУ</m:t>
              </m:r>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ФОП</m:t>
                  </m:r>
                </m:e>
                <m:sub>
                  <m:r>
                    <m:rPr>
                      <m:sty m:val="bi"/>
                    </m:rPr>
                    <w:rPr>
                      <w:rFonts w:ascii="Cambria Math" w:hAnsi="Cambria Math"/>
                      <w:lang w:val="uk-UA"/>
                    </w:rPr>
                    <m:t xml:space="preserve"> t</m:t>
                  </m:r>
                </m:sub>
                <m:sup>
                  <m:r>
                    <m:rPr>
                      <m:sty m:val="bi"/>
                    </m:rPr>
                    <w:rPr>
                      <w:rFonts w:ascii="Cambria Math" w:hAnsi="Cambria Math"/>
                      <w:lang w:val="uk-UA"/>
                    </w:rPr>
                    <m:t xml:space="preserve">n </m:t>
                  </m:r>
                </m:sup>
              </m:sSubSup>
              <m:r>
                <m:rPr>
                  <m:sty m:val="bi"/>
                </m:rPr>
                <w:rPr>
                  <w:rFonts w:ascii="Cambria Math" w:hAnsi="Cambria Math"/>
                  <w:lang w:val="uk-UA"/>
                </w:rPr>
                <m:t>)×(1-</m:t>
              </m:r>
              <m:f>
                <m:fPr>
                  <m:ctrlPr>
                    <w:rPr>
                      <w:rFonts w:ascii="Cambria Math" w:hAnsi="Cambria Math"/>
                      <w:b/>
                      <w:i/>
                      <w:lang w:val="uk-UA"/>
                    </w:rPr>
                  </m:ctrlPr>
                </m:fPr>
                <m:num>
                  <m:sSubSup>
                    <m:sSubSupPr>
                      <m:ctrlPr>
                        <w:rPr>
                          <w:rFonts w:ascii="Cambria Math" w:hAnsi="Cambria Math"/>
                          <w:b/>
                          <w:i/>
                          <w:lang w:val="uk-UA"/>
                        </w:rPr>
                      </m:ctrlPr>
                    </m:sSubSupPr>
                    <m:e>
                      <m:r>
                        <m:rPr>
                          <m:sty m:val="bi"/>
                        </m:rPr>
                        <w:rPr>
                          <w:rFonts w:ascii="Cambria Math" w:hAnsi="Cambria Math"/>
                          <w:lang w:val="uk-UA"/>
                        </w:rPr>
                        <m:t>ПЕ</m:t>
                      </m:r>
                    </m:e>
                    <m:sub>
                      <m:r>
                        <m:rPr>
                          <m:sty m:val="bi"/>
                        </m:rPr>
                        <w:rPr>
                          <w:rFonts w:ascii="Cambria Math" w:hAnsi="Cambria Math"/>
                          <w:lang w:val="uk-UA"/>
                        </w:rPr>
                        <m:t xml:space="preserve"> з</m:t>
                      </m:r>
                    </m:sub>
                    <m:sup>
                      <m:r>
                        <m:rPr>
                          <m:sty m:val="bi"/>
                        </m:rPr>
                        <w:rPr>
                          <w:rFonts w:ascii="Cambria Math" w:hAnsi="Cambria Math"/>
                          <w:lang w:val="uk-UA"/>
                        </w:rPr>
                        <m:t xml:space="preserve"> </m:t>
                      </m:r>
                    </m:sup>
                  </m:sSubSup>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ПЕ</m:t>
                      </m:r>
                    </m:e>
                    <m:sub>
                      <m:r>
                        <m:rPr>
                          <m:sty m:val="bi"/>
                        </m:rPr>
                        <w:rPr>
                          <w:rFonts w:ascii="Cambria Math" w:hAnsi="Cambria Math"/>
                          <w:lang w:val="uk-UA"/>
                        </w:rPr>
                        <m:t xml:space="preserve"> інд</m:t>
                      </m:r>
                    </m:sub>
                    <m:sup>
                      <m:r>
                        <m:rPr>
                          <m:sty m:val="bi"/>
                        </m:rPr>
                        <w:rPr>
                          <w:rFonts w:ascii="Cambria Math" w:hAnsi="Cambria Math"/>
                          <w:lang w:val="uk-UA"/>
                        </w:rPr>
                        <m:t xml:space="preserve"> </m:t>
                      </m:r>
                    </m:sup>
                  </m:sSubSup>
                </m:num>
                <m:den>
                  <m:r>
                    <m:rPr>
                      <m:sty m:val="bi"/>
                    </m:rPr>
                    <w:rPr>
                      <w:rFonts w:ascii="Cambria Math" w:hAnsi="Cambria Math"/>
                      <w:lang w:val="uk-UA"/>
                    </w:rPr>
                    <m:t>100</m:t>
                  </m:r>
                </m:den>
              </m:f>
              <m:r>
                <m:rPr>
                  <m:sty m:val="bi"/>
                </m:rPr>
                <w:rPr>
                  <w:rFonts w:ascii="Cambria Math" w:hAnsi="Cambria Math"/>
                  <w:lang w:val="uk-UA"/>
                </w:rPr>
                <m:t>)</m:t>
              </m:r>
              <w:bookmarkEnd w:id="15"/>
              <m:r>
                <m:rPr>
                  <m:sty m:val="bi"/>
                </m:rPr>
                <w:rPr>
                  <w:rFonts w:ascii="Cambria Math" w:hAnsi="Cambria Math"/>
                  <w:lang w:val="uk-UA"/>
                </w:rPr>
                <m:t xml:space="preserve">   </m:t>
              </m:r>
            </m:oMath>
            <w:r w:rsidR="000A37A1" w:rsidRPr="00D0186D">
              <w:rPr>
                <w:b/>
                <w:lang w:val="uk-UA"/>
              </w:rPr>
              <w:t>,  тис. грн,        (8)</w:t>
            </w:r>
          </w:p>
          <w:p w14:paraId="3518C4F5" w14:textId="77777777" w:rsidR="000A37A1" w:rsidRPr="00D0186D" w:rsidRDefault="000A37A1" w:rsidP="000A37A1">
            <w:pPr>
              <w:rPr>
                <w:lang w:val="uk-UA"/>
              </w:rPr>
            </w:pPr>
          </w:p>
          <w:tbl>
            <w:tblPr>
              <w:tblW w:w="7433" w:type="dxa"/>
              <w:tblLayout w:type="fixed"/>
              <w:tblCellMar>
                <w:left w:w="0" w:type="dxa"/>
                <w:right w:w="0" w:type="dxa"/>
              </w:tblCellMar>
              <w:tblLook w:val="04A0" w:firstRow="1" w:lastRow="0" w:firstColumn="1" w:lastColumn="0" w:noHBand="0" w:noVBand="1"/>
            </w:tblPr>
            <w:tblGrid>
              <w:gridCol w:w="489"/>
              <w:gridCol w:w="843"/>
              <w:gridCol w:w="289"/>
              <w:gridCol w:w="5812"/>
            </w:tblGrid>
            <w:tr w:rsidR="008150D9" w:rsidRPr="00D0186D" w14:paraId="69460A75" w14:textId="77777777" w:rsidTr="00822C61">
              <w:tc>
                <w:tcPr>
                  <w:tcW w:w="489" w:type="dxa"/>
                  <w:tcBorders>
                    <w:top w:val="single" w:sz="2" w:space="0" w:color="auto"/>
                    <w:left w:val="single" w:sz="2" w:space="0" w:color="auto"/>
                    <w:bottom w:val="single" w:sz="2" w:space="0" w:color="auto"/>
                    <w:right w:val="single" w:sz="2" w:space="0" w:color="auto"/>
                  </w:tcBorders>
                  <w:hideMark/>
                </w:tcPr>
                <w:p w14:paraId="1248B004" w14:textId="77777777" w:rsidR="000A37A1" w:rsidRPr="00D0186D" w:rsidRDefault="000A37A1" w:rsidP="000A37A1">
                  <w:pPr>
                    <w:pStyle w:val="rvps11"/>
                    <w:spacing w:before="150" w:beforeAutospacing="0" w:after="150" w:afterAutospacing="0"/>
                    <w:jc w:val="right"/>
                    <w:rPr>
                      <w:b/>
                    </w:rPr>
                  </w:pPr>
                  <w:r w:rsidRPr="00D0186D">
                    <w:rPr>
                      <w:b/>
                    </w:rPr>
                    <w:t>де</w:t>
                  </w:r>
                </w:p>
              </w:tc>
              <w:tc>
                <w:tcPr>
                  <w:tcW w:w="843" w:type="dxa"/>
                  <w:tcBorders>
                    <w:top w:val="single" w:sz="2" w:space="0" w:color="auto"/>
                    <w:left w:val="single" w:sz="2" w:space="0" w:color="auto"/>
                    <w:bottom w:val="single" w:sz="2" w:space="0" w:color="auto"/>
                    <w:right w:val="single" w:sz="2" w:space="0" w:color="auto"/>
                  </w:tcBorders>
                  <w:hideMark/>
                </w:tcPr>
                <w:p w14:paraId="09954819" w14:textId="29E776FA" w:rsidR="000A37A1" w:rsidRPr="00D0186D" w:rsidRDefault="000A37A1" w:rsidP="000A37A1">
                  <w:pPr>
                    <w:pStyle w:val="rvps12"/>
                    <w:spacing w:before="150" w:beforeAutospacing="0" w:after="150" w:afterAutospacing="0"/>
                    <w:jc w:val="center"/>
                    <w:rPr>
                      <w:b/>
                    </w:rPr>
                  </w:pPr>
                  <w:r w:rsidRPr="00D0186D">
                    <w:rPr>
                      <w:b/>
                    </w:rPr>
                    <w:t>К</w:t>
                  </w:r>
                  <w:r w:rsidR="00930BB5" w:rsidRPr="00D0186D">
                    <w:rPr>
                      <w:b/>
                    </w:rPr>
                    <w:t>Ф</w:t>
                  </w:r>
                  <w:r w:rsidRPr="00D0186D">
                    <w:rPr>
                      <w:b/>
                    </w:rPr>
                    <w:t>У</w:t>
                  </w:r>
                </w:p>
              </w:tc>
              <w:tc>
                <w:tcPr>
                  <w:tcW w:w="289" w:type="dxa"/>
                  <w:tcBorders>
                    <w:top w:val="single" w:sz="2" w:space="0" w:color="auto"/>
                    <w:left w:val="single" w:sz="2" w:space="0" w:color="auto"/>
                    <w:bottom w:val="single" w:sz="2" w:space="0" w:color="auto"/>
                    <w:right w:val="single" w:sz="2" w:space="0" w:color="auto"/>
                  </w:tcBorders>
                  <w:hideMark/>
                </w:tcPr>
                <w:p w14:paraId="3EFB94DD" w14:textId="77777777" w:rsidR="000A37A1" w:rsidRPr="00D0186D" w:rsidRDefault="000A37A1" w:rsidP="000A37A1">
                  <w:pPr>
                    <w:pStyle w:val="rvps12"/>
                    <w:spacing w:before="150" w:beforeAutospacing="0" w:after="150" w:afterAutospacing="0"/>
                    <w:jc w:val="center"/>
                    <w:rPr>
                      <w:b/>
                    </w:rPr>
                  </w:pPr>
                  <w:r w:rsidRPr="00D0186D">
                    <w:rPr>
                      <w:b/>
                    </w:rPr>
                    <w:t>-</w:t>
                  </w:r>
                </w:p>
              </w:tc>
              <w:tc>
                <w:tcPr>
                  <w:tcW w:w="5812" w:type="dxa"/>
                  <w:tcBorders>
                    <w:top w:val="single" w:sz="2" w:space="0" w:color="auto"/>
                    <w:left w:val="single" w:sz="2" w:space="0" w:color="auto"/>
                    <w:bottom w:val="single" w:sz="2" w:space="0" w:color="auto"/>
                    <w:right w:val="single" w:sz="2" w:space="0" w:color="auto"/>
                  </w:tcBorders>
                  <w:hideMark/>
                </w:tcPr>
                <w:p w14:paraId="548ABB73" w14:textId="781A0B06" w:rsidR="00356DEC" w:rsidRPr="00D0186D" w:rsidRDefault="00930BB5" w:rsidP="000A37A1">
                  <w:pPr>
                    <w:pStyle w:val="rvps14"/>
                    <w:spacing w:before="150" w:beforeAutospacing="0" w:after="150" w:afterAutospacing="0"/>
                    <w:jc w:val="both"/>
                    <w:rPr>
                      <w:b/>
                      <w:shd w:val="clear" w:color="auto" w:fill="FFFFFF"/>
                    </w:rPr>
                  </w:pPr>
                  <w:bookmarkStart w:id="16" w:name="_Hlk173342314"/>
                  <w:r w:rsidRPr="00D0186D">
                    <w:rPr>
                      <w:b/>
                    </w:rPr>
                    <w:t>коригуючий коефіцієнт зміни фактичних умовних одиниць енергетичного обладнання ліцензіата, що знаходиться на контрольованій території держави,</w:t>
                  </w:r>
                  <w:r w:rsidRPr="00D0186D">
                    <w:rPr>
                      <w:b/>
                      <w:shd w:val="clear" w:color="auto" w:fill="FFFFFF"/>
                    </w:rPr>
                    <w:t xml:space="preserve"> що розраховується за формулою</w:t>
                  </w:r>
                  <w:bookmarkEnd w:id="16"/>
                </w:p>
              </w:tc>
            </w:tr>
          </w:tbl>
          <w:p w14:paraId="3F0C28FC" w14:textId="77777777" w:rsidR="000A37A1" w:rsidRPr="00D0186D" w:rsidRDefault="000A37A1" w:rsidP="000A37A1">
            <w:pPr>
              <w:rPr>
                <w:lang w:val="uk-UA"/>
              </w:rPr>
            </w:pPr>
          </w:p>
          <w:p w14:paraId="508D1666" w14:textId="59BFEC21" w:rsidR="000A37A1" w:rsidRPr="00D0186D" w:rsidRDefault="008150D9" w:rsidP="000A37A1">
            <w:pPr>
              <w:jc w:val="center"/>
              <w:rPr>
                <w:b/>
                <w:lang w:val="uk-UA"/>
              </w:rPr>
            </w:pPr>
            <w:bookmarkStart w:id="17" w:name="_Hlk173342347"/>
            <m:oMath>
              <m:r>
                <m:rPr>
                  <m:sty m:val="bi"/>
                </m:rPr>
                <w:rPr>
                  <w:rFonts w:ascii="Cambria Math" w:hAnsi="Cambria Math"/>
                  <w:lang w:val="uk-UA"/>
                </w:rPr>
                <m:t>КФУ=1+КУ×</m:t>
              </m:r>
              <m:f>
                <m:fPr>
                  <m:ctrlPr>
                    <w:rPr>
                      <w:rFonts w:ascii="Cambria Math" w:hAnsi="Cambria Math"/>
                      <w:b/>
                      <w:i/>
                      <w:lang w:val="uk-UA"/>
                    </w:rPr>
                  </m:ctrlPr>
                </m:fPr>
                <m:num>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УО</m:t>
                      </m:r>
                    </m:e>
                    <m:sub>
                      <m:r>
                        <m:rPr>
                          <m:sty m:val="bi"/>
                        </m:rPr>
                        <w:rPr>
                          <w:rFonts w:ascii="Cambria Math" w:hAnsi="Cambria Math"/>
                          <w:lang w:val="uk-UA"/>
                        </w:rPr>
                        <m:t xml:space="preserve"> </m:t>
                      </m:r>
                    </m:sub>
                    <m:sup/>
                  </m:sSubSup>
                </m:num>
                <m:den>
                  <m:sSubSup>
                    <m:sSubSupPr>
                      <m:ctrlPr>
                        <w:rPr>
                          <w:rFonts w:ascii="Cambria Math" w:hAnsi="Cambria Math"/>
                          <w:b/>
                          <w:i/>
                          <w:lang w:val="uk-UA"/>
                        </w:rPr>
                      </m:ctrlPr>
                    </m:sSubSupPr>
                    <m:e>
                      <m:r>
                        <m:rPr>
                          <m:sty m:val="bi"/>
                        </m:rPr>
                        <w:rPr>
                          <w:rFonts w:ascii="Cambria Math" w:hAnsi="Cambria Math"/>
                          <w:lang w:val="uk-UA"/>
                        </w:rPr>
                        <m:t>УО</m:t>
                      </m:r>
                    </m:e>
                    <m:sub/>
                    <m:sup>
                      <m:r>
                        <m:rPr>
                          <m:sty m:val="bi"/>
                        </m:rPr>
                        <w:rPr>
                          <w:rFonts w:ascii="Cambria Math" w:hAnsi="Cambria Math"/>
                          <w:lang w:val="uk-UA"/>
                        </w:rPr>
                        <m:t>тар</m:t>
                      </m:r>
                    </m:sup>
                  </m:sSubSup>
                </m:den>
              </m:f>
            </m:oMath>
            <w:bookmarkEnd w:id="17"/>
            <w:r w:rsidR="000A37A1" w:rsidRPr="00D0186D">
              <w:rPr>
                <w:b/>
                <w:lang w:val="uk-UA"/>
              </w:rPr>
              <w:t>, у.о</w:t>
            </w:r>
            <w:r w:rsidR="00D0186D">
              <w:rPr>
                <w:b/>
                <w:lang w:val="uk-UA"/>
              </w:rPr>
              <w:t>д</w:t>
            </w:r>
            <w:r w:rsidR="000A37A1" w:rsidRPr="00D0186D">
              <w:rPr>
                <w:b/>
                <w:lang w:val="uk-UA"/>
              </w:rPr>
              <w:t>.      (9)</w:t>
            </w:r>
          </w:p>
          <w:p w14:paraId="4FA13280" w14:textId="77777777" w:rsidR="000A37A1" w:rsidRPr="00D0186D" w:rsidRDefault="000A37A1" w:rsidP="000A37A1">
            <w:pPr>
              <w:rPr>
                <w:lang w:val="uk-UA"/>
              </w:rPr>
            </w:pPr>
          </w:p>
          <w:tbl>
            <w:tblPr>
              <w:tblW w:w="7433" w:type="dxa"/>
              <w:tblLayout w:type="fixed"/>
              <w:tblCellMar>
                <w:left w:w="0" w:type="dxa"/>
                <w:right w:w="0" w:type="dxa"/>
              </w:tblCellMar>
              <w:tblLook w:val="04A0" w:firstRow="1" w:lastRow="0" w:firstColumn="1" w:lastColumn="0" w:noHBand="0" w:noVBand="1"/>
            </w:tblPr>
            <w:tblGrid>
              <w:gridCol w:w="489"/>
              <w:gridCol w:w="843"/>
              <w:gridCol w:w="289"/>
              <w:gridCol w:w="5812"/>
            </w:tblGrid>
            <w:tr w:rsidR="008150D9" w:rsidRPr="00D0186D" w14:paraId="6C4EB2E7" w14:textId="77777777" w:rsidTr="00822C61">
              <w:tc>
                <w:tcPr>
                  <w:tcW w:w="489" w:type="dxa"/>
                  <w:tcBorders>
                    <w:top w:val="single" w:sz="2" w:space="0" w:color="auto"/>
                    <w:left w:val="single" w:sz="2" w:space="0" w:color="auto"/>
                    <w:bottom w:val="single" w:sz="2" w:space="0" w:color="auto"/>
                    <w:right w:val="single" w:sz="2" w:space="0" w:color="auto"/>
                  </w:tcBorders>
                  <w:hideMark/>
                </w:tcPr>
                <w:p w14:paraId="761B4478" w14:textId="77777777" w:rsidR="000A37A1" w:rsidRPr="00D0186D" w:rsidRDefault="000A37A1" w:rsidP="000A37A1">
                  <w:pPr>
                    <w:pStyle w:val="rvps11"/>
                    <w:spacing w:before="150" w:beforeAutospacing="0" w:after="150" w:afterAutospacing="0"/>
                    <w:jc w:val="right"/>
                    <w:rPr>
                      <w:b/>
                    </w:rPr>
                  </w:pPr>
                  <w:r w:rsidRPr="00D0186D">
                    <w:rPr>
                      <w:b/>
                    </w:rPr>
                    <w:t>де</w:t>
                  </w:r>
                </w:p>
              </w:tc>
              <w:tc>
                <w:tcPr>
                  <w:tcW w:w="843" w:type="dxa"/>
                  <w:tcBorders>
                    <w:top w:val="single" w:sz="2" w:space="0" w:color="auto"/>
                    <w:left w:val="single" w:sz="2" w:space="0" w:color="auto"/>
                    <w:bottom w:val="single" w:sz="2" w:space="0" w:color="auto"/>
                    <w:right w:val="single" w:sz="2" w:space="0" w:color="auto"/>
                  </w:tcBorders>
                </w:tcPr>
                <w:p w14:paraId="0F1EA5FC" w14:textId="77777777" w:rsidR="000A37A1" w:rsidRPr="00D0186D" w:rsidRDefault="000A37A1" w:rsidP="000A37A1">
                  <w:pPr>
                    <w:pStyle w:val="rvps11"/>
                    <w:spacing w:before="150" w:beforeAutospacing="0" w:after="150" w:afterAutospacing="0"/>
                    <w:jc w:val="center"/>
                    <w:rPr>
                      <w:b/>
                    </w:rPr>
                  </w:pPr>
                  <w:r w:rsidRPr="00D0186D">
                    <w:rPr>
                      <w:b/>
                    </w:rPr>
                    <w:t>КУ</w:t>
                  </w:r>
                </w:p>
                <w:p w14:paraId="25D267BA" w14:textId="77777777" w:rsidR="000A37A1" w:rsidRPr="00D0186D" w:rsidRDefault="000A37A1" w:rsidP="000A37A1">
                  <w:pPr>
                    <w:pStyle w:val="rvps11"/>
                    <w:spacing w:before="150" w:beforeAutospacing="0" w:after="150" w:afterAutospacing="0"/>
                    <w:jc w:val="center"/>
                    <w:rPr>
                      <w:b/>
                    </w:rPr>
                  </w:pPr>
                </w:p>
              </w:tc>
              <w:tc>
                <w:tcPr>
                  <w:tcW w:w="289" w:type="dxa"/>
                  <w:tcBorders>
                    <w:top w:val="single" w:sz="2" w:space="0" w:color="auto"/>
                    <w:left w:val="single" w:sz="2" w:space="0" w:color="auto"/>
                    <w:bottom w:val="single" w:sz="2" w:space="0" w:color="auto"/>
                    <w:right w:val="single" w:sz="2" w:space="0" w:color="auto"/>
                  </w:tcBorders>
                </w:tcPr>
                <w:p w14:paraId="13E2005F" w14:textId="77777777" w:rsidR="000A37A1" w:rsidRPr="00D0186D" w:rsidRDefault="000A37A1" w:rsidP="000A37A1">
                  <w:pPr>
                    <w:pStyle w:val="rvps11"/>
                    <w:spacing w:before="150" w:beforeAutospacing="0" w:after="150" w:afterAutospacing="0"/>
                    <w:jc w:val="center"/>
                    <w:rPr>
                      <w:b/>
                    </w:rPr>
                  </w:pPr>
                  <w:r w:rsidRPr="00D0186D">
                    <w:rPr>
                      <w:b/>
                    </w:rPr>
                    <w:t>-</w:t>
                  </w:r>
                </w:p>
              </w:tc>
              <w:tc>
                <w:tcPr>
                  <w:tcW w:w="5812" w:type="dxa"/>
                  <w:tcBorders>
                    <w:top w:val="single" w:sz="2" w:space="0" w:color="auto"/>
                    <w:left w:val="single" w:sz="2" w:space="0" w:color="auto"/>
                    <w:bottom w:val="single" w:sz="2" w:space="0" w:color="auto"/>
                    <w:right w:val="single" w:sz="2" w:space="0" w:color="auto"/>
                  </w:tcBorders>
                </w:tcPr>
                <w:p w14:paraId="60350005" w14:textId="77777777" w:rsidR="000A37A1" w:rsidRPr="00D0186D" w:rsidRDefault="000A37A1" w:rsidP="008B4F5E">
                  <w:pPr>
                    <w:pStyle w:val="rvps11"/>
                    <w:spacing w:before="150" w:beforeAutospacing="0" w:after="150" w:afterAutospacing="0"/>
                    <w:jc w:val="both"/>
                    <w:rPr>
                      <w:b/>
                    </w:rPr>
                  </w:pPr>
                  <w:r w:rsidRPr="00D0186D">
                    <w:rPr>
                      <w:b/>
                    </w:rPr>
                    <w:t>коефіцієнт поправки на зміну кількості умовних одиниць обладнання (0 &lt; КУ  &lt; 1), встановлений НКРЕКП;</w:t>
                  </w:r>
                </w:p>
              </w:tc>
            </w:tr>
            <w:tr w:rsidR="008150D9" w:rsidRPr="00D0186D" w14:paraId="4517B8F3" w14:textId="77777777" w:rsidTr="00822C61">
              <w:tc>
                <w:tcPr>
                  <w:tcW w:w="489" w:type="dxa"/>
                  <w:tcBorders>
                    <w:top w:val="single" w:sz="2" w:space="0" w:color="auto"/>
                    <w:left w:val="single" w:sz="2" w:space="0" w:color="auto"/>
                    <w:bottom w:val="single" w:sz="2" w:space="0" w:color="auto"/>
                    <w:right w:val="single" w:sz="2" w:space="0" w:color="auto"/>
                  </w:tcBorders>
                </w:tcPr>
                <w:p w14:paraId="2232481F" w14:textId="77777777" w:rsidR="000A37A1" w:rsidRPr="00D0186D" w:rsidRDefault="000A37A1" w:rsidP="000A37A1">
                  <w:pPr>
                    <w:pStyle w:val="rvps11"/>
                    <w:spacing w:before="150" w:beforeAutospacing="0" w:after="150" w:afterAutospacing="0"/>
                    <w:jc w:val="right"/>
                    <w:rPr>
                      <w:b/>
                    </w:rPr>
                  </w:pPr>
                </w:p>
              </w:tc>
              <w:tc>
                <w:tcPr>
                  <w:tcW w:w="843" w:type="dxa"/>
                  <w:tcBorders>
                    <w:top w:val="single" w:sz="2" w:space="0" w:color="auto"/>
                    <w:left w:val="single" w:sz="2" w:space="0" w:color="auto"/>
                    <w:bottom w:val="single" w:sz="2" w:space="0" w:color="auto"/>
                    <w:right w:val="single" w:sz="2" w:space="0" w:color="auto"/>
                  </w:tcBorders>
                </w:tcPr>
                <w:p w14:paraId="7E059F01" w14:textId="36509916" w:rsidR="000A37A1" w:rsidRPr="00D0186D" w:rsidRDefault="00ED4B6B" w:rsidP="000A37A1">
                  <w:pPr>
                    <w:pStyle w:val="rvps11"/>
                    <w:spacing w:before="150" w:beforeAutospacing="0" w:after="150" w:afterAutospacing="0"/>
                    <w:jc w:val="center"/>
                    <w:rPr>
                      <w:b/>
                    </w:rPr>
                  </w:pPr>
                  <m:oMathPara>
                    <m:oMath>
                      <m:sSubSup>
                        <m:sSubSupPr>
                          <m:ctrlPr>
                            <w:rPr>
                              <w:rFonts w:ascii="Cambria Math" w:hAnsi="Cambria Math"/>
                              <w:b/>
                              <w:i/>
                            </w:rPr>
                          </m:ctrlPr>
                        </m:sSubSupPr>
                        <m:e>
                          <m:r>
                            <m:rPr>
                              <m:sty m:val="bi"/>
                            </m:rPr>
                            <w:rPr>
                              <w:rFonts w:ascii="Cambria Math" w:hAnsi="Cambria Math"/>
                            </w:rPr>
                            <m:t>∆УО</m:t>
                          </m:r>
                        </m:e>
                        <m:sub/>
                        <m:sup/>
                      </m:sSubSup>
                    </m:oMath>
                  </m:oMathPara>
                </w:p>
              </w:tc>
              <w:tc>
                <w:tcPr>
                  <w:tcW w:w="289" w:type="dxa"/>
                  <w:tcBorders>
                    <w:top w:val="single" w:sz="2" w:space="0" w:color="auto"/>
                    <w:left w:val="single" w:sz="2" w:space="0" w:color="auto"/>
                    <w:bottom w:val="single" w:sz="2" w:space="0" w:color="auto"/>
                    <w:right w:val="single" w:sz="2" w:space="0" w:color="auto"/>
                  </w:tcBorders>
                </w:tcPr>
                <w:p w14:paraId="38B1F016" w14:textId="77777777" w:rsidR="000A37A1" w:rsidRPr="00D0186D" w:rsidRDefault="000A37A1" w:rsidP="000A37A1">
                  <w:pPr>
                    <w:pStyle w:val="rvps11"/>
                    <w:spacing w:before="150" w:beforeAutospacing="0" w:after="150" w:afterAutospacing="0"/>
                    <w:jc w:val="center"/>
                    <w:rPr>
                      <w:b/>
                    </w:rPr>
                  </w:pPr>
                  <w:r w:rsidRPr="00D0186D">
                    <w:rPr>
                      <w:b/>
                    </w:rPr>
                    <w:t>-</w:t>
                  </w:r>
                </w:p>
              </w:tc>
              <w:tc>
                <w:tcPr>
                  <w:tcW w:w="5812" w:type="dxa"/>
                  <w:tcBorders>
                    <w:top w:val="single" w:sz="2" w:space="0" w:color="auto"/>
                    <w:left w:val="single" w:sz="2" w:space="0" w:color="auto"/>
                    <w:bottom w:val="single" w:sz="2" w:space="0" w:color="auto"/>
                    <w:right w:val="single" w:sz="2" w:space="0" w:color="auto"/>
                  </w:tcBorders>
                </w:tcPr>
                <w:p w14:paraId="1D544640" w14:textId="7E16D795" w:rsidR="009E4C3A" w:rsidRPr="00D0186D" w:rsidRDefault="000A37A1" w:rsidP="008B4F5E">
                  <w:pPr>
                    <w:pStyle w:val="rvps11"/>
                    <w:spacing w:before="150" w:beforeAutospacing="0" w:after="150" w:afterAutospacing="0"/>
                    <w:jc w:val="both"/>
                    <w:rPr>
                      <w:b/>
                    </w:rPr>
                  </w:pPr>
                  <w:r w:rsidRPr="00D0186D">
                    <w:rPr>
                      <w:b/>
                    </w:rPr>
                    <w:t xml:space="preserve">зміна </w:t>
                  </w:r>
                  <w:r w:rsidR="009E4C3A" w:rsidRPr="00D0186D">
                    <w:rPr>
                      <w:b/>
                    </w:rPr>
                    <w:t>фактичної</w:t>
                  </w:r>
                  <w:r w:rsidRPr="00D0186D">
                    <w:rPr>
                      <w:b/>
                    </w:rPr>
                    <w:t xml:space="preserve"> кількості умовних одиниць </w:t>
                  </w:r>
                  <w:r w:rsidR="009E4C3A" w:rsidRPr="00D0186D">
                    <w:rPr>
                      <w:b/>
                    </w:rPr>
                    <w:t xml:space="preserve">енергетичного </w:t>
                  </w:r>
                  <w:r w:rsidRPr="00D0186D">
                    <w:rPr>
                      <w:b/>
                    </w:rPr>
                    <w:t>обладнання</w:t>
                  </w:r>
                  <w:r w:rsidR="009405A2" w:rsidRPr="00D0186D">
                    <w:rPr>
                      <w:b/>
                    </w:rPr>
                    <w:t xml:space="preserve">, </w:t>
                  </w:r>
                  <w:r w:rsidR="0087408C" w:rsidRPr="00D0186D">
                    <w:rPr>
                      <w:b/>
                    </w:rPr>
                    <w:t>що знаходиться на контрольованій території держави</w:t>
                  </w:r>
                  <w:r w:rsidRPr="00D0186D">
                    <w:rPr>
                      <w:b/>
                    </w:rPr>
                    <w:t>, до кількості умовних одиниць енергетичного обладнання  ліцензіата, враховано</w:t>
                  </w:r>
                  <w:r w:rsidR="009E4C3A" w:rsidRPr="00D0186D">
                    <w:rPr>
                      <w:b/>
                    </w:rPr>
                    <w:t>ї</w:t>
                  </w:r>
                  <w:r w:rsidRPr="00D0186D">
                    <w:rPr>
                      <w:b/>
                    </w:rPr>
                    <w:t xml:space="preserve"> у діючих тарифах;</w:t>
                  </w:r>
                </w:p>
              </w:tc>
            </w:tr>
            <w:tr w:rsidR="008150D9" w:rsidRPr="00D0186D" w14:paraId="619959EB" w14:textId="77777777" w:rsidTr="00822C61">
              <w:tc>
                <w:tcPr>
                  <w:tcW w:w="489" w:type="dxa"/>
                  <w:tcBorders>
                    <w:top w:val="single" w:sz="2" w:space="0" w:color="auto"/>
                    <w:left w:val="single" w:sz="2" w:space="0" w:color="auto"/>
                    <w:bottom w:val="single" w:sz="2" w:space="0" w:color="auto"/>
                    <w:right w:val="single" w:sz="2" w:space="0" w:color="auto"/>
                  </w:tcBorders>
                </w:tcPr>
                <w:p w14:paraId="3A1F28DB" w14:textId="77777777" w:rsidR="000A37A1" w:rsidRPr="00D0186D" w:rsidRDefault="000A37A1" w:rsidP="000A37A1">
                  <w:pPr>
                    <w:pStyle w:val="rvps11"/>
                    <w:spacing w:before="150" w:beforeAutospacing="0" w:after="150" w:afterAutospacing="0"/>
                    <w:jc w:val="right"/>
                    <w:rPr>
                      <w:b/>
                    </w:rPr>
                  </w:pPr>
                </w:p>
              </w:tc>
              <w:tc>
                <w:tcPr>
                  <w:tcW w:w="843" w:type="dxa"/>
                  <w:tcBorders>
                    <w:top w:val="single" w:sz="2" w:space="0" w:color="auto"/>
                    <w:left w:val="single" w:sz="2" w:space="0" w:color="auto"/>
                    <w:bottom w:val="single" w:sz="2" w:space="0" w:color="auto"/>
                    <w:right w:val="single" w:sz="2" w:space="0" w:color="auto"/>
                  </w:tcBorders>
                </w:tcPr>
                <w:p w14:paraId="586F2695" w14:textId="3E80F2D0" w:rsidR="000A37A1" w:rsidRPr="00D0186D" w:rsidRDefault="00ED4B6B" w:rsidP="000A37A1">
                  <w:pPr>
                    <w:pStyle w:val="rvps11"/>
                    <w:spacing w:before="150" w:beforeAutospacing="0" w:after="150" w:afterAutospacing="0"/>
                    <w:jc w:val="center"/>
                    <w:rPr>
                      <w:b/>
                    </w:rPr>
                  </w:pPr>
                  <m:oMathPara>
                    <m:oMath>
                      <m:sSubSup>
                        <m:sSubSupPr>
                          <m:ctrlPr>
                            <w:rPr>
                              <w:rFonts w:ascii="Cambria Math" w:hAnsi="Cambria Math"/>
                              <w:b/>
                              <w:i/>
                            </w:rPr>
                          </m:ctrlPr>
                        </m:sSubSupPr>
                        <m:e>
                          <m:r>
                            <m:rPr>
                              <m:sty m:val="bi"/>
                            </m:rPr>
                            <w:rPr>
                              <w:rFonts w:ascii="Cambria Math" w:hAnsi="Cambria Math"/>
                            </w:rPr>
                            <m:t>УО</m:t>
                          </m:r>
                        </m:e>
                        <m:sub>
                          <m:r>
                            <m:rPr>
                              <m:sty m:val="bi"/>
                            </m:rPr>
                            <w:rPr>
                              <w:rFonts w:ascii="Cambria Math" w:hAnsi="Cambria Math"/>
                            </w:rPr>
                            <m:t xml:space="preserve"> </m:t>
                          </m:r>
                        </m:sub>
                        <m:sup>
                          <m:r>
                            <m:rPr>
                              <m:sty m:val="bi"/>
                            </m:rPr>
                            <w:rPr>
                              <w:rFonts w:ascii="Cambria Math" w:hAnsi="Cambria Math"/>
                            </w:rPr>
                            <m:t>тар</m:t>
                          </m:r>
                        </m:sup>
                      </m:sSubSup>
                    </m:oMath>
                  </m:oMathPara>
                </w:p>
              </w:tc>
              <w:tc>
                <w:tcPr>
                  <w:tcW w:w="289" w:type="dxa"/>
                  <w:tcBorders>
                    <w:top w:val="single" w:sz="2" w:space="0" w:color="auto"/>
                    <w:left w:val="single" w:sz="2" w:space="0" w:color="auto"/>
                    <w:bottom w:val="single" w:sz="2" w:space="0" w:color="auto"/>
                    <w:right w:val="single" w:sz="2" w:space="0" w:color="auto"/>
                  </w:tcBorders>
                </w:tcPr>
                <w:p w14:paraId="3B2817D8" w14:textId="77777777" w:rsidR="000A37A1" w:rsidRPr="00D0186D" w:rsidRDefault="000A37A1" w:rsidP="000A37A1">
                  <w:pPr>
                    <w:pStyle w:val="rvps11"/>
                    <w:spacing w:before="150" w:beforeAutospacing="0" w:after="150" w:afterAutospacing="0"/>
                    <w:jc w:val="center"/>
                    <w:rPr>
                      <w:b/>
                    </w:rPr>
                  </w:pPr>
                  <w:r w:rsidRPr="00D0186D">
                    <w:rPr>
                      <w:b/>
                    </w:rPr>
                    <w:t>-</w:t>
                  </w:r>
                </w:p>
              </w:tc>
              <w:tc>
                <w:tcPr>
                  <w:tcW w:w="5812" w:type="dxa"/>
                  <w:tcBorders>
                    <w:top w:val="single" w:sz="2" w:space="0" w:color="auto"/>
                    <w:left w:val="single" w:sz="2" w:space="0" w:color="auto"/>
                    <w:bottom w:val="single" w:sz="2" w:space="0" w:color="auto"/>
                    <w:right w:val="single" w:sz="2" w:space="0" w:color="auto"/>
                  </w:tcBorders>
                </w:tcPr>
                <w:p w14:paraId="0C277AA9" w14:textId="43A2B240" w:rsidR="000A37A1" w:rsidRPr="00D0186D" w:rsidRDefault="000A37A1" w:rsidP="008B4F5E">
                  <w:pPr>
                    <w:pStyle w:val="rvps11"/>
                    <w:spacing w:before="150" w:beforeAutospacing="0" w:after="150" w:afterAutospacing="0"/>
                    <w:jc w:val="both"/>
                    <w:rPr>
                      <w:b/>
                    </w:rPr>
                  </w:pPr>
                  <w:r w:rsidRPr="00D0186D">
                    <w:rPr>
                      <w:b/>
                    </w:rPr>
                    <w:t>кількість умовних одиниць  енергетичного обладнання  ліцензіата, врахован</w:t>
                  </w:r>
                  <w:r w:rsidR="009E4C3A" w:rsidRPr="00D0186D">
                    <w:rPr>
                      <w:b/>
                    </w:rPr>
                    <w:t>а</w:t>
                  </w:r>
                  <w:r w:rsidRPr="00D0186D">
                    <w:rPr>
                      <w:b/>
                    </w:rPr>
                    <w:t xml:space="preserve"> у діючих тарифах;</w:t>
                  </w:r>
                </w:p>
              </w:tc>
            </w:tr>
          </w:tbl>
          <w:p w14:paraId="531B72DF" w14:textId="77777777" w:rsidR="000A37A1" w:rsidRPr="00D0186D" w:rsidRDefault="000A37A1" w:rsidP="000A37A1">
            <w:pPr>
              <w:rPr>
                <w:lang w:val="uk-UA"/>
              </w:rPr>
            </w:pPr>
          </w:p>
          <w:p w14:paraId="5F12C16E" w14:textId="4EB01D56" w:rsidR="000A37A1" w:rsidRPr="00D0186D" w:rsidRDefault="00DC31FB" w:rsidP="00DC31FB">
            <w:pPr>
              <w:jc w:val="both"/>
              <w:rPr>
                <w:b/>
                <w:lang w:val="uk-UA"/>
              </w:rPr>
            </w:pPr>
            <w:r w:rsidRPr="00D0186D">
              <w:rPr>
                <w:b/>
                <w:lang w:val="uk-UA"/>
              </w:rPr>
              <w:t>Для ліцензіатів, перелік яких наведено в додатку 30 до цього Порядку</w:t>
            </w:r>
            <w:r w:rsidR="00903674" w:rsidRPr="00D0186D">
              <w:rPr>
                <w:b/>
                <w:lang w:val="uk-UA"/>
              </w:rPr>
              <w:t>,</w:t>
            </w:r>
            <w:r w:rsidRPr="00D0186D">
              <w:rPr>
                <w:b/>
                <w:lang w:val="uk-UA"/>
              </w:rPr>
              <w:t xml:space="preserve"> </w:t>
            </w:r>
            <w:r w:rsidR="000A37A1" w:rsidRPr="00D0186D">
              <w:rPr>
                <w:b/>
                <w:lang w:val="uk-UA"/>
              </w:rPr>
              <w:t>при визначенні  прогнозованого фонду оплати праці (витрат на оплату праці) у році t</w:t>
            </w:r>
            <w:r w:rsidR="000A37A1" w:rsidRPr="00D0186D">
              <w:rPr>
                <w:b/>
                <w:noProof/>
                <w:lang w:val="uk-UA"/>
              </w:rPr>
              <w:t xml:space="preserve"> (ФОП</w:t>
            </w:r>
            <w:r w:rsidR="000A37A1" w:rsidRPr="00D0186D">
              <w:rPr>
                <w:b/>
                <w:noProof/>
                <w:vertAlign w:val="subscript"/>
                <w:lang w:val="uk-UA"/>
              </w:rPr>
              <w:t>t</w:t>
            </w:r>
            <w:r w:rsidR="000A37A1" w:rsidRPr="00D0186D">
              <w:rPr>
                <w:b/>
                <w:noProof/>
                <w:vertAlign w:val="superscript"/>
                <w:lang w:val="uk-UA"/>
              </w:rPr>
              <w:t>n</w:t>
            </w:r>
            <w:r w:rsidR="000A37A1" w:rsidRPr="00D0186D">
              <w:rPr>
                <w:b/>
                <w:lang w:val="uk-UA"/>
              </w:rPr>
              <w:t>)</w:t>
            </w:r>
            <w:r w:rsidR="000C4FF2" w:rsidRPr="00D0186D">
              <w:rPr>
                <w:b/>
                <w:lang w:val="uk-UA"/>
              </w:rPr>
              <w:t xml:space="preserve"> </w:t>
            </w:r>
            <w:r w:rsidR="000A37A1" w:rsidRPr="00D0186D">
              <w:rPr>
                <w:b/>
                <w:lang w:val="uk-UA"/>
              </w:rPr>
              <w:t>, що розраховується відповідно до Порядку визначення витрат на оплату праці,</w:t>
            </w:r>
            <w:r w:rsidR="000A37A1" w:rsidRPr="00D0186D">
              <w:rPr>
                <w:b/>
                <w:noProof/>
                <w:lang w:val="uk-UA"/>
              </w:rPr>
              <w:t xml:space="preserve"> </w:t>
            </w:r>
            <w:r w:rsidR="000C4FF2" w:rsidRPr="00D0186D">
              <w:rPr>
                <w:b/>
                <w:lang w:val="uk-UA"/>
              </w:rPr>
              <w:t xml:space="preserve">на 2025 рік та на кожний </w:t>
            </w:r>
            <w:r w:rsidR="000C4FF2" w:rsidRPr="00D0186D">
              <w:rPr>
                <w:b/>
                <w:lang w:val="uk-UA"/>
              </w:rPr>
              <w:lastRenderedPageBreak/>
              <w:t xml:space="preserve">наступний рік </w:t>
            </w:r>
            <w:r w:rsidR="000A37A1" w:rsidRPr="00D0186D">
              <w:rPr>
                <w:b/>
                <w:lang w:val="uk-UA"/>
              </w:rPr>
              <w:t>тарифна чисельність працівників у році t (</w:t>
            </w:r>
            <m:oMath>
              <m:sSubSup>
                <m:sSubSupPr>
                  <m:ctrlPr>
                    <w:rPr>
                      <w:rFonts w:ascii="Cambria Math" w:hAnsi="Cambria Math"/>
                      <w:b/>
                      <w:i/>
                      <w:lang w:val="uk-UA"/>
                    </w:rPr>
                  </m:ctrlPr>
                </m:sSubSupPr>
                <m:e>
                  <m:r>
                    <m:rPr>
                      <m:sty m:val="bi"/>
                    </m:rPr>
                    <w:rPr>
                      <w:rFonts w:ascii="Cambria Math" w:hAnsi="Cambria Math"/>
                      <w:lang w:val="uk-UA"/>
                    </w:rPr>
                    <m:t>ТЧП</m:t>
                  </m:r>
                </m:e>
                <m:sub>
                  <m:r>
                    <m:rPr>
                      <m:sty m:val="bi"/>
                    </m:rPr>
                    <w:rPr>
                      <w:rFonts w:ascii="Cambria Math" w:hAnsi="Cambria Math"/>
                      <w:lang w:val="uk-UA"/>
                    </w:rPr>
                    <m:t xml:space="preserve"> t</m:t>
                  </m:r>
                </m:sub>
                <m:sup>
                  <m:r>
                    <m:rPr>
                      <m:sty m:val="bi"/>
                    </m:rPr>
                    <w:rPr>
                      <w:rFonts w:ascii="Cambria Math" w:hAnsi="Cambria Math"/>
                      <w:lang w:val="uk-UA"/>
                    </w:rPr>
                    <m:t>тар</m:t>
                  </m:r>
                </m:sup>
              </m:sSubSup>
              <m:r>
                <m:rPr>
                  <m:sty m:val="bi"/>
                </m:rPr>
                <w:rPr>
                  <w:rFonts w:ascii="Cambria Math" w:hAnsi="Cambria Math"/>
                  <w:lang w:val="uk-UA"/>
                </w:rPr>
                <m:t>)</m:t>
              </m:r>
            </m:oMath>
            <w:r w:rsidR="000A37A1" w:rsidRPr="00D0186D">
              <w:rPr>
                <w:b/>
                <w:lang w:val="uk-UA"/>
              </w:rPr>
              <w:t xml:space="preserve"> розраховується за формулою</w:t>
            </w:r>
          </w:p>
          <w:p w14:paraId="6D9392CB" w14:textId="77777777" w:rsidR="000A37A1" w:rsidRPr="00D0186D" w:rsidRDefault="000A37A1" w:rsidP="000A37A1">
            <w:pPr>
              <w:rPr>
                <w:lang w:val="uk-UA"/>
              </w:rPr>
            </w:pPr>
          </w:p>
          <w:p w14:paraId="51735CEC" w14:textId="2E5CC098" w:rsidR="000A37A1" w:rsidRPr="00D0186D" w:rsidRDefault="00ED4B6B" w:rsidP="000A37A1">
            <w:pPr>
              <w:jc w:val="center"/>
              <w:rPr>
                <w:lang w:val="uk-UA"/>
              </w:rPr>
            </w:pPr>
            <m:oMath>
              <m:sSubSup>
                <m:sSubSupPr>
                  <m:ctrlPr>
                    <w:rPr>
                      <w:rFonts w:ascii="Cambria Math" w:hAnsi="Cambria Math"/>
                      <w:b/>
                      <w:i/>
                      <w:lang w:val="uk-UA"/>
                    </w:rPr>
                  </m:ctrlPr>
                </m:sSubSupPr>
                <m:e>
                  <m:r>
                    <m:rPr>
                      <m:sty m:val="bi"/>
                    </m:rPr>
                    <w:rPr>
                      <w:rFonts w:ascii="Cambria Math" w:hAnsi="Cambria Math"/>
                      <w:lang w:val="uk-UA"/>
                    </w:rPr>
                    <m:t>ТЧП</m:t>
                  </m:r>
                </m:e>
                <m:sub>
                  <m:r>
                    <m:rPr>
                      <m:sty m:val="bi"/>
                    </m:rPr>
                    <w:rPr>
                      <w:rFonts w:ascii="Cambria Math" w:hAnsi="Cambria Math"/>
                      <w:lang w:val="uk-UA"/>
                    </w:rPr>
                    <m:t xml:space="preserve"> t</m:t>
                  </m:r>
                </m:sub>
                <m:sup>
                  <m:r>
                    <m:rPr>
                      <m:sty m:val="bi"/>
                    </m:rPr>
                    <w:rPr>
                      <w:rFonts w:ascii="Cambria Math" w:hAnsi="Cambria Math"/>
                      <w:lang w:val="uk-UA"/>
                    </w:rPr>
                    <m:t>тар</m:t>
                  </m:r>
                </m:sup>
              </m:sSubSup>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ТЧП</m:t>
                  </m:r>
                </m:e>
                <m:sub>
                  <m:r>
                    <m:rPr>
                      <m:sty m:val="bi"/>
                    </m:rPr>
                    <w:rPr>
                      <w:rFonts w:ascii="Cambria Math" w:hAnsi="Cambria Math"/>
                      <w:lang w:val="uk-UA"/>
                    </w:rPr>
                    <m:t xml:space="preserve"> t-1</m:t>
                  </m:r>
                </m:sub>
                <m:sup>
                  <m:r>
                    <m:rPr>
                      <m:sty m:val="bi"/>
                    </m:rPr>
                    <w:rPr>
                      <w:rFonts w:ascii="Cambria Math" w:hAnsi="Cambria Math"/>
                      <w:lang w:val="uk-UA"/>
                    </w:rPr>
                    <m:t>тар</m:t>
                  </m:r>
                </m:sup>
              </m:sSubSup>
              <m:r>
                <m:rPr>
                  <m:sty m:val="bi"/>
                </m:rPr>
                <w:rPr>
                  <w:rFonts w:ascii="Cambria Math" w:hAnsi="Cambria Math"/>
                  <w:lang w:val="uk-UA"/>
                </w:rPr>
                <m:t xml:space="preserve"> ×КФУ</m:t>
              </m:r>
            </m:oMath>
            <w:r w:rsidR="000A37A1" w:rsidRPr="00D0186D">
              <w:rPr>
                <w:b/>
                <w:lang w:val="uk-UA"/>
              </w:rPr>
              <w:t>,</w:t>
            </w:r>
            <w:r w:rsidR="000A37A1" w:rsidRPr="00D0186D">
              <w:rPr>
                <w:lang w:val="uk-UA"/>
              </w:rPr>
              <w:t xml:space="preserve"> осіб      (10)</w:t>
            </w:r>
          </w:p>
          <w:p w14:paraId="51C0A838" w14:textId="77777777" w:rsidR="000A37A1" w:rsidRPr="00D0186D" w:rsidRDefault="000A37A1" w:rsidP="000A37A1">
            <w:pPr>
              <w:rPr>
                <w:lang w:val="uk-UA"/>
              </w:rPr>
            </w:pPr>
          </w:p>
          <w:tbl>
            <w:tblPr>
              <w:tblW w:w="7433" w:type="dxa"/>
              <w:tblLayout w:type="fixed"/>
              <w:tblCellMar>
                <w:left w:w="0" w:type="dxa"/>
                <w:right w:w="0" w:type="dxa"/>
              </w:tblCellMar>
              <w:tblLook w:val="04A0" w:firstRow="1" w:lastRow="0" w:firstColumn="1" w:lastColumn="0" w:noHBand="0" w:noVBand="1"/>
            </w:tblPr>
            <w:tblGrid>
              <w:gridCol w:w="489"/>
              <w:gridCol w:w="843"/>
              <w:gridCol w:w="289"/>
              <w:gridCol w:w="5812"/>
            </w:tblGrid>
            <w:tr w:rsidR="008150D9" w:rsidRPr="00D0186D" w14:paraId="0E818C5F" w14:textId="77777777" w:rsidTr="00822C61">
              <w:tc>
                <w:tcPr>
                  <w:tcW w:w="489" w:type="dxa"/>
                  <w:tcBorders>
                    <w:top w:val="single" w:sz="2" w:space="0" w:color="auto"/>
                    <w:left w:val="single" w:sz="2" w:space="0" w:color="auto"/>
                    <w:bottom w:val="single" w:sz="2" w:space="0" w:color="auto"/>
                    <w:right w:val="single" w:sz="2" w:space="0" w:color="auto"/>
                  </w:tcBorders>
                  <w:hideMark/>
                </w:tcPr>
                <w:p w14:paraId="6702480E" w14:textId="77777777" w:rsidR="000A37A1" w:rsidRPr="00D0186D" w:rsidRDefault="000A37A1" w:rsidP="000A37A1">
                  <w:pPr>
                    <w:pStyle w:val="rvps11"/>
                    <w:spacing w:before="150" w:beforeAutospacing="0" w:after="150" w:afterAutospacing="0"/>
                    <w:jc w:val="right"/>
                    <w:rPr>
                      <w:b/>
                    </w:rPr>
                  </w:pPr>
                  <w:r w:rsidRPr="00D0186D">
                    <w:rPr>
                      <w:b/>
                    </w:rPr>
                    <w:t>де</w:t>
                  </w:r>
                </w:p>
              </w:tc>
              <w:tc>
                <w:tcPr>
                  <w:tcW w:w="843" w:type="dxa"/>
                  <w:tcBorders>
                    <w:top w:val="single" w:sz="2" w:space="0" w:color="auto"/>
                    <w:left w:val="single" w:sz="2" w:space="0" w:color="auto"/>
                    <w:bottom w:val="single" w:sz="2" w:space="0" w:color="auto"/>
                    <w:right w:val="single" w:sz="2" w:space="0" w:color="auto"/>
                  </w:tcBorders>
                </w:tcPr>
                <w:p w14:paraId="5D932783" w14:textId="3075BD74" w:rsidR="000A37A1" w:rsidRPr="00D0186D" w:rsidRDefault="00ED4B6B" w:rsidP="000A37A1">
                  <w:pPr>
                    <w:pStyle w:val="rvps11"/>
                    <w:spacing w:before="150" w:beforeAutospacing="0" w:after="150" w:afterAutospacing="0"/>
                    <w:jc w:val="center"/>
                    <w:rPr>
                      <w:b/>
                    </w:rPr>
                  </w:pPr>
                  <m:oMathPara>
                    <m:oMath>
                      <m:sSubSup>
                        <m:sSubSupPr>
                          <m:ctrlPr>
                            <w:rPr>
                              <w:rFonts w:ascii="Cambria Math" w:hAnsi="Cambria Math"/>
                              <w:b/>
                              <w:i/>
                            </w:rPr>
                          </m:ctrlPr>
                        </m:sSubSupPr>
                        <m:e>
                          <m:r>
                            <m:rPr>
                              <m:sty m:val="bi"/>
                            </m:rPr>
                            <w:rPr>
                              <w:rFonts w:ascii="Cambria Math" w:hAnsi="Cambria Math"/>
                            </w:rPr>
                            <m:t>ТЧП</m:t>
                          </m:r>
                        </m:e>
                        <m:sub>
                          <m:r>
                            <m:rPr>
                              <m:sty m:val="bi"/>
                            </m:rPr>
                            <w:rPr>
                              <w:rFonts w:ascii="Cambria Math" w:hAnsi="Cambria Math"/>
                            </w:rPr>
                            <m:t xml:space="preserve"> t-1</m:t>
                          </m:r>
                        </m:sub>
                        <m:sup>
                          <m:r>
                            <m:rPr>
                              <m:sty m:val="bi"/>
                            </m:rPr>
                            <w:rPr>
                              <w:rFonts w:ascii="Cambria Math" w:hAnsi="Cambria Math"/>
                            </w:rPr>
                            <m:t>тар</m:t>
                          </m:r>
                        </m:sup>
                      </m:sSubSup>
                    </m:oMath>
                  </m:oMathPara>
                </w:p>
              </w:tc>
              <w:tc>
                <w:tcPr>
                  <w:tcW w:w="289" w:type="dxa"/>
                  <w:tcBorders>
                    <w:top w:val="single" w:sz="2" w:space="0" w:color="auto"/>
                    <w:left w:val="single" w:sz="2" w:space="0" w:color="auto"/>
                    <w:bottom w:val="single" w:sz="2" w:space="0" w:color="auto"/>
                    <w:right w:val="single" w:sz="2" w:space="0" w:color="auto"/>
                  </w:tcBorders>
                </w:tcPr>
                <w:p w14:paraId="715FB20A" w14:textId="77777777" w:rsidR="000A37A1" w:rsidRPr="00D0186D" w:rsidRDefault="000A37A1" w:rsidP="000A37A1">
                  <w:pPr>
                    <w:pStyle w:val="rvps11"/>
                    <w:spacing w:before="150" w:beforeAutospacing="0" w:after="150" w:afterAutospacing="0"/>
                    <w:jc w:val="center"/>
                    <w:rPr>
                      <w:b/>
                    </w:rPr>
                  </w:pPr>
                  <w:r w:rsidRPr="00D0186D">
                    <w:rPr>
                      <w:b/>
                    </w:rPr>
                    <w:t>-</w:t>
                  </w:r>
                </w:p>
              </w:tc>
              <w:tc>
                <w:tcPr>
                  <w:tcW w:w="5812" w:type="dxa"/>
                  <w:tcBorders>
                    <w:top w:val="single" w:sz="2" w:space="0" w:color="auto"/>
                    <w:left w:val="single" w:sz="2" w:space="0" w:color="auto"/>
                    <w:bottom w:val="single" w:sz="2" w:space="0" w:color="auto"/>
                    <w:right w:val="single" w:sz="2" w:space="0" w:color="auto"/>
                  </w:tcBorders>
                </w:tcPr>
                <w:p w14:paraId="7F3E2795" w14:textId="61852CE4" w:rsidR="000A37A1" w:rsidRPr="00D0186D" w:rsidRDefault="000A37A1" w:rsidP="000A37A1">
                  <w:pPr>
                    <w:pStyle w:val="rvps11"/>
                    <w:spacing w:before="150" w:beforeAutospacing="0" w:after="150" w:afterAutospacing="0"/>
                    <w:rPr>
                      <w:b/>
                    </w:rPr>
                  </w:pPr>
                  <w:r w:rsidRPr="00D0186D">
                    <w:rPr>
                      <w:b/>
                    </w:rPr>
                    <w:t>тарифна чисельність працівників, що врахована у діючих тарифах, осіб.</w:t>
                  </w:r>
                </w:p>
              </w:tc>
            </w:tr>
          </w:tbl>
          <w:p w14:paraId="79CD4977" w14:textId="77777777" w:rsidR="00CC7D4B" w:rsidRPr="00D0186D" w:rsidRDefault="00CC7D4B" w:rsidP="00A82A57">
            <w:pPr>
              <w:rPr>
                <w:lang w:val="uk-UA"/>
              </w:rPr>
            </w:pPr>
          </w:p>
        </w:tc>
      </w:tr>
      <w:tr w:rsidR="00572C6A" w:rsidRPr="00D0186D" w14:paraId="56CE88C9" w14:textId="77777777" w:rsidTr="00274934">
        <w:tc>
          <w:tcPr>
            <w:tcW w:w="7934" w:type="dxa"/>
          </w:tcPr>
          <w:p w14:paraId="3D7D055C" w14:textId="77777777" w:rsidR="00572C6A" w:rsidRPr="00D0186D" w:rsidRDefault="00572C6A" w:rsidP="00572C6A">
            <w:pPr>
              <w:pStyle w:val="rvps2"/>
              <w:shd w:val="clear" w:color="auto" w:fill="FFFFFF"/>
              <w:spacing w:before="0" w:beforeAutospacing="0" w:after="150" w:afterAutospacing="0"/>
              <w:ind w:firstLine="450"/>
              <w:jc w:val="both"/>
            </w:pPr>
            <w:r w:rsidRPr="00D0186D">
              <w:lastRenderedPageBreak/>
              <w:t>5.9. Прогнозовані операційні неконтрольовані витрати з розподілу електричної енергії на рік t визначаються за формулою</w:t>
            </w:r>
          </w:p>
          <w:tbl>
            <w:tblPr>
              <w:tblW w:w="10538" w:type="dxa"/>
              <w:jc w:val="center"/>
              <w:tblLayout w:type="fixed"/>
              <w:tblCellMar>
                <w:top w:w="15" w:type="dxa"/>
                <w:left w:w="15" w:type="dxa"/>
                <w:bottom w:w="15" w:type="dxa"/>
                <w:right w:w="15" w:type="dxa"/>
              </w:tblCellMar>
              <w:tblLook w:val="04A0" w:firstRow="1" w:lastRow="0" w:firstColumn="1" w:lastColumn="0" w:noHBand="0" w:noVBand="1"/>
            </w:tblPr>
            <w:tblGrid>
              <w:gridCol w:w="7823"/>
              <w:gridCol w:w="2715"/>
            </w:tblGrid>
            <w:tr w:rsidR="00D0186D" w:rsidRPr="00D0186D" w14:paraId="086DD006" w14:textId="77777777" w:rsidTr="00D0186D">
              <w:trPr>
                <w:jc w:val="center"/>
              </w:trPr>
              <w:tc>
                <w:tcPr>
                  <w:tcW w:w="3712" w:type="pct"/>
                  <w:shd w:val="clear" w:color="auto" w:fill="auto"/>
                  <w:tcMar>
                    <w:top w:w="0" w:type="dxa"/>
                    <w:left w:w="0" w:type="dxa"/>
                    <w:bottom w:w="0" w:type="dxa"/>
                    <w:right w:w="0" w:type="dxa"/>
                  </w:tcMar>
                  <w:vAlign w:val="center"/>
                  <w:hideMark/>
                </w:tcPr>
                <w:p w14:paraId="00436581" w14:textId="77777777" w:rsidR="00572C6A" w:rsidRPr="00D0186D" w:rsidRDefault="00572C6A" w:rsidP="00D0186D">
                  <w:pPr>
                    <w:pStyle w:val="tr"/>
                    <w:spacing w:before="0" w:beforeAutospacing="0" w:after="0" w:afterAutospacing="0"/>
                    <w:ind w:left="590" w:right="-1112"/>
                    <w:jc w:val="center"/>
                  </w:pPr>
                  <w:r w:rsidRPr="00D0186D">
                    <w:rPr>
                      <w:noProof/>
                    </w:rPr>
                    <w:drawing>
                      <wp:inline distT="0" distB="0" distL="0" distR="0" wp14:anchorId="0A6C0489" wp14:editId="45EA1F2B">
                        <wp:extent cx="3202301" cy="659130"/>
                        <wp:effectExtent l="0" t="0" r="0" b="7620"/>
                        <wp:docPr id="16" name="Рисунок 16" descr="https://ips.ligazakon.net/l_flib1.nsf/LookupFiles/GK40721_IMG_240.GIF/$file/GK40721_IMG_24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780117" name="Рисунок 1993780117" descr="https://ips.ligazakon.net/l_flib1.nsf/LookupFiles/GK40721_IMG_240.GIF/$file/GK40721_IMG_240.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581678" cy="737217"/>
                                </a:xfrm>
                                <a:prstGeom prst="rect">
                                  <a:avLst/>
                                </a:prstGeom>
                                <a:noFill/>
                                <a:ln>
                                  <a:noFill/>
                                </a:ln>
                              </pic:spPr>
                            </pic:pic>
                          </a:graphicData>
                        </a:graphic>
                      </wp:inline>
                    </w:drawing>
                  </w:r>
                </w:p>
              </w:tc>
              <w:tc>
                <w:tcPr>
                  <w:tcW w:w="1288" w:type="pct"/>
                  <w:shd w:val="clear" w:color="auto" w:fill="auto"/>
                  <w:tcMar>
                    <w:top w:w="0" w:type="dxa"/>
                    <w:left w:w="0" w:type="dxa"/>
                    <w:bottom w:w="0" w:type="dxa"/>
                    <w:right w:w="0" w:type="dxa"/>
                  </w:tcMar>
                  <w:vAlign w:val="center"/>
                  <w:hideMark/>
                </w:tcPr>
                <w:p w14:paraId="3499B97D" w14:textId="77777777" w:rsidR="00572C6A" w:rsidRPr="00D0186D" w:rsidRDefault="00572C6A" w:rsidP="00D0186D">
                  <w:pPr>
                    <w:pStyle w:val="tc"/>
                    <w:spacing w:before="0" w:beforeAutospacing="0" w:after="0" w:afterAutospacing="0"/>
                    <w:ind w:right="495"/>
                    <w:jc w:val="both"/>
                  </w:pPr>
                  <w:r w:rsidRPr="00D0186D">
                    <w:t>тис. грн, (10);</w:t>
                  </w:r>
                </w:p>
              </w:tc>
            </w:tr>
          </w:tbl>
          <w:p w14:paraId="36C50C91" w14:textId="13E34991" w:rsidR="00572C6A" w:rsidRPr="00D0186D" w:rsidRDefault="00572C6A" w:rsidP="00822C61">
            <w:pPr>
              <w:pStyle w:val="tj"/>
              <w:shd w:val="clear" w:color="auto" w:fill="FFFFFF"/>
              <w:spacing w:before="0" w:beforeAutospacing="0" w:after="0" w:afterAutospacing="0"/>
              <w:jc w:val="both"/>
            </w:pPr>
            <w:r w:rsidRPr="00D0186D">
              <w:t>де </w:t>
            </w:r>
            <w:r w:rsidRPr="00D0186D">
              <w:rPr>
                <w:noProof/>
              </w:rPr>
              <w:drawing>
                <wp:inline distT="0" distB="0" distL="0" distR="0" wp14:anchorId="501AE522" wp14:editId="32D53087">
                  <wp:extent cx="609600" cy="180975"/>
                  <wp:effectExtent l="0" t="0" r="0" b="9525"/>
                  <wp:docPr id="17" name="Рисунок 17" descr="https://ips.ligazakon.net/l_flib1.nsf/LookupFiles/GK40721_IMG_241.GIF/$file/GK40721_IMG_2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780116" name="Рисунок 1993780116" descr="https://ips.ligazakon.net/l_flib1.nsf/LookupFiles/GK40721_IMG_241.GIF/$file/GK40721_IMG_241.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9600" cy="180975"/>
                          </a:xfrm>
                          <a:prstGeom prst="rect">
                            <a:avLst/>
                          </a:prstGeom>
                          <a:noFill/>
                          <a:ln>
                            <a:noFill/>
                          </a:ln>
                        </pic:spPr>
                      </pic:pic>
                    </a:graphicData>
                  </a:graphic>
                </wp:inline>
              </w:drawing>
            </w:r>
            <w:r w:rsidRPr="00D0186D">
              <w:t> - прогнозовані операційні неконтрольовані витрати в році t-1, тис. грн;</w:t>
            </w:r>
          </w:p>
          <w:p w14:paraId="1189EA9D" w14:textId="77020BED" w:rsidR="00822C61" w:rsidRPr="00D0186D" w:rsidRDefault="00822C61" w:rsidP="00822C61">
            <w:pPr>
              <w:pStyle w:val="tj"/>
              <w:shd w:val="clear" w:color="auto" w:fill="FFFFFF"/>
              <w:spacing w:before="0" w:beforeAutospacing="0" w:after="0" w:afterAutospacing="0"/>
              <w:jc w:val="both"/>
            </w:pPr>
            <w:r w:rsidRPr="00D0186D">
              <w:t>…………………………………………………</w:t>
            </w:r>
          </w:p>
          <w:p w14:paraId="407FDCA9" w14:textId="77777777" w:rsidR="00572C6A" w:rsidRPr="00D0186D" w:rsidRDefault="00572C6A" w:rsidP="00572C6A">
            <w:pPr>
              <w:pStyle w:val="tj"/>
              <w:shd w:val="clear" w:color="auto" w:fill="FFFFFF"/>
              <w:spacing w:before="0" w:beforeAutospacing="0" w:after="0" w:afterAutospacing="0"/>
              <w:jc w:val="both"/>
            </w:pPr>
            <w:r w:rsidRPr="00D0186D">
              <w:rPr>
                <w:noProof/>
              </w:rPr>
              <w:drawing>
                <wp:inline distT="0" distB="0" distL="0" distR="0" wp14:anchorId="09AC1EF3" wp14:editId="2B2C0E3F">
                  <wp:extent cx="466725" cy="209550"/>
                  <wp:effectExtent l="0" t="0" r="9525" b="0"/>
                  <wp:docPr id="49" name="Рисунок 49" descr="https://ips.ligazakon.net/l_flib1.nsf/LookupFiles/GK40721_IMG_257.GIF/$file/GK40721_IMG_25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7" descr="https://ips.ligazakon.net/l_flib1.nsf/LookupFiles/GK40721_IMG_257.GIF/$file/GK40721_IMG_257.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6725" cy="209550"/>
                          </a:xfrm>
                          <a:prstGeom prst="rect">
                            <a:avLst/>
                          </a:prstGeom>
                          <a:noFill/>
                          <a:ln>
                            <a:noFill/>
                          </a:ln>
                        </pic:spPr>
                      </pic:pic>
                    </a:graphicData>
                  </a:graphic>
                </wp:inline>
              </w:drawing>
            </w:r>
            <w:r w:rsidRPr="00D0186D">
              <w:t> - прогнозний рівень витрат на спільне використання технологічних електричних мереж у році t, що визначений на базі фактичних витрат на спільне використання технологічних електричних мереж у році t-1, тис. грн.</w:t>
            </w:r>
          </w:p>
          <w:p w14:paraId="2AC78FC2" w14:textId="77777777" w:rsidR="00CC7D4B" w:rsidRDefault="00CC7D4B" w:rsidP="00822C61">
            <w:pPr>
              <w:pStyle w:val="a3"/>
              <w:ind w:left="0"/>
              <w:jc w:val="center"/>
              <w:rPr>
                <w:lang w:val="uk-UA"/>
              </w:rPr>
            </w:pPr>
          </w:p>
          <w:p w14:paraId="5D9A7C6C" w14:textId="23595F03" w:rsidR="00D0186D" w:rsidRPr="00D0186D" w:rsidRDefault="00D0186D" w:rsidP="00D0186D">
            <w:pPr>
              <w:pStyle w:val="a3"/>
              <w:ind w:left="0"/>
              <w:rPr>
                <w:lang w:val="uk-UA"/>
              </w:rPr>
            </w:pPr>
            <w:r>
              <w:rPr>
                <w:lang w:val="uk-UA"/>
              </w:rPr>
              <w:t>Абзац відсутній</w:t>
            </w:r>
          </w:p>
        </w:tc>
        <w:tc>
          <w:tcPr>
            <w:tcW w:w="7937" w:type="dxa"/>
          </w:tcPr>
          <w:p w14:paraId="06D96A1D" w14:textId="77777777" w:rsidR="00572C6A" w:rsidRPr="00D0186D" w:rsidRDefault="00572C6A" w:rsidP="00572C6A">
            <w:pPr>
              <w:pStyle w:val="rvps2"/>
              <w:shd w:val="clear" w:color="auto" w:fill="FFFFFF"/>
              <w:spacing w:before="0" w:beforeAutospacing="0" w:after="150" w:afterAutospacing="0"/>
              <w:ind w:firstLine="450"/>
              <w:jc w:val="both"/>
            </w:pPr>
            <w:r w:rsidRPr="00D0186D">
              <w:t>5.9. Прогнозовані операційні неконтрольовані витрати з розподілу електричної енергії на рік t визначаються за формулою</w:t>
            </w:r>
          </w:p>
          <w:tbl>
            <w:tblPr>
              <w:tblW w:w="7547" w:type="dxa"/>
              <w:jc w:val="center"/>
              <w:tblLayout w:type="fixed"/>
              <w:tblCellMar>
                <w:top w:w="15" w:type="dxa"/>
                <w:left w:w="15" w:type="dxa"/>
                <w:bottom w:w="15" w:type="dxa"/>
                <w:right w:w="15" w:type="dxa"/>
              </w:tblCellMar>
              <w:tblLook w:val="04A0" w:firstRow="1" w:lastRow="0" w:firstColumn="1" w:lastColumn="0" w:noHBand="0" w:noVBand="1"/>
            </w:tblPr>
            <w:tblGrid>
              <w:gridCol w:w="5949"/>
              <w:gridCol w:w="1598"/>
            </w:tblGrid>
            <w:tr w:rsidR="00822C61" w:rsidRPr="00D0186D" w14:paraId="1602D5A9" w14:textId="77777777" w:rsidTr="00822C61">
              <w:trPr>
                <w:jc w:val="center"/>
              </w:trPr>
              <w:tc>
                <w:tcPr>
                  <w:tcW w:w="3941" w:type="pct"/>
                  <w:shd w:val="clear" w:color="auto" w:fill="auto"/>
                  <w:tcMar>
                    <w:top w:w="0" w:type="dxa"/>
                    <w:left w:w="0" w:type="dxa"/>
                    <w:bottom w:w="0" w:type="dxa"/>
                    <w:right w:w="0" w:type="dxa"/>
                  </w:tcMar>
                  <w:vAlign w:val="center"/>
                  <w:hideMark/>
                </w:tcPr>
                <w:p w14:paraId="5DC896A0" w14:textId="77777777" w:rsidR="00572C6A" w:rsidRPr="00D0186D" w:rsidRDefault="00572C6A" w:rsidP="00572C6A">
                  <w:pPr>
                    <w:pStyle w:val="tr"/>
                    <w:spacing w:before="0" w:beforeAutospacing="0" w:after="0" w:afterAutospacing="0"/>
                    <w:ind w:left="273" w:right="-722"/>
                    <w:jc w:val="both"/>
                  </w:pPr>
                  <w:r w:rsidRPr="00D0186D">
                    <w:rPr>
                      <w:noProof/>
                    </w:rPr>
                    <w:drawing>
                      <wp:inline distT="0" distB="0" distL="0" distR="0" wp14:anchorId="7AF8E31B" wp14:editId="7E70D43B">
                        <wp:extent cx="3473859" cy="742315"/>
                        <wp:effectExtent l="0" t="0" r="0" b="635"/>
                        <wp:docPr id="1993780117" name="Рисунок 1993780117" descr="https://ips.ligazakon.net/l_flib1.nsf/LookupFiles/GK40721_IMG_240.GIF/$file/GK40721_IMG_24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780117" name="Рисунок 1993780117" descr="https://ips.ligazakon.net/l_flib1.nsf/LookupFiles/GK40721_IMG_240.GIF/$file/GK40721_IMG_240.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98590" cy="790337"/>
                                </a:xfrm>
                                <a:prstGeom prst="rect">
                                  <a:avLst/>
                                </a:prstGeom>
                                <a:noFill/>
                                <a:ln>
                                  <a:noFill/>
                                </a:ln>
                              </pic:spPr>
                            </pic:pic>
                          </a:graphicData>
                        </a:graphic>
                      </wp:inline>
                    </w:drawing>
                  </w:r>
                </w:p>
              </w:tc>
              <w:tc>
                <w:tcPr>
                  <w:tcW w:w="1059" w:type="pct"/>
                  <w:shd w:val="clear" w:color="auto" w:fill="auto"/>
                  <w:tcMar>
                    <w:top w:w="0" w:type="dxa"/>
                    <w:left w:w="0" w:type="dxa"/>
                    <w:bottom w:w="0" w:type="dxa"/>
                    <w:right w:w="0" w:type="dxa"/>
                  </w:tcMar>
                  <w:vAlign w:val="center"/>
                  <w:hideMark/>
                </w:tcPr>
                <w:p w14:paraId="73476BE3" w14:textId="1A5AE8B4" w:rsidR="00572C6A" w:rsidRPr="00D0186D" w:rsidRDefault="00572C6A" w:rsidP="00572C6A">
                  <w:pPr>
                    <w:pStyle w:val="tc"/>
                    <w:tabs>
                      <w:tab w:val="left" w:pos="2977"/>
                    </w:tabs>
                    <w:spacing w:before="0" w:beforeAutospacing="0" w:after="0" w:afterAutospacing="0"/>
                    <w:ind w:left="567" w:right="144" w:hanging="388"/>
                    <w:jc w:val="both"/>
                  </w:pPr>
                  <w:r w:rsidRPr="00D0186D">
                    <w:t xml:space="preserve"> </w:t>
                  </w:r>
                  <w:proofErr w:type="spellStart"/>
                  <w:r w:rsidRPr="00D0186D">
                    <w:t>тис.грн</w:t>
                  </w:r>
                  <w:proofErr w:type="spellEnd"/>
                  <w:r w:rsidRPr="00D0186D">
                    <w:t xml:space="preserve">, </w:t>
                  </w:r>
                  <w:r w:rsidRPr="00D0186D">
                    <w:rPr>
                      <w:b/>
                    </w:rPr>
                    <w:t>(</w:t>
                  </w:r>
                  <w:r w:rsidR="00822C61" w:rsidRPr="00D0186D">
                    <w:rPr>
                      <w:b/>
                    </w:rPr>
                    <w:t>13</w:t>
                  </w:r>
                  <w:r w:rsidRPr="00D0186D">
                    <w:rPr>
                      <w:b/>
                    </w:rPr>
                    <w:t>);</w:t>
                  </w:r>
                </w:p>
              </w:tc>
            </w:tr>
          </w:tbl>
          <w:p w14:paraId="73D7BB43" w14:textId="568E5834" w:rsidR="00572C6A" w:rsidRPr="00D0186D" w:rsidRDefault="00572C6A" w:rsidP="00822C61">
            <w:pPr>
              <w:pStyle w:val="tj"/>
              <w:shd w:val="clear" w:color="auto" w:fill="FFFFFF"/>
              <w:spacing w:before="0" w:beforeAutospacing="0" w:after="0" w:afterAutospacing="0"/>
              <w:jc w:val="both"/>
            </w:pPr>
            <w:r w:rsidRPr="00D0186D">
              <w:t>де </w:t>
            </w:r>
            <w:r w:rsidRPr="00D0186D">
              <w:rPr>
                <w:noProof/>
              </w:rPr>
              <w:drawing>
                <wp:inline distT="0" distB="0" distL="0" distR="0" wp14:anchorId="2155A3DB" wp14:editId="6D7BDBE0">
                  <wp:extent cx="609600" cy="180975"/>
                  <wp:effectExtent l="0" t="0" r="0" b="9525"/>
                  <wp:docPr id="1993780116" name="Рисунок 1993780116" descr="https://ips.ligazakon.net/l_flib1.nsf/LookupFiles/GK40721_IMG_241.GIF/$file/GK40721_IMG_2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780116" name="Рисунок 1993780116" descr="https://ips.ligazakon.net/l_flib1.nsf/LookupFiles/GK40721_IMG_241.GIF/$file/GK40721_IMG_241.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9600" cy="180975"/>
                          </a:xfrm>
                          <a:prstGeom prst="rect">
                            <a:avLst/>
                          </a:prstGeom>
                          <a:noFill/>
                          <a:ln>
                            <a:noFill/>
                          </a:ln>
                        </pic:spPr>
                      </pic:pic>
                    </a:graphicData>
                  </a:graphic>
                </wp:inline>
              </w:drawing>
            </w:r>
            <w:r w:rsidRPr="00D0186D">
              <w:t> - прогнозовані операційні неконтрольовані витрати в році t-1, тис. грн;</w:t>
            </w:r>
          </w:p>
          <w:p w14:paraId="2DDAB409" w14:textId="2FB9239B" w:rsidR="00822C61" w:rsidRPr="00D0186D" w:rsidRDefault="00822C61" w:rsidP="00822C61">
            <w:pPr>
              <w:pStyle w:val="tj"/>
              <w:shd w:val="clear" w:color="auto" w:fill="FFFFFF"/>
              <w:spacing w:before="0" w:beforeAutospacing="0" w:after="0" w:afterAutospacing="0"/>
              <w:jc w:val="both"/>
            </w:pPr>
            <w:r w:rsidRPr="00D0186D">
              <w:t>………………………………………………………..</w:t>
            </w:r>
          </w:p>
          <w:p w14:paraId="3637F6FF" w14:textId="77777777" w:rsidR="00572C6A" w:rsidRPr="00D0186D" w:rsidRDefault="00572C6A" w:rsidP="00572C6A">
            <w:pPr>
              <w:pStyle w:val="tj"/>
              <w:shd w:val="clear" w:color="auto" w:fill="FFFFFF"/>
              <w:spacing w:before="0" w:beforeAutospacing="0" w:after="0" w:afterAutospacing="0"/>
              <w:jc w:val="both"/>
            </w:pPr>
            <w:r w:rsidRPr="00D0186D">
              <w:rPr>
                <w:noProof/>
              </w:rPr>
              <w:drawing>
                <wp:inline distT="0" distB="0" distL="0" distR="0" wp14:anchorId="75D6D307" wp14:editId="4D6A9CAB">
                  <wp:extent cx="466725" cy="209550"/>
                  <wp:effectExtent l="0" t="0" r="9525" b="0"/>
                  <wp:docPr id="15" name="Рисунок 15" descr="https://ips.ligazakon.net/l_flib1.nsf/LookupFiles/GK40721_IMG_257.GIF/$file/GK40721_IMG_25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7" descr="https://ips.ligazakon.net/l_flib1.nsf/LookupFiles/GK40721_IMG_257.GIF/$file/GK40721_IMG_257.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6725" cy="209550"/>
                          </a:xfrm>
                          <a:prstGeom prst="rect">
                            <a:avLst/>
                          </a:prstGeom>
                          <a:noFill/>
                          <a:ln>
                            <a:noFill/>
                          </a:ln>
                        </pic:spPr>
                      </pic:pic>
                    </a:graphicData>
                  </a:graphic>
                </wp:inline>
              </w:drawing>
            </w:r>
            <w:r w:rsidRPr="00D0186D">
              <w:t> - прогнозний рівень витрат на спільне використання технологічних електричних мереж у році t, що визначений на базі фактичних витрат на спільне використання технологічних електричних мереж у році t-1, тис. грн.</w:t>
            </w:r>
          </w:p>
          <w:p w14:paraId="1C0B5FA4" w14:textId="77777777" w:rsidR="00572C6A" w:rsidRPr="00D0186D" w:rsidRDefault="00572C6A" w:rsidP="00572C6A">
            <w:pPr>
              <w:pStyle w:val="tj"/>
              <w:shd w:val="clear" w:color="auto" w:fill="FFFFFF"/>
              <w:spacing w:before="0" w:beforeAutospacing="0" w:after="0" w:afterAutospacing="0"/>
              <w:jc w:val="both"/>
            </w:pPr>
          </w:p>
          <w:p w14:paraId="7B60E998" w14:textId="02A75C62" w:rsidR="00572C6A" w:rsidRPr="00D0186D" w:rsidRDefault="00822C61" w:rsidP="00572C6A">
            <w:pPr>
              <w:pStyle w:val="rvps2"/>
              <w:shd w:val="clear" w:color="auto" w:fill="FFFFFF"/>
              <w:spacing w:before="0" w:beforeAutospacing="0" w:after="150" w:afterAutospacing="0"/>
              <w:ind w:firstLine="450"/>
              <w:jc w:val="both"/>
              <w:rPr>
                <w:b/>
              </w:rPr>
            </w:pPr>
            <w:r w:rsidRPr="00D0186D">
              <w:rPr>
                <w:b/>
              </w:rPr>
              <w:t>Для ліцензіатів, перелік яких наведено в додатку 30 до цього Порядку</w:t>
            </w:r>
            <w:r w:rsidR="00F60A6F" w:rsidRPr="00D0186D">
              <w:rPr>
                <w:b/>
              </w:rPr>
              <w:t>,</w:t>
            </w:r>
            <w:r w:rsidRPr="00D0186D">
              <w:rPr>
                <w:b/>
              </w:rPr>
              <w:t xml:space="preserve"> </w:t>
            </w:r>
            <w:r w:rsidR="009405A2" w:rsidRPr="00D0186D">
              <w:rPr>
                <w:b/>
              </w:rPr>
              <w:t xml:space="preserve">на 2025 рік та на кожний наступний рік </w:t>
            </w:r>
            <w:r w:rsidR="00A92055" w:rsidRPr="00D0186D">
              <w:rPr>
                <w:b/>
              </w:rPr>
              <w:t>п</w:t>
            </w:r>
            <w:r w:rsidR="00572C6A" w:rsidRPr="00D0186D">
              <w:rPr>
                <w:b/>
              </w:rPr>
              <w:t>рогнозовані операційні неконтрольовані витрати з розподілу електричної енергії на рік t визначаються за формулою</w:t>
            </w:r>
          </w:p>
          <w:p w14:paraId="0A3DABEA" w14:textId="44531FCA" w:rsidR="00572C6A" w:rsidRPr="00D0186D" w:rsidRDefault="00ED4B6B" w:rsidP="00572C6A">
            <w:pPr>
              <w:pStyle w:val="a3"/>
              <w:ind w:left="0"/>
              <w:jc w:val="center"/>
              <w:rPr>
                <w:lang w:val="uk-UA" w:eastAsia="en-US"/>
              </w:rPr>
            </w:pPr>
            <m:oMath>
              <m:sSubSup>
                <m:sSubSupPr>
                  <m:ctrlPr>
                    <w:rPr>
                      <w:rFonts w:ascii="Cambria Math" w:hAnsi="Cambria Math"/>
                      <w:i/>
                      <w:lang w:val="uk-UA"/>
                    </w:rPr>
                  </m:ctrlPr>
                </m:sSubSupPr>
                <m:e>
                  <m:r>
                    <w:rPr>
                      <w:rFonts w:ascii="Cambria Math" w:hAnsi="Cambria Math"/>
                      <w:lang w:val="uk-UA"/>
                    </w:rPr>
                    <m:t>ОНВ</m:t>
                  </m:r>
                </m:e>
                <m:sub>
                  <m:r>
                    <w:rPr>
                      <w:rFonts w:ascii="Cambria Math" w:hAnsi="Cambria Math"/>
                      <w:lang w:val="uk-UA"/>
                    </w:rPr>
                    <m:t>t</m:t>
                  </m:r>
                </m:sub>
                <m:sup>
                  <m:r>
                    <w:rPr>
                      <w:rFonts w:ascii="Cambria Math" w:hAnsi="Cambria Math"/>
                      <w:lang w:val="uk-UA"/>
                    </w:rPr>
                    <m:t>n</m:t>
                  </m:r>
                </m:sup>
              </m:sSubSup>
              <m:r>
                <w:rPr>
                  <w:rFonts w:ascii="Cambria Math" w:hAnsi="Cambria Math"/>
                  <w:lang w:val="uk-UA"/>
                </w:rPr>
                <m:t>=</m:t>
              </m:r>
              <m:d>
                <m:dPr>
                  <m:ctrlPr>
                    <w:rPr>
                      <w:rFonts w:ascii="Cambria Math" w:hAnsi="Cambria Math"/>
                      <w:i/>
                      <w:lang w:val="uk-UA"/>
                    </w:rPr>
                  </m:ctrlPr>
                </m:dPr>
                <m:e>
                  <m:sSubSup>
                    <m:sSubSupPr>
                      <m:ctrlPr>
                        <w:rPr>
                          <w:rFonts w:ascii="Cambria Math" w:hAnsi="Cambria Math"/>
                          <w:i/>
                          <w:lang w:val="uk-UA"/>
                        </w:rPr>
                      </m:ctrlPr>
                    </m:sSubSupPr>
                    <m:e>
                      <m:r>
                        <w:rPr>
                          <w:rFonts w:ascii="Cambria Math" w:hAnsi="Cambria Math"/>
                          <w:lang w:val="uk-UA"/>
                        </w:rPr>
                        <m:t>ОНВ</m:t>
                      </m:r>
                    </m:e>
                    <m:sub>
                      <m:r>
                        <w:rPr>
                          <w:rFonts w:ascii="Cambria Math" w:hAnsi="Cambria Math"/>
                          <w:lang w:val="uk-UA"/>
                        </w:rPr>
                        <m:t>t-1</m:t>
                      </m:r>
                    </m:sub>
                    <m:sup>
                      <m:r>
                        <w:rPr>
                          <w:rFonts w:ascii="Cambria Math" w:hAnsi="Cambria Math"/>
                          <w:lang w:val="uk-UA"/>
                        </w:rPr>
                        <m:t>n</m:t>
                      </m:r>
                    </m:sup>
                  </m:sSubSup>
                  <w:bookmarkStart w:id="18" w:name="_Hlk50644520"/>
                  <m:r>
                    <w:rPr>
                      <w:rFonts w:ascii="Cambria Math" w:hAnsi="Cambria Math"/>
                      <w:lang w:val="uk-UA"/>
                    </w:rPr>
                    <m:t>-</m:t>
                  </m:r>
                  <w:bookmarkEnd w:id="18"/>
                  <m:sSubSup>
                    <m:sSubSupPr>
                      <m:ctrlPr>
                        <w:rPr>
                          <w:rFonts w:ascii="Cambria Math" w:hAnsi="Cambria Math"/>
                          <w:i/>
                          <w:lang w:val="uk-UA"/>
                        </w:rPr>
                      </m:ctrlPr>
                    </m:sSubSupPr>
                    <m:e>
                      <m:r>
                        <w:rPr>
                          <w:rFonts w:ascii="Cambria Math" w:hAnsi="Cambria Math"/>
                          <w:lang w:val="uk-UA"/>
                        </w:rPr>
                        <m:t>ПСП</m:t>
                      </m:r>
                    </m:e>
                    <m:sub>
                      <m:r>
                        <w:rPr>
                          <w:rFonts w:ascii="Cambria Math" w:hAnsi="Cambria Math"/>
                          <w:lang w:val="uk-UA"/>
                        </w:rPr>
                        <m:t>t-1</m:t>
                      </m:r>
                    </m:sub>
                    <m:sup>
                      <m:r>
                        <w:rPr>
                          <w:rFonts w:ascii="Cambria Math" w:hAnsi="Cambria Math"/>
                          <w:lang w:val="uk-UA"/>
                        </w:rPr>
                        <m:t>n</m:t>
                      </m:r>
                    </m:sup>
                  </m:sSubSup>
                  <m:r>
                    <w:rPr>
                      <w:rFonts w:ascii="Cambria Math" w:hAnsi="Cambria Math"/>
                      <w:lang w:val="uk-UA"/>
                    </w:rPr>
                    <m:t>-</m:t>
                  </m:r>
                  <m:sSubSup>
                    <m:sSubSupPr>
                      <m:ctrlPr>
                        <w:rPr>
                          <w:rFonts w:ascii="Cambria Math" w:hAnsi="Cambria Math"/>
                          <w:i/>
                          <w:lang w:val="uk-UA"/>
                        </w:rPr>
                      </m:ctrlPr>
                    </m:sSubSupPr>
                    <m:e>
                      <m:r>
                        <w:rPr>
                          <w:rFonts w:ascii="Cambria Math" w:hAnsi="Cambria Math"/>
                          <w:lang w:val="uk-UA"/>
                        </w:rPr>
                        <m:t>ПД</m:t>
                      </m:r>
                    </m:e>
                    <m:sub>
                      <m:r>
                        <w:rPr>
                          <w:rFonts w:ascii="Cambria Math" w:hAnsi="Cambria Math"/>
                          <w:lang w:val="uk-UA"/>
                        </w:rPr>
                        <m:t>t-1</m:t>
                      </m:r>
                    </m:sub>
                    <m:sup>
                      <m:r>
                        <w:rPr>
                          <w:rFonts w:ascii="Cambria Math" w:hAnsi="Cambria Math"/>
                          <w:lang w:val="uk-UA"/>
                        </w:rPr>
                        <m:t>n</m:t>
                      </m:r>
                    </m:sup>
                  </m:sSubSup>
                  <m:sSubSup>
                    <m:sSubSupPr>
                      <m:ctrlPr>
                        <w:rPr>
                          <w:rFonts w:ascii="Cambria Math" w:hAnsi="Cambria Math"/>
                          <w:i/>
                          <w:lang w:val="uk-UA"/>
                        </w:rPr>
                      </m:ctrlPr>
                    </m:sSubSupPr>
                    <m:e>
                      <m:r>
                        <w:rPr>
                          <w:rFonts w:ascii="Cambria Math" w:hAnsi="Cambria Math"/>
                          <w:lang w:val="uk-UA"/>
                        </w:rPr>
                        <m:t>- ПОР</m:t>
                      </m:r>
                    </m:e>
                    <m:sub>
                      <m:r>
                        <w:rPr>
                          <w:rFonts w:ascii="Cambria Math" w:hAnsi="Cambria Math"/>
                          <w:lang w:val="uk-UA"/>
                        </w:rPr>
                        <m:t>t-1</m:t>
                      </m:r>
                    </m:sub>
                    <m:sup>
                      <m:r>
                        <w:rPr>
                          <w:rFonts w:ascii="Cambria Math" w:hAnsi="Cambria Math"/>
                          <w:lang w:val="uk-UA"/>
                        </w:rPr>
                        <m:t>n</m:t>
                      </m:r>
                    </m:sup>
                  </m:sSubSup>
                  <m:r>
                    <w:rPr>
                      <w:rFonts w:ascii="Cambria Math" w:hAnsi="Cambria Math"/>
                      <w:lang w:val="uk-UA"/>
                    </w:rPr>
                    <m:t xml:space="preserve"> </m:t>
                  </m:r>
                  <w:bookmarkStart w:id="19" w:name="_Hlk50732854"/>
                  <m:sSubSup>
                    <m:sSubSupPr>
                      <m:ctrlPr>
                        <w:rPr>
                          <w:rFonts w:ascii="Cambria Math" w:hAnsi="Cambria Math"/>
                          <w:i/>
                          <w:lang w:val="uk-UA"/>
                        </w:rPr>
                      </m:ctrlPr>
                    </m:sSubSupPr>
                    <m:e>
                      <m:r>
                        <w:rPr>
                          <w:rFonts w:ascii="Cambria Math" w:hAnsi="Cambria Math"/>
                          <w:lang w:val="uk-UA"/>
                        </w:rPr>
                        <m:t>- ВП</m:t>
                      </m:r>
                    </m:e>
                    <m:sub>
                      <m:r>
                        <w:rPr>
                          <w:rFonts w:ascii="Cambria Math" w:hAnsi="Cambria Math"/>
                          <w:lang w:val="uk-UA"/>
                        </w:rPr>
                        <m:t>t-1</m:t>
                      </m:r>
                    </m:sub>
                    <m:sup>
                      <m:r>
                        <w:rPr>
                          <w:rFonts w:ascii="Cambria Math" w:hAnsi="Cambria Math"/>
                          <w:lang w:val="uk-UA"/>
                        </w:rPr>
                        <m:t>n</m:t>
                      </m:r>
                    </m:sup>
                  </m:sSubSup>
                  <w:bookmarkEnd w:id="19"/>
                  <m:r>
                    <w:rPr>
                      <w:rFonts w:ascii="Cambria Math" w:hAnsi="Cambria Math"/>
                      <w:lang w:val="uk-UA"/>
                    </w:rPr>
                    <m:t xml:space="preserve"> </m:t>
                  </m:r>
                  <m:sSubSup>
                    <m:sSubSupPr>
                      <m:ctrlPr>
                        <w:rPr>
                          <w:rFonts w:ascii="Cambria Math" w:hAnsi="Cambria Math"/>
                          <w:i/>
                          <w:lang w:val="uk-UA"/>
                        </w:rPr>
                      </m:ctrlPr>
                    </m:sSubSupPr>
                    <m:e>
                      <m:sSubSup>
                        <m:sSubSupPr>
                          <m:ctrlPr>
                            <w:rPr>
                              <w:rFonts w:ascii="Cambria Math" w:hAnsi="Cambria Math"/>
                              <w:i/>
                              <w:lang w:val="uk-UA"/>
                            </w:rPr>
                          </m:ctrlPr>
                        </m:sSubSupPr>
                        <m:e>
                          <m:r>
                            <w:rPr>
                              <w:rFonts w:ascii="Cambria Math" w:hAnsi="Cambria Math"/>
                              <w:lang w:val="uk-UA"/>
                            </w:rPr>
                            <m:t>- ВР</m:t>
                          </m:r>
                        </m:e>
                        <m:sub>
                          <m:r>
                            <w:rPr>
                              <w:rFonts w:ascii="Cambria Math" w:hAnsi="Cambria Math"/>
                              <w:lang w:val="uk-UA"/>
                            </w:rPr>
                            <m:t>t-1</m:t>
                          </m:r>
                        </m:sub>
                        <m:sup>
                          <m:r>
                            <w:rPr>
                              <w:rFonts w:ascii="Cambria Math" w:hAnsi="Cambria Math"/>
                              <w:lang w:val="uk-UA"/>
                            </w:rPr>
                            <m:t>n</m:t>
                          </m:r>
                        </m:sup>
                      </m:sSubSup>
                      <m:sSubSup>
                        <m:sSubSupPr>
                          <m:ctrlPr>
                            <w:rPr>
                              <w:rFonts w:ascii="Cambria Math" w:hAnsi="Cambria Math"/>
                              <w:i/>
                              <w:lang w:val="uk-UA"/>
                            </w:rPr>
                          </m:ctrlPr>
                        </m:sSubSupPr>
                        <m:e>
                          <m:r>
                            <w:rPr>
                              <w:rFonts w:ascii="Cambria Math" w:hAnsi="Cambria Math"/>
                              <w:lang w:val="uk-UA"/>
                            </w:rPr>
                            <m:t>- СВМ</m:t>
                          </m:r>
                        </m:e>
                        <m:sub>
                          <m:r>
                            <w:rPr>
                              <w:rFonts w:ascii="Cambria Math" w:hAnsi="Cambria Math"/>
                              <w:lang w:val="uk-UA"/>
                            </w:rPr>
                            <m:t>t-1</m:t>
                          </m:r>
                        </m:sub>
                        <m:sup>
                          <m:r>
                            <w:rPr>
                              <w:rFonts w:ascii="Cambria Math" w:hAnsi="Cambria Math"/>
                              <w:lang w:val="uk-UA"/>
                            </w:rPr>
                            <m:t>n</m:t>
                          </m:r>
                        </m:sup>
                      </m:sSubSup>
                      <m:r>
                        <w:rPr>
                          <w:rFonts w:ascii="Cambria Math" w:hAnsi="Cambria Math"/>
                          <w:lang w:val="uk-UA"/>
                        </w:rPr>
                        <m:t>- ФОП</m:t>
                      </m:r>
                    </m:e>
                    <m:sub>
                      <m:r>
                        <w:rPr>
                          <w:rFonts w:ascii="Cambria Math" w:hAnsi="Cambria Math"/>
                          <w:lang w:val="uk-UA"/>
                        </w:rPr>
                        <m:t>t-1</m:t>
                      </m:r>
                    </m:sub>
                    <m:sup>
                      <m:r>
                        <w:rPr>
                          <w:rFonts w:ascii="Cambria Math" w:hAnsi="Cambria Math"/>
                          <w:lang w:val="uk-UA"/>
                        </w:rPr>
                        <m:t>n</m:t>
                      </m:r>
                    </m:sup>
                  </m:sSubSup>
                  <m:r>
                    <w:rPr>
                      <w:rFonts w:ascii="Cambria Math" w:hAnsi="Cambria Math"/>
                      <w:lang w:val="uk-UA"/>
                    </w:rPr>
                    <m:t xml:space="preserve">х </m:t>
                  </m:r>
                  <m:sSubSup>
                    <m:sSubSupPr>
                      <m:ctrlPr>
                        <w:rPr>
                          <w:rFonts w:ascii="Cambria Math" w:hAnsi="Cambria Math"/>
                          <w:i/>
                          <w:lang w:val="uk-UA"/>
                        </w:rPr>
                      </m:ctrlPr>
                    </m:sSubSupPr>
                    <m:e>
                      <m:r>
                        <w:rPr>
                          <w:rFonts w:ascii="Cambria Math" w:hAnsi="Cambria Math"/>
                          <w:lang w:val="uk-UA"/>
                        </w:rPr>
                        <m:t>Н</m:t>
                      </m:r>
                    </m:e>
                    <m:sub>
                      <m:r>
                        <w:rPr>
                          <w:rFonts w:ascii="Cambria Math" w:hAnsi="Cambria Math"/>
                          <w:lang w:val="uk-UA"/>
                        </w:rPr>
                        <m:t>t-1</m:t>
                      </m:r>
                    </m:sub>
                    <m:sup>
                      <m:r>
                        <w:rPr>
                          <w:rFonts w:ascii="Cambria Math" w:hAnsi="Cambria Math"/>
                          <w:lang w:val="uk-UA"/>
                        </w:rPr>
                        <m:t>фоп</m:t>
                      </m:r>
                    </m:sup>
                  </m:sSubSup>
                </m:e>
              </m:d>
              <m:r>
                <w:rPr>
                  <w:rFonts w:ascii="Cambria Math" w:hAnsi="Cambria Math"/>
                  <w:lang w:val="uk-UA"/>
                </w:rPr>
                <m:t xml:space="preserve"> </m:t>
              </m:r>
              <w:bookmarkStart w:id="20" w:name="_Hlk50644532"/>
              <m:r>
                <w:rPr>
                  <w:rFonts w:ascii="Cambria Math" w:hAnsi="Cambria Math"/>
                  <w:lang w:val="uk-UA"/>
                </w:rPr>
                <m:t>х</m:t>
              </m:r>
              <w:bookmarkEnd w:id="20"/>
              <m:f>
                <m:fPr>
                  <m:ctrlPr>
                    <w:rPr>
                      <w:rFonts w:ascii="Cambria Math" w:hAnsi="Cambria Math"/>
                      <w:i/>
                      <w:lang w:val="uk-UA"/>
                    </w:rPr>
                  </m:ctrlPr>
                </m:fPr>
                <m:num>
                  <m:sSubSup>
                    <m:sSubSupPr>
                      <m:ctrlPr>
                        <w:rPr>
                          <w:rFonts w:ascii="Cambria Math" w:hAnsi="Cambria Math"/>
                          <w:i/>
                          <w:lang w:val="uk-UA"/>
                        </w:rPr>
                      </m:ctrlPr>
                    </m:sSubSupPr>
                    <m:e>
                      <m:r>
                        <w:rPr>
                          <w:rFonts w:ascii="Cambria Math" w:hAnsi="Cambria Math"/>
                          <w:lang w:val="uk-UA"/>
                        </w:rPr>
                        <m:t>ІСЦ</m:t>
                      </m:r>
                    </m:e>
                    <m:sub>
                      <m:r>
                        <w:rPr>
                          <w:rFonts w:ascii="Cambria Math" w:hAnsi="Cambria Math"/>
                          <w:lang w:val="uk-UA"/>
                        </w:rPr>
                        <m:t>t</m:t>
                      </m:r>
                    </m:sub>
                    <m:sup>
                      <m:r>
                        <w:rPr>
                          <w:rFonts w:ascii="Cambria Math" w:hAnsi="Cambria Math"/>
                          <w:lang w:val="uk-UA"/>
                        </w:rPr>
                        <m:t>n</m:t>
                      </m:r>
                    </m:sup>
                  </m:sSubSup>
                  <m:r>
                    <w:rPr>
                      <w:rFonts w:ascii="Cambria Math" w:hAnsi="Cambria Math"/>
                      <w:lang w:val="uk-UA"/>
                    </w:rPr>
                    <m:t xml:space="preserve"> </m:t>
                  </m:r>
                </m:num>
                <m:den>
                  <m:r>
                    <w:rPr>
                      <w:rFonts w:ascii="Cambria Math" w:hAnsi="Cambria Math"/>
                      <w:lang w:val="uk-UA"/>
                    </w:rPr>
                    <m:t>100</m:t>
                  </m:r>
                </m:den>
              </m:f>
              <m:r>
                <m:rPr>
                  <m:sty m:val="bi"/>
                </m:rPr>
                <w:rPr>
                  <w:rFonts w:ascii="Cambria Math" w:hAnsi="Cambria Math"/>
                  <w:lang w:val="uk-UA"/>
                </w:rPr>
                <m:t>×КФУ</m:t>
              </m:r>
              <m:r>
                <w:rPr>
                  <w:rFonts w:ascii="Cambria Math" w:hAnsi="Cambria Math"/>
                  <w:lang w:val="uk-UA"/>
                </w:rPr>
                <m:t>+</m:t>
              </m:r>
              <m:sSubSup>
                <m:sSubSupPr>
                  <m:ctrlPr>
                    <w:rPr>
                      <w:rFonts w:ascii="Cambria Math" w:hAnsi="Cambria Math"/>
                      <w:i/>
                      <w:lang w:val="uk-UA"/>
                    </w:rPr>
                  </m:ctrlPr>
                </m:sSubSupPr>
                <m:e>
                  <m:r>
                    <w:rPr>
                      <w:rFonts w:ascii="Cambria Math" w:hAnsi="Cambria Math"/>
                      <w:lang w:val="uk-UA"/>
                    </w:rPr>
                    <m:t xml:space="preserve"> ФОП</m:t>
                  </m:r>
                </m:e>
                <m:sub>
                  <m:r>
                    <w:rPr>
                      <w:rFonts w:ascii="Cambria Math" w:hAnsi="Cambria Math"/>
                      <w:lang w:val="uk-UA"/>
                    </w:rPr>
                    <m:t>t</m:t>
                  </m:r>
                </m:sub>
                <m:sup>
                  <m:r>
                    <w:rPr>
                      <w:rFonts w:ascii="Cambria Math" w:hAnsi="Cambria Math"/>
                      <w:lang w:val="uk-UA"/>
                    </w:rPr>
                    <m:t>n</m:t>
                  </m:r>
                </m:sup>
              </m:sSubSup>
              <m:r>
                <w:rPr>
                  <w:rFonts w:ascii="Cambria Math" w:hAnsi="Cambria Math"/>
                  <w:lang w:val="uk-UA"/>
                </w:rPr>
                <m:t xml:space="preserve"> х </m:t>
              </m:r>
              <m:sSubSup>
                <m:sSubSupPr>
                  <m:ctrlPr>
                    <w:rPr>
                      <w:rFonts w:ascii="Cambria Math" w:hAnsi="Cambria Math"/>
                      <w:i/>
                      <w:lang w:val="uk-UA"/>
                    </w:rPr>
                  </m:ctrlPr>
                </m:sSubSupPr>
                <m:e>
                  <m:r>
                    <w:rPr>
                      <w:rFonts w:ascii="Cambria Math" w:hAnsi="Cambria Math"/>
                      <w:lang w:val="uk-UA"/>
                    </w:rPr>
                    <m:t>Н</m:t>
                  </m:r>
                </m:e>
                <m:sub>
                  <m:r>
                    <w:rPr>
                      <w:rFonts w:ascii="Cambria Math" w:hAnsi="Cambria Math"/>
                      <w:lang w:val="uk-UA"/>
                    </w:rPr>
                    <m:t>t</m:t>
                  </m:r>
                </m:sub>
                <m:sup>
                  <m:r>
                    <w:rPr>
                      <w:rFonts w:ascii="Cambria Math" w:hAnsi="Cambria Math"/>
                      <w:lang w:val="uk-UA"/>
                    </w:rPr>
                    <m:t>фоп</m:t>
                  </m:r>
                </m:sup>
              </m:sSubSup>
              <m:r>
                <w:rPr>
                  <w:rFonts w:ascii="Cambria Math" w:hAnsi="Cambria Math"/>
                  <w:lang w:val="uk-UA"/>
                </w:rPr>
                <m:t>+</m:t>
              </m:r>
              <m:sSubSup>
                <m:sSubSupPr>
                  <m:ctrlPr>
                    <w:rPr>
                      <w:rFonts w:ascii="Cambria Math" w:hAnsi="Cambria Math"/>
                      <w:i/>
                      <w:lang w:val="uk-UA"/>
                    </w:rPr>
                  </m:ctrlPr>
                </m:sSubSupPr>
                <m:e>
                  <m:r>
                    <w:rPr>
                      <w:rFonts w:ascii="Cambria Math" w:hAnsi="Cambria Math"/>
                      <w:lang w:val="uk-UA"/>
                    </w:rPr>
                    <m:t>ПСП</m:t>
                  </m:r>
                </m:e>
                <m:sub>
                  <m:r>
                    <w:rPr>
                      <w:rFonts w:ascii="Cambria Math" w:hAnsi="Cambria Math"/>
                      <w:lang w:val="uk-UA"/>
                    </w:rPr>
                    <m:t>t</m:t>
                  </m:r>
                </m:sub>
                <m:sup>
                  <m:r>
                    <w:rPr>
                      <w:rFonts w:ascii="Cambria Math" w:hAnsi="Cambria Math"/>
                      <w:lang w:val="uk-UA"/>
                    </w:rPr>
                    <m:t>n</m:t>
                  </m:r>
                </m:sup>
              </m:sSubSup>
              <m:r>
                <w:rPr>
                  <w:rFonts w:ascii="Cambria Math" w:hAnsi="Cambria Math"/>
                  <w:lang w:val="uk-UA"/>
                </w:rPr>
                <m:t>+</m:t>
              </m:r>
              <m:sSubSup>
                <m:sSubSupPr>
                  <m:ctrlPr>
                    <w:rPr>
                      <w:rFonts w:ascii="Cambria Math" w:hAnsi="Cambria Math"/>
                      <w:i/>
                      <w:lang w:val="uk-UA"/>
                    </w:rPr>
                  </m:ctrlPr>
                </m:sSubSupPr>
                <m:e>
                  <m:r>
                    <w:rPr>
                      <w:rFonts w:ascii="Cambria Math" w:hAnsi="Cambria Math"/>
                      <w:lang w:val="uk-UA"/>
                    </w:rPr>
                    <m:t>ПД</m:t>
                  </m:r>
                </m:e>
                <m:sub>
                  <m:r>
                    <w:rPr>
                      <w:rFonts w:ascii="Cambria Math" w:hAnsi="Cambria Math"/>
                      <w:lang w:val="uk-UA"/>
                    </w:rPr>
                    <m:t>t</m:t>
                  </m:r>
                </m:sub>
                <m:sup>
                  <m:r>
                    <w:rPr>
                      <w:rFonts w:ascii="Cambria Math" w:hAnsi="Cambria Math"/>
                      <w:lang w:val="uk-UA"/>
                    </w:rPr>
                    <m:t>n</m:t>
                  </m:r>
                </m:sup>
              </m:sSubSup>
              <m:sSubSup>
                <m:sSubSupPr>
                  <m:ctrlPr>
                    <w:rPr>
                      <w:rFonts w:ascii="Cambria Math" w:hAnsi="Cambria Math"/>
                      <w:i/>
                      <w:lang w:val="uk-UA"/>
                    </w:rPr>
                  </m:ctrlPr>
                </m:sSubSupPr>
                <m:e>
                  <m:r>
                    <w:rPr>
                      <w:rFonts w:ascii="Cambria Math" w:hAnsi="Cambria Math"/>
                      <w:lang w:val="uk-UA"/>
                    </w:rPr>
                    <m:t>+ ПОР</m:t>
                  </m:r>
                </m:e>
                <m:sub>
                  <m:r>
                    <w:rPr>
                      <w:rFonts w:ascii="Cambria Math" w:hAnsi="Cambria Math"/>
                      <w:lang w:val="uk-UA"/>
                    </w:rPr>
                    <m:t>t</m:t>
                  </m:r>
                </m:sub>
                <m:sup>
                  <m:r>
                    <w:rPr>
                      <w:rFonts w:ascii="Cambria Math" w:hAnsi="Cambria Math"/>
                      <w:lang w:val="uk-UA"/>
                    </w:rPr>
                    <m:t>n</m:t>
                  </m:r>
                </m:sup>
              </m:sSubSup>
              <m:sSubSup>
                <m:sSubSupPr>
                  <m:ctrlPr>
                    <w:rPr>
                      <w:rFonts w:ascii="Cambria Math" w:hAnsi="Cambria Math"/>
                      <w:i/>
                      <w:lang w:val="uk-UA"/>
                    </w:rPr>
                  </m:ctrlPr>
                </m:sSubSupPr>
                <m:e>
                  <m:r>
                    <w:rPr>
                      <w:rFonts w:ascii="Cambria Math" w:hAnsi="Cambria Math"/>
                      <w:lang w:val="uk-UA"/>
                    </w:rPr>
                    <m:t xml:space="preserve"> + ВП</m:t>
                  </m:r>
                </m:e>
                <m:sub>
                  <m:r>
                    <w:rPr>
                      <w:rFonts w:ascii="Cambria Math" w:hAnsi="Cambria Math"/>
                      <w:lang w:val="uk-UA"/>
                    </w:rPr>
                    <m:t>t</m:t>
                  </m:r>
                </m:sub>
                <m:sup>
                  <m:r>
                    <w:rPr>
                      <w:rFonts w:ascii="Cambria Math" w:hAnsi="Cambria Math"/>
                      <w:lang w:val="uk-UA"/>
                    </w:rPr>
                    <m:t>n</m:t>
                  </m:r>
                </m:sup>
              </m:sSubSup>
              <m:sSubSup>
                <m:sSubSupPr>
                  <m:ctrlPr>
                    <w:rPr>
                      <w:rFonts w:ascii="Cambria Math" w:hAnsi="Cambria Math"/>
                      <w:i/>
                      <w:lang w:val="uk-UA"/>
                    </w:rPr>
                  </m:ctrlPr>
                </m:sSubSupPr>
                <m:e>
                  <m:r>
                    <w:rPr>
                      <w:rFonts w:ascii="Cambria Math" w:hAnsi="Cambria Math"/>
                      <w:lang w:val="uk-UA"/>
                    </w:rPr>
                    <m:t>+ ВР</m:t>
                  </m:r>
                </m:e>
                <m:sub>
                  <m:r>
                    <w:rPr>
                      <w:rFonts w:ascii="Cambria Math" w:hAnsi="Cambria Math"/>
                      <w:lang w:val="uk-UA"/>
                    </w:rPr>
                    <m:t>t</m:t>
                  </m:r>
                </m:sub>
                <m:sup>
                  <m:r>
                    <w:rPr>
                      <w:rFonts w:ascii="Cambria Math" w:hAnsi="Cambria Math"/>
                      <w:lang w:val="uk-UA"/>
                    </w:rPr>
                    <m:t>n</m:t>
                  </m:r>
                </m:sup>
              </m:sSubSup>
              <m:sSubSup>
                <m:sSubSupPr>
                  <m:ctrlPr>
                    <w:rPr>
                      <w:rFonts w:ascii="Cambria Math" w:hAnsi="Cambria Math"/>
                      <w:i/>
                      <w:lang w:val="uk-UA"/>
                    </w:rPr>
                  </m:ctrlPr>
                </m:sSubSupPr>
                <m:e>
                  <m:r>
                    <w:rPr>
                      <w:rFonts w:ascii="Cambria Math" w:hAnsi="Cambria Math"/>
                      <w:lang w:val="uk-UA"/>
                    </w:rPr>
                    <m:t>+ СВМ</m:t>
                  </m:r>
                </m:e>
                <m:sub>
                  <m:r>
                    <w:rPr>
                      <w:rFonts w:ascii="Cambria Math" w:hAnsi="Cambria Math"/>
                      <w:lang w:val="uk-UA"/>
                    </w:rPr>
                    <m:t>t</m:t>
                  </m:r>
                </m:sub>
                <m:sup>
                  <m:r>
                    <w:rPr>
                      <w:rFonts w:ascii="Cambria Math" w:hAnsi="Cambria Math"/>
                      <w:lang w:val="uk-UA"/>
                    </w:rPr>
                    <m:t>n</m:t>
                  </m:r>
                </m:sup>
              </m:sSubSup>
            </m:oMath>
            <w:r w:rsidR="00572C6A" w:rsidRPr="00D0186D">
              <w:rPr>
                <w:lang w:val="uk-UA"/>
              </w:rPr>
              <w:t xml:space="preserve">, тис. грн, </w:t>
            </w:r>
            <w:r w:rsidR="00572C6A" w:rsidRPr="00D0186D">
              <w:rPr>
                <w:b/>
                <w:lang w:val="uk-UA"/>
              </w:rPr>
              <w:t>(</w:t>
            </w:r>
            <w:r w:rsidR="00822C61" w:rsidRPr="00D0186D">
              <w:rPr>
                <w:b/>
                <w:lang w:val="uk-UA"/>
              </w:rPr>
              <w:t>14</w:t>
            </w:r>
            <w:r w:rsidR="00572C6A" w:rsidRPr="00D0186D">
              <w:rPr>
                <w:b/>
                <w:lang w:val="uk-UA"/>
              </w:rPr>
              <w:t>);</w:t>
            </w:r>
          </w:p>
          <w:p w14:paraId="0AA4293C" w14:textId="77777777" w:rsidR="00CC7D4B" w:rsidRPr="00D0186D" w:rsidRDefault="00CC7D4B" w:rsidP="00A82A57">
            <w:pPr>
              <w:rPr>
                <w:lang w:val="uk-UA"/>
              </w:rPr>
            </w:pPr>
          </w:p>
        </w:tc>
      </w:tr>
      <w:tr w:rsidR="00572C6A" w:rsidRPr="00D0186D" w14:paraId="72A570A6" w14:textId="77777777" w:rsidTr="00274934">
        <w:tc>
          <w:tcPr>
            <w:tcW w:w="7934" w:type="dxa"/>
          </w:tcPr>
          <w:p w14:paraId="6BF007CD" w14:textId="77777777" w:rsidR="00810CB9" w:rsidRPr="00D0186D" w:rsidRDefault="00ED4B6B" w:rsidP="00810CB9">
            <w:pPr>
              <w:pStyle w:val="tj"/>
              <w:shd w:val="clear" w:color="auto" w:fill="FFFFFF"/>
              <w:spacing w:before="0" w:beforeAutospacing="0" w:after="0" w:afterAutospacing="0"/>
              <w:ind w:firstLine="489"/>
              <w:jc w:val="both"/>
            </w:pPr>
            <w:hyperlink r:id="rId19" w:tgtFrame="_blank" w:history="1">
              <w:r w:rsidR="00810CB9" w:rsidRPr="00D0186D">
                <w:t>5.12. Амортизація в році t регуляторного періоду визначається згідно з Порядком визначення регуляторної бази активів окремо на активи, створені на дату переходу до стимулюючого регулювання, та активи, створені після переходу на стимулююче регулювання, за формулою</w:t>
              </w:r>
            </w:hyperlink>
          </w:p>
          <w:tbl>
            <w:tblPr>
              <w:tblW w:w="7585" w:type="dxa"/>
              <w:jc w:val="center"/>
              <w:tblLayout w:type="fixed"/>
              <w:tblCellMar>
                <w:top w:w="15" w:type="dxa"/>
                <w:left w:w="15" w:type="dxa"/>
                <w:bottom w:w="15" w:type="dxa"/>
                <w:right w:w="15" w:type="dxa"/>
              </w:tblCellMar>
              <w:tblLook w:val="04A0" w:firstRow="1" w:lastRow="0" w:firstColumn="1" w:lastColumn="0" w:noHBand="0" w:noVBand="1"/>
            </w:tblPr>
            <w:tblGrid>
              <w:gridCol w:w="5416"/>
              <w:gridCol w:w="1599"/>
              <w:gridCol w:w="570"/>
            </w:tblGrid>
            <w:tr w:rsidR="00810CB9" w:rsidRPr="00ED4B6B" w14:paraId="5758CA1F" w14:textId="77777777" w:rsidTr="00A92055">
              <w:trPr>
                <w:trHeight w:val="673"/>
                <w:jc w:val="center"/>
              </w:trPr>
              <w:tc>
                <w:tcPr>
                  <w:tcW w:w="3570" w:type="pct"/>
                  <w:shd w:val="clear" w:color="auto" w:fill="auto"/>
                  <w:tcMar>
                    <w:top w:w="0" w:type="dxa"/>
                    <w:left w:w="0" w:type="dxa"/>
                    <w:bottom w:w="0" w:type="dxa"/>
                    <w:right w:w="0" w:type="dxa"/>
                  </w:tcMar>
                  <w:vAlign w:val="center"/>
                  <w:hideMark/>
                </w:tcPr>
                <w:p w14:paraId="72682673" w14:textId="77777777" w:rsidR="00810CB9" w:rsidRPr="00D0186D" w:rsidRDefault="00810CB9" w:rsidP="00810CB9">
                  <w:pPr>
                    <w:pStyle w:val="tr"/>
                    <w:spacing w:before="0" w:beforeAutospacing="0" w:after="0" w:afterAutospacing="0"/>
                    <w:ind w:firstLine="489"/>
                    <w:jc w:val="both"/>
                  </w:pPr>
                  <w:r w:rsidRPr="00D0186D">
                    <w:rPr>
                      <w:noProof/>
                    </w:rPr>
                    <w:lastRenderedPageBreak/>
                    <w:drawing>
                      <wp:anchor distT="0" distB="0" distL="114300" distR="114300" simplePos="0" relativeHeight="251659264" behindDoc="0" locked="0" layoutInCell="1" allowOverlap="1" wp14:anchorId="7D7AA425" wp14:editId="64F82975">
                        <wp:simplePos x="0" y="0"/>
                        <wp:positionH relativeFrom="column">
                          <wp:posOffset>310342</wp:posOffset>
                        </wp:positionH>
                        <wp:positionV relativeFrom="paragraph">
                          <wp:posOffset>120996</wp:posOffset>
                        </wp:positionV>
                        <wp:extent cx="2984500" cy="190500"/>
                        <wp:effectExtent l="0" t="0" r="6350" b="0"/>
                        <wp:wrapThrough wrapText="bothSides">
                          <wp:wrapPolygon edited="0">
                            <wp:start x="0" y="0"/>
                            <wp:lineTo x="0" y="17280"/>
                            <wp:lineTo x="551" y="19440"/>
                            <wp:lineTo x="21094" y="19440"/>
                            <wp:lineTo x="21508" y="10800"/>
                            <wp:lineTo x="21508" y="0"/>
                            <wp:lineTo x="0" y="0"/>
                          </wp:wrapPolygon>
                        </wp:wrapThrough>
                        <wp:docPr id="21" name="Рисунок 21" descr="https://ips.ligazakon.net/l_flib1.nsf/LookupFiles/GK40721_IMG_262.GIF/$file/GK40721_IMG_262.GIF">
                          <a:hlinkClick xmlns:a="http://schemas.openxmlformats.org/drawingml/2006/main" r:id="rId2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ips.ligazakon.net/l_flib1.nsf/LookupFiles/GK40721_IMG_262.GIF/$file/GK40721_IMG_262.GIF">
                                  <a:hlinkClick r:id="rId20"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984500" cy="190500"/>
                                </a:xfrm>
                                <a:prstGeom prst="rect">
                                  <a:avLst/>
                                </a:prstGeom>
                                <a:noFill/>
                                <a:ln>
                                  <a:noFill/>
                                </a:ln>
                              </pic:spPr>
                            </pic:pic>
                          </a:graphicData>
                        </a:graphic>
                      </wp:anchor>
                    </w:drawing>
                  </w:r>
                </w:p>
              </w:tc>
              <w:tc>
                <w:tcPr>
                  <w:tcW w:w="1054" w:type="pct"/>
                  <w:shd w:val="clear" w:color="auto" w:fill="auto"/>
                  <w:tcMar>
                    <w:top w:w="0" w:type="dxa"/>
                    <w:left w:w="0" w:type="dxa"/>
                    <w:bottom w:w="0" w:type="dxa"/>
                    <w:right w:w="0" w:type="dxa"/>
                  </w:tcMar>
                  <w:vAlign w:val="center"/>
                  <w:hideMark/>
                </w:tcPr>
                <w:p w14:paraId="20980809" w14:textId="77777777" w:rsidR="00810CB9" w:rsidRPr="00D0186D" w:rsidRDefault="00810CB9" w:rsidP="00810CB9">
                  <w:pPr>
                    <w:pStyle w:val="tl"/>
                    <w:spacing w:before="0" w:beforeAutospacing="0" w:after="0" w:afterAutospacing="0"/>
                    <w:ind w:firstLine="489"/>
                    <w:jc w:val="both"/>
                  </w:pPr>
                  <w:r w:rsidRPr="00D0186D">
                    <w:t>, тис. грн,</w:t>
                  </w:r>
                </w:p>
              </w:tc>
              <w:tc>
                <w:tcPr>
                  <w:tcW w:w="376" w:type="pct"/>
                  <w:shd w:val="clear" w:color="auto" w:fill="auto"/>
                  <w:tcMar>
                    <w:top w:w="0" w:type="dxa"/>
                    <w:left w:w="0" w:type="dxa"/>
                    <w:bottom w:w="0" w:type="dxa"/>
                    <w:right w:w="0" w:type="dxa"/>
                  </w:tcMar>
                  <w:vAlign w:val="center"/>
                  <w:hideMark/>
                </w:tcPr>
                <w:p w14:paraId="0378F74C" w14:textId="77777777" w:rsidR="00810CB9" w:rsidRPr="00D0186D" w:rsidRDefault="00ED4B6B" w:rsidP="00810CB9">
                  <w:pPr>
                    <w:pStyle w:val="tc"/>
                    <w:spacing w:before="0" w:beforeAutospacing="0" w:after="0" w:afterAutospacing="0"/>
                    <w:jc w:val="both"/>
                  </w:pPr>
                  <w:hyperlink r:id="rId22" w:tgtFrame="_blank" w:history="1">
                    <w:r w:rsidR="00810CB9" w:rsidRPr="00D0186D">
                      <w:t>(11)</w:t>
                    </w:r>
                  </w:hyperlink>
                </w:p>
                <w:p w14:paraId="52B3D0A9" w14:textId="77777777" w:rsidR="00810CB9" w:rsidRPr="00D0186D" w:rsidRDefault="00810CB9" w:rsidP="00810CB9">
                  <w:pPr>
                    <w:pStyle w:val="tc"/>
                    <w:spacing w:before="0" w:beforeAutospacing="0" w:after="0" w:afterAutospacing="0"/>
                    <w:jc w:val="both"/>
                  </w:pPr>
                </w:p>
              </w:tc>
            </w:tr>
          </w:tbl>
          <w:p w14:paraId="044EE23B" w14:textId="77777777" w:rsidR="00810CB9" w:rsidRPr="00D0186D" w:rsidRDefault="00810CB9" w:rsidP="00810CB9">
            <w:pPr>
              <w:shd w:val="clear" w:color="auto" w:fill="FFFFFF"/>
              <w:ind w:firstLine="493"/>
              <w:jc w:val="both"/>
              <w:outlineLvl w:val="2"/>
              <w:rPr>
                <w:lang w:val="uk-UA" w:eastAsia="uk-UA"/>
              </w:rPr>
            </w:pPr>
            <w:r w:rsidRPr="00D0186D">
              <w:rPr>
                <w:lang w:val="uk-UA" w:eastAsia="uk-UA"/>
              </w:rPr>
              <w:t>………………….</w:t>
            </w:r>
          </w:p>
          <w:p w14:paraId="6149922D" w14:textId="77777777" w:rsidR="00810CB9" w:rsidRPr="00D0186D" w:rsidRDefault="00810CB9" w:rsidP="00810CB9">
            <w:pPr>
              <w:shd w:val="clear" w:color="auto" w:fill="FFFFFF"/>
              <w:ind w:firstLine="493"/>
              <w:jc w:val="both"/>
              <w:outlineLvl w:val="2"/>
              <w:rPr>
                <w:lang w:val="uk-UA" w:eastAsia="uk-UA"/>
              </w:rPr>
            </w:pPr>
          </w:p>
          <w:p w14:paraId="5E79B0A5" w14:textId="77777777" w:rsidR="00810CB9" w:rsidRPr="00D0186D" w:rsidRDefault="00810CB9" w:rsidP="00810CB9">
            <w:pPr>
              <w:shd w:val="clear" w:color="auto" w:fill="FFFFFF"/>
              <w:ind w:firstLine="493"/>
              <w:jc w:val="both"/>
              <w:outlineLvl w:val="2"/>
              <w:rPr>
                <w:lang w:val="uk-UA" w:eastAsia="uk-UA"/>
              </w:rPr>
            </w:pPr>
            <w:proofErr w:type="spellStart"/>
            <w:r w:rsidRPr="00D0186D">
              <w:rPr>
                <w:lang w:val="uk-UA" w:eastAsia="uk-UA"/>
              </w:rPr>
              <w:t>A</w:t>
            </w:r>
            <w:r w:rsidRPr="00D0186D">
              <w:rPr>
                <w:vertAlign w:val="subscript"/>
                <w:lang w:val="uk-UA" w:eastAsia="uk-UA"/>
              </w:rPr>
              <w:t>t</w:t>
            </w:r>
            <w:r w:rsidRPr="00D0186D">
              <w:rPr>
                <w:vertAlign w:val="superscript"/>
                <w:lang w:val="uk-UA" w:eastAsia="uk-UA"/>
              </w:rPr>
              <w:t>ст</w:t>
            </w:r>
            <w:proofErr w:type="spellEnd"/>
            <w:r w:rsidRPr="00D0186D">
              <w:rPr>
                <w:lang w:val="uk-UA" w:eastAsia="uk-UA"/>
              </w:rPr>
              <w:t xml:space="preserve"> дорівнює регуляторній амортизації на активи, створені на дату переходу до стимулюючого регулювання (</w:t>
            </w:r>
            <w:proofErr w:type="spellStart"/>
            <w:r w:rsidRPr="00D0186D">
              <w:rPr>
                <w:lang w:val="uk-UA" w:eastAsia="uk-UA"/>
              </w:rPr>
              <w:t>А</w:t>
            </w:r>
            <w:r w:rsidRPr="00D0186D">
              <w:rPr>
                <w:vertAlign w:val="subscript"/>
                <w:lang w:val="uk-UA" w:eastAsia="uk-UA"/>
              </w:rPr>
              <w:t>о</w:t>
            </w:r>
            <w:proofErr w:type="spellEnd"/>
            <w:r w:rsidRPr="00D0186D">
              <w:rPr>
                <w:lang w:val="uk-UA" w:eastAsia="uk-UA"/>
              </w:rPr>
              <w:t xml:space="preserve">), розрахованій згідно з Порядком визначення регуляторної бази активів. Якщо </w:t>
            </w:r>
            <w:proofErr w:type="spellStart"/>
            <w:r w:rsidRPr="00D0186D">
              <w:rPr>
                <w:lang w:val="uk-UA" w:eastAsia="uk-UA"/>
              </w:rPr>
              <w:t>А</w:t>
            </w:r>
            <w:r w:rsidRPr="00D0186D">
              <w:rPr>
                <w:vertAlign w:val="subscript"/>
                <w:lang w:val="uk-UA" w:eastAsia="uk-UA"/>
              </w:rPr>
              <w:t>о</w:t>
            </w:r>
            <w:proofErr w:type="spellEnd"/>
            <w:r w:rsidRPr="00D0186D">
              <w:rPr>
                <w:lang w:val="uk-UA" w:eastAsia="uk-UA"/>
              </w:rPr>
              <w:t xml:space="preserve"> перевищує рівень амортизації, врахований в діючих тарифах на дату переходу до стимулюючого регулювання, на величину понад 50 %, то </w:t>
            </w:r>
            <w:proofErr w:type="spellStart"/>
            <w:r w:rsidRPr="00D0186D">
              <w:rPr>
                <w:lang w:val="uk-UA" w:eastAsia="uk-UA"/>
              </w:rPr>
              <w:t>А</w:t>
            </w:r>
            <w:r w:rsidRPr="00D0186D">
              <w:rPr>
                <w:vertAlign w:val="superscript"/>
                <w:lang w:val="uk-UA" w:eastAsia="uk-UA"/>
              </w:rPr>
              <w:t>ст</w:t>
            </w:r>
            <w:proofErr w:type="spellEnd"/>
            <w:r w:rsidRPr="00D0186D">
              <w:rPr>
                <w:lang w:val="uk-UA" w:eastAsia="uk-UA"/>
              </w:rPr>
              <w:t xml:space="preserve"> щорічно збільшується на 50 % (на перший рік - від рівня амортизації, врахованого в діючих тарифах на дату переходу до стимулюючого регулювання; на наступні роки - від рівня амортизації А</w:t>
            </w:r>
            <w:r w:rsidRPr="00D0186D">
              <w:rPr>
                <w:vertAlign w:val="superscript"/>
                <w:lang w:val="uk-UA" w:eastAsia="uk-UA"/>
              </w:rPr>
              <w:t>ст</w:t>
            </w:r>
            <w:r w:rsidRPr="00D0186D">
              <w:rPr>
                <w:vertAlign w:val="subscript"/>
                <w:lang w:val="uk-UA" w:eastAsia="uk-UA"/>
              </w:rPr>
              <w:t>t-1</w:t>
            </w:r>
            <w:r w:rsidRPr="00D0186D">
              <w:rPr>
                <w:lang w:val="uk-UA" w:eastAsia="uk-UA"/>
              </w:rPr>
              <w:t xml:space="preserve">, врахованого в тарифах попереднього року) до досягнення рівня </w:t>
            </w:r>
            <w:proofErr w:type="spellStart"/>
            <w:r w:rsidRPr="00D0186D">
              <w:rPr>
                <w:lang w:val="uk-UA" w:eastAsia="uk-UA"/>
              </w:rPr>
              <w:t>А</w:t>
            </w:r>
            <w:r w:rsidRPr="00D0186D">
              <w:rPr>
                <w:vertAlign w:val="subscript"/>
                <w:lang w:val="uk-UA" w:eastAsia="uk-UA"/>
              </w:rPr>
              <w:t>о</w:t>
            </w:r>
            <w:proofErr w:type="spellEnd"/>
            <w:r w:rsidRPr="00D0186D">
              <w:rPr>
                <w:lang w:val="uk-UA" w:eastAsia="uk-UA"/>
              </w:rPr>
              <w:t xml:space="preserve"> (на </w:t>
            </w:r>
            <w:r w:rsidRPr="00D0186D">
              <w:rPr>
                <w:b/>
                <w:lang w:val="uk-UA" w:eastAsia="uk-UA"/>
              </w:rPr>
              <w:t>2023 та 2024</w:t>
            </w:r>
            <w:r w:rsidRPr="00D0186D">
              <w:rPr>
                <w:lang w:val="uk-UA" w:eastAsia="uk-UA"/>
              </w:rPr>
              <w:t xml:space="preserve"> роки амортизація на активи, створені на дату переходу до стимулюючого регулювання (</w:t>
            </w:r>
            <w:proofErr w:type="spellStart"/>
            <w:r w:rsidRPr="00D0186D">
              <w:rPr>
                <w:lang w:val="uk-UA" w:eastAsia="uk-UA"/>
              </w:rPr>
              <w:t>А</w:t>
            </w:r>
            <w:r w:rsidRPr="00D0186D">
              <w:rPr>
                <w:vertAlign w:val="superscript"/>
                <w:lang w:val="uk-UA" w:eastAsia="uk-UA"/>
              </w:rPr>
              <w:t>ст</w:t>
            </w:r>
            <w:r w:rsidRPr="00D0186D">
              <w:rPr>
                <w:vertAlign w:val="subscript"/>
                <w:lang w:val="uk-UA" w:eastAsia="uk-UA"/>
              </w:rPr>
              <w:t>t</w:t>
            </w:r>
            <w:proofErr w:type="spellEnd"/>
            <w:r w:rsidRPr="00D0186D">
              <w:rPr>
                <w:lang w:val="uk-UA" w:eastAsia="uk-UA"/>
              </w:rPr>
              <w:t xml:space="preserve">) не перевищує </w:t>
            </w:r>
            <w:proofErr w:type="spellStart"/>
            <w:r w:rsidRPr="00D0186D">
              <w:rPr>
                <w:lang w:val="uk-UA" w:eastAsia="uk-UA"/>
              </w:rPr>
              <w:t>А</w:t>
            </w:r>
            <w:r w:rsidRPr="00D0186D">
              <w:rPr>
                <w:vertAlign w:val="superscript"/>
                <w:lang w:val="uk-UA" w:eastAsia="uk-UA"/>
              </w:rPr>
              <w:t>ст</w:t>
            </w:r>
            <w:proofErr w:type="spellEnd"/>
            <w:r w:rsidRPr="00D0186D">
              <w:rPr>
                <w:lang w:val="uk-UA" w:eastAsia="uk-UA"/>
              </w:rPr>
              <w:t xml:space="preserve"> </w:t>
            </w:r>
            <w:r w:rsidRPr="00D0186D">
              <w:rPr>
                <w:vertAlign w:val="subscript"/>
                <w:lang w:val="uk-UA" w:eastAsia="uk-UA"/>
              </w:rPr>
              <w:t>t-1</w:t>
            </w:r>
            <w:r w:rsidRPr="00D0186D">
              <w:rPr>
                <w:lang w:val="uk-UA" w:eastAsia="uk-UA"/>
              </w:rPr>
              <w:t xml:space="preserve">, враховану в тарифах </w:t>
            </w:r>
            <w:r w:rsidRPr="00D0186D">
              <w:rPr>
                <w:b/>
                <w:lang w:val="uk-UA" w:eastAsia="uk-UA"/>
              </w:rPr>
              <w:t>2022 та 2023</w:t>
            </w:r>
            <w:r w:rsidRPr="00D0186D">
              <w:rPr>
                <w:lang w:val="uk-UA" w:eastAsia="uk-UA"/>
              </w:rPr>
              <w:t xml:space="preserve"> років відповідно, крім ліцензіатів, перелік яких наведено в додатку 30 до цього Порядку, для яких на </w:t>
            </w:r>
            <w:r w:rsidRPr="00D0186D">
              <w:rPr>
                <w:b/>
                <w:lang w:val="uk-UA" w:eastAsia="uk-UA"/>
              </w:rPr>
              <w:t>2024 рік</w:t>
            </w:r>
            <w:r w:rsidRPr="00D0186D">
              <w:rPr>
                <w:lang w:val="uk-UA" w:eastAsia="uk-UA"/>
              </w:rPr>
              <w:t xml:space="preserve"> амортизація на активи, створені на дату переходу до стимулюючого регулювання, (</w:t>
            </w:r>
            <w:proofErr w:type="spellStart"/>
            <w:r w:rsidRPr="00D0186D">
              <w:rPr>
                <w:lang w:val="uk-UA" w:eastAsia="uk-UA"/>
              </w:rPr>
              <w:t>А</w:t>
            </w:r>
            <w:r w:rsidRPr="00D0186D">
              <w:rPr>
                <w:vertAlign w:val="superscript"/>
                <w:lang w:val="uk-UA" w:eastAsia="uk-UA"/>
              </w:rPr>
              <w:t>ст</w:t>
            </w:r>
            <w:r w:rsidRPr="00D0186D">
              <w:rPr>
                <w:vertAlign w:val="subscript"/>
                <w:lang w:val="uk-UA" w:eastAsia="uk-UA"/>
              </w:rPr>
              <w:t>t</w:t>
            </w:r>
            <w:proofErr w:type="spellEnd"/>
            <w:r w:rsidRPr="00D0186D">
              <w:rPr>
                <w:lang w:val="uk-UA" w:eastAsia="uk-UA"/>
              </w:rPr>
              <w:t>) фіксується на рівні А</w:t>
            </w:r>
            <w:r w:rsidRPr="00D0186D">
              <w:rPr>
                <w:vertAlign w:val="superscript"/>
                <w:lang w:val="uk-UA" w:eastAsia="uk-UA"/>
              </w:rPr>
              <w:t>ст</w:t>
            </w:r>
            <w:r w:rsidRPr="00D0186D">
              <w:rPr>
                <w:vertAlign w:val="subscript"/>
                <w:lang w:val="uk-UA" w:eastAsia="uk-UA"/>
              </w:rPr>
              <w:t>t-1,</w:t>
            </w:r>
            <w:r w:rsidRPr="00D0186D">
              <w:rPr>
                <w:lang w:val="uk-UA" w:eastAsia="uk-UA"/>
              </w:rPr>
              <w:t xml:space="preserve"> врахованому в тарифах </w:t>
            </w:r>
            <w:r w:rsidRPr="00D0186D">
              <w:rPr>
                <w:b/>
                <w:lang w:val="uk-UA" w:eastAsia="uk-UA"/>
              </w:rPr>
              <w:t>2023 року</w:t>
            </w:r>
            <w:r w:rsidRPr="00D0186D">
              <w:rPr>
                <w:lang w:val="uk-UA" w:eastAsia="uk-UA"/>
              </w:rPr>
              <w:t>);</w:t>
            </w:r>
          </w:p>
          <w:p w14:paraId="3FA67678" w14:textId="77777777" w:rsidR="00CC7D4B" w:rsidRPr="00D0186D" w:rsidRDefault="00CC7D4B" w:rsidP="00A82A57">
            <w:pPr>
              <w:rPr>
                <w:lang w:val="uk-UA"/>
              </w:rPr>
            </w:pPr>
          </w:p>
        </w:tc>
        <w:tc>
          <w:tcPr>
            <w:tcW w:w="7937" w:type="dxa"/>
          </w:tcPr>
          <w:p w14:paraId="3D78F810" w14:textId="77777777" w:rsidR="00810CB9" w:rsidRPr="00D0186D" w:rsidRDefault="00810CB9" w:rsidP="00810CB9">
            <w:pPr>
              <w:pStyle w:val="tj"/>
              <w:shd w:val="clear" w:color="auto" w:fill="FFFFFF"/>
              <w:spacing w:before="0" w:beforeAutospacing="0" w:after="0" w:afterAutospacing="0"/>
              <w:ind w:firstLine="489"/>
              <w:jc w:val="both"/>
            </w:pPr>
            <w:r w:rsidRPr="00D0186D">
              <w:lastRenderedPageBreak/>
              <w:t>5.12. Амортизація в році t регуляторного періоду визначається згідно з Порядком визначення регуляторної бази активів окремо на активи, створені на дату переходу до стимулюючого регулювання, та активи, створені після переходу на стимулююче регулювання, за формулою</w:t>
            </w:r>
          </w:p>
          <w:tbl>
            <w:tblPr>
              <w:tblW w:w="7585" w:type="dxa"/>
              <w:jc w:val="center"/>
              <w:tblLayout w:type="fixed"/>
              <w:tblCellMar>
                <w:top w:w="15" w:type="dxa"/>
                <w:left w:w="15" w:type="dxa"/>
                <w:bottom w:w="15" w:type="dxa"/>
                <w:right w:w="15" w:type="dxa"/>
              </w:tblCellMar>
              <w:tblLook w:val="04A0" w:firstRow="1" w:lastRow="0" w:firstColumn="1" w:lastColumn="0" w:noHBand="0" w:noVBand="1"/>
            </w:tblPr>
            <w:tblGrid>
              <w:gridCol w:w="5416"/>
              <w:gridCol w:w="1599"/>
              <w:gridCol w:w="570"/>
            </w:tblGrid>
            <w:tr w:rsidR="00810CB9" w:rsidRPr="00D0186D" w14:paraId="14DF7042" w14:textId="77777777" w:rsidTr="00A92055">
              <w:trPr>
                <w:trHeight w:val="673"/>
                <w:jc w:val="center"/>
              </w:trPr>
              <w:tc>
                <w:tcPr>
                  <w:tcW w:w="3570" w:type="pct"/>
                  <w:shd w:val="clear" w:color="auto" w:fill="auto"/>
                  <w:tcMar>
                    <w:top w:w="0" w:type="dxa"/>
                    <w:left w:w="0" w:type="dxa"/>
                    <w:bottom w:w="0" w:type="dxa"/>
                    <w:right w:w="0" w:type="dxa"/>
                  </w:tcMar>
                  <w:vAlign w:val="center"/>
                  <w:hideMark/>
                </w:tcPr>
                <w:p w14:paraId="64D151CE" w14:textId="77777777" w:rsidR="00810CB9" w:rsidRPr="00D0186D" w:rsidRDefault="00810CB9" w:rsidP="00810CB9">
                  <w:pPr>
                    <w:pStyle w:val="tr"/>
                    <w:spacing w:before="0" w:beforeAutospacing="0" w:after="0" w:afterAutospacing="0"/>
                    <w:ind w:firstLine="489"/>
                    <w:jc w:val="both"/>
                  </w:pPr>
                  <w:r w:rsidRPr="00D0186D">
                    <w:rPr>
                      <w:noProof/>
                    </w:rPr>
                    <w:lastRenderedPageBreak/>
                    <w:drawing>
                      <wp:anchor distT="0" distB="0" distL="114300" distR="114300" simplePos="0" relativeHeight="251661312" behindDoc="0" locked="0" layoutInCell="1" allowOverlap="1" wp14:anchorId="2F9CE7C3" wp14:editId="3173ECE5">
                        <wp:simplePos x="0" y="0"/>
                        <wp:positionH relativeFrom="column">
                          <wp:posOffset>310169</wp:posOffset>
                        </wp:positionH>
                        <wp:positionV relativeFrom="paragraph">
                          <wp:posOffset>120996</wp:posOffset>
                        </wp:positionV>
                        <wp:extent cx="2984500" cy="190500"/>
                        <wp:effectExtent l="0" t="0" r="6350" b="0"/>
                        <wp:wrapThrough wrapText="bothSides">
                          <wp:wrapPolygon edited="0">
                            <wp:start x="0" y="0"/>
                            <wp:lineTo x="0" y="17280"/>
                            <wp:lineTo x="551" y="19440"/>
                            <wp:lineTo x="21094" y="19440"/>
                            <wp:lineTo x="21508" y="10800"/>
                            <wp:lineTo x="21508" y="0"/>
                            <wp:lineTo x="0" y="0"/>
                          </wp:wrapPolygon>
                        </wp:wrapThrough>
                        <wp:docPr id="22" name="Рисунок 22" descr="https://ips.ligazakon.net/l_flib1.nsf/LookupFiles/GK40721_IMG_262.GIF/$file/GK40721_IMG_262.GIF">
                          <a:hlinkClick xmlns:a="http://schemas.openxmlformats.org/drawingml/2006/main" r:id="rId2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ips.ligazakon.net/l_flib1.nsf/LookupFiles/GK40721_IMG_262.GIF/$file/GK40721_IMG_262.GIF">
                                  <a:hlinkClick r:id="rId20"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984500" cy="190500"/>
                                </a:xfrm>
                                <a:prstGeom prst="rect">
                                  <a:avLst/>
                                </a:prstGeom>
                                <a:noFill/>
                                <a:ln>
                                  <a:noFill/>
                                </a:ln>
                              </pic:spPr>
                            </pic:pic>
                          </a:graphicData>
                        </a:graphic>
                      </wp:anchor>
                    </w:drawing>
                  </w:r>
                </w:p>
              </w:tc>
              <w:tc>
                <w:tcPr>
                  <w:tcW w:w="1054" w:type="pct"/>
                  <w:shd w:val="clear" w:color="auto" w:fill="auto"/>
                  <w:tcMar>
                    <w:top w:w="0" w:type="dxa"/>
                    <w:left w:w="0" w:type="dxa"/>
                    <w:bottom w:w="0" w:type="dxa"/>
                    <w:right w:w="0" w:type="dxa"/>
                  </w:tcMar>
                  <w:vAlign w:val="center"/>
                  <w:hideMark/>
                </w:tcPr>
                <w:p w14:paraId="4D3C3D6D" w14:textId="77777777" w:rsidR="00810CB9" w:rsidRPr="00D0186D" w:rsidRDefault="00810CB9" w:rsidP="00810CB9">
                  <w:pPr>
                    <w:pStyle w:val="tl"/>
                    <w:spacing w:before="0" w:beforeAutospacing="0" w:after="0" w:afterAutospacing="0"/>
                    <w:ind w:firstLine="489"/>
                    <w:jc w:val="both"/>
                  </w:pPr>
                  <w:r w:rsidRPr="00D0186D">
                    <w:t>, тис. грн,</w:t>
                  </w:r>
                </w:p>
              </w:tc>
              <w:tc>
                <w:tcPr>
                  <w:tcW w:w="376" w:type="pct"/>
                  <w:shd w:val="clear" w:color="auto" w:fill="auto"/>
                  <w:tcMar>
                    <w:top w:w="0" w:type="dxa"/>
                    <w:left w:w="0" w:type="dxa"/>
                    <w:bottom w:w="0" w:type="dxa"/>
                    <w:right w:w="0" w:type="dxa"/>
                  </w:tcMar>
                  <w:vAlign w:val="center"/>
                  <w:hideMark/>
                </w:tcPr>
                <w:p w14:paraId="1B0D6687" w14:textId="7F604BF6" w:rsidR="00810CB9" w:rsidRPr="00D0186D" w:rsidRDefault="00ED4B6B" w:rsidP="00810CB9">
                  <w:pPr>
                    <w:pStyle w:val="tc"/>
                    <w:spacing w:before="0" w:beforeAutospacing="0" w:after="0" w:afterAutospacing="0"/>
                    <w:jc w:val="both"/>
                    <w:rPr>
                      <w:b/>
                    </w:rPr>
                  </w:pPr>
                  <w:hyperlink r:id="rId23" w:tgtFrame="_blank" w:history="1">
                    <w:r w:rsidR="00810CB9" w:rsidRPr="00D0186D">
                      <w:rPr>
                        <w:b/>
                      </w:rPr>
                      <w:t>(</w:t>
                    </w:r>
                    <w:r w:rsidR="00CD22E6" w:rsidRPr="00D0186D">
                      <w:rPr>
                        <w:b/>
                      </w:rPr>
                      <w:t>15</w:t>
                    </w:r>
                    <w:r w:rsidR="00810CB9" w:rsidRPr="00D0186D">
                      <w:rPr>
                        <w:b/>
                      </w:rPr>
                      <w:t>)</w:t>
                    </w:r>
                  </w:hyperlink>
                </w:p>
                <w:p w14:paraId="6C22FA0B" w14:textId="77777777" w:rsidR="00810CB9" w:rsidRPr="00D0186D" w:rsidRDefault="00810CB9" w:rsidP="00810CB9">
                  <w:pPr>
                    <w:pStyle w:val="tc"/>
                    <w:spacing w:before="0" w:beforeAutospacing="0" w:after="0" w:afterAutospacing="0"/>
                    <w:jc w:val="both"/>
                  </w:pPr>
                </w:p>
              </w:tc>
            </w:tr>
          </w:tbl>
          <w:p w14:paraId="5AE25BFB" w14:textId="77777777" w:rsidR="00810CB9" w:rsidRPr="00D0186D" w:rsidRDefault="00810CB9" w:rsidP="00810CB9">
            <w:pPr>
              <w:shd w:val="clear" w:color="auto" w:fill="FFFFFF"/>
              <w:ind w:firstLine="493"/>
              <w:jc w:val="both"/>
              <w:outlineLvl w:val="2"/>
              <w:rPr>
                <w:lang w:val="uk-UA" w:eastAsia="uk-UA"/>
              </w:rPr>
            </w:pPr>
            <w:r w:rsidRPr="00D0186D">
              <w:rPr>
                <w:lang w:val="uk-UA" w:eastAsia="uk-UA"/>
              </w:rPr>
              <w:t>………………….</w:t>
            </w:r>
          </w:p>
          <w:p w14:paraId="38EF9B61" w14:textId="77777777" w:rsidR="00810CB9" w:rsidRPr="00D0186D" w:rsidRDefault="00810CB9" w:rsidP="00810CB9">
            <w:pPr>
              <w:shd w:val="clear" w:color="auto" w:fill="FFFFFF"/>
              <w:ind w:firstLine="493"/>
              <w:jc w:val="both"/>
              <w:outlineLvl w:val="2"/>
              <w:rPr>
                <w:lang w:val="uk-UA" w:eastAsia="uk-UA"/>
              </w:rPr>
            </w:pPr>
          </w:p>
          <w:p w14:paraId="5B28A0FE" w14:textId="08701B12" w:rsidR="00810CB9" w:rsidRPr="00D0186D" w:rsidRDefault="00810CB9" w:rsidP="00810CB9">
            <w:pPr>
              <w:shd w:val="clear" w:color="auto" w:fill="FFFFFF"/>
              <w:ind w:firstLine="493"/>
              <w:jc w:val="both"/>
              <w:outlineLvl w:val="2"/>
              <w:rPr>
                <w:lang w:val="uk-UA" w:eastAsia="uk-UA"/>
              </w:rPr>
            </w:pPr>
            <w:proofErr w:type="spellStart"/>
            <w:r w:rsidRPr="00D0186D">
              <w:rPr>
                <w:lang w:val="uk-UA" w:eastAsia="uk-UA"/>
              </w:rPr>
              <w:t>A</w:t>
            </w:r>
            <w:r w:rsidRPr="00D0186D">
              <w:rPr>
                <w:vertAlign w:val="subscript"/>
                <w:lang w:val="uk-UA" w:eastAsia="uk-UA"/>
              </w:rPr>
              <w:t>t</w:t>
            </w:r>
            <w:r w:rsidRPr="00D0186D">
              <w:rPr>
                <w:vertAlign w:val="superscript"/>
                <w:lang w:val="uk-UA" w:eastAsia="uk-UA"/>
              </w:rPr>
              <w:t>ст</w:t>
            </w:r>
            <w:proofErr w:type="spellEnd"/>
            <w:r w:rsidRPr="00D0186D">
              <w:rPr>
                <w:lang w:val="uk-UA" w:eastAsia="uk-UA"/>
              </w:rPr>
              <w:t xml:space="preserve"> дорівнює регуляторній амортизації на активи, створені на дату переходу до стимулюючого регулювання (</w:t>
            </w:r>
            <w:r w:rsidRPr="00D0186D">
              <w:rPr>
                <w:b/>
                <w:lang w:val="uk-UA" w:eastAsia="uk-UA"/>
              </w:rPr>
              <w:t>А</w:t>
            </w:r>
            <w:r w:rsidRPr="00D0186D">
              <w:rPr>
                <w:b/>
                <w:vertAlign w:val="superscript"/>
                <w:lang w:val="uk-UA" w:eastAsia="uk-UA"/>
              </w:rPr>
              <w:t>0</w:t>
            </w:r>
            <w:r w:rsidRPr="00D0186D">
              <w:rPr>
                <w:lang w:val="uk-UA" w:eastAsia="uk-UA"/>
              </w:rPr>
              <w:t xml:space="preserve">), розрахованій згідно з Порядком визначення регуляторної бази активів. Якщо </w:t>
            </w:r>
            <w:r w:rsidRPr="00D0186D">
              <w:rPr>
                <w:b/>
                <w:lang w:val="uk-UA" w:eastAsia="uk-UA"/>
              </w:rPr>
              <w:t>А</w:t>
            </w:r>
            <w:r w:rsidRPr="00D0186D">
              <w:rPr>
                <w:b/>
                <w:vertAlign w:val="superscript"/>
                <w:lang w:val="uk-UA" w:eastAsia="uk-UA"/>
              </w:rPr>
              <w:t>0</w:t>
            </w:r>
            <w:r w:rsidRPr="00D0186D">
              <w:rPr>
                <w:b/>
                <w:vertAlign w:val="subscript"/>
                <w:lang w:val="uk-UA" w:eastAsia="uk-UA"/>
              </w:rPr>
              <w:t xml:space="preserve"> </w:t>
            </w:r>
            <w:r w:rsidRPr="00D0186D">
              <w:rPr>
                <w:lang w:val="uk-UA" w:eastAsia="uk-UA"/>
              </w:rPr>
              <w:t xml:space="preserve">перевищує рівень амортизації, врахований в діючих тарифах на дату переходу до стимулюючого регулювання, на величину понад 50 %, то </w:t>
            </w:r>
            <w:proofErr w:type="spellStart"/>
            <w:r w:rsidRPr="00D0186D">
              <w:rPr>
                <w:lang w:val="uk-UA" w:eastAsia="uk-UA"/>
              </w:rPr>
              <w:t>А</w:t>
            </w:r>
            <w:r w:rsidRPr="00D0186D">
              <w:rPr>
                <w:vertAlign w:val="superscript"/>
                <w:lang w:val="uk-UA" w:eastAsia="uk-UA"/>
              </w:rPr>
              <w:t>ст</w:t>
            </w:r>
            <w:proofErr w:type="spellEnd"/>
            <w:r w:rsidRPr="00D0186D">
              <w:rPr>
                <w:lang w:val="uk-UA" w:eastAsia="uk-UA"/>
              </w:rPr>
              <w:t xml:space="preserve"> щорічно збільшується на 50 % (на перший рік - від рівня амортизації, врахованого в діючих тарифах на дату переходу до стимулюючого регулювання; на наступні роки - від рівня амортизації А</w:t>
            </w:r>
            <w:r w:rsidRPr="00D0186D">
              <w:rPr>
                <w:vertAlign w:val="superscript"/>
                <w:lang w:val="uk-UA" w:eastAsia="uk-UA"/>
              </w:rPr>
              <w:t>ст</w:t>
            </w:r>
            <w:r w:rsidRPr="00D0186D">
              <w:rPr>
                <w:vertAlign w:val="subscript"/>
                <w:lang w:val="uk-UA" w:eastAsia="uk-UA"/>
              </w:rPr>
              <w:t>t-1</w:t>
            </w:r>
            <w:r w:rsidRPr="00D0186D">
              <w:rPr>
                <w:lang w:val="uk-UA" w:eastAsia="uk-UA"/>
              </w:rPr>
              <w:t xml:space="preserve">, врахованого в тарифах попереднього року) до досягнення рівня </w:t>
            </w:r>
            <m:oMath>
              <m:sSubSup>
                <m:sSubSupPr>
                  <m:ctrlPr>
                    <w:rPr>
                      <w:rFonts w:ascii="Cambria Math" w:hAnsi="Cambria Math"/>
                      <w:b/>
                      <w:i/>
                      <w:lang w:val="uk-UA" w:eastAsia="uk-UA"/>
                    </w:rPr>
                  </m:ctrlPr>
                </m:sSubSupPr>
                <m:e>
                  <m:r>
                    <m:rPr>
                      <m:sty m:val="bi"/>
                    </m:rPr>
                    <w:rPr>
                      <w:rFonts w:ascii="Cambria Math" w:hAnsi="Cambria Math"/>
                      <w:lang w:val="uk-UA" w:eastAsia="uk-UA"/>
                    </w:rPr>
                    <m:t>А</m:t>
                  </m:r>
                </m:e>
                <m:sub>
                  <m:r>
                    <m:rPr>
                      <m:sty m:val="bi"/>
                    </m:rPr>
                    <w:rPr>
                      <w:rFonts w:ascii="Cambria Math" w:hAnsi="Cambria Math"/>
                      <w:lang w:val="uk-UA" w:eastAsia="uk-UA"/>
                    </w:rPr>
                    <m:t>t</m:t>
                  </m:r>
                </m:sub>
                <m:sup>
                  <m:r>
                    <m:rPr>
                      <m:sty m:val="bi"/>
                    </m:rPr>
                    <w:rPr>
                      <w:rFonts w:ascii="Cambria Math" w:hAnsi="Cambria Math"/>
                      <w:lang w:val="uk-UA" w:eastAsia="uk-UA"/>
                    </w:rPr>
                    <m:t>0</m:t>
                  </m:r>
                </m:sup>
              </m:sSubSup>
            </m:oMath>
            <w:r w:rsidRPr="00D0186D">
              <w:rPr>
                <w:b/>
                <w:lang w:val="uk-UA" w:eastAsia="uk-UA"/>
              </w:rPr>
              <w:t xml:space="preserve"> (</w:t>
            </w:r>
            <w:r w:rsidRPr="00D0186D">
              <w:rPr>
                <w:lang w:val="uk-UA" w:eastAsia="uk-UA"/>
              </w:rPr>
              <w:t xml:space="preserve">на </w:t>
            </w:r>
            <w:r w:rsidRPr="00D0186D">
              <w:rPr>
                <w:b/>
                <w:lang w:val="uk-UA" w:eastAsia="uk-UA"/>
              </w:rPr>
              <w:t>2023 – 2025</w:t>
            </w:r>
            <w:r w:rsidRPr="00D0186D">
              <w:rPr>
                <w:lang w:val="uk-UA" w:eastAsia="uk-UA"/>
              </w:rPr>
              <w:t xml:space="preserve"> роки амортизація на активи, створені на дату переходу до стимулюючого регулювання (</w:t>
            </w:r>
            <w:proofErr w:type="spellStart"/>
            <w:r w:rsidRPr="00D0186D">
              <w:rPr>
                <w:lang w:val="uk-UA" w:eastAsia="uk-UA"/>
              </w:rPr>
              <w:t>А</w:t>
            </w:r>
            <w:r w:rsidRPr="00D0186D">
              <w:rPr>
                <w:vertAlign w:val="superscript"/>
                <w:lang w:val="uk-UA" w:eastAsia="uk-UA"/>
              </w:rPr>
              <w:t>ст</w:t>
            </w:r>
            <w:r w:rsidRPr="00D0186D">
              <w:rPr>
                <w:vertAlign w:val="subscript"/>
                <w:lang w:val="uk-UA" w:eastAsia="uk-UA"/>
              </w:rPr>
              <w:t>t</w:t>
            </w:r>
            <w:proofErr w:type="spellEnd"/>
            <w:r w:rsidRPr="00D0186D">
              <w:rPr>
                <w:lang w:val="uk-UA" w:eastAsia="uk-UA"/>
              </w:rPr>
              <w:t xml:space="preserve">) не перевищує </w:t>
            </w:r>
            <w:proofErr w:type="spellStart"/>
            <w:r w:rsidRPr="00D0186D">
              <w:rPr>
                <w:lang w:val="uk-UA" w:eastAsia="uk-UA"/>
              </w:rPr>
              <w:t>А</w:t>
            </w:r>
            <w:r w:rsidRPr="00D0186D">
              <w:rPr>
                <w:vertAlign w:val="superscript"/>
                <w:lang w:val="uk-UA" w:eastAsia="uk-UA"/>
              </w:rPr>
              <w:t>ст</w:t>
            </w:r>
            <w:proofErr w:type="spellEnd"/>
            <w:r w:rsidRPr="00D0186D">
              <w:rPr>
                <w:lang w:val="uk-UA" w:eastAsia="uk-UA"/>
              </w:rPr>
              <w:t xml:space="preserve"> </w:t>
            </w:r>
            <w:r w:rsidRPr="00D0186D">
              <w:rPr>
                <w:vertAlign w:val="subscript"/>
                <w:lang w:val="uk-UA" w:eastAsia="uk-UA"/>
              </w:rPr>
              <w:t>t-1</w:t>
            </w:r>
            <w:r w:rsidRPr="00D0186D">
              <w:rPr>
                <w:lang w:val="uk-UA" w:eastAsia="uk-UA"/>
              </w:rPr>
              <w:t xml:space="preserve">, враховану в тарифах </w:t>
            </w:r>
            <w:r w:rsidRPr="00D0186D">
              <w:rPr>
                <w:b/>
                <w:lang w:val="uk-UA" w:eastAsia="uk-UA"/>
              </w:rPr>
              <w:t>2022 – 2024</w:t>
            </w:r>
            <w:r w:rsidRPr="00D0186D">
              <w:rPr>
                <w:lang w:val="uk-UA" w:eastAsia="uk-UA"/>
              </w:rPr>
              <w:t xml:space="preserve"> років відповідно, крім ліцензіатів, перелік яких наведено в додатку 30 до цього Порядку, для яких:</w:t>
            </w:r>
          </w:p>
          <w:p w14:paraId="40B5186D" w14:textId="4B5E9714" w:rsidR="00810CB9" w:rsidRPr="00D0186D" w:rsidRDefault="00810CB9" w:rsidP="00810CB9">
            <w:pPr>
              <w:shd w:val="clear" w:color="auto" w:fill="FFFFFF"/>
              <w:ind w:firstLine="493"/>
              <w:jc w:val="both"/>
              <w:outlineLvl w:val="2"/>
              <w:rPr>
                <w:b/>
                <w:lang w:val="uk-UA" w:eastAsia="uk-UA"/>
              </w:rPr>
            </w:pPr>
            <w:r w:rsidRPr="00D0186D">
              <w:rPr>
                <w:b/>
                <w:lang w:val="uk-UA" w:eastAsia="uk-UA"/>
              </w:rPr>
              <w:t xml:space="preserve">на 2024 </w:t>
            </w:r>
            <w:r w:rsidR="00CD22E6" w:rsidRPr="00D0186D">
              <w:rPr>
                <w:b/>
                <w:lang w:val="uk-UA" w:eastAsia="uk-UA"/>
              </w:rPr>
              <w:t>рік</w:t>
            </w:r>
            <w:r w:rsidRPr="00D0186D">
              <w:rPr>
                <w:b/>
                <w:lang w:val="uk-UA" w:eastAsia="uk-UA"/>
              </w:rPr>
              <w:t xml:space="preserve"> амортизація на активи, створені на дату переходу до стимулюючого регулювання (</w:t>
            </w:r>
            <w:proofErr w:type="spellStart"/>
            <w:r w:rsidRPr="00D0186D">
              <w:rPr>
                <w:b/>
                <w:lang w:val="uk-UA" w:eastAsia="uk-UA"/>
              </w:rPr>
              <w:t>А</w:t>
            </w:r>
            <w:r w:rsidRPr="00D0186D">
              <w:rPr>
                <w:b/>
                <w:vertAlign w:val="superscript"/>
                <w:lang w:val="uk-UA" w:eastAsia="uk-UA"/>
              </w:rPr>
              <w:t>ст</w:t>
            </w:r>
            <w:r w:rsidRPr="00D0186D">
              <w:rPr>
                <w:b/>
                <w:vertAlign w:val="subscript"/>
                <w:lang w:val="uk-UA" w:eastAsia="uk-UA"/>
              </w:rPr>
              <w:t>t</w:t>
            </w:r>
            <w:proofErr w:type="spellEnd"/>
            <w:r w:rsidRPr="00D0186D">
              <w:rPr>
                <w:b/>
                <w:lang w:val="uk-UA" w:eastAsia="uk-UA"/>
              </w:rPr>
              <w:t>)</w:t>
            </w:r>
            <w:r w:rsidR="00F60A6F" w:rsidRPr="00D0186D">
              <w:rPr>
                <w:b/>
                <w:lang w:val="uk-UA" w:eastAsia="uk-UA"/>
              </w:rPr>
              <w:t>,</w:t>
            </w:r>
            <w:r w:rsidRPr="00D0186D">
              <w:rPr>
                <w:b/>
                <w:lang w:val="uk-UA" w:eastAsia="uk-UA"/>
              </w:rPr>
              <w:t xml:space="preserve"> фіксується на рівні А</w:t>
            </w:r>
            <w:r w:rsidRPr="00D0186D">
              <w:rPr>
                <w:b/>
                <w:vertAlign w:val="superscript"/>
                <w:lang w:val="uk-UA" w:eastAsia="uk-UA"/>
              </w:rPr>
              <w:t>ст</w:t>
            </w:r>
            <w:r w:rsidRPr="00D0186D">
              <w:rPr>
                <w:b/>
                <w:vertAlign w:val="subscript"/>
                <w:lang w:val="uk-UA" w:eastAsia="uk-UA"/>
              </w:rPr>
              <w:t>t-1,</w:t>
            </w:r>
            <w:r w:rsidRPr="00D0186D">
              <w:rPr>
                <w:b/>
                <w:lang w:val="uk-UA" w:eastAsia="uk-UA"/>
              </w:rPr>
              <w:t xml:space="preserve"> врахованому в тарифах 2023 року;</w:t>
            </w:r>
          </w:p>
          <w:p w14:paraId="7E76D381" w14:textId="78940146" w:rsidR="00810CB9" w:rsidRPr="00D0186D" w:rsidRDefault="00B92181" w:rsidP="00810CB9">
            <w:pPr>
              <w:shd w:val="clear" w:color="auto" w:fill="FFFFFF"/>
              <w:ind w:firstLine="493"/>
              <w:jc w:val="both"/>
              <w:outlineLvl w:val="2"/>
              <w:rPr>
                <w:b/>
                <w:lang w:val="uk-UA" w:eastAsia="uk-UA"/>
              </w:rPr>
            </w:pPr>
            <w:r w:rsidRPr="00D0186D">
              <w:rPr>
                <w:b/>
                <w:lang w:val="uk-UA"/>
              </w:rPr>
              <w:t xml:space="preserve">на 2025 рік та на кожний наступний рік </w:t>
            </w:r>
            <w:r w:rsidR="00810CB9" w:rsidRPr="00D0186D">
              <w:rPr>
                <w:b/>
                <w:lang w:val="uk-UA" w:eastAsia="uk-UA"/>
              </w:rPr>
              <w:t>амортизація на активи, створені на дату переходу до стимулюючого регулювання (</w:t>
            </w:r>
            <w:proofErr w:type="spellStart"/>
            <w:r w:rsidR="00810CB9" w:rsidRPr="00D0186D">
              <w:rPr>
                <w:b/>
                <w:lang w:val="uk-UA" w:eastAsia="uk-UA"/>
              </w:rPr>
              <w:t>А</w:t>
            </w:r>
            <w:r w:rsidR="00810CB9" w:rsidRPr="00D0186D">
              <w:rPr>
                <w:b/>
                <w:vertAlign w:val="superscript"/>
                <w:lang w:val="uk-UA" w:eastAsia="uk-UA"/>
              </w:rPr>
              <w:t>ст</w:t>
            </w:r>
            <w:r w:rsidR="00810CB9" w:rsidRPr="00D0186D">
              <w:rPr>
                <w:b/>
                <w:vertAlign w:val="subscript"/>
                <w:lang w:val="uk-UA" w:eastAsia="uk-UA"/>
              </w:rPr>
              <w:t>t</w:t>
            </w:r>
            <w:proofErr w:type="spellEnd"/>
            <w:r w:rsidR="00810CB9" w:rsidRPr="00D0186D">
              <w:rPr>
                <w:b/>
                <w:lang w:val="uk-UA" w:eastAsia="uk-UA"/>
              </w:rPr>
              <w:t>)</w:t>
            </w:r>
            <w:r w:rsidR="00F60A6F" w:rsidRPr="00D0186D">
              <w:rPr>
                <w:b/>
                <w:lang w:val="uk-UA" w:eastAsia="uk-UA"/>
              </w:rPr>
              <w:t>,</w:t>
            </w:r>
            <w:r w:rsidR="00810CB9" w:rsidRPr="00D0186D">
              <w:rPr>
                <w:b/>
                <w:lang w:val="uk-UA" w:eastAsia="uk-UA"/>
              </w:rPr>
              <w:t xml:space="preserve"> не повинна перевищувати рівень А</w:t>
            </w:r>
            <w:r w:rsidR="00810CB9" w:rsidRPr="00D0186D">
              <w:rPr>
                <w:b/>
                <w:vertAlign w:val="superscript"/>
                <w:lang w:val="uk-UA" w:eastAsia="uk-UA"/>
              </w:rPr>
              <w:t>ст</w:t>
            </w:r>
            <w:r w:rsidR="00810CB9" w:rsidRPr="00D0186D">
              <w:rPr>
                <w:b/>
                <w:vertAlign w:val="subscript"/>
                <w:lang w:val="uk-UA" w:eastAsia="uk-UA"/>
              </w:rPr>
              <w:t>t-1,</w:t>
            </w:r>
            <w:r w:rsidR="00810CB9" w:rsidRPr="00D0186D">
              <w:rPr>
                <w:b/>
                <w:lang w:val="uk-UA" w:eastAsia="uk-UA"/>
              </w:rPr>
              <w:t xml:space="preserve"> врахований в </w:t>
            </w:r>
            <w:r w:rsidR="00C14369" w:rsidRPr="00D0186D">
              <w:rPr>
                <w:b/>
                <w:lang w:val="uk-UA" w:eastAsia="uk-UA"/>
              </w:rPr>
              <w:t xml:space="preserve">діючих </w:t>
            </w:r>
            <w:r w:rsidR="00810CB9" w:rsidRPr="00D0186D">
              <w:rPr>
                <w:b/>
                <w:lang w:val="uk-UA" w:eastAsia="uk-UA"/>
              </w:rPr>
              <w:t>тарифах</w:t>
            </w:r>
            <w:r w:rsidR="00BE6BC0" w:rsidRPr="00D0186D">
              <w:rPr>
                <w:b/>
                <w:lang w:val="uk-UA" w:eastAsia="uk-UA"/>
              </w:rPr>
              <w:t xml:space="preserve"> </w:t>
            </w:r>
            <w:r w:rsidR="00810CB9" w:rsidRPr="00D0186D">
              <w:rPr>
                <w:b/>
                <w:lang w:val="uk-UA" w:eastAsia="uk-UA"/>
              </w:rPr>
              <w:t>з урахуванням коефіцієнту К</w:t>
            </w:r>
            <w:r w:rsidR="00C14369" w:rsidRPr="00D0186D">
              <w:rPr>
                <w:b/>
                <w:lang w:val="uk-UA" w:eastAsia="uk-UA"/>
              </w:rPr>
              <w:t>Ф</w:t>
            </w:r>
            <w:r w:rsidR="00810CB9" w:rsidRPr="00D0186D">
              <w:rPr>
                <w:b/>
                <w:lang w:val="uk-UA" w:eastAsia="uk-UA"/>
              </w:rPr>
              <w:t>У);</w:t>
            </w:r>
          </w:p>
          <w:p w14:paraId="701BB96D" w14:textId="67B81A4C" w:rsidR="004E6136" w:rsidRPr="00D0186D" w:rsidRDefault="004E6136" w:rsidP="00A82A57">
            <w:pPr>
              <w:rPr>
                <w:i/>
                <w:iCs/>
                <w:lang w:val="uk-UA"/>
              </w:rPr>
            </w:pPr>
          </w:p>
        </w:tc>
      </w:tr>
      <w:tr w:rsidR="007419FF" w:rsidRPr="00D0186D" w14:paraId="0A537D6C" w14:textId="77777777" w:rsidTr="00274934">
        <w:tc>
          <w:tcPr>
            <w:tcW w:w="7934" w:type="dxa"/>
          </w:tcPr>
          <w:p w14:paraId="450714E5" w14:textId="77777777" w:rsidR="007419FF" w:rsidRPr="00D0186D" w:rsidRDefault="007419FF" w:rsidP="007419FF">
            <w:pPr>
              <w:shd w:val="clear" w:color="auto" w:fill="FFFFFF"/>
              <w:spacing w:after="150"/>
              <w:ind w:firstLine="450"/>
              <w:jc w:val="both"/>
              <w:rPr>
                <w:lang w:val="uk-UA" w:eastAsia="uk-UA"/>
              </w:rPr>
            </w:pPr>
            <w:r w:rsidRPr="00D0186D">
              <w:rPr>
                <w:lang w:val="uk-UA" w:eastAsia="uk-UA"/>
              </w:rPr>
              <w:lastRenderedPageBreak/>
              <w:t>5.13. Прибуток на регуляторну базу активів у році t визначається за формулою</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7195"/>
              <w:gridCol w:w="517"/>
            </w:tblGrid>
            <w:tr w:rsidR="007419FF" w:rsidRPr="00D0186D" w14:paraId="57CE9FDE" w14:textId="77777777" w:rsidTr="00E82934">
              <w:tc>
                <w:tcPr>
                  <w:tcW w:w="8685" w:type="dxa"/>
                  <w:tcBorders>
                    <w:top w:val="single" w:sz="2" w:space="0" w:color="auto"/>
                    <w:left w:val="single" w:sz="2" w:space="0" w:color="auto"/>
                    <w:bottom w:val="single" w:sz="2" w:space="0" w:color="auto"/>
                    <w:right w:val="single" w:sz="2" w:space="0" w:color="auto"/>
                  </w:tcBorders>
                  <w:hideMark/>
                </w:tcPr>
                <w:p w14:paraId="3BB962E5" w14:textId="77777777" w:rsidR="007419FF" w:rsidRPr="00D0186D" w:rsidRDefault="007419FF" w:rsidP="007419FF">
                  <w:pPr>
                    <w:spacing w:before="150" w:after="150"/>
                    <w:jc w:val="center"/>
                    <w:rPr>
                      <w:lang w:val="uk-UA" w:eastAsia="uk-UA"/>
                    </w:rPr>
                  </w:pPr>
                  <w:bookmarkStart w:id="21" w:name="n533"/>
                  <w:bookmarkEnd w:id="21"/>
                  <w:r w:rsidRPr="00D0186D">
                    <w:rPr>
                      <w:noProof/>
                      <w:lang w:val="uk-UA" w:eastAsia="uk-UA"/>
                    </w:rPr>
                    <w:drawing>
                      <wp:inline distT="0" distB="0" distL="0" distR="0" wp14:anchorId="298C8072" wp14:editId="0E286238">
                        <wp:extent cx="4097655" cy="215900"/>
                        <wp:effectExtent l="0" t="0" r="0" b="0"/>
                        <wp:docPr id="19" name="Рисунок 8">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097655" cy="215900"/>
                                </a:xfrm>
                                <a:prstGeom prst="rect">
                                  <a:avLst/>
                                </a:prstGeom>
                                <a:noFill/>
                                <a:ln>
                                  <a:noFill/>
                                </a:ln>
                              </pic:spPr>
                            </pic:pic>
                          </a:graphicData>
                        </a:graphic>
                      </wp:inline>
                    </w:drawing>
                  </w:r>
                </w:p>
              </w:tc>
              <w:tc>
                <w:tcPr>
                  <w:tcW w:w="615" w:type="dxa"/>
                  <w:tcBorders>
                    <w:top w:val="single" w:sz="2" w:space="0" w:color="auto"/>
                    <w:left w:val="single" w:sz="2" w:space="0" w:color="auto"/>
                    <w:bottom w:val="single" w:sz="2" w:space="0" w:color="auto"/>
                    <w:right w:val="single" w:sz="2" w:space="0" w:color="auto"/>
                  </w:tcBorders>
                  <w:hideMark/>
                </w:tcPr>
                <w:p w14:paraId="5213AC87" w14:textId="77777777" w:rsidR="007419FF" w:rsidRPr="00D0186D" w:rsidRDefault="007419FF" w:rsidP="007419FF">
                  <w:pPr>
                    <w:spacing w:before="150" w:after="150"/>
                    <w:jc w:val="right"/>
                    <w:rPr>
                      <w:lang w:val="uk-UA" w:eastAsia="uk-UA"/>
                    </w:rPr>
                  </w:pPr>
                  <w:r w:rsidRPr="00D0186D">
                    <w:rPr>
                      <w:lang w:val="uk-UA" w:eastAsia="uk-UA"/>
                    </w:rPr>
                    <w:t>(12)</w:t>
                  </w:r>
                </w:p>
              </w:tc>
            </w:tr>
          </w:tbl>
          <w:p w14:paraId="2CD7E5E9" w14:textId="77777777" w:rsidR="007419FF" w:rsidRPr="00D0186D" w:rsidRDefault="007419FF" w:rsidP="007419FF">
            <w:pPr>
              <w:spacing w:after="150"/>
              <w:ind w:firstLine="450"/>
              <w:jc w:val="both"/>
              <w:rPr>
                <w:shd w:val="clear" w:color="auto" w:fill="FFFFFF"/>
                <w:lang w:val="uk-UA" w:eastAsia="uk-UA"/>
              </w:rPr>
            </w:pPr>
            <w:bookmarkStart w:id="22" w:name="n534"/>
            <w:bookmarkEnd w:id="22"/>
          </w:p>
          <w:tbl>
            <w:tblPr>
              <w:tblW w:w="5000" w:type="pct"/>
              <w:tblLayout w:type="fixed"/>
              <w:tblCellMar>
                <w:top w:w="15" w:type="dxa"/>
                <w:left w:w="15" w:type="dxa"/>
                <w:bottom w:w="15" w:type="dxa"/>
                <w:right w:w="15" w:type="dxa"/>
              </w:tblCellMar>
              <w:tblLook w:val="04A0" w:firstRow="1" w:lastRow="0" w:firstColumn="1" w:lastColumn="0" w:noHBand="0" w:noVBand="1"/>
            </w:tblPr>
            <w:tblGrid>
              <w:gridCol w:w="313"/>
              <w:gridCol w:w="896"/>
              <w:gridCol w:w="84"/>
              <w:gridCol w:w="4671"/>
              <w:gridCol w:w="1748"/>
            </w:tblGrid>
            <w:tr w:rsidR="007419FF" w:rsidRPr="00D0186D" w14:paraId="1A56ED36" w14:textId="77777777" w:rsidTr="00E82934">
              <w:tc>
                <w:tcPr>
                  <w:tcW w:w="585" w:type="dxa"/>
                  <w:tcBorders>
                    <w:top w:val="single" w:sz="2" w:space="0" w:color="auto"/>
                    <w:left w:val="single" w:sz="2" w:space="0" w:color="auto"/>
                    <w:bottom w:val="single" w:sz="2" w:space="0" w:color="auto"/>
                    <w:right w:val="single" w:sz="2" w:space="0" w:color="auto"/>
                  </w:tcBorders>
                  <w:hideMark/>
                </w:tcPr>
                <w:p w14:paraId="719BE273" w14:textId="77777777" w:rsidR="007419FF" w:rsidRPr="00D0186D" w:rsidRDefault="007419FF" w:rsidP="007419FF">
                  <w:pPr>
                    <w:spacing w:before="150" w:after="150"/>
                    <w:rPr>
                      <w:lang w:val="uk-UA" w:eastAsia="uk-UA"/>
                    </w:rPr>
                  </w:pPr>
                  <w:bookmarkStart w:id="23" w:name="n423"/>
                  <w:bookmarkEnd w:id="23"/>
                  <w:r w:rsidRPr="00D0186D">
                    <w:rPr>
                      <w:lang w:val="uk-UA" w:eastAsia="uk-UA"/>
                    </w:rPr>
                    <w:t>де</w:t>
                  </w:r>
                </w:p>
              </w:tc>
              <w:tc>
                <w:tcPr>
                  <w:tcW w:w="1770" w:type="dxa"/>
                  <w:tcBorders>
                    <w:top w:val="single" w:sz="2" w:space="0" w:color="auto"/>
                    <w:left w:val="single" w:sz="2" w:space="0" w:color="auto"/>
                    <w:bottom w:val="single" w:sz="2" w:space="0" w:color="auto"/>
                    <w:right w:val="single" w:sz="2" w:space="0" w:color="auto"/>
                  </w:tcBorders>
                  <w:hideMark/>
                </w:tcPr>
                <w:p w14:paraId="044B4892" w14:textId="77777777" w:rsidR="007419FF" w:rsidRPr="00D0186D" w:rsidRDefault="007419FF" w:rsidP="007419FF">
                  <w:pPr>
                    <w:spacing w:before="150" w:after="150"/>
                    <w:rPr>
                      <w:lang w:val="uk-UA" w:eastAsia="uk-UA"/>
                    </w:rPr>
                  </w:pPr>
                  <w:r w:rsidRPr="00D0186D">
                    <w:rPr>
                      <w:noProof/>
                      <w:lang w:val="uk-UA" w:eastAsia="uk-UA"/>
                    </w:rPr>
                    <w:drawing>
                      <wp:inline distT="0" distB="0" distL="0" distR="0" wp14:anchorId="3E4CB8CA" wp14:editId="2059EAF0">
                        <wp:extent cx="612775" cy="172720"/>
                        <wp:effectExtent l="0" t="0" r="0" b="0"/>
                        <wp:docPr id="20" name="Рисунок 7">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12775" cy="172720"/>
                                </a:xfrm>
                                <a:prstGeom prst="rect">
                                  <a:avLst/>
                                </a:prstGeom>
                                <a:noFill/>
                                <a:ln>
                                  <a:noFill/>
                                </a:ln>
                              </pic:spPr>
                            </pic:pic>
                          </a:graphicData>
                        </a:graphic>
                      </wp:inline>
                    </w:drawing>
                  </w:r>
                </w:p>
              </w:tc>
              <w:tc>
                <w:tcPr>
                  <w:tcW w:w="120" w:type="dxa"/>
                  <w:tcBorders>
                    <w:top w:val="single" w:sz="2" w:space="0" w:color="auto"/>
                    <w:left w:val="single" w:sz="2" w:space="0" w:color="auto"/>
                    <w:bottom w:val="single" w:sz="2" w:space="0" w:color="auto"/>
                    <w:right w:val="single" w:sz="2" w:space="0" w:color="auto"/>
                  </w:tcBorders>
                  <w:hideMark/>
                </w:tcPr>
                <w:p w14:paraId="572BC701" w14:textId="77777777" w:rsidR="007419FF" w:rsidRPr="00D0186D" w:rsidRDefault="007419FF" w:rsidP="007419FF">
                  <w:pPr>
                    <w:spacing w:before="150" w:after="150"/>
                    <w:jc w:val="center"/>
                    <w:rPr>
                      <w:lang w:val="uk-UA" w:eastAsia="uk-UA"/>
                    </w:rPr>
                  </w:pPr>
                  <w:r w:rsidRPr="00D0186D">
                    <w:rPr>
                      <w:lang w:val="uk-UA" w:eastAsia="uk-UA"/>
                    </w:rPr>
                    <w:t>-</w:t>
                  </w:r>
                </w:p>
              </w:tc>
              <w:tc>
                <w:tcPr>
                  <w:tcW w:w="13005" w:type="dxa"/>
                  <w:gridSpan w:val="2"/>
                  <w:tcBorders>
                    <w:top w:val="single" w:sz="2" w:space="0" w:color="auto"/>
                    <w:left w:val="single" w:sz="2" w:space="0" w:color="auto"/>
                    <w:bottom w:val="single" w:sz="2" w:space="0" w:color="auto"/>
                    <w:right w:val="single" w:sz="2" w:space="0" w:color="auto"/>
                  </w:tcBorders>
                  <w:hideMark/>
                </w:tcPr>
                <w:p w14:paraId="457E5385" w14:textId="77777777" w:rsidR="007419FF" w:rsidRPr="00D0186D" w:rsidRDefault="007419FF" w:rsidP="007419FF">
                  <w:pPr>
                    <w:spacing w:before="150" w:after="150"/>
                    <w:rPr>
                      <w:lang w:val="uk-UA" w:eastAsia="uk-UA"/>
                    </w:rPr>
                  </w:pPr>
                  <w:r w:rsidRPr="00D0186D">
                    <w:rPr>
                      <w:lang w:val="uk-UA" w:eastAsia="uk-UA"/>
                    </w:rPr>
                    <w:t>регуляторна база активів, яка створена на дату переходу до стимулюючого регулювання, на початок року t, що розраховується за формулою</w:t>
                  </w:r>
                </w:p>
              </w:tc>
            </w:tr>
            <w:tr w:rsidR="007419FF" w:rsidRPr="00D0186D" w14:paraId="6CEF021B" w14:textId="77777777" w:rsidTr="00E82934">
              <w:tblPrEx>
                <w:tblCellMar>
                  <w:top w:w="0" w:type="dxa"/>
                  <w:left w:w="0" w:type="dxa"/>
                  <w:bottom w:w="0" w:type="dxa"/>
                  <w:right w:w="0" w:type="dxa"/>
                </w:tblCellMar>
              </w:tblPrEx>
              <w:tc>
                <w:tcPr>
                  <w:tcW w:w="11955" w:type="dxa"/>
                  <w:gridSpan w:val="4"/>
                  <w:tcBorders>
                    <w:top w:val="single" w:sz="2" w:space="0" w:color="auto"/>
                    <w:left w:val="single" w:sz="2" w:space="0" w:color="auto"/>
                    <w:bottom w:val="single" w:sz="2" w:space="0" w:color="auto"/>
                    <w:right w:val="single" w:sz="2" w:space="0" w:color="auto"/>
                  </w:tcBorders>
                  <w:hideMark/>
                </w:tcPr>
                <w:p w14:paraId="13D6E692" w14:textId="77777777" w:rsidR="007419FF" w:rsidRPr="00D0186D" w:rsidRDefault="007419FF" w:rsidP="007419FF">
                  <w:pPr>
                    <w:spacing w:before="150" w:after="150"/>
                    <w:jc w:val="center"/>
                    <w:rPr>
                      <w:lang w:val="uk-UA" w:eastAsia="uk-UA"/>
                    </w:rPr>
                  </w:pPr>
                  <w:bookmarkStart w:id="24" w:name="n424"/>
                  <w:bookmarkEnd w:id="24"/>
                  <w:r w:rsidRPr="00D0186D">
                    <w:rPr>
                      <w:noProof/>
                      <w:lang w:val="uk-UA" w:eastAsia="uk-UA"/>
                    </w:rPr>
                    <w:lastRenderedPageBreak/>
                    <w:drawing>
                      <wp:inline distT="0" distB="0" distL="0" distR="0" wp14:anchorId="3496AC97" wp14:editId="1367E790">
                        <wp:extent cx="3924935" cy="224155"/>
                        <wp:effectExtent l="0" t="0" r="0" b="4445"/>
                        <wp:docPr id="226485" name="Рисунок 6">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28"/>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924935" cy="224155"/>
                                </a:xfrm>
                                <a:prstGeom prst="rect">
                                  <a:avLst/>
                                </a:prstGeom>
                                <a:noFill/>
                                <a:ln>
                                  <a:noFill/>
                                </a:ln>
                              </pic:spPr>
                            </pic:pic>
                          </a:graphicData>
                        </a:graphic>
                      </wp:inline>
                    </w:drawing>
                  </w:r>
                </w:p>
              </w:tc>
              <w:tc>
                <w:tcPr>
                  <w:tcW w:w="855" w:type="dxa"/>
                  <w:tcBorders>
                    <w:top w:val="single" w:sz="2" w:space="0" w:color="auto"/>
                    <w:left w:val="single" w:sz="2" w:space="0" w:color="auto"/>
                    <w:bottom w:val="single" w:sz="2" w:space="0" w:color="auto"/>
                    <w:right w:val="single" w:sz="2" w:space="0" w:color="auto"/>
                  </w:tcBorders>
                  <w:hideMark/>
                </w:tcPr>
                <w:p w14:paraId="36581A20" w14:textId="77777777" w:rsidR="007419FF" w:rsidRPr="00D0186D" w:rsidRDefault="007419FF" w:rsidP="007419FF">
                  <w:pPr>
                    <w:spacing w:before="150" w:after="150"/>
                    <w:jc w:val="right"/>
                    <w:rPr>
                      <w:lang w:val="uk-UA" w:eastAsia="uk-UA"/>
                    </w:rPr>
                  </w:pPr>
                  <w:r w:rsidRPr="00D0186D">
                    <w:rPr>
                      <w:lang w:val="uk-UA" w:eastAsia="uk-UA"/>
                    </w:rPr>
                    <w:t>(13)</w:t>
                  </w:r>
                </w:p>
              </w:tc>
            </w:tr>
          </w:tbl>
          <w:p w14:paraId="2830C6C3" w14:textId="77777777" w:rsidR="007419FF" w:rsidRPr="00D0186D" w:rsidRDefault="007419FF" w:rsidP="007419FF">
            <w:pPr>
              <w:ind w:firstLine="448"/>
              <w:jc w:val="both"/>
              <w:rPr>
                <w:shd w:val="clear" w:color="auto" w:fill="FFFFFF"/>
                <w:lang w:val="uk-UA" w:eastAsia="uk-UA"/>
              </w:rPr>
            </w:pPr>
            <w:bookmarkStart w:id="25" w:name="n581"/>
            <w:bookmarkEnd w:id="25"/>
          </w:p>
          <w:p w14:paraId="7245F18A" w14:textId="77777777" w:rsidR="007419FF" w:rsidRPr="00D0186D" w:rsidRDefault="007419FF" w:rsidP="007419FF">
            <w:pPr>
              <w:ind w:firstLine="448"/>
              <w:jc w:val="both"/>
              <w:rPr>
                <w:shd w:val="clear" w:color="auto" w:fill="FFFFFF"/>
                <w:lang w:val="uk-UA" w:eastAsia="uk-UA"/>
              </w:rPr>
            </w:pP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385"/>
              <w:gridCol w:w="1491"/>
              <w:gridCol w:w="154"/>
              <w:gridCol w:w="5682"/>
            </w:tblGrid>
            <w:tr w:rsidR="007419FF" w:rsidRPr="00D0186D" w14:paraId="16657A29" w14:textId="77777777" w:rsidTr="00E82934">
              <w:tc>
                <w:tcPr>
                  <w:tcW w:w="508" w:type="dxa"/>
                  <w:tcBorders>
                    <w:top w:val="single" w:sz="2" w:space="0" w:color="auto"/>
                    <w:left w:val="single" w:sz="2" w:space="0" w:color="auto"/>
                    <w:bottom w:val="single" w:sz="2" w:space="0" w:color="auto"/>
                    <w:right w:val="single" w:sz="2" w:space="0" w:color="auto"/>
                  </w:tcBorders>
                  <w:hideMark/>
                </w:tcPr>
                <w:p w14:paraId="00503F03" w14:textId="77777777" w:rsidR="007419FF" w:rsidRPr="00D0186D" w:rsidRDefault="007419FF" w:rsidP="00670BB9">
                  <w:pPr>
                    <w:rPr>
                      <w:lang w:val="uk-UA" w:eastAsia="uk-UA"/>
                    </w:rPr>
                  </w:pPr>
                  <w:bookmarkStart w:id="26" w:name="n425"/>
                  <w:bookmarkEnd w:id="26"/>
                  <w:r w:rsidRPr="00D0186D">
                    <w:rPr>
                      <w:lang w:val="uk-UA" w:eastAsia="uk-UA"/>
                    </w:rPr>
                    <w:t>де</w:t>
                  </w:r>
                </w:p>
              </w:tc>
              <w:tc>
                <w:tcPr>
                  <w:tcW w:w="2023" w:type="dxa"/>
                  <w:tcBorders>
                    <w:top w:val="single" w:sz="2" w:space="0" w:color="auto"/>
                    <w:left w:val="single" w:sz="2" w:space="0" w:color="auto"/>
                    <w:bottom w:val="single" w:sz="2" w:space="0" w:color="auto"/>
                    <w:right w:val="single" w:sz="2" w:space="0" w:color="auto"/>
                  </w:tcBorders>
                  <w:hideMark/>
                </w:tcPr>
                <w:p w14:paraId="218DFD94" w14:textId="77777777" w:rsidR="007419FF" w:rsidRPr="00D0186D" w:rsidRDefault="007419FF" w:rsidP="00670BB9">
                  <w:pPr>
                    <w:rPr>
                      <w:lang w:val="uk-UA" w:eastAsia="uk-UA"/>
                    </w:rPr>
                  </w:pPr>
                  <w:proofErr w:type="spellStart"/>
                  <w:r w:rsidRPr="00D0186D">
                    <w:rPr>
                      <w:b/>
                      <w:bCs/>
                      <w:i/>
                      <w:iCs/>
                      <w:lang w:val="uk-UA" w:eastAsia="uk-UA"/>
                    </w:rPr>
                    <w:t>А</w:t>
                  </w:r>
                  <w:r w:rsidRPr="00D0186D">
                    <w:rPr>
                      <w:b/>
                      <w:bCs/>
                      <w:vertAlign w:val="subscript"/>
                      <w:lang w:val="uk-UA" w:eastAsia="uk-UA"/>
                    </w:rPr>
                    <w:t>о</w:t>
                  </w:r>
                  <w:proofErr w:type="spellEnd"/>
                </w:p>
              </w:tc>
              <w:tc>
                <w:tcPr>
                  <w:tcW w:w="193" w:type="dxa"/>
                  <w:tcBorders>
                    <w:top w:val="single" w:sz="2" w:space="0" w:color="auto"/>
                    <w:left w:val="single" w:sz="2" w:space="0" w:color="auto"/>
                    <w:bottom w:val="single" w:sz="2" w:space="0" w:color="auto"/>
                    <w:right w:val="single" w:sz="2" w:space="0" w:color="auto"/>
                  </w:tcBorders>
                  <w:hideMark/>
                </w:tcPr>
                <w:p w14:paraId="5F45E60A" w14:textId="77777777" w:rsidR="007419FF" w:rsidRPr="00D0186D" w:rsidRDefault="007419FF" w:rsidP="00670BB9">
                  <w:pPr>
                    <w:jc w:val="center"/>
                    <w:rPr>
                      <w:lang w:val="uk-UA" w:eastAsia="uk-UA"/>
                    </w:rPr>
                  </w:pPr>
                  <w:r w:rsidRPr="00D0186D">
                    <w:rPr>
                      <w:lang w:val="uk-UA" w:eastAsia="uk-UA"/>
                    </w:rPr>
                    <w:t>-</w:t>
                  </w:r>
                </w:p>
              </w:tc>
              <w:tc>
                <w:tcPr>
                  <w:tcW w:w="7760" w:type="dxa"/>
                  <w:tcBorders>
                    <w:top w:val="single" w:sz="2" w:space="0" w:color="auto"/>
                    <w:left w:val="single" w:sz="2" w:space="0" w:color="auto"/>
                    <w:bottom w:val="single" w:sz="2" w:space="0" w:color="auto"/>
                    <w:right w:val="single" w:sz="2" w:space="0" w:color="auto"/>
                  </w:tcBorders>
                  <w:hideMark/>
                </w:tcPr>
                <w:p w14:paraId="1D61FC6E" w14:textId="77777777" w:rsidR="007419FF" w:rsidRPr="00D0186D" w:rsidRDefault="007419FF" w:rsidP="00670BB9">
                  <w:pPr>
                    <w:rPr>
                      <w:lang w:val="uk-UA" w:eastAsia="uk-UA"/>
                    </w:rPr>
                  </w:pPr>
                  <w:r w:rsidRPr="00D0186D">
                    <w:rPr>
                      <w:lang w:val="uk-UA" w:eastAsia="uk-UA"/>
                    </w:rPr>
                    <w:t>регуляторна амортизація на активи, які створені на дату переходу до стимулюючого регулювання, що визначається відповідно до Порядку визначення регуляторної бази активів, тис. грн;</w:t>
                  </w:r>
                </w:p>
                <w:p w14:paraId="1796FC9B" w14:textId="30FE0DBE" w:rsidR="00670BB9" w:rsidRPr="00D0186D" w:rsidRDefault="00670BB9" w:rsidP="00670BB9">
                  <w:pPr>
                    <w:rPr>
                      <w:lang w:val="uk-UA" w:eastAsia="uk-UA"/>
                    </w:rPr>
                  </w:pPr>
                </w:p>
              </w:tc>
            </w:tr>
            <w:tr w:rsidR="007419FF" w:rsidRPr="00D0186D" w14:paraId="2783FDA6" w14:textId="77777777" w:rsidTr="00E82934">
              <w:tc>
                <w:tcPr>
                  <w:tcW w:w="508" w:type="dxa"/>
                  <w:tcBorders>
                    <w:top w:val="single" w:sz="2" w:space="0" w:color="auto"/>
                    <w:left w:val="single" w:sz="2" w:space="0" w:color="auto"/>
                    <w:bottom w:val="single" w:sz="2" w:space="0" w:color="auto"/>
                    <w:right w:val="single" w:sz="2" w:space="0" w:color="auto"/>
                  </w:tcBorders>
                  <w:hideMark/>
                </w:tcPr>
                <w:p w14:paraId="4E0C450B" w14:textId="77777777" w:rsidR="007419FF" w:rsidRPr="00D0186D" w:rsidRDefault="007419FF" w:rsidP="00670BB9">
                  <w:pPr>
                    <w:rPr>
                      <w:lang w:val="uk-UA" w:eastAsia="uk-UA"/>
                    </w:rPr>
                  </w:pPr>
                </w:p>
              </w:tc>
              <w:tc>
                <w:tcPr>
                  <w:tcW w:w="2023" w:type="dxa"/>
                  <w:tcBorders>
                    <w:top w:val="single" w:sz="2" w:space="0" w:color="auto"/>
                    <w:left w:val="single" w:sz="2" w:space="0" w:color="auto"/>
                    <w:bottom w:val="single" w:sz="2" w:space="0" w:color="auto"/>
                    <w:right w:val="single" w:sz="2" w:space="0" w:color="auto"/>
                  </w:tcBorders>
                  <w:hideMark/>
                </w:tcPr>
                <w:p w14:paraId="47C1A225" w14:textId="77777777" w:rsidR="007419FF" w:rsidRPr="00D0186D" w:rsidRDefault="007419FF" w:rsidP="00670BB9">
                  <w:pPr>
                    <w:rPr>
                      <w:lang w:val="uk-UA" w:eastAsia="uk-UA"/>
                    </w:rPr>
                  </w:pPr>
                  <w:r w:rsidRPr="00D0186D">
                    <w:rPr>
                      <w:noProof/>
                      <w:lang w:val="uk-UA" w:eastAsia="uk-UA"/>
                    </w:rPr>
                    <w:drawing>
                      <wp:inline distT="0" distB="0" distL="0" distR="0" wp14:anchorId="142B3676" wp14:editId="58D51AB7">
                        <wp:extent cx="767715" cy="189865"/>
                        <wp:effectExtent l="0" t="0" r="0" b="635"/>
                        <wp:docPr id="1492324819" name="Рисунок 5">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a:hlinkClick r:id="rId30"/>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767715" cy="189865"/>
                                </a:xfrm>
                                <a:prstGeom prst="rect">
                                  <a:avLst/>
                                </a:prstGeom>
                                <a:noFill/>
                                <a:ln>
                                  <a:noFill/>
                                </a:ln>
                              </pic:spPr>
                            </pic:pic>
                          </a:graphicData>
                        </a:graphic>
                      </wp:inline>
                    </w:drawing>
                  </w:r>
                </w:p>
              </w:tc>
              <w:tc>
                <w:tcPr>
                  <w:tcW w:w="193" w:type="dxa"/>
                  <w:tcBorders>
                    <w:top w:val="single" w:sz="2" w:space="0" w:color="auto"/>
                    <w:left w:val="single" w:sz="2" w:space="0" w:color="auto"/>
                    <w:bottom w:val="single" w:sz="2" w:space="0" w:color="auto"/>
                    <w:right w:val="single" w:sz="2" w:space="0" w:color="auto"/>
                  </w:tcBorders>
                  <w:hideMark/>
                </w:tcPr>
                <w:p w14:paraId="6A76358A" w14:textId="77777777" w:rsidR="007419FF" w:rsidRPr="00D0186D" w:rsidRDefault="007419FF" w:rsidP="00670BB9">
                  <w:pPr>
                    <w:jc w:val="center"/>
                    <w:rPr>
                      <w:lang w:val="uk-UA" w:eastAsia="uk-UA"/>
                    </w:rPr>
                  </w:pPr>
                  <w:r w:rsidRPr="00D0186D">
                    <w:rPr>
                      <w:lang w:val="uk-UA" w:eastAsia="uk-UA"/>
                    </w:rPr>
                    <w:t>-</w:t>
                  </w:r>
                </w:p>
              </w:tc>
              <w:tc>
                <w:tcPr>
                  <w:tcW w:w="7760" w:type="dxa"/>
                  <w:tcBorders>
                    <w:top w:val="single" w:sz="2" w:space="0" w:color="auto"/>
                    <w:left w:val="single" w:sz="2" w:space="0" w:color="auto"/>
                    <w:bottom w:val="single" w:sz="2" w:space="0" w:color="auto"/>
                    <w:right w:val="single" w:sz="2" w:space="0" w:color="auto"/>
                  </w:tcBorders>
                  <w:hideMark/>
                </w:tcPr>
                <w:p w14:paraId="53F0CFA4" w14:textId="531DC999" w:rsidR="007419FF" w:rsidRPr="00D0186D" w:rsidRDefault="007419FF" w:rsidP="00670BB9">
                  <w:pPr>
                    <w:rPr>
                      <w:lang w:val="uk-UA" w:eastAsia="uk-UA"/>
                    </w:rPr>
                  </w:pPr>
                  <w:r w:rsidRPr="00D0186D">
                    <w:rPr>
                      <w:lang w:val="uk-UA" w:eastAsia="uk-UA"/>
                    </w:rPr>
                    <w:t>регуляторна база активів, яка створена на дату переходу до стимулюючого регулювання, на початок року t-1, тис. грн;</w:t>
                  </w:r>
                </w:p>
                <w:p w14:paraId="38CBD0EB" w14:textId="77777777" w:rsidR="00670BB9" w:rsidRPr="00D0186D" w:rsidRDefault="00670BB9" w:rsidP="00670BB9">
                  <w:pPr>
                    <w:rPr>
                      <w:lang w:val="uk-UA" w:eastAsia="uk-UA"/>
                    </w:rPr>
                  </w:pPr>
                </w:p>
                <w:p w14:paraId="585A9E9E" w14:textId="77777777" w:rsidR="007419FF" w:rsidRPr="00D0186D" w:rsidRDefault="007419FF" w:rsidP="00670BB9">
                  <w:pPr>
                    <w:rPr>
                      <w:lang w:val="uk-UA" w:eastAsia="uk-UA"/>
                    </w:rPr>
                  </w:pPr>
                </w:p>
              </w:tc>
            </w:tr>
            <w:tr w:rsidR="007419FF" w:rsidRPr="00D0186D" w14:paraId="00A89EFE" w14:textId="77777777" w:rsidTr="00E82934">
              <w:tc>
                <w:tcPr>
                  <w:tcW w:w="508" w:type="dxa"/>
                  <w:tcBorders>
                    <w:top w:val="single" w:sz="2" w:space="0" w:color="auto"/>
                    <w:left w:val="single" w:sz="2" w:space="0" w:color="auto"/>
                    <w:bottom w:val="single" w:sz="2" w:space="0" w:color="auto"/>
                    <w:right w:val="single" w:sz="2" w:space="0" w:color="auto"/>
                  </w:tcBorders>
                  <w:hideMark/>
                </w:tcPr>
                <w:p w14:paraId="0DA69283" w14:textId="77777777" w:rsidR="007419FF" w:rsidRPr="00D0186D" w:rsidRDefault="007419FF" w:rsidP="00670BB9">
                  <w:pPr>
                    <w:rPr>
                      <w:lang w:val="uk-UA" w:eastAsia="uk-UA"/>
                    </w:rPr>
                  </w:pPr>
                </w:p>
              </w:tc>
              <w:tc>
                <w:tcPr>
                  <w:tcW w:w="2023" w:type="dxa"/>
                  <w:tcBorders>
                    <w:top w:val="single" w:sz="2" w:space="0" w:color="auto"/>
                    <w:left w:val="single" w:sz="2" w:space="0" w:color="auto"/>
                    <w:bottom w:val="single" w:sz="2" w:space="0" w:color="auto"/>
                    <w:right w:val="single" w:sz="2" w:space="0" w:color="auto"/>
                  </w:tcBorders>
                  <w:hideMark/>
                </w:tcPr>
                <w:p w14:paraId="4A4F70D3" w14:textId="77777777" w:rsidR="007419FF" w:rsidRPr="00D0186D" w:rsidRDefault="007419FF" w:rsidP="00670BB9">
                  <w:pPr>
                    <w:rPr>
                      <w:lang w:val="uk-UA" w:eastAsia="uk-UA"/>
                    </w:rPr>
                  </w:pPr>
                  <w:r w:rsidRPr="00D0186D">
                    <w:rPr>
                      <w:noProof/>
                      <w:lang w:val="uk-UA" w:eastAsia="uk-UA"/>
                    </w:rPr>
                    <w:drawing>
                      <wp:inline distT="0" distB="0" distL="0" distR="0" wp14:anchorId="026ED41F" wp14:editId="70CC637A">
                        <wp:extent cx="466090" cy="172720"/>
                        <wp:effectExtent l="0" t="0" r="0" b="0"/>
                        <wp:docPr id="23" name="Рисунок 4">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a:hlinkClick r:id="rId32"/>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66090" cy="172720"/>
                                </a:xfrm>
                                <a:prstGeom prst="rect">
                                  <a:avLst/>
                                </a:prstGeom>
                                <a:noFill/>
                                <a:ln>
                                  <a:noFill/>
                                </a:ln>
                              </pic:spPr>
                            </pic:pic>
                          </a:graphicData>
                        </a:graphic>
                      </wp:inline>
                    </w:drawing>
                  </w:r>
                </w:p>
              </w:tc>
              <w:tc>
                <w:tcPr>
                  <w:tcW w:w="193" w:type="dxa"/>
                  <w:tcBorders>
                    <w:top w:val="single" w:sz="2" w:space="0" w:color="auto"/>
                    <w:left w:val="single" w:sz="2" w:space="0" w:color="auto"/>
                    <w:bottom w:val="single" w:sz="2" w:space="0" w:color="auto"/>
                    <w:right w:val="single" w:sz="2" w:space="0" w:color="auto"/>
                  </w:tcBorders>
                  <w:hideMark/>
                </w:tcPr>
                <w:p w14:paraId="64A82232" w14:textId="77777777" w:rsidR="007419FF" w:rsidRPr="00D0186D" w:rsidRDefault="007419FF" w:rsidP="00670BB9">
                  <w:pPr>
                    <w:jc w:val="center"/>
                    <w:rPr>
                      <w:lang w:val="uk-UA" w:eastAsia="uk-UA"/>
                    </w:rPr>
                  </w:pPr>
                  <w:r w:rsidRPr="00D0186D">
                    <w:rPr>
                      <w:lang w:val="uk-UA" w:eastAsia="uk-UA"/>
                    </w:rPr>
                    <w:t>-</w:t>
                  </w:r>
                </w:p>
              </w:tc>
              <w:tc>
                <w:tcPr>
                  <w:tcW w:w="7760" w:type="dxa"/>
                  <w:tcBorders>
                    <w:top w:val="single" w:sz="2" w:space="0" w:color="auto"/>
                    <w:left w:val="single" w:sz="2" w:space="0" w:color="auto"/>
                    <w:bottom w:val="single" w:sz="2" w:space="0" w:color="auto"/>
                    <w:right w:val="single" w:sz="2" w:space="0" w:color="auto"/>
                  </w:tcBorders>
                  <w:hideMark/>
                </w:tcPr>
                <w:p w14:paraId="7591951B" w14:textId="7E1A9525" w:rsidR="007419FF" w:rsidRPr="00D0186D" w:rsidRDefault="007419FF" w:rsidP="00670BB9">
                  <w:pPr>
                    <w:rPr>
                      <w:lang w:val="uk-UA" w:eastAsia="uk-UA"/>
                    </w:rPr>
                  </w:pPr>
                  <w:r w:rsidRPr="00D0186D">
                    <w:rPr>
                      <w:lang w:val="uk-UA" w:eastAsia="uk-UA"/>
                    </w:rPr>
                    <w:t>залишкова вартість виведених з експлуатації активів (елементів активів) із регуляторної бази активів, яка створена на дату переходу до стимулюючого регулювання, у році t-1, тис. грн;</w:t>
                  </w:r>
                </w:p>
                <w:p w14:paraId="5CD89B1C" w14:textId="77777777" w:rsidR="00670BB9" w:rsidRPr="00D0186D" w:rsidRDefault="00670BB9" w:rsidP="00670BB9">
                  <w:pPr>
                    <w:rPr>
                      <w:lang w:val="uk-UA" w:eastAsia="uk-UA"/>
                    </w:rPr>
                  </w:pPr>
                </w:p>
                <w:p w14:paraId="6BBAA755" w14:textId="77777777" w:rsidR="00670BB9" w:rsidRPr="00D0186D" w:rsidRDefault="00670BB9" w:rsidP="00670BB9">
                  <w:pPr>
                    <w:rPr>
                      <w:lang w:val="uk-UA" w:eastAsia="uk-UA"/>
                    </w:rPr>
                  </w:pPr>
                </w:p>
                <w:p w14:paraId="3D44EDEF" w14:textId="5C9224F7" w:rsidR="00670BB9" w:rsidRPr="00D0186D" w:rsidRDefault="00670BB9" w:rsidP="00670BB9">
                  <w:pPr>
                    <w:rPr>
                      <w:lang w:val="uk-UA" w:eastAsia="uk-UA"/>
                    </w:rPr>
                  </w:pPr>
                </w:p>
                <w:p w14:paraId="6DA108DF" w14:textId="77777777" w:rsidR="00670BB9" w:rsidRPr="00D0186D" w:rsidRDefault="00670BB9" w:rsidP="00670BB9">
                  <w:pPr>
                    <w:rPr>
                      <w:lang w:val="uk-UA" w:eastAsia="uk-UA"/>
                    </w:rPr>
                  </w:pPr>
                </w:p>
                <w:p w14:paraId="2134C650" w14:textId="72B24D1B" w:rsidR="00670BB9" w:rsidRPr="00D0186D" w:rsidRDefault="00670BB9" w:rsidP="00670BB9">
                  <w:pPr>
                    <w:rPr>
                      <w:lang w:val="uk-UA" w:eastAsia="uk-UA"/>
                    </w:rPr>
                  </w:pPr>
                </w:p>
              </w:tc>
            </w:tr>
            <w:tr w:rsidR="007419FF" w:rsidRPr="00D0186D" w14:paraId="342AED79" w14:textId="77777777" w:rsidTr="00E82934">
              <w:tc>
                <w:tcPr>
                  <w:tcW w:w="508" w:type="dxa"/>
                  <w:tcBorders>
                    <w:top w:val="single" w:sz="2" w:space="0" w:color="auto"/>
                    <w:left w:val="single" w:sz="2" w:space="0" w:color="auto"/>
                    <w:bottom w:val="single" w:sz="2" w:space="0" w:color="auto"/>
                    <w:right w:val="single" w:sz="2" w:space="0" w:color="auto"/>
                  </w:tcBorders>
                  <w:hideMark/>
                </w:tcPr>
                <w:p w14:paraId="5FE82507" w14:textId="77777777" w:rsidR="007419FF" w:rsidRPr="00D0186D" w:rsidRDefault="007419FF" w:rsidP="00670BB9">
                  <w:pPr>
                    <w:rPr>
                      <w:lang w:val="uk-UA" w:eastAsia="uk-UA"/>
                    </w:rPr>
                  </w:pPr>
                </w:p>
              </w:tc>
              <w:tc>
                <w:tcPr>
                  <w:tcW w:w="2023" w:type="dxa"/>
                  <w:tcBorders>
                    <w:top w:val="single" w:sz="2" w:space="0" w:color="auto"/>
                    <w:left w:val="single" w:sz="2" w:space="0" w:color="auto"/>
                    <w:bottom w:val="single" w:sz="2" w:space="0" w:color="auto"/>
                    <w:right w:val="single" w:sz="2" w:space="0" w:color="auto"/>
                  </w:tcBorders>
                  <w:hideMark/>
                </w:tcPr>
                <w:p w14:paraId="67E16492" w14:textId="0F2E846D" w:rsidR="007419FF" w:rsidRPr="00D0186D" w:rsidRDefault="007419FF" w:rsidP="00670BB9">
                  <w:pPr>
                    <w:rPr>
                      <w:lang w:val="uk-UA" w:eastAsia="uk-UA"/>
                    </w:rPr>
                  </w:pPr>
                  <w:r w:rsidRPr="00D0186D">
                    <w:rPr>
                      <w:lang w:val="uk-UA" w:eastAsia="uk-UA"/>
                    </w:rPr>
                    <w:t>I</w:t>
                  </w:r>
                  <w:r w:rsidRPr="00D0186D">
                    <w:rPr>
                      <w:b/>
                      <w:bCs/>
                      <w:vertAlign w:val="subscript"/>
                      <w:lang w:val="uk-UA" w:eastAsia="uk-UA"/>
                    </w:rPr>
                    <w:t>t-1</w:t>
                  </w:r>
                </w:p>
              </w:tc>
              <w:tc>
                <w:tcPr>
                  <w:tcW w:w="193" w:type="dxa"/>
                  <w:tcBorders>
                    <w:top w:val="single" w:sz="2" w:space="0" w:color="auto"/>
                    <w:left w:val="single" w:sz="2" w:space="0" w:color="auto"/>
                    <w:bottom w:val="single" w:sz="2" w:space="0" w:color="auto"/>
                    <w:right w:val="single" w:sz="2" w:space="0" w:color="auto"/>
                  </w:tcBorders>
                  <w:hideMark/>
                </w:tcPr>
                <w:p w14:paraId="4CDC10FA" w14:textId="77777777" w:rsidR="007419FF" w:rsidRPr="00D0186D" w:rsidRDefault="007419FF" w:rsidP="00670BB9">
                  <w:pPr>
                    <w:jc w:val="center"/>
                    <w:rPr>
                      <w:lang w:val="uk-UA" w:eastAsia="uk-UA"/>
                    </w:rPr>
                  </w:pPr>
                  <w:r w:rsidRPr="00D0186D">
                    <w:rPr>
                      <w:lang w:val="uk-UA" w:eastAsia="uk-UA"/>
                    </w:rPr>
                    <w:t>-</w:t>
                  </w:r>
                </w:p>
              </w:tc>
              <w:tc>
                <w:tcPr>
                  <w:tcW w:w="7760" w:type="dxa"/>
                  <w:tcBorders>
                    <w:top w:val="single" w:sz="2" w:space="0" w:color="auto"/>
                    <w:left w:val="single" w:sz="2" w:space="0" w:color="auto"/>
                    <w:bottom w:val="single" w:sz="2" w:space="0" w:color="auto"/>
                    <w:right w:val="single" w:sz="2" w:space="0" w:color="auto"/>
                  </w:tcBorders>
                  <w:hideMark/>
                </w:tcPr>
                <w:p w14:paraId="6F2B00E1" w14:textId="77777777" w:rsidR="007419FF" w:rsidRPr="00D0186D" w:rsidRDefault="007419FF" w:rsidP="00670BB9">
                  <w:pPr>
                    <w:rPr>
                      <w:lang w:val="uk-UA" w:eastAsia="uk-UA"/>
                    </w:rPr>
                  </w:pPr>
                  <w:r w:rsidRPr="00D0186D">
                    <w:rPr>
                      <w:lang w:val="uk-UA" w:eastAsia="uk-UA"/>
                    </w:rPr>
                    <w:t>вартість активів, створених з дотриманням вимог </w:t>
                  </w:r>
                  <w:hyperlink r:id="rId34" w:anchor="n130" w:tgtFrame="_blank" w:history="1">
                    <w:r w:rsidRPr="00D0186D">
                      <w:rPr>
                        <w:u w:val="single"/>
                        <w:lang w:val="uk-UA" w:eastAsia="uk-UA"/>
                      </w:rPr>
                      <w:t>пунктів 2.5</w:t>
                    </w:r>
                  </w:hyperlink>
                  <w:r w:rsidRPr="00D0186D">
                    <w:rPr>
                      <w:lang w:val="uk-UA" w:eastAsia="uk-UA"/>
                    </w:rPr>
                    <w:t>, </w:t>
                  </w:r>
                  <w:hyperlink r:id="rId35" w:anchor="n131" w:tgtFrame="_blank" w:history="1">
                    <w:r w:rsidRPr="00D0186D">
                      <w:rPr>
                        <w:u w:val="single"/>
                        <w:lang w:val="uk-UA" w:eastAsia="uk-UA"/>
                      </w:rPr>
                      <w:t>2.6</w:t>
                    </w:r>
                  </w:hyperlink>
                  <w:r w:rsidRPr="00D0186D">
                    <w:rPr>
                      <w:lang w:val="uk-UA" w:eastAsia="uk-UA"/>
                    </w:rPr>
                    <w:t> та </w:t>
                  </w:r>
                  <w:hyperlink r:id="rId36" w:anchor="n139" w:tgtFrame="_blank" w:history="1">
                    <w:r w:rsidRPr="00D0186D">
                      <w:rPr>
                        <w:u w:val="single"/>
                        <w:lang w:val="uk-UA" w:eastAsia="uk-UA"/>
                      </w:rPr>
                      <w:t>2.10</w:t>
                    </w:r>
                  </w:hyperlink>
                  <w:r w:rsidRPr="00D0186D">
                    <w:rPr>
                      <w:lang w:val="uk-UA" w:eastAsia="uk-UA"/>
                    </w:rPr>
                    <w:t> розділу II Порядку визначення регуляторної бази активів у році t-1, тис. грн;</w:t>
                  </w:r>
                </w:p>
                <w:p w14:paraId="31841BCA" w14:textId="7CC365F2" w:rsidR="00670BB9" w:rsidRPr="00D0186D" w:rsidRDefault="00670BB9" w:rsidP="00670BB9">
                  <w:pPr>
                    <w:rPr>
                      <w:lang w:val="uk-UA" w:eastAsia="uk-UA"/>
                    </w:rPr>
                  </w:pPr>
                </w:p>
              </w:tc>
            </w:tr>
            <w:tr w:rsidR="007419FF" w:rsidRPr="00D0186D" w14:paraId="36804517" w14:textId="77777777" w:rsidTr="00E82934">
              <w:tc>
                <w:tcPr>
                  <w:tcW w:w="508" w:type="dxa"/>
                  <w:tcBorders>
                    <w:top w:val="single" w:sz="2" w:space="0" w:color="auto"/>
                    <w:left w:val="single" w:sz="2" w:space="0" w:color="auto"/>
                    <w:bottom w:val="single" w:sz="2" w:space="0" w:color="auto"/>
                    <w:right w:val="single" w:sz="2" w:space="0" w:color="auto"/>
                  </w:tcBorders>
                </w:tcPr>
                <w:p w14:paraId="6DE513AB" w14:textId="77777777" w:rsidR="007419FF" w:rsidRPr="00D0186D" w:rsidRDefault="007419FF" w:rsidP="00670BB9">
                  <w:pPr>
                    <w:rPr>
                      <w:lang w:val="uk-UA" w:eastAsia="uk-UA"/>
                    </w:rPr>
                  </w:pPr>
                </w:p>
              </w:tc>
              <w:tc>
                <w:tcPr>
                  <w:tcW w:w="2023" w:type="dxa"/>
                  <w:tcBorders>
                    <w:top w:val="single" w:sz="2" w:space="0" w:color="auto"/>
                    <w:left w:val="single" w:sz="2" w:space="0" w:color="auto"/>
                    <w:bottom w:val="single" w:sz="2" w:space="0" w:color="auto"/>
                    <w:right w:val="single" w:sz="2" w:space="0" w:color="auto"/>
                  </w:tcBorders>
                </w:tcPr>
                <w:p w14:paraId="083089BA" w14:textId="77777777" w:rsidR="007419FF" w:rsidRPr="00D0186D" w:rsidRDefault="007419FF" w:rsidP="00670BB9">
                  <w:pPr>
                    <w:rPr>
                      <w:lang w:val="uk-UA" w:eastAsia="uk-UA"/>
                    </w:rPr>
                  </w:pPr>
                </w:p>
              </w:tc>
              <w:tc>
                <w:tcPr>
                  <w:tcW w:w="193" w:type="dxa"/>
                  <w:tcBorders>
                    <w:top w:val="single" w:sz="2" w:space="0" w:color="auto"/>
                    <w:left w:val="single" w:sz="2" w:space="0" w:color="auto"/>
                    <w:bottom w:val="single" w:sz="2" w:space="0" w:color="auto"/>
                    <w:right w:val="single" w:sz="2" w:space="0" w:color="auto"/>
                  </w:tcBorders>
                </w:tcPr>
                <w:p w14:paraId="492048C3" w14:textId="77777777" w:rsidR="007419FF" w:rsidRPr="00D0186D" w:rsidRDefault="007419FF" w:rsidP="00670BB9">
                  <w:pPr>
                    <w:jc w:val="center"/>
                    <w:rPr>
                      <w:lang w:val="uk-UA" w:eastAsia="uk-UA"/>
                    </w:rPr>
                  </w:pPr>
                </w:p>
              </w:tc>
              <w:tc>
                <w:tcPr>
                  <w:tcW w:w="7760" w:type="dxa"/>
                  <w:tcBorders>
                    <w:top w:val="single" w:sz="2" w:space="0" w:color="auto"/>
                    <w:left w:val="single" w:sz="2" w:space="0" w:color="auto"/>
                    <w:bottom w:val="single" w:sz="2" w:space="0" w:color="auto"/>
                    <w:right w:val="single" w:sz="2" w:space="0" w:color="auto"/>
                  </w:tcBorders>
                </w:tcPr>
                <w:p w14:paraId="76943069" w14:textId="77777777" w:rsidR="007419FF" w:rsidRPr="00D0186D" w:rsidRDefault="007419FF" w:rsidP="00670BB9">
                  <w:pPr>
                    <w:rPr>
                      <w:b/>
                      <w:lang w:val="uk-UA" w:eastAsia="uk-UA"/>
                    </w:rPr>
                  </w:pPr>
                  <w:r w:rsidRPr="00D0186D">
                    <w:rPr>
                      <w:b/>
                      <w:lang w:val="uk-UA" w:eastAsia="uk-UA"/>
                    </w:rPr>
                    <w:t>відсутній показник</w:t>
                  </w:r>
                </w:p>
                <w:p w14:paraId="2E12289A" w14:textId="77777777" w:rsidR="007419FF" w:rsidRPr="00D0186D" w:rsidRDefault="007419FF" w:rsidP="00670BB9">
                  <w:pPr>
                    <w:rPr>
                      <w:lang w:val="uk-UA" w:eastAsia="uk-UA"/>
                    </w:rPr>
                  </w:pPr>
                </w:p>
                <w:p w14:paraId="6E171856" w14:textId="77777777" w:rsidR="007419FF" w:rsidRPr="00D0186D" w:rsidRDefault="007419FF" w:rsidP="00670BB9">
                  <w:pPr>
                    <w:rPr>
                      <w:lang w:val="uk-UA" w:eastAsia="uk-UA"/>
                    </w:rPr>
                  </w:pPr>
                </w:p>
                <w:p w14:paraId="2CAFFD2A" w14:textId="77777777" w:rsidR="00670BB9" w:rsidRPr="00D0186D" w:rsidRDefault="00670BB9" w:rsidP="00670BB9">
                  <w:pPr>
                    <w:rPr>
                      <w:lang w:val="uk-UA" w:eastAsia="uk-UA"/>
                    </w:rPr>
                  </w:pPr>
                </w:p>
                <w:p w14:paraId="0DAADB94" w14:textId="77777777" w:rsidR="00670BB9" w:rsidRPr="00D0186D" w:rsidRDefault="00670BB9" w:rsidP="00670BB9">
                  <w:pPr>
                    <w:rPr>
                      <w:lang w:val="uk-UA" w:eastAsia="uk-UA"/>
                    </w:rPr>
                  </w:pPr>
                </w:p>
                <w:p w14:paraId="69A07950" w14:textId="77777777" w:rsidR="00670BB9" w:rsidRPr="00D0186D" w:rsidRDefault="00670BB9" w:rsidP="00670BB9">
                  <w:pPr>
                    <w:rPr>
                      <w:lang w:val="uk-UA" w:eastAsia="uk-UA"/>
                    </w:rPr>
                  </w:pPr>
                </w:p>
                <w:p w14:paraId="2B79ECD2" w14:textId="64B2AEA0" w:rsidR="000E575E" w:rsidRPr="00D0186D" w:rsidRDefault="000E575E" w:rsidP="00670BB9">
                  <w:pPr>
                    <w:rPr>
                      <w:lang w:val="uk-UA" w:eastAsia="uk-UA"/>
                    </w:rPr>
                  </w:pPr>
                </w:p>
                <w:p w14:paraId="35E223BE" w14:textId="77777777" w:rsidR="00EF236E" w:rsidRPr="00D0186D" w:rsidRDefault="00EF236E" w:rsidP="00670BB9">
                  <w:pPr>
                    <w:rPr>
                      <w:lang w:val="uk-UA" w:eastAsia="uk-UA"/>
                    </w:rPr>
                  </w:pPr>
                </w:p>
                <w:p w14:paraId="45EC7514" w14:textId="1B54511E" w:rsidR="000E575E" w:rsidRPr="00D0186D" w:rsidRDefault="000E575E" w:rsidP="00670BB9">
                  <w:pPr>
                    <w:rPr>
                      <w:lang w:val="uk-UA" w:eastAsia="uk-UA"/>
                    </w:rPr>
                  </w:pPr>
                </w:p>
                <w:p w14:paraId="0CB89F01" w14:textId="21B89832" w:rsidR="000E575E" w:rsidRPr="00D0186D" w:rsidRDefault="000E575E" w:rsidP="00670BB9">
                  <w:pPr>
                    <w:rPr>
                      <w:lang w:val="uk-UA" w:eastAsia="uk-UA"/>
                    </w:rPr>
                  </w:pPr>
                </w:p>
                <w:p w14:paraId="41B37DCC" w14:textId="77777777" w:rsidR="000E575E" w:rsidRPr="00D0186D" w:rsidRDefault="000E575E" w:rsidP="00670BB9">
                  <w:pPr>
                    <w:rPr>
                      <w:lang w:val="uk-UA" w:eastAsia="uk-UA"/>
                    </w:rPr>
                  </w:pPr>
                </w:p>
                <w:p w14:paraId="09AC6A8C" w14:textId="4C5AD797" w:rsidR="00670BB9" w:rsidRPr="00D0186D" w:rsidRDefault="00670BB9" w:rsidP="00670BB9">
                  <w:pPr>
                    <w:rPr>
                      <w:lang w:val="uk-UA" w:eastAsia="uk-UA"/>
                    </w:rPr>
                  </w:pPr>
                </w:p>
              </w:tc>
            </w:tr>
            <w:tr w:rsidR="007419FF" w:rsidRPr="00D0186D" w14:paraId="592F15A3" w14:textId="77777777" w:rsidTr="00E82934">
              <w:tc>
                <w:tcPr>
                  <w:tcW w:w="508" w:type="dxa"/>
                  <w:tcBorders>
                    <w:top w:val="single" w:sz="2" w:space="0" w:color="auto"/>
                    <w:left w:val="single" w:sz="2" w:space="0" w:color="auto"/>
                    <w:bottom w:val="single" w:sz="2" w:space="0" w:color="auto"/>
                    <w:right w:val="single" w:sz="2" w:space="0" w:color="auto"/>
                  </w:tcBorders>
                  <w:hideMark/>
                </w:tcPr>
                <w:p w14:paraId="71E76117" w14:textId="77777777" w:rsidR="007419FF" w:rsidRPr="00D0186D" w:rsidRDefault="007419FF" w:rsidP="00670BB9">
                  <w:pPr>
                    <w:rPr>
                      <w:lang w:val="uk-UA" w:eastAsia="uk-UA"/>
                    </w:rPr>
                  </w:pPr>
                </w:p>
              </w:tc>
              <w:tc>
                <w:tcPr>
                  <w:tcW w:w="2023" w:type="dxa"/>
                  <w:tcBorders>
                    <w:top w:val="single" w:sz="2" w:space="0" w:color="auto"/>
                    <w:left w:val="single" w:sz="2" w:space="0" w:color="auto"/>
                    <w:bottom w:val="single" w:sz="2" w:space="0" w:color="auto"/>
                    <w:right w:val="single" w:sz="2" w:space="0" w:color="auto"/>
                  </w:tcBorders>
                  <w:hideMark/>
                </w:tcPr>
                <w:p w14:paraId="5484921C" w14:textId="77777777" w:rsidR="007419FF" w:rsidRPr="00D0186D" w:rsidRDefault="007419FF" w:rsidP="00670BB9">
                  <w:pPr>
                    <w:rPr>
                      <w:lang w:val="uk-UA" w:eastAsia="uk-UA"/>
                    </w:rPr>
                  </w:pPr>
                  <w:r w:rsidRPr="00D0186D">
                    <w:rPr>
                      <w:noProof/>
                      <w:lang w:val="uk-UA" w:eastAsia="uk-UA"/>
                    </w:rPr>
                    <w:drawing>
                      <wp:inline distT="0" distB="0" distL="0" distR="0" wp14:anchorId="6C1144B1" wp14:editId="6D853781">
                        <wp:extent cx="422910" cy="189865"/>
                        <wp:effectExtent l="0" t="0" r="0" b="635"/>
                        <wp:docPr id="24" name="Рисунок 3">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a:hlinkClick r:id="rId37"/>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22910" cy="189865"/>
                                </a:xfrm>
                                <a:prstGeom prst="rect">
                                  <a:avLst/>
                                </a:prstGeom>
                                <a:noFill/>
                                <a:ln>
                                  <a:noFill/>
                                </a:ln>
                              </pic:spPr>
                            </pic:pic>
                          </a:graphicData>
                        </a:graphic>
                      </wp:inline>
                    </w:drawing>
                  </w:r>
                </w:p>
              </w:tc>
              <w:tc>
                <w:tcPr>
                  <w:tcW w:w="193" w:type="dxa"/>
                  <w:tcBorders>
                    <w:top w:val="single" w:sz="2" w:space="0" w:color="auto"/>
                    <w:left w:val="single" w:sz="2" w:space="0" w:color="auto"/>
                    <w:bottom w:val="single" w:sz="2" w:space="0" w:color="auto"/>
                    <w:right w:val="single" w:sz="2" w:space="0" w:color="auto"/>
                  </w:tcBorders>
                  <w:hideMark/>
                </w:tcPr>
                <w:p w14:paraId="7CE62598" w14:textId="77777777" w:rsidR="007419FF" w:rsidRPr="00D0186D" w:rsidRDefault="007419FF" w:rsidP="00670BB9">
                  <w:pPr>
                    <w:jc w:val="center"/>
                    <w:rPr>
                      <w:lang w:val="uk-UA" w:eastAsia="uk-UA"/>
                    </w:rPr>
                  </w:pPr>
                  <w:r w:rsidRPr="00D0186D">
                    <w:rPr>
                      <w:lang w:val="uk-UA" w:eastAsia="uk-UA"/>
                    </w:rPr>
                    <w:t>-</w:t>
                  </w:r>
                </w:p>
              </w:tc>
              <w:tc>
                <w:tcPr>
                  <w:tcW w:w="7760" w:type="dxa"/>
                  <w:tcBorders>
                    <w:top w:val="single" w:sz="2" w:space="0" w:color="auto"/>
                    <w:left w:val="single" w:sz="2" w:space="0" w:color="auto"/>
                    <w:bottom w:val="single" w:sz="2" w:space="0" w:color="auto"/>
                    <w:right w:val="single" w:sz="2" w:space="0" w:color="auto"/>
                  </w:tcBorders>
                  <w:hideMark/>
                </w:tcPr>
                <w:p w14:paraId="243D27DD" w14:textId="77777777" w:rsidR="007419FF" w:rsidRPr="00D0186D" w:rsidRDefault="007419FF" w:rsidP="00670BB9">
                  <w:pPr>
                    <w:rPr>
                      <w:lang w:val="uk-UA" w:eastAsia="uk-UA"/>
                    </w:rPr>
                  </w:pPr>
                  <w:r w:rsidRPr="00D0186D">
                    <w:rPr>
                      <w:lang w:val="uk-UA" w:eastAsia="uk-UA"/>
                    </w:rPr>
                    <w:t>встановлена НКРЕКП регуляторна норма доходу на регуляторну базу активів, яка створена на дату переходу до стимулюючого регулювання, відносні одиниці;</w:t>
                  </w:r>
                </w:p>
              </w:tc>
            </w:tr>
            <w:tr w:rsidR="007419FF" w:rsidRPr="00D0186D" w14:paraId="11ED383C" w14:textId="77777777" w:rsidTr="00E82934">
              <w:tc>
                <w:tcPr>
                  <w:tcW w:w="508" w:type="dxa"/>
                  <w:tcBorders>
                    <w:top w:val="single" w:sz="2" w:space="0" w:color="auto"/>
                    <w:left w:val="single" w:sz="2" w:space="0" w:color="auto"/>
                    <w:bottom w:val="single" w:sz="2" w:space="0" w:color="auto"/>
                    <w:right w:val="single" w:sz="2" w:space="0" w:color="auto"/>
                  </w:tcBorders>
                  <w:hideMark/>
                </w:tcPr>
                <w:p w14:paraId="7E5DEB92" w14:textId="77777777" w:rsidR="007419FF" w:rsidRPr="00D0186D" w:rsidRDefault="007419FF" w:rsidP="00670BB9">
                  <w:pPr>
                    <w:rPr>
                      <w:lang w:val="uk-UA" w:eastAsia="uk-UA"/>
                    </w:rPr>
                  </w:pPr>
                </w:p>
              </w:tc>
              <w:tc>
                <w:tcPr>
                  <w:tcW w:w="2023" w:type="dxa"/>
                  <w:tcBorders>
                    <w:top w:val="single" w:sz="2" w:space="0" w:color="auto"/>
                    <w:left w:val="single" w:sz="2" w:space="0" w:color="auto"/>
                    <w:bottom w:val="single" w:sz="2" w:space="0" w:color="auto"/>
                    <w:right w:val="single" w:sz="2" w:space="0" w:color="auto"/>
                  </w:tcBorders>
                  <w:hideMark/>
                </w:tcPr>
                <w:p w14:paraId="74234CAD" w14:textId="77777777" w:rsidR="007419FF" w:rsidRPr="00D0186D" w:rsidRDefault="007419FF" w:rsidP="00670BB9">
                  <w:pPr>
                    <w:rPr>
                      <w:lang w:val="uk-UA" w:eastAsia="uk-UA"/>
                    </w:rPr>
                  </w:pPr>
                  <w:r w:rsidRPr="00D0186D">
                    <w:rPr>
                      <w:noProof/>
                      <w:lang w:val="uk-UA" w:eastAsia="uk-UA"/>
                    </w:rPr>
                    <w:drawing>
                      <wp:inline distT="0" distB="0" distL="0" distR="0" wp14:anchorId="2AAF3DC9" wp14:editId="1FE20D7B">
                        <wp:extent cx="655320" cy="224155"/>
                        <wp:effectExtent l="0" t="0" r="0" b="4445"/>
                        <wp:docPr id="566695405" name="Рисунок 2">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a:hlinkClick r:id="rId39"/>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55320" cy="224155"/>
                                </a:xfrm>
                                <a:prstGeom prst="rect">
                                  <a:avLst/>
                                </a:prstGeom>
                                <a:noFill/>
                                <a:ln>
                                  <a:noFill/>
                                </a:ln>
                              </pic:spPr>
                            </pic:pic>
                          </a:graphicData>
                        </a:graphic>
                      </wp:inline>
                    </w:drawing>
                  </w:r>
                </w:p>
              </w:tc>
              <w:tc>
                <w:tcPr>
                  <w:tcW w:w="193" w:type="dxa"/>
                  <w:tcBorders>
                    <w:top w:val="single" w:sz="2" w:space="0" w:color="auto"/>
                    <w:left w:val="single" w:sz="2" w:space="0" w:color="auto"/>
                    <w:bottom w:val="single" w:sz="2" w:space="0" w:color="auto"/>
                    <w:right w:val="single" w:sz="2" w:space="0" w:color="auto"/>
                  </w:tcBorders>
                  <w:hideMark/>
                </w:tcPr>
                <w:p w14:paraId="094186CE" w14:textId="77777777" w:rsidR="007419FF" w:rsidRPr="00D0186D" w:rsidRDefault="007419FF" w:rsidP="00670BB9">
                  <w:pPr>
                    <w:jc w:val="center"/>
                    <w:rPr>
                      <w:lang w:val="uk-UA" w:eastAsia="uk-UA"/>
                    </w:rPr>
                  </w:pPr>
                  <w:r w:rsidRPr="00D0186D">
                    <w:rPr>
                      <w:lang w:val="uk-UA" w:eastAsia="uk-UA"/>
                    </w:rPr>
                    <w:t>-</w:t>
                  </w:r>
                </w:p>
              </w:tc>
              <w:tc>
                <w:tcPr>
                  <w:tcW w:w="7760" w:type="dxa"/>
                  <w:tcBorders>
                    <w:top w:val="single" w:sz="2" w:space="0" w:color="auto"/>
                    <w:left w:val="single" w:sz="2" w:space="0" w:color="auto"/>
                    <w:bottom w:val="single" w:sz="2" w:space="0" w:color="auto"/>
                    <w:right w:val="single" w:sz="2" w:space="0" w:color="auto"/>
                  </w:tcBorders>
                  <w:hideMark/>
                </w:tcPr>
                <w:p w14:paraId="31DD4D5A" w14:textId="77777777" w:rsidR="007419FF" w:rsidRPr="00D0186D" w:rsidRDefault="007419FF" w:rsidP="00670BB9">
                  <w:pPr>
                    <w:rPr>
                      <w:lang w:val="uk-UA" w:eastAsia="uk-UA"/>
                    </w:rPr>
                  </w:pPr>
                  <w:r w:rsidRPr="00D0186D">
                    <w:rPr>
                      <w:lang w:val="uk-UA" w:eastAsia="uk-UA"/>
                    </w:rPr>
                    <w:t>регуляторна база активів, віднесених до категорії 1, що створена після переходу до стимулюючого регулювання, на початок року t, тис. грн.</w:t>
                  </w:r>
                </w:p>
              </w:tc>
            </w:tr>
          </w:tbl>
          <w:p w14:paraId="73C5911C" w14:textId="77777777" w:rsidR="000E575E" w:rsidRPr="00D0186D" w:rsidRDefault="000E575E" w:rsidP="000E575E">
            <w:pPr>
              <w:shd w:val="clear" w:color="auto" w:fill="FFFFFF"/>
              <w:ind w:firstLine="448"/>
              <w:jc w:val="both"/>
              <w:rPr>
                <w:lang w:val="uk-UA" w:eastAsia="uk-UA"/>
              </w:rPr>
            </w:pPr>
            <w:bookmarkStart w:id="27" w:name="n535"/>
            <w:bookmarkStart w:id="28" w:name="n426"/>
            <w:bookmarkEnd w:id="27"/>
            <w:bookmarkEnd w:id="28"/>
          </w:p>
          <w:p w14:paraId="00DBC5D8" w14:textId="77777777" w:rsidR="00D0186D" w:rsidRDefault="00D0186D" w:rsidP="000E575E">
            <w:pPr>
              <w:shd w:val="clear" w:color="auto" w:fill="FFFFFF"/>
              <w:ind w:firstLine="448"/>
              <w:jc w:val="both"/>
              <w:rPr>
                <w:lang w:val="uk-UA" w:eastAsia="uk-UA"/>
              </w:rPr>
            </w:pPr>
          </w:p>
          <w:p w14:paraId="0FCAB57C" w14:textId="77777777" w:rsidR="00D0186D" w:rsidRDefault="00D0186D" w:rsidP="000E575E">
            <w:pPr>
              <w:shd w:val="clear" w:color="auto" w:fill="FFFFFF"/>
              <w:ind w:firstLine="448"/>
              <w:jc w:val="both"/>
              <w:rPr>
                <w:lang w:val="uk-UA" w:eastAsia="uk-UA"/>
              </w:rPr>
            </w:pPr>
          </w:p>
          <w:p w14:paraId="08C13905" w14:textId="0A418CFE" w:rsidR="007419FF" w:rsidRPr="00D0186D" w:rsidRDefault="007419FF" w:rsidP="000E575E">
            <w:pPr>
              <w:shd w:val="clear" w:color="auto" w:fill="FFFFFF"/>
              <w:ind w:firstLine="448"/>
              <w:jc w:val="both"/>
              <w:rPr>
                <w:lang w:val="uk-UA" w:eastAsia="uk-UA"/>
              </w:rPr>
            </w:pPr>
            <w:r w:rsidRPr="00D0186D">
              <w:rPr>
                <w:lang w:val="uk-UA" w:eastAsia="uk-UA"/>
              </w:rPr>
              <w:t>На початок першого року першого регуляторного періоду впровадження стимулюючого регулювання РБА</w:t>
            </w:r>
            <w:r w:rsidRPr="00D0186D">
              <w:rPr>
                <w:vertAlign w:val="superscript"/>
                <w:lang w:val="uk-UA" w:eastAsia="uk-UA"/>
              </w:rPr>
              <w:t>0</w:t>
            </w:r>
            <w:r w:rsidRPr="00D0186D">
              <w:rPr>
                <w:vertAlign w:val="subscript"/>
                <w:lang w:val="uk-UA" w:eastAsia="uk-UA"/>
              </w:rPr>
              <w:t>поч</w:t>
            </w:r>
            <w:r w:rsidRPr="00D0186D">
              <w:rPr>
                <w:b/>
                <w:bCs/>
                <w:vertAlign w:val="subscript"/>
                <w:lang w:val="uk-UA" w:eastAsia="uk-UA"/>
              </w:rPr>
              <w:t xml:space="preserve"> t</w:t>
            </w:r>
            <w:r w:rsidRPr="00D0186D">
              <w:rPr>
                <w:lang w:val="uk-UA" w:eastAsia="uk-UA"/>
              </w:rPr>
              <w:t> дорівнює регуляторній базі активів, яка створена на дату переходу до стимулюючого регулювання (РБА</w:t>
            </w:r>
            <w:r w:rsidRPr="00D0186D">
              <w:rPr>
                <w:vertAlign w:val="superscript"/>
                <w:lang w:val="uk-UA" w:eastAsia="uk-UA"/>
              </w:rPr>
              <w:t>0</w:t>
            </w:r>
            <w:r w:rsidRPr="00D0186D">
              <w:rPr>
                <w:lang w:val="uk-UA" w:eastAsia="uk-UA"/>
              </w:rPr>
              <w:t>);</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308"/>
              <w:gridCol w:w="1412"/>
              <w:gridCol w:w="115"/>
              <w:gridCol w:w="5877"/>
            </w:tblGrid>
            <w:tr w:rsidR="007419FF" w:rsidRPr="00D0186D" w14:paraId="27814CF8" w14:textId="77777777" w:rsidTr="00E82934">
              <w:tc>
                <w:tcPr>
                  <w:tcW w:w="293" w:type="dxa"/>
                  <w:tcBorders>
                    <w:top w:val="single" w:sz="2" w:space="0" w:color="auto"/>
                    <w:left w:val="single" w:sz="2" w:space="0" w:color="auto"/>
                    <w:bottom w:val="single" w:sz="2" w:space="0" w:color="auto"/>
                    <w:right w:val="single" w:sz="2" w:space="0" w:color="auto"/>
                  </w:tcBorders>
                  <w:hideMark/>
                </w:tcPr>
                <w:p w14:paraId="77B52345" w14:textId="77777777" w:rsidR="007419FF" w:rsidRPr="00D0186D" w:rsidRDefault="007419FF" w:rsidP="007419FF">
                  <w:pPr>
                    <w:spacing w:after="150"/>
                    <w:jc w:val="both"/>
                    <w:rPr>
                      <w:lang w:val="uk-UA" w:eastAsia="uk-UA"/>
                    </w:rPr>
                  </w:pPr>
                  <w:bookmarkStart w:id="29" w:name="n427"/>
                  <w:bookmarkEnd w:id="29"/>
                </w:p>
              </w:tc>
              <w:tc>
                <w:tcPr>
                  <w:tcW w:w="1345" w:type="dxa"/>
                  <w:tcBorders>
                    <w:top w:val="single" w:sz="2" w:space="0" w:color="auto"/>
                    <w:left w:val="single" w:sz="2" w:space="0" w:color="auto"/>
                    <w:bottom w:val="single" w:sz="2" w:space="0" w:color="auto"/>
                    <w:right w:val="single" w:sz="2" w:space="0" w:color="auto"/>
                  </w:tcBorders>
                  <w:hideMark/>
                </w:tcPr>
                <w:p w14:paraId="7B16FF94" w14:textId="77777777" w:rsidR="007419FF" w:rsidRPr="00D0186D" w:rsidRDefault="007419FF" w:rsidP="007419FF">
                  <w:pPr>
                    <w:spacing w:before="150" w:after="150"/>
                    <w:rPr>
                      <w:lang w:val="uk-UA" w:eastAsia="uk-UA"/>
                    </w:rPr>
                  </w:pPr>
                  <w:r w:rsidRPr="00D0186D">
                    <w:rPr>
                      <w:noProof/>
                      <w:lang w:val="uk-UA" w:eastAsia="uk-UA"/>
                    </w:rPr>
                    <w:drawing>
                      <wp:inline distT="0" distB="0" distL="0" distR="0" wp14:anchorId="26728DCD" wp14:editId="13B6C4CC">
                        <wp:extent cx="638175" cy="198120"/>
                        <wp:effectExtent l="0" t="0" r="9525" b="0"/>
                        <wp:docPr id="512070643" name="Рисунок 1">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a:hlinkClick r:id="rId41"/>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38175" cy="198120"/>
                                </a:xfrm>
                                <a:prstGeom prst="rect">
                                  <a:avLst/>
                                </a:prstGeom>
                                <a:noFill/>
                                <a:ln>
                                  <a:noFill/>
                                </a:ln>
                              </pic:spPr>
                            </pic:pic>
                          </a:graphicData>
                        </a:graphic>
                      </wp:inline>
                    </w:drawing>
                  </w:r>
                </w:p>
              </w:tc>
              <w:tc>
                <w:tcPr>
                  <w:tcW w:w="110" w:type="dxa"/>
                  <w:tcBorders>
                    <w:top w:val="single" w:sz="2" w:space="0" w:color="auto"/>
                    <w:left w:val="single" w:sz="2" w:space="0" w:color="auto"/>
                    <w:bottom w:val="single" w:sz="2" w:space="0" w:color="auto"/>
                    <w:right w:val="single" w:sz="2" w:space="0" w:color="auto"/>
                  </w:tcBorders>
                  <w:hideMark/>
                </w:tcPr>
                <w:p w14:paraId="3C57D829" w14:textId="77777777" w:rsidR="007419FF" w:rsidRPr="00D0186D" w:rsidRDefault="007419FF" w:rsidP="007419FF">
                  <w:pPr>
                    <w:spacing w:before="150" w:after="150"/>
                    <w:jc w:val="center"/>
                    <w:rPr>
                      <w:lang w:val="uk-UA" w:eastAsia="uk-UA"/>
                    </w:rPr>
                  </w:pPr>
                  <w:r w:rsidRPr="00D0186D">
                    <w:rPr>
                      <w:lang w:val="uk-UA" w:eastAsia="uk-UA"/>
                    </w:rPr>
                    <w:t>-</w:t>
                  </w:r>
                </w:p>
              </w:tc>
              <w:tc>
                <w:tcPr>
                  <w:tcW w:w="5599" w:type="dxa"/>
                  <w:tcBorders>
                    <w:top w:val="single" w:sz="2" w:space="0" w:color="auto"/>
                    <w:left w:val="single" w:sz="2" w:space="0" w:color="auto"/>
                    <w:bottom w:val="single" w:sz="2" w:space="0" w:color="auto"/>
                    <w:right w:val="single" w:sz="2" w:space="0" w:color="auto"/>
                  </w:tcBorders>
                  <w:hideMark/>
                </w:tcPr>
                <w:p w14:paraId="110C7F6E" w14:textId="77777777" w:rsidR="007419FF" w:rsidRPr="00D0186D" w:rsidRDefault="007419FF" w:rsidP="007419FF">
                  <w:pPr>
                    <w:spacing w:before="150" w:after="150"/>
                    <w:rPr>
                      <w:lang w:val="uk-UA" w:eastAsia="uk-UA"/>
                    </w:rPr>
                  </w:pPr>
                  <w:r w:rsidRPr="00D0186D">
                    <w:rPr>
                      <w:lang w:val="uk-UA" w:eastAsia="uk-UA"/>
                    </w:rPr>
                    <w:t>встановлена НКРЕКП регуляторна норма доходу на регуляторну базу активів, яка створена після переходу до стимулюючого регулювання, відносні одиниці.</w:t>
                  </w:r>
                </w:p>
              </w:tc>
            </w:tr>
          </w:tbl>
          <w:p w14:paraId="549314A9" w14:textId="77777777" w:rsidR="007419FF" w:rsidRPr="00D0186D" w:rsidRDefault="007419FF" w:rsidP="007419FF">
            <w:pPr>
              <w:shd w:val="clear" w:color="auto" w:fill="FFFFFF"/>
              <w:outlineLvl w:val="2"/>
              <w:rPr>
                <w:lang w:val="uk-UA" w:eastAsia="uk-UA"/>
              </w:rPr>
            </w:pPr>
          </w:p>
          <w:p w14:paraId="017A55ED" w14:textId="77777777" w:rsidR="007419FF" w:rsidRPr="00D0186D" w:rsidRDefault="007419FF" w:rsidP="00810CB9">
            <w:pPr>
              <w:pStyle w:val="tj"/>
              <w:shd w:val="clear" w:color="auto" w:fill="FFFFFF"/>
              <w:spacing w:before="0" w:beforeAutospacing="0" w:after="0" w:afterAutospacing="0"/>
              <w:ind w:firstLine="489"/>
              <w:jc w:val="both"/>
            </w:pPr>
          </w:p>
        </w:tc>
        <w:tc>
          <w:tcPr>
            <w:tcW w:w="7937" w:type="dxa"/>
          </w:tcPr>
          <w:p w14:paraId="075E87E2" w14:textId="77777777" w:rsidR="007419FF" w:rsidRPr="00D0186D" w:rsidRDefault="007419FF" w:rsidP="007419FF">
            <w:pPr>
              <w:shd w:val="clear" w:color="auto" w:fill="FFFFFF"/>
              <w:spacing w:after="150"/>
              <w:ind w:firstLine="450"/>
              <w:jc w:val="both"/>
              <w:rPr>
                <w:lang w:val="uk-UA" w:eastAsia="uk-UA"/>
              </w:rPr>
            </w:pPr>
            <w:r w:rsidRPr="00D0186D">
              <w:rPr>
                <w:lang w:val="uk-UA" w:eastAsia="uk-UA"/>
              </w:rPr>
              <w:lastRenderedPageBreak/>
              <w:t>5.13. Прибуток на регуляторну базу активів у році t визначається за формулою</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7197"/>
              <w:gridCol w:w="518"/>
            </w:tblGrid>
            <w:tr w:rsidR="007419FF" w:rsidRPr="00D0186D" w14:paraId="2810902D" w14:textId="77777777" w:rsidTr="00E82934">
              <w:tc>
                <w:tcPr>
                  <w:tcW w:w="8685" w:type="dxa"/>
                  <w:tcBorders>
                    <w:top w:val="single" w:sz="2" w:space="0" w:color="auto"/>
                    <w:left w:val="single" w:sz="2" w:space="0" w:color="auto"/>
                    <w:bottom w:val="single" w:sz="2" w:space="0" w:color="auto"/>
                    <w:right w:val="single" w:sz="2" w:space="0" w:color="auto"/>
                  </w:tcBorders>
                  <w:hideMark/>
                </w:tcPr>
                <w:p w14:paraId="508FA56B" w14:textId="77777777" w:rsidR="007419FF" w:rsidRPr="00D0186D" w:rsidRDefault="007419FF" w:rsidP="007419FF">
                  <w:pPr>
                    <w:spacing w:before="150" w:after="150"/>
                    <w:jc w:val="center"/>
                    <w:rPr>
                      <w:lang w:val="uk-UA" w:eastAsia="uk-UA"/>
                    </w:rPr>
                  </w:pPr>
                  <w:r w:rsidRPr="00D0186D">
                    <w:rPr>
                      <w:noProof/>
                      <w:lang w:val="uk-UA" w:eastAsia="uk-UA"/>
                    </w:rPr>
                    <w:drawing>
                      <wp:inline distT="0" distB="0" distL="0" distR="0" wp14:anchorId="0E5B9B2D" wp14:editId="6B5CC8C3">
                        <wp:extent cx="4097655" cy="215900"/>
                        <wp:effectExtent l="0" t="0" r="0" b="0"/>
                        <wp:docPr id="673281672" name="Рисунок 8">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097655" cy="215900"/>
                                </a:xfrm>
                                <a:prstGeom prst="rect">
                                  <a:avLst/>
                                </a:prstGeom>
                                <a:noFill/>
                                <a:ln>
                                  <a:noFill/>
                                </a:ln>
                              </pic:spPr>
                            </pic:pic>
                          </a:graphicData>
                        </a:graphic>
                      </wp:inline>
                    </w:drawing>
                  </w:r>
                </w:p>
              </w:tc>
              <w:tc>
                <w:tcPr>
                  <w:tcW w:w="615" w:type="dxa"/>
                  <w:tcBorders>
                    <w:top w:val="single" w:sz="2" w:space="0" w:color="auto"/>
                    <w:left w:val="single" w:sz="2" w:space="0" w:color="auto"/>
                    <w:bottom w:val="single" w:sz="2" w:space="0" w:color="auto"/>
                    <w:right w:val="single" w:sz="2" w:space="0" w:color="auto"/>
                  </w:tcBorders>
                  <w:hideMark/>
                </w:tcPr>
                <w:p w14:paraId="31C9DC2E" w14:textId="68605E3A" w:rsidR="007419FF" w:rsidRPr="00D0186D" w:rsidRDefault="007419FF" w:rsidP="007419FF">
                  <w:pPr>
                    <w:spacing w:before="150" w:after="150"/>
                    <w:jc w:val="right"/>
                    <w:rPr>
                      <w:lang w:val="uk-UA" w:eastAsia="uk-UA"/>
                    </w:rPr>
                  </w:pPr>
                  <w:r w:rsidRPr="00D0186D">
                    <w:rPr>
                      <w:lang w:val="uk-UA" w:eastAsia="uk-UA"/>
                    </w:rPr>
                    <w:t>(1</w:t>
                  </w:r>
                  <w:r w:rsidR="005B163F" w:rsidRPr="00D0186D">
                    <w:rPr>
                      <w:lang w:val="uk-UA" w:eastAsia="uk-UA"/>
                    </w:rPr>
                    <w:t>6</w:t>
                  </w:r>
                  <w:r w:rsidRPr="00D0186D">
                    <w:rPr>
                      <w:lang w:val="uk-UA" w:eastAsia="uk-UA"/>
                    </w:rPr>
                    <w:t>)</w:t>
                  </w:r>
                </w:p>
              </w:tc>
            </w:tr>
          </w:tbl>
          <w:p w14:paraId="1E77E26B" w14:textId="77777777" w:rsidR="007419FF" w:rsidRPr="00D0186D" w:rsidRDefault="007419FF" w:rsidP="007419FF">
            <w:pPr>
              <w:spacing w:after="150"/>
              <w:ind w:firstLine="450"/>
              <w:jc w:val="both"/>
              <w:rPr>
                <w:shd w:val="clear" w:color="auto" w:fill="FFFFFF"/>
                <w:lang w:val="uk-UA" w:eastAsia="uk-UA"/>
              </w:rPr>
            </w:pP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314"/>
              <w:gridCol w:w="896"/>
              <w:gridCol w:w="84"/>
              <w:gridCol w:w="4673"/>
              <w:gridCol w:w="1748"/>
            </w:tblGrid>
            <w:tr w:rsidR="007419FF" w:rsidRPr="00D0186D" w14:paraId="5ABF09A5" w14:textId="77777777" w:rsidTr="00E82934">
              <w:tc>
                <w:tcPr>
                  <w:tcW w:w="585" w:type="dxa"/>
                  <w:tcBorders>
                    <w:top w:val="single" w:sz="2" w:space="0" w:color="auto"/>
                    <w:left w:val="single" w:sz="2" w:space="0" w:color="auto"/>
                    <w:bottom w:val="single" w:sz="2" w:space="0" w:color="auto"/>
                    <w:right w:val="single" w:sz="2" w:space="0" w:color="auto"/>
                  </w:tcBorders>
                  <w:hideMark/>
                </w:tcPr>
                <w:p w14:paraId="7835F510" w14:textId="77777777" w:rsidR="007419FF" w:rsidRPr="00D0186D" w:rsidRDefault="007419FF" w:rsidP="007419FF">
                  <w:pPr>
                    <w:spacing w:before="150" w:after="150"/>
                    <w:rPr>
                      <w:lang w:val="uk-UA" w:eastAsia="uk-UA"/>
                    </w:rPr>
                  </w:pPr>
                  <w:r w:rsidRPr="00D0186D">
                    <w:rPr>
                      <w:lang w:val="uk-UA" w:eastAsia="uk-UA"/>
                    </w:rPr>
                    <w:t>де</w:t>
                  </w:r>
                </w:p>
              </w:tc>
              <w:tc>
                <w:tcPr>
                  <w:tcW w:w="1770" w:type="dxa"/>
                  <w:tcBorders>
                    <w:top w:val="single" w:sz="2" w:space="0" w:color="auto"/>
                    <w:left w:val="single" w:sz="2" w:space="0" w:color="auto"/>
                    <w:bottom w:val="single" w:sz="2" w:space="0" w:color="auto"/>
                    <w:right w:val="single" w:sz="2" w:space="0" w:color="auto"/>
                  </w:tcBorders>
                  <w:hideMark/>
                </w:tcPr>
                <w:p w14:paraId="490770FB" w14:textId="77777777" w:rsidR="007419FF" w:rsidRPr="00D0186D" w:rsidRDefault="007419FF" w:rsidP="007419FF">
                  <w:pPr>
                    <w:spacing w:before="150" w:after="150"/>
                    <w:rPr>
                      <w:lang w:val="uk-UA" w:eastAsia="uk-UA"/>
                    </w:rPr>
                  </w:pPr>
                  <w:r w:rsidRPr="00D0186D">
                    <w:rPr>
                      <w:noProof/>
                      <w:lang w:val="uk-UA" w:eastAsia="uk-UA"/>
                    </w:rPr>
                    <w:drawing>
                      <wp:inline distT="0" distB="0" distL="0" distR="0" wp14:anchorId="618EE29D" wp14:editId="419891F4">
                        <wp:extent cx="612775" cy="172720"/>
                        <wp:effectExtent l="0" t="0" r="0" b="0"/>
                        <wp:docPr id="1653052592" name="Рисунок 7">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12775" cy="172720"/>
                                </a:xfrm>
                                <a:prstGeom prst="rect">
                                  <a:avLst/>
                                </a:prstGeom>
                                <a:noFill/>
                                <a:ln>
                                  <a:noFill/>
                                </a:ln>
                              </pic:spPr>
                            </pic:pic>
                          </a:graphicData>
                        </a:graphic>
                      </wp:inline>
                    </w:drawing>
                  </w:r>
                </w:p>
              </w:tc>
              <w:tc>
                <w:tcPr>
                  <w:tcW w:w="120" w:type="dxa"/>
                  <w:tcBorders>
                    <w:top w:val="single" w:sz="2" w:space="0" w:color="auto"/>
                    <w:left w:val="single" w:sz="2" w:space="0" w:color="auto"/>
                    <w:bottom w:val="single" w:sz="2" w:space="0" w:color="auto"/>
                    <w:right w:val="single" w:sz="2" w:space="0" w:color="auto"/>
                  </w:tcBorders>
                  <w:hideMark/>
                </w:tcPr>
                <w:p w14:paraId="3D8624ED" w14:textId="77777777" w:rsidR="007419FF" w:rsidRPr="00D0186D" w:rsidRDefault="007419FF" w:rsidP="007419FF">
                  <w:pPr>
                    <w:spacing w:before="150" w:after="150"/>
                    <w:jc w:val="center"/>
                    <w:rPr>
                      <w:lang w:val="uk-UA" w:eastAsia="uk-UA"/>
                    </w:rPr>
                  </w:pPr>
                  <w:r w:rsidRPr="00D0186D">
                    <w:rPr>
                      <w:lang w:val="uk-UA" w:eastAsia="uk-UA"/>
                    </w:rPr>
                    <w:t>-</w:t>
                  </w:r>
                </w:p>
              </w:tc>
              <w:tc>
                <w:tcPr>
                  <w:tcW w:w="13005" w:type="dxa"/>
                  <w:gridSpan w:val="2"/>
                  <w:tcBorders>
                    <w:top w:val="single" w:sz="2" w:space="0" w:color="auto"/>
                    <w:left w:val="single" w:sz="2" w:space="0" w:color="auto"/>
                    <w:bottom w:val="single" w:sz="2" w:space="0" w:color="auto"/>
                    <w:right w:val="single" w:sz="2" w:space="0" w:color="auto"/>
                  </w:tcBorders>
                  <w:hideMark/>
                </w:tcPr>
                <w:p w14:paraId="5E436679" w14:textId="77777777" w:rsidR="007419FF" w:rsidRPr="00D0186D" w:rsidRDefault="007419FF" w:rsidP="007419FF">
                  <w:pPr>
                    <w:spacing w:before="150" w:after="150"/>
                    <w:rPr>
                      <w:lang w:val="uk-UA" w:eastAsia="uk-UA"/>
                    </w:rPr>
                  </w:pPr>
                  <w:r w:rsidRPr="00D0186D">
                    <w:rPr>
                      <w:lang w:val="uk-UA" w:eastAsia="uk-UA"/>
                    </w:rPr>
                    <w:t>регуляторна база активів, яка створена на дату переходу до стимулюючого регулювання, на початок року t, що розраховується за формулою</w:t>
                  </w:r>
                </w:p>
              </w:tc>
            </w:tr>
            <w:tr w:rsidR="007419FF" w:rsidRPr="00D0186D" w14:paraId="781B2C40" w14:textId="77777777" w:rsidTr="00E82934">
              <w:tblPrEx>
                <w:tblCellMar>
                  <w:top w:w="0" w:type="dxa"/>
                  <w:left w:w="0" w:type="dxa"/>
                  <w:bottom w:w="0" w:type="dxa"/>
                  <w:right w:w="0" w:type="dxa"/>
                </w:tblCellMar>
              </w:tblPrEx>
              <w:tc>
                <w:tcPr>
                  <w:tcW w:w="11955" w:type="dxa"/>
                  <w:gridSpan w:val="4"/>
                  <w:tcBorders>
                    <w:top w:val="single" w:sz="2" w:space="0" w:color="auto"/>
                    <w:left w:val="single" w:sz="2" w:space="0" w:color="auto"/>
                    <w:bottom w:val="single" w:sz="2" w:space="0" w:color="auto"/>
                    <w:right w:val="single" w:sz="2" w:space="0" w:color="auto"/>
                  </w:tcBorders>
                  <w:hideMark/>
                </w:tcPr>
                <w:p w14:paraId="6DE1E90A" w14:textId="77777777" w:rsidR="007419FF" w:rsidRPr="00D0186D" w:rsidRDefault="007419FF" w:rsidP="007419FF">
                  <w:pPr>
                    <w:spacing w:before="150" w:after="150"/>
                    <w:jc w:val="center"/>
                    <w:rPr>
                      <w:b/>
                      <w:lang w:val="uk-UA" w:eastAsia="uk-UA"/>
                    </w:rPr>
                  </w:pPr>
                  <m:oMath>
                    <m:r>
                      <m:rPr>
                        <m:sty m:val="bi"/>
                      </m:rPr>
                      <w:rPr>
                        <w:rFonts w:ascii="Cambria Math" w:hAnsi="Cambria Math"/>
                        <w:lang w:val="uk-UA"/>
                      </w:rPr>
                      <w:lastRenderedPageBreak/>
                      <m:t>РБ</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поч t</m:t>
                        </m:r>
                      </m:sub>
                      <m:sup>
                        <m:r>
                          <m:rPr>
                            <m:sty m:val="bi"/>
                          </m:rPr>
                          <w:rPr>
                            <w:rFonts w:ascii="Cambria Math" w:hAnsi="Cambria Math"/>
                            <w:lang w:val="uk-UA"/>
                          </w:rPr>
                          <m:t xml:space="preserve">0 </m:t>
                        </m:r>
                      </m:sup>
                    </m:sSubSup>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поч t-1</m:t>
                        </m:r>
                      </m:sub>
                      <m:sup>
                        <m:r>
                          <m:rPr>
                            <m:sty m:val="bi"/>
                          </m:rPr>
                          <w:rPr>
                            <w:rFonts w:ascii="Cambria Math" w:hAnsi="Cambria Math"/>
                            <w:lang w:val="uk-UA"/>
                          </w:rPr>
                          <m:t xml:space="preserve">0 </m:t>
                        </m:r>
                      </m:sup>
                    </m:sSubSup>
                    <m:r>
                      <m:rPr>
                        <m:sty m:val="bi"/>
                      </m:rPr>
                      <w:rPr>
                        <w:rFonts w:ascii="Cambria Math" w:hAnsi="Cambria Math"/>
                        <w:lang w:val="uk-UA"/>
                      </w:rPr>
                      <m:t>-В</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 xml:space="preserve"> t-1</m:t>
                        </m:r>
                      </m:sub>
                      <m:sup>
                        <m:r>
                          <m:rPr>
                            <m:sty m:val="bi"/>
                          </m:rPr>
                          <w:rPr>
                            <w:rFonts w:ascii="Cambria Math" w:hAnsi="Cambria Math"/>
                            <w:lang w:val="uk-UA"/>
                          </w:rPr>
                          <m:t xml:space="preserve">0 </m:t>
                        </m:r>
                      </m:sup>
                    </m:sSubSup>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t-1</m:t>
                        </m:r>
                      </m:sub>
                      <m:sup>
                        <m:r>
                          <m:rPr>
                            <m:sty m:val="bi"/>
                          </m:rPr>
                          <w:rPr>
                            <w:rFonts w:ascii="Cambria Math" w:hAnsi="Cambria Math"/>
                            <w:lang w:val="uk-UA"/>
                          </w:rPr>
                          <m:t>0</m:t>
                        </m:r>
                      </m:sup>
                    </m:sSubSup>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І</m:t>
                        </m:r>
                      </m:e>
                      <m:sub>
                        <m:r>
                          <m:rPr>
                            <m:sty m:val="bi"/>
                          </m:rPr>
                          <w:rPr>
                            <w:rFonts w:ascii="Cambria Math" w:hAnsi="Cambria Math"/>
                            <w:lang w:val="uk-UA"/>
                          </w:rPr>
                          <m:t>t-1</m:t>
                        </m:r>
                      </m:sub>
                      <m:sup>
                        <m:r>
                          <m:rPr>
                            <m:sty m:val="bi"/>
                          </m:rPr>
                          <w:rPr>
                            <w:rFonts w:ascii="Cambria Math" w:hAnsi="Cambria Math"/>
                            <w:lang w:val="uk-UA"/>
                          </w:rPr>
                          <m:t xml:space="preserve">0 </m:t>
                        </m:r>
                      </m:sup>
                    </m:sSubSup>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I</m:t>
                        </m:r>
                      </m:e>
                      <m:sub>
                        <m:r>
                          <m:rPr>
                            <m:sty m:val="bi"/>
                          </m:rPr>
                          <w:rPr>
                            <w:rFonts w:ascii="Cambria Math" w:hAnsi="Cambria Math"/>
                            <w:lang w:val="uk-UA"/>
                          </w:rPr>
                          <m:t>ВПt-1</m:t>
                        </m:r>
                      </m:sub>
                      <m:sup>
                        <m:r>
                          <m:rPr>
                            <m:sty m:val="bi"/>
                          </m:rPr>
                          <w:rPr>
                            <w:rFonts w:ascii="Cambria Math" w:hAnsi="Cambria Math"/>
                            <w:lang w:val="uk-UA"/>
                          </w:rPr>
                          <m:t xml:space="preserve">0 </m:t>
                        </m:r>
                      </m:sup>
                    </m:sSubSup>
                  </m:oMath>
                  <w:r w:rsidRPr="00D0186D">
                    <w:rPr>
                      <w:b/>
                      <w:lang w:val="uk-UA"/>
                    </w:rPr>
                    <w:t xml:space="preserve">, </w:t>
                  </w:r>
                </w:p>
              </w:tc>
              <w:tc>
                <w:tcPr>
                  <w:tcW w:w="855" w:type="dxa"/>
                  <w:tcBorders>
                    <w:top w:val="single" w:sz="2" w:space="0" w:color="auto"/>
                    <w:left w:val="single" w:sz="2" w:space="0" w:color="auto"/>
                    <w:bottom w:val="single" w:sz="2" w:space="0" w:color="auto"/>
                    <w:right w:val="single" w:sz="2" w:space="0" w:color="auto"/>
                  </w:tcBorders>
                  <w:hideMark/>
                </w:tcPr>
                <w:p w14:paraId="0EB60645" w14:textId="6548AA5C" w:rsidR="007419FF" w:rsidRPr="00D0186D" w:rsidRDefault="007419FF" w:rsidP="007419FF">
                  <w:pPr>
                    <w:spacing w:before="150" w:after="150"/>
                    <w:jc w:val="right"/>
                    <w:rPr>
                      <w:lang w:val="uk-UA" w:eastAsia="uk-UA"/>
                    </w:rPr>
                  </w:pPr>
                  <w:r w:rsidRPr="00D0186D">
                    <w:rPr>
                      <w:lang w:val="uk-UA" w:eastAsia="uk-UA"/>
                    </w:rPr>
                    <w:t>тис. грн (1</w:t>
                  </w:r>
                  <w:r w:rsidR="005B163F" w:rsidRPr="00D0186D">
                    <w:rPr>
                      <w:lang w:val="uk-UA" w:eastAsia="uk-UA"/>
                    </w:rPr>
                    <w:t>7</w:t>
                  </w:r>
                  <w:r w:rsidRPr="00D0186D">
                    <w:rPr>
                      <w:lang w:val="uk-UA" w:eastAsia="uk-UA"/>
                    </w:rPr>
                    <w:t>)</w:t>
                  </w:r>
                </w:p>
              </w:tc>
            </w:tr>
          </w:tbl>
          <w:p w14:paraId="457D9361" w14:textId="77777777" w:rsidR="007419FF" w:rsidRPr="00D0186D" w:rsidRDefault="007419FF" w:rsidP="007419FF">
            <w:pPr>
              <w:shd w:val="clear" w:color="auto" w:fill="FFFFFF"/>
              <w:jc w:val="center"/>
              <w:outlineLvl w:val="2"/>
              <w:rPr>
                <w:b/>
                <w:bCs/>
                <w:lang w:val="uk-UA" w:eastAsia="uk-UA"/>
              </w:rPr>
            </w:pPr>
          </w:p>
          <w:p w14:paraId="7D8BBB17" w14:textId="77777777" w:rsidR="007419FF" w:rsidRPr="00D0186D" w:rsidRDefault="007419FF" w:rsidP="007419FF">
            <w:pPr>
              <w:shd w:val="clear" w:color="auto" w:fill="FFFFFF"/>
              <w:jc w:val="center"/>
              <w:outlineLvl w:val="2"/>
              <w:rPr>
                <w:b/>
                <w:bCs/>
                <w:lang w:val="uk-UA" w:eastAsia="uk-UA"/>
              </w:rPr>
            </w:pP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376"/>
              <w:gridCol w:w="1400"/>
              <w:gridCol w:w="143"/>
              <w:gridCol w:w="5796"/>
            </w:tblGrid>
            <w:tr w:rsidR="007419FF" w:rsidRPr="00D0186D" w14:paraId="12BF7E88" w14:textId="77777777" w:rsidTr="00E82934">
              <w:tc>
                <w:tcPr>
                  <w:tcW w:w="362" w:type="dxa"/>
                  <w:tcBorders>
                    <w:top w:val="single" w:sz="2" w:space="0" w:color="auto"/>
                    <w:left w:val="single" w:sz="2" w:space="0" w:color="auto"/>
                    <w:bottom w:val="single" w:sz="2" w:space="0" w:color="auto"/>
                    <w:right w:val="single" w:sz="2" w:space="0" w:color="auto"/>
                  </w:tcBorders>
                  <w:hideMark/>
                </w:tcPr>
                <w:p w14:paraId="74954CCD" w14:textId="77777777" w:rsidR="007419FF" w:rsidRPr="00D0186D" w:rsidRDefault="007419FF" w:rsidP="007419FF">
                  <w:pPr>
                    <w:spacing w:before="150" w:after="150"/>
                    <w:rPr>
                      <w:lang w:val="uk-UA" w:eastAsia="uk-UA"/>
                    </w:rPr>
                  </w:pPr>
                  <w:r w:rsidRPr="00D0186D">
                    <w:rPr>
                      <w:lang w:val="uk-UA" w:eastAsia="uk-UA"/>
                    </w:rPr>
                    <w:t>де</w:t>
                  </w:r>
                </w:p>
              </w:tc>
              <w:tc>
                <w:tcPr>
                  <w:tcW w:w="1349" w:type="dxa"/>
                  <w:tcBorders>
                    <w:top w:val="single" w:sz="2" w:space="0" w:color="auto"/>
                    <w:left w:val="single" w:sz="2" w:space="0" w:color="auto"/>
                    <w:bottom w:val="single" w:sz="2" w:space="0" w:color="auto"/>
                    <w:right w:val="single" w:sz="2" w:space="0" w:color="auto"/>
                  </w:tcBorders>
                  <w:hideMark/>
                </w:tcPr>
                <w:p w14:paraId="1EB04099" w14:textId="77777777" w:rsidR="007419FF" w:rsidRPr="00D0186D" w:rsidRDefault="00ED4B6B" w:rsidP="007419FF">
                  <w:pPr>
                    <w:spacing w:before="150" w:after="150"/>
                    <w:rPr>
                      <w:lang w:val="uk-UA" w:eastAsia="uk-UA"/>
                    </w:rPr>
                  </w:pPr>
                  <m:oMathPara>
                    <m:oMath>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t-1</m:t>
                          </m:r>
                        </m:sub>
                        <m:sup>
                          <m:r>
                            <m:rPr>
                              <m:sty m:val="bi"/>
                            </m:rPr>
                            <w:rPr>
                              <w:rFonts w:ascii="Cambria Math" w:hAnsi="Cambria Math"/>
                              <w:lang w:val="uk-UA"/>
                            </w:rPr>
                            <m:t>0</m:t>
                          </m:r>
                        </m:sup>
                      </m:sSubSup>
                    </m:oMath>
                  </m:oMathPara>
                </w:p>
              </w:tc>
              <w:tc>
                <w:tcPr>
                  <w:tcW w:w="138" w:type="dxa"/>
                  <w:tcBorders>
                    <w:top w:val="single" w:sz="2" w:space="0" w:color="auto"/>
                    <w:left w:val="single" w:sz="2" w:space="0" w:color="auto"/>
                    <w:bottom w:val="single" w:sz="2" w:space="0" w:color="auto"/>
                    <w:right w:val="single" w:sz="2" w:space="0" w:color="auto"/>
                  </w:tcBorders>
                  <w:hideMark/>
                </w:tcPr>
                <w:p w14:paraId="6AAAE540" w14:textId="77777777" w:rsidR="007419FF" w:rsidRPr="00D0186D" w:rsidRDefault="007419FF" w:rsidP="007419FF">
                  <w:pPr>
                    <w:spacing w:before="150" w:after="150"/>
                    <w:jc w:val="center"/>
                    <w:rPr>
                      <w:lang w:val="uk-UA" w:eastAsia="uk-UA"/>
                    </w:rPr>
                  </w:pPr>
                  <w:r w:rsidRPr="00D0186D">
                    <w:rPr>
                      <w:lang w:val="uk-UA" w:eastAsia="uk-UA"/>
                    </w:rPr>
                    <w:t>-</w:t>
                  </w:r>
                </w:p>
              </w:tc>
              <w:tc>
                <w:tcPr>
                  <w:tcW w:w="5583" w:type="dxa"/>
                  <w:tcBorders>
                    <w:top w:val="single" w:sz="2" w:space="0" w:color="auto"/>
                    <w:left w:val="single" w:sz="2" w:space="0" w:color="auto"/>
                    <w:bottom w:val="single" w:sz="2" w:space="0" w:color="auto"/>
                    <w:right w:val="single" w:sz="2" w:space="0" w:color="auto"/>
                  </w:tcBorders>
                  <w:hideMark/>
                </w:tcPr>
                <w:p w14:paraId="3929C6E1" w14:textId="77777777" w:rsidR="007419FF" w:rsidRPr="00D0186D" w:rsidRDefault="007419FF" w:rsidP="007419FF">
                  <w:pPr>
                    <w:spacing w:before="150" w:after="150"/>
                    <w:jc w:val="both"/>
                    <w:rPr>
                      <w:lang w:val="uk-UA" w:eastAsia="uk-UA"/>
                    </w:rPr>
                  </w:pPr>
                  <w:r w:rsidRPr="00D0186D">
                    <w:rPr>
                      <w:lang w:val="uk-UA" w:eastAsia="uk-UA"/>
                    </w:rPr>
                    <w:t xml:space="preserve">регуляторна амортизація на активи, які створені на дату переходу до стимулюючого регулювання, що визначається відповідно до Порядку визначення регуляторної бази активів, </w:t>
                  </w:r>
                  <w:r w:rsidRPr="00D0186D">
                    <w:rPr>
                      <w:b/>
                      <w:lang w:val="uk-UA" w:eastAsia="uk-UA"/>
                    </w:rPr>
                    <w:t>у році t-1</w:t>
                  </w:r>
                  <w:r w:rsidRPr="00D0186D">
                    <w:rPr>
                      <w:lang w:val="uk-UA" w:eastAsia="uk-UA"/>
                    </w:rPr>
                    <w:t>, тис. грн;</w:t>
                  </w:r>
                </w:p>
              </w:tc>
            </w:tr>
            <w:tr w:rsidR="007419FF" w:rsidRPr="00D0186D" w14:paraId="2F5BD813" w14:textId="77777777" w:rsidTr="00E82934">
              <w:trPr>
                <w:trHeight w:val="1242"/>
              </w:trPr>
              <w:tc>
                <w:tcPr>
                  <w:tcW w:w="362" w:type="dxa"/>
                  <w:tcBorders>
                    <w:top w:val="single" w:sz="2" w:space="0" w:color="auto"/>
                    <w:left w:val="single" w:sz="2" w:space="0" w:color="auto"/>
                    <w:bottom w:val="single" w:sz="2" w:space="0" w:color="auto"/>
                    <w:right w:val="single" w:sz="2" w:space="0" w:color="auto"/>
                  </w:tcBorders>
                  <w:hideMark/>
                </w:tcPr>
                <w:p w14:paraId="5765E43F" w14:textId="77777777" w:rsidR="007419FF" w:rsidRPr="00D0186D" w:rsidRDefault="007419FF" w:rsidP="007419FF">
                  <w:pPr>
                    <w:spacing w:before="150" w:after="150"/>
                    <w:rPr>
                      <w:lang w:val="uk-UA" w:eastAsia="uk-UA"/>
                    </w:rPr>
                  </w:pPr>
                </w:p>
              </w:tc>
              <w:tc>
                <w:tcPr>
                  <w:tcW w:w="1349" w:type="dxa"/>
                  <w:tcBorders>
                    <w:top w:val="single" w:sz="2" w:space="0" w:color="auto"/>
                    <w:left w:val="single" w:sz="2" w:space="0" w:color="auto"/>
                    <w:bottom w:val="single" w:sz="2" w:space="0" w:color="auto"/>
                    <w:right w:val="single" w:sz="2" w:space="0" w:color="auto"/>
                  </w:tcBorders>
                  <w:hideMark/>
                </w:tcPr>
                <w:p w14:paraId="7AF2319B" w14:textId="77777777" w:rsidR="007419FF" w:rsidRPr="00D0186D" w:rsidRDefault="007419FF" w:rsidP="007419FF">
                  <w:pPr>
                    <w:spacing w:before="150" w:after="150"/>
                    <w:rPr>
                      <w:lang w:val="uk-UA" w:eastAsia="uk-UA"/>
                    </w:rPr>
                  </w:pPr>
                  <m:oMathPara>
                    <m:oMath>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поч t-1</m:t>
                          </m:r>
                        </m:sub>
                        <m:sup>
                          <m:r>
                            <m:rPr>
                              <m:sty m:val="bi"/>
                            </m:rPr>
                            <w:rPr>
                              <w:rFonts w:ascii="Cambria Math" w:hAnsi="Cambria Math"/>
                              <w:lang w:val="uk-UA"/>
                            </w:rPr>
                            <m:t xml:space="preserve">0 </m:t>
                          </m:r>
                        </m:sup>
                      </m:sSubSup>
                    </m:oMath>
                  </m:oMathPara>
                </w:p>
              </w:tc>
              <w:tc>
                <w:tcPr>
                  <w:tcW w:w="138" w:type="dxa"/>
                  <w:tcBorders>
                    <w:top w:val="single" w:sz="2" w:space="0" w:color="auto"/>
                    <w:left w:val="single" w:sz="2" w:space="0" w:color="auto"/>
                    <w:bottom w:val="single" w:sz="2" w:space="0" w:color="auto"/>
                    <w:right w:val="single" w:sz="2" w:space="0" w:color="auto"/>
                  </w:tcBorders>
                  <w:hideMark/>
                </w:tcPr>
                <w:p w14:paraId="3865F6A7" w14:textId="77777777" w:rsidR="007419FF" w:rsidRPr="00D0186D" w:rsidRDefault="007419FF" w:rsidP="007419FF">
                  <w:pPr>
                    <w:spacing w:before="150" w:after="150"/>
                    <w:jc w:val="center"/>
                    <w:rPr>
                      <w:lang w:val="uk-UA" w:eastAsia="uk-UA"/>
                    </w:rPr>
                  </w:pPr>
                  <w:r w:rsidRPr="00D0186D">
                    <w:rPr>
                      <w:lang w:val="uk-UA" w:eastAsia="uk-UA"/>
                    </w:rPr>
                    <w:t>-</w:t>
                  </w:r>
                </w:p>
              </w:tc>
              <w:tc>
                <w:tcPr>
                  <w:tcW w:w="5583" w:type="dxa"/>
                  <w:tcBorders>
                    <w:top w:val="single" w:sz="2" w:space="0" w:color="auto"/>
                    <w:left w:val="single" w:sz="2" w:space="0" w:color="auto"/>
                    <w:bottom w:val="single" w:sz="2" w:space="0" w:color="auto"/>
                    <w:right w:val="single" w:sz="2" w:space="0" w:color="auto"/>
                  </w:tcBorders>
                  <w:hideMark/>
                </w:tcPr>
                <w:p w14:paraId="0630F014" w14:textId="77777777" w:rsidR="008B4F5E" w:rsidRPr="00D0186D" w:rsidRDefault="008B4F5E" w:rsidP="008B4F5E">
                  <w:pPr>
                    <w:shd w:val="clear" w:color="auto" w:fill="FFFFFF"/>
                    <w:jc w:val="both"/>
                    <w:rPr>
                      <w:b/>
                      <w:lang w:val="uk-UA" w:eastAsia="uk-UA"/>
                    </w:rPr>
                  </w:pPr>
                  <w:r w:rsidRPr="00D0186D">
                    <w:rPr>
                      <w:b/>
                      <w:lang w:val="uk-UA" w:eastAsia="uk-UA"/>
                    </w:rPr>
                    <w:t>регуляторна база активів, яка створена на дату переходу до стимулюючого регулювання, визначена на рівні залишкової вартості активів, включених до неї, на початок року t-1, тис. грн;</w:t>
                  </w:r>
                </w:p>
                <w:p w14:paraId="3AB43B83" w14:textId="0C071157" w:rsidR="007419FF" w:rsidRPr="00D0186D" w:rsidRDefault="007419FF" w:rsidP="007419FF">
                  <w:pPr>
                    <w:spacing w:before="150" w:after="150"/>
                    <w:jc w:val="both"/>
                    <w:rPr>
                      <w:lang w:val="uk-UA" w:eastAsia="uk-UA"/>
                    </w:rPr>
                  </w:pPr>
                </w:p>
              </w:tc>
            </w:tr>
            <w:tr w:rsidR="00670BB9" w:rsidRPr="00D0186D" w14:paraId="3082BCC4" w14:textId="77777777" w:rsidTr="00E82934">
              <w:tc>
                <w:tcPr>
                  <w:tcW w:w="362" w:type="dxa"/>
                  <w:tcBorders>
                    <w:top w:val="single" w:sz="2" w:space="0" w:color="auto"/>
                    <w:left w:val="single" w:sz="2" w:space="0" w:color="auto"/>
                    <w:bottom w:val="single" w:sz="2" w:space="0" w:color="auto"/>
                    <w:right w:val="single" w:sz="2" w:space="0" w:color="auto"/>
                  </w:tcBorders>
                  <w:hideMark/>
                </w:tcPr>
                <w:p w14:paraId="717D0F51" w14:textId="77777777" w:rsidR="007419FF" w:rsidRPr="00D0186D" w:rsidRDefault="007419FF" w:rsidP="007419FF">
                  <w:pPr>
                    <w:spacing w:before="150" w:after="150"/>
                    <w:rPr>
                      <w:lang w:val="uk-UA" w:eastAsia="uk-UA"/>
                    </w:rPr>
                  </w:pPr>
                </w:p>
              </w:tc>
              <w:tc>
                <w:tcPr>
                  <w:tcW w:w="1349" w:type="dxa"/>
                  <w:tcBorders>
                    <w:top w:val="single" w:sz="2" w:space="0" w:color="auto"/>
                    <w:left w:val="single" w:sz="2" w:space="0" w:color="auto"/>
                    <w:bottom w:val="single" w:sz="2" w:space="0" w:color="auto"/>
                    <w:right w:val="single" w:sz="2" w:space="0" w:color="auto"/>
                  </w:tcBorders>
                  <w:hideMark/>
                </w:tcPr>
                <w:p w14:paraId="65C17C07" w14:textId="77777777" w:rsidR="007419FF" w:rsidRPr="00D0186D" w:rsidRDefault="007419FF" w:rsidP="007419FF">
                  <w:pPr>
                    <w:spacing w:before="150" w:after="150"/>
                    <w:rPr>
                      <w:lang w:val="uk-UA" w:eastAsia="uk-UA"/>
                    </w:rPr>
                  </w:pPr>
                  <m:oMathPara>
                    <m:oMath>
                      <m:r>
                        <m:rPr>
                          <m:sty m:val="bi"/>
                        </m:rPr>
                        <w:rPr>
                          <w:rFonts w:ascii="Cambria Math" w:hAnsi="Cambria Math"/>
                          <w:lang w:val="uk-UA"/>
                        </w:rPr>
                        <m:t>В</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 xml:space="preserve"> t-1</m:t>
                          </m:r>
                        </m:sub>
                        <m:sup>
                          <m:r>
                            <m:rPr>
                              <m:sty m:val="bi"/>
                            </m:rPr>
                            <w:rPr>
                              <w:rFonts w:ascii="Cambria Math" w:hAnsi="Cambria Math"/>
                              <w:lang w:val="uk-UA"/>
                            </w:rPr>
                            <m:t xml:space="preserve">0 </m:t>
                          </m:r>
                        </m:sup>
                      </m:sSubSup>
                    </m:oMath>
                  </m:oMathPara>
                </w:p>
              </w:tc>
              <w:tc>
                <w:tcPr>
                  <w:tcW w:w="138" w:type="dxa"/>
                  <w:tcBorders>
                    <w:top w:val="single" w:sz="2" w:space="0" w:color="auto"/>
                    <w:left w:val="single" w:sz="2" w:space="0" w:color="auto"/>
                    <w:bottom w:val="single" w:sz="2" w:space="0" w:color="auto"/>
                    <w:right w:val="single" w:sz="2" w:space="0" w:color="auto"/>
                  </w:tcBorders>
                  <w:hideMark/>
                </w:tcPr>
                <w:p w14:paraId="4ABFFE12" w14:textId="77777777" w:rsidR="007419FF" w:rsidRPr="00D0186D" w:rsidRDefault="007419FF" w:rsidP="007419FF">
                  <w:pPr>
                    <w:spacing w:before="150" w:after="150"/>
                    <w:jc w:val="center"/>
                    <w:rPr>
                      <w:lang w:val="uk-UA" w:eastAsia="uk-UA"/>
                    </w:rPr>
                  </w:pPr>
                  <w:r w:rsidRPr="00D0186D">
                    <w:rPr>
                      <w:lang w:val="uk-UA" w:eastAsia="uk-UA"/>
                    </w:rPr>
                    <w:t>-</w:t>
                  </w:r>
                </w:p>
              </w:tc>
              <w:tc>
                <w:tcPr>
                  <w:tcW w:w="5583" w:type="dxa"/>
                  <w:tcBorders>
                    <w:top w:val="single" w:sz="2" w:space="0" w:color="auto"/>
                    <w:left w:val="single" w:sz="2" w:space="0" w:color="auto"/>
                    <w:bottom w:val="single" w:sz="2" w:space="0" w:color="auto"/>
                    <w:right w:val="single" w:sz="2" w:space="0" w:color="auto"/>
                  </w:tcBorders>
                  <w:hideMark/>
                </w:tcPr>
                <w:p w14:paraId="4282D719" w14:textId="1F2A463C" w:rsidR="007419FF" w:rsidRPr="00D0186D" w:rsidRDefault="008B4F5E" w:rsidP="007419FF">
                  <w:pPr>
                    <w:spacing w:before="150" w:after="150"/>
                    <w:jc w:val="both"/>
                    <w:rPr>
                      <w:b/>
                      <w:lang w:val="uk-UA" w:eastAsia="uk-UA"/>
                    </w:rPr>
                  </w:pPr>
                  <w:r w:rsidRPr="00D0186D">
                    <w:rPr>
                      <w:b/>
                      <w:lang w:val="uk-UA" w:eastAsia="uk-UA"/>
                    </w:rPr>
                    <w:t xml:space="preserve">залишкова вартість виведених з експлуатації активів (елементів активів) із регуляторної бази активів, яка створена на дату переходу до стимулюючого регулювання, у році t-1 </w:t>
                  </w:r>
                  <w:bookmarkStart w:id="30" w:name="_Hlk173400729"/>
                  <w:r w:rsidRPr="00D0186D">
                    <w:rPr>
                      <w:b/>
                      <w:lang w:val="uk-UA" w:eastAsia="uk-UA"/>
                    </w:rPr>
                    <w:t>(для ліцензіатів, перелік яких наведено в додатку 30 до цього Порядку, на 2025 рік – залишкова вартість активів, виведених у період від дати переходу на стимулююче регулювання по рік  t-1 (включно), що не були враховані у діючих тарифах)</w:t>
                  </w:r>
                  <w:bookmarkEnd w:id="30"/>
                  <w:r w:rsidRPr="00D0186D">
                    <w:rPr>
                      <w:b/>
                      <w:lang w:val="uk-UA" w:eastAsia="uk-UA"/>
                    </w:rPr>
                    <w:t>, тис. грн;</w:t>
                  </w:r>
                </w:p>
              </w:tc>
            </w:tr>
            <w:tr w:rsidR="007419FF" w:rsidRPr="00ED4B6B" w14:paraId="5808AD73" w14:textId="77777777" w:rsidTr="00E82934">
              <w:tc>
                <w:tcPr>
                  <w:tcW w:w="362" w:type="dxa"/>
                  <w:tcBorders>
                    <w:top w:val="single" w:sz="2" w:space="0" w:color="auto"/>
                    <w:left w:val="single" w:sz="2" w:space="0" w:color="auto"/>
                    <w:bottom w:val="single" w:sz="2" w:space="0" w:color="auto"/>
                    <w:right w:val="single" w:sz="2" w:space="0" w:color="auto"/>
                  </w:tcBorders>
                  <w:hideMark/>
                </w:tcPr>
                <w:p w14:paraId="22906726" w14:textId="77777777" w:rsidR="007419FF" w:rsidRPr="00D0186D" w:rsidRDefault="007419FF" w:rsidP="007419FF">
                  <w:pPr>
                    <w:rPr>
                      <w:lang w:val="uk-UA" w:eastAsia="uk-UA"/>
                    </w:rPr>
                  </w:pPr>
                </w:p>
              </w:tc>
              <w:tc>
                <w:tcPr>
                  <w:tcW w:w="1349" w:type="dxa"/>
                  <w:tcBorders>
                    <w:top w:val="single" w:sz="2" w:space="0" w:color="auto"/>
                    <w:left w:val="single" w:sz="2" w:space="0" w:color="auto"/>
                    <w:bottom w:val="single" w:sz="2" w:space="0" w:color="auto"/>
                    <w:right w:val="single" w:sz="2" w:space="0" w:color="auto"/>
                  </w:tcBorders>
                  <w:hideMark/>
                </w:tcPr>
                <w:p w14:paraId="18D1DC46" w14:textId="77777777" w:rsidR="007419FF" w:rsidRPr="00D0186D" w:rsidRDefault="00ED4B6B" w:rsidP="007419FF">
                  <w:pPr>
                    <w:spacing w:before="150" w:after="150"/>
                    <w:rPr>
                      <w:lang w:val="uk-UA" w:eastAsia="uk-UA"/>
                    </w:rPr>
                  </w:pPr>
                  <m:oMathPara>
                    <m:oMath>
                      <m:sSubSup>
                        <m:sSubSupPr>
                          <m:ctrlPr>
                            <w:rPr>
                              <w:rFonts w:ascii="Cambria Math" w:hAnsi="Cambria Math"/>
                              <w:b/>
                              <w:i/>
                              <w:lang w:val="uk-UA"/>
                            </w:rPr>
                          </m:ctrlPr>
                        </m:sSubSupPr>
                        <m:e>
                          <m:r>
                            <m:rPr>
                              <m:sty m:val="bi"/>
                            </m:rPr>
                            <w:rPr>
                              <w:rFonts w:ascii="Cambria Math" w:hAnsi="Cambria Math"/>
                              <w:lang w:val="uk-UA"/>
                            </w:rPr>
                            <m:t>І</m:t>
                          </m:r>
                        </m:e>
                        <m:sub>
                          <m:r>
                            <m:rPr>
                              <m:sty m:val="bi"/>
                            </m:rPr>
                            <w:rPr>
                              <w:rFonts w:ascii="Cambria Math" w:hAnsi="Cambria Math"/>
                              <w:lang w:val="uk-UA"/>
                            </w:rPr>
                            <m:t>t-1</m:t>
                          </m:r>
                        </m:sub>
                        <m:sup>
                          <m:r>
                            <m:rPr>
                              <m:sty m:val="bi"/>
                            </m:rPr>
                            <w:rPr>
                              <w:rFonts w:ascii="Cambria Math" w:hAnsi="Cambria Math"/>
                              <w:lang w:val="uk-UA"/>
                            </w:rPr>
                            <m:t xml:space="preserve">0 </m:t>
                          </m:r>
                        </m:sup>
                      </m:sSubSup>
                    </m:oMath>
                  </m:oMathPara>
                </w:p>
              </w:tc>
              <w:tc>
                <w:tcPr>
                  <w:tcW w:w="138" w:type="dxa"/>
                  <w:tcBorders>
                    <w:top w:val="single" w:sz="2" w:space="0" w:color="auto"/>
                    <w:left w:val="single" w:sz="2" w:space="0" w:color="auto"/>
                    <w:bottom w:val="single" w:sz="2" w:space="0" w:color="auto"/>
                    <w:right w:val="single" w:sz="2" w:space="0" w:color="auto"/>
                  </w:tcBorders>
                  <w:hideMark/>
                </w:tcPr>
                <w:p w14:paraId="45FC1723" w14:textId="77777777" w:rsidR="007419FF" w:rsidRPr="00D0186D" w:rsidRDefault="007419FF" w:rsidP="007419FF">
                  <w:pPr>
                    <w:spacing w:before="150" w:after="150"/>
                    <w:jc w:val="center"/>
                    <w:rPr>
                      <w:lang w:val="uk-UA" w:eastAsia="uk-UA"/>
                    </w:rPr>
                  </w:pPr>
                  <w:r w:rsidRPr="00D0186D">
                    <w:rPr>
                      <w:lang w:val="uk-UA" w:eastAsia="uk-UA"/>
                    </w:rPr>
                    <w:t>-</w:t>
                  </w:r>
                </w:p>
              </w:tc>
              <w:tc>
                <w:tcPr>
                  <w:tcW w:w="5583" w:type="dxa"/>
                  <w:tcBorders>
                    <w:top w:val="single" w:sz="2" w:space="0" w:color="auto"/>
                    <w:left w:val="single" w:sz="2" w:space="0" w:color="auto"/>
                    <w:bottom w:val="single" w:sz="2" w:space="0" w:color="auto"/>
                    <w:right w:val="single" w:sz="2" w:space="0" w:color="auto"/>
                  </w:tcBorders>
                  <w:hideMark/>
                </w:tcPr>
                <w:p w14:paraId="73106BE9" w14:textId="1D2250C5" w:rsidR="007419FF" w:rsidRPr="00D0186D" w:rsidRDefault="008B4F5E" w:rsidP="007419FF">
                  <w:pPr>
                    <w:spacing w:before="150" w:after="150"/>
                    <w:jc w:val="both"/>
                    <w:rPr>
                      <w:b/>
                      <w:lang w:val="uk-UA" w:eastAsia="uk-UA"/>
                    </w:rPr>
                  </w:pPr>
                  <w:r w:rsidRPr="00D0186D">
                    <w:rPr>
                      <w:b/>
                      <w:lang w:val="uk-UA" w:eastAsia="uk-UA"/>
                    </w:rPr>
                    <w:t>первісна вартість активів, створених з дотриманням вимог пунктів 2.5, 2.6 та 2.10 розділу II Порядку визначення регуляторної бази активів, у році t-1 (</w:t>
                  </w:r>
                  <w:bookmarkStart w:id="31" w:name="_Hlk173400739"/>
                  <w:r w:rsidRPr="00D0186D">
                    <w:rPr>
                      <w:b/>
                      <w:lang w:val="uk-UA" w:eastAsia="uk-UA"/>
                    </w:rPr>
                    <w:t>для ліцензіатів, перелік яких наведено в додатку 30 до цього Порядку, на 2025  рік – первісна вартість активів, створених у період від дати переходу на стимулююче регулювання по рік  t-1 (включно), що не були враховані у діючих тарифах</w:t>
                  </w:r>
                  <w:bookmarkEnd w:id="31"/>
                  <w:r w:rsidRPr="00D0186D">
                    <w:rPr>
                      <w:b/>
                      <w:lang w:val="uk-UA" w:eastAsia="uk-UA"/>
                    </w:rPr>
                    <w:t>), тис. грн;</w:t>
                  </w:r>
                </w:p>
              </w:tc>
            </w:tr>
            <w:tr w:rsidR="007419FF" w:rsidRPr="00D0186D" w14:paraId="6CD3215B" w14:textId="77777777" w:rsidTr="00E82934">
              <w:tc>
                <w:tcPr>
                  <w:tcW w:w="362" w:type="dxa"/>
                  <w:tcBorders>
                    <w:top w:val="single" w:sz="2" w:space="0" w:color="auto"/>
                    <w:left w:val="single" w:sz="2" w:space="0" w:color="auto"/>
                    <w:bottom w:val="single" w:sz="2" w:space="0" w:color="auto"/>
                    <w:right w:val="single" w:sz="2" w:space="0" w:color="auto"/>
                  </w:tcBorders>
                </w:tcPr>
                <w:p w14:paraId="5FF2EC84" w14:textId="77777777" w:rsidR="007419FF" w:rsidRPr="00D0186D" w:rsidRDefault="007419FF" w:rsidP="007419FF">
                  <w:pPr>
                    <w:rPr>
                      <w:lang w:val="uk-UA" w:eastAsia="uk-UA"/>
                    </w:rPr>
                  </w:pPr>
                </w:p>
              </w:tc>
              <w:tc>
                <w:tcPr>
                  <w:tcW w:w="1349" w:type="dxa"/>
                  <w:tcBorders>
                    <w:top w:val="single" w:sz="2" w:space="0" w:color="auto"/>
                    <w:left w:val="single" w:sz="2" w:space="0" w:color="auto"/>
                    <w:bottom w:val="single" w:sz="2" w:space="0" w:color="auto"/>
                    <w:right w:val="single" w:sz="2" w:space="0" w:color="auto"/>
                  </w:tcBorders>
                </w:tcPr>
                <w:p w14:paraId="056878B2" w14:textId="77777777" w:rsidR="007419FF" w:rsidRPr="00D0186D" w:rsidRDefault="00ED4B6B" w:rsidP="007419FF">
                  <w:pPr>
                    <w:spacing w:before="150" w:after="150"/>
                    <w:jc w:val="center"/>
                    <w:rPr>
                      <w:b/>
                      <w:lang w:val="uk-UA"/>
                    </w:rPr>
                  </w:pPr>
                  <m:oMath>
                    <m:sSubSup>
                      <m:sSubSupPr>
                        <m:ctrlPr>
                          <w:rPr>
                            <w:rFonts w:ascii="Cambria Math" w:hAnsi="Cambria Math"/>
                            <w:b/>
                            <w:i/>
                            <w:lang w:val="uk-UA"/>
                          </w:rPr>
                        </m:ctrlPr>
                      </m:sSubSupPr>
                      <m:e>
                        <m:r>
                          <m:rPr>
                            <m:sty m:val="bi"/>
                          </m:rPr>
                          <w:rPr>
                            <w:rFonts w:ascii="Cambria Math" w:hAnsi="Cambria Math"/>
                            <w:lang w:val="uk-UA"/>
                          </w:rPr>
                          <m:t>I</m:t>
                        </m:r>
                      </m:e>
                      <m:sub>
                        <m:r>
                          <m:rPr>
                            <m:sty m:val="bi"/>
                          </m:rPr>
                          <w:rPr>
                            <w:rFonts w:ascii="Cambria Math" w:hAnsi="Cambria Math"/>
                            <w:lang w:val="uk-UA"/>
                          </w:rPr>
                          <m:t>ВПt-1</m:t>
                        </m:r>
                      </m:sub>
                      <m:sup>
                        <m:r>
                          <m:rPr>
                            <m:sty m:val="bi"/>
                          </m:rPr>
                          <w:rPr>
                            <w:rFonts w:ascii="Cambria Math" w:hAnsi="Cambria Math"/>
                            <w:lang w:val="uk-UA"/>
                          </w:rPr>
                          <m:t xml:space="preserve">0 </m:t>
                        </m:r>
                      </m:sup>
                    </m:sSubSup>
                  </m:oMath>
                  <w:r w:rsidR="007419FF" w:rsidRPr="00D0186D">
                    <w:rPr>
                      <w:b/>
                      <w:lang w:val="uk-UA"/>
                    </w:rPr>
                    <w:t>,</w:t>
                  </w:r>
                </w:p>
              </w:tc>
              <w:tc>
                <w:tcPr>
                  <w:tcW w:w="138" w:type="dxa"/>
                  <w:tcBorders>
                    <w:top w:val="single" w:sz="2" w:space="0" w:color="auto"/>
                    <w:left w:val="single" w:sz="2" w:space="0" w:color="auto"/>
                    <w:bottom w:val="single" w:sz="2" w:space="0" w:color="auto"/>
                    <w:right w:val="single" w:sz="2" w:space="0" w:color="auto"/>
                  </w:tcBorders>
                </w:tcPr>
                <w:p w14:paraId="13EAF7FE" w14:textId="77777777" w:rsidR="007419FF" w:rsidRPr="00D0186D" w:rsidRDefault="007419FF" w:rsidP="007419FF">
                  <w:pPr>
                    <w:spacing w:before="150" w:after="150"/>
                    <w:jc w:val="center"/>
                    <w:rPr>
                      <w:lang w:val="uk-UA" w:eastAsia="uk-UA"/>
                    </w:rPr>
                  </w:pPr>
                  <w:r w:rsidRPr="00D0186D">
                    <w:rPr>
                      <w:lang w:val="uk-UA" w:eastAsia="uk-UA"/>
                    </w:rPr>
                    <w:t>-</w:t>
                  </w:r>
                </w:p>
              </w:tc>
              <w:tc>
                <w:tcPr>
                  <w:tcW w:w="5583" w:type="dxa"/>
                  <w:tcBorders>
                    <w:top w:val="single" w:sz="2" w:space="0" w:color="auto"/>
                    <w:left w:val="single" w:sz="2" w:space="0" w:color="auto"/>
                    <w:bottom w:val="single" w:sz="2" w:space="0" w:color="auto"/>
                    <w:right w:val="single" w:sz="2" w:space="0" w:color="auto"/>
                  </w:tcBorders>
                </w:tcPr>
                <w:p w14:paraId="38388F02" w14:textId="0A6B5E52" w:rsidR="000E575E" w:rsidRPr="00D0186D" w:rsidRDefault="007419FF" w:rsidP="007419FF">
                  <w:pPr>
                    <w:spacing w:before="150" w:after="150"/>
                    <w:jc w:val="both"/>
                    <w:rPr>
                      <w:b/>
                      <w:bCs/>
                      <w:lang w:val="uk-UA" w:eastAsia="uk-UA"/>
                    </w:rPr>
                  </w:pPr>
                  <w:r w:rsidRPr="00D0186D">
                    <w:rPr>
                      <w:b/>
                      <w:bCs/>
                      <w:lang w:val="uk-UA" w:eastAsia="uk-UA"/>
                    </w:rPr>
                    <w:t>залишкова вартість активів</w:t>
                  </w:r>
                  <w:r w:rsidR="00DE7381" w:rsidRPr="00D0186D">
                    <w:rPr>
                      <w:b/>
                      <w:bCs/>
                      <w:lang w:val="uk-UA" w:eastAsia="uk-UA"/>
                    </w:rPr>
                    <w:t>,</w:t>
                  </w:r>
                  <w:r w:rsidRPr="00D0186D">
                    <w:rPr>
                      <w:b/>
                      <w:bCs/>
                      <w:lang w:val="uk-UA" w:eastAsia="uk-UA"/>
                    </w:rPr>
                    <w:t xml:space="preserve"> введених (повернутих) до регуляторної бази активів, визначена на дату </w:t>
                  </w:r>
                  <w:r w:rsidRPr="00D0186D">
                    <w:rPr>
                      <w:b/>
                      <w:bCs/>
                      <w:lang w:val="uk-UA" w:eastAsia="uk-UA"/>
                    </w:rPr>
                    <w:lastRenderedPageBreak/>
                    <w:t>виведення таких активів з експлуатації у зв'язку із тимчасовим припиненням їх використання (щодо нерухомого майна – без демонтажу), у році t-1, тис. грн;</w:t>
                  </w:r>
                </w:p>
              </w:tc>
            </w:tr>
            <w:tr w:rsidR="007419FF" w:rsidRPr="00D0186D" w14:paraId="338954CF" w14:textId="77777777" w:rsidTr="00E82934">
              <w:tc>
                <w:tcPr>
                  <w:tcW w:w="362" w:type="dxa"/>
                  <w:tcBorders>
                    <w:top w:val="single" w:sz="2" w:space="0" w:color="auto"/>
                    <w:left w:val="single" w:sz="2" w:space="0" w:color="auto"/>
                    <w:bottom w:val="single" w:sz="2" w:space="0" w:color="auto"/>
                    <w:right w:val="single" w:sz="2" w:space="0" w:color="auto"/>
                  </w:tcBorders>
                  <w:hideMark/>
                </w:tcPr>
                <w:p w14:paraId="7AB393E5" w14:textId="77777777" w:rsidR="007419FF" w:rsidRPr="00D0186D" w:rsidRDefault="007419FF" w:rsidP="007419FF">
                  <w:pPr>
                    <w:spacing w:before="150" w:after="150"/>
                    <w:rPr>
                      <w:lang w:val="uk-UA" w:eastAsia="uk-UA"/>
                    </w:rPr>
                  </w:pPr>
                </w:p>
              </w:tc>
              <w:tc>
                <w:tcPr>
                  <w:tcW w:w="1349" w:type="dxa"/>
                  <w:tcBorders>
                    <w:top w:val="single" w:sz="2" w:space="0" w:color="auto"/>
                    <w:left w:val="single" w:sz="2" w:space="0" w:color="auto"/>
                    <w:bottom w:val="single" w:sz="2" w:space="0" w:color="auto"/>
                    <w:right w:val="single" w:sz="2" w:space="0" w:color="auto"/>
                  </w:tcBorders>
                  <w:hideMark/>
                </w:tcPr>
                <w:p w14:paraId="563DB180" w14:textId="77777777" w:rsidR="007419FF" w:rsidRPr="00D0186D" w:rsidRDefault="007419FF" w:rsidP="007419FF">
                  <w:pPr>
                    <w:spacing w:before="150" w:after="150"/>
                    <w:jc w:val="center"/>
                    <w:rPr>
                      <w:lang w:val="uk-UA" w:eastAsia="uk-UA"/>
                    </w:rPr>
                  </w:pPr>
                  <w:r w:rsidRPr="00D0186D">
                    <w:rPr>
                      <w:noProof/>
                      <w:lang w:val="uk-UA" w:eastAsia="uk-UA"/>
                    </w:rPr>
                    <w:drawing>
                      <wp:inline distT="0" distB="0" distL="0" distR="0" wp14:anchorId="15240D38" wp14:editId="231BCD13">
                        <wp:extent cx="422910" cy="189865"/>
                        <wp:effectExtent l="0" t="0" r="0" b="635"/>
                        <wp:docPr id="2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Рисунок 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22910" cy="189865"/>
                                </a:xfrm>
                                <a:prstGeom prst="rect">
                                  <a:avLst/>
                                </a:prstGeom>
                                <a:noFill/>
                                <a:ln>
                                  <a:noFill/>
                                </a:ln>
                              </pic:spPr>
                            </pic:pic>
                          </a:graphicData>
                        </a:graphic>
                      </wp:inline>
                    </w:drawing>
                  </w:r>
                </w:p>
              </w:tc>
              <w:tc>
                <w:tcPr>
                  <w:tcW w:w="138" w:type="dxa"/>
                  <w:tcBorders>
                    <w:top w:val="single" w:sz="2" w:space="0" w:color="auto"/>
                    <w:left w:val="single" w:sz="2" w:space="0" w:color="auto"/>
                    <w:bottom w:val="single" w:sz="2" w:space="0" w:color="auto"/>
                    <w:right w:val="single" w:sz="2" w:space="0" w:color="auto"/>
                  </w:tcBorders>
                  <w:hideMark/>
                </w:tcPr>
                <w:p w14:paraId="17CF5857" w14:textId="77777777" w:rsidR="007419FF" w:rsidRPr="00D0186D" w:rsidRDefault="007419FF" w:rsidP="007419FF">
                  <w:pPr>
                    <w:spacing w:before="150" w:after="150"/>
                    <w:jc w:val="center"/>
                    <w:rPr>
                      <w:lang w:val="uk-UA" w:eastAsia="uk-UA"/>
                    </w:rPr>
                  </w:pPr>
                  <w:r w:rsidRPr="00D0186D">
                    <w:rPr>
                      <w:lang w:val="uk-UA" w:eastAsia="uk-UA"/>
                    </w:rPr>
                    <w:t>-</w:t>
                  </w:r>
                </w:p>
              </w:tc>
              <w:tc>
                <w:tcPr>
                  <w:tcW w:w="5583" w:type="dxa"/>
                  <w:tcBorders>
                    <w:top w:val="single" w:sz="2" w:space="0" w:color="auto"/>
                    <w:left w:val="single" w:sz="2" w:space="0" w:color="auto"/>
                    <w:bottom w:val="single" w:sz="2" w:space="0" w:color="auto"/>
                    <w:right w:val="single" w:sz="2" w:space="0" w:color="auto"/>
                  </w:tcBorders>
                  <w:hideMark/>
                </w:tcPr>
                <w:p w14:paraId="087CB71C" w14:textId="77777777" w:rsidR="007419FF" w:rsidRPr="00D0186D" w:rsidRDefault="007419FF" w:rsidP="007419FF">
                  <w:pPr>
                    <w:spacing w:before="150" w:after="150"/>
                    <w:jc w:val="both"/>
                    <w:rPr>
                      <w:lang w:val="uk-UA" w:eastAsia="uk-UA"/>
                    </w:rPr>
                  </w:pPr>
                  <w:r w:rsidRPr="00D0186D">
                    <w:rPr>
                      <w:lang w:val="uk-UA" w:eastAsia="uk-UA"/>
                    </w:rPr>
                    <w:t>встановлена НКРЕКП регуляторна норма доходу на регуляторну базу активів, яка створена на дату переходу до стимулюючого регулювання, відносні одиниці;</w:t>
                  </w:r>
                </w:p>
              </w:tc>
            </w:tr>
            <w:tr w:rsidR="007419FF" w:rsidRPr="00D0186D" w14:paraId="1E3B0B78" w14:textId="77777777" w:rsidTr="00E82934">
              <w:tc>
                <w:tcPr>
                  <w:tcW w:w="362" w:type="dxa"/>
                  <w:tcBorders>
                    <w:top w:val="single" w:sz="2" w:space="0" w:color="auto"/>
                    <w:left w:val="single" w:sz="2" w:space="0" w:color="auto"/>
                    <w:bottom w:val="single" w:sz="2" w:space="0" w:color="auto"/>
                    <w:right w:val="single" w:sz="2" w:space="0" w:color="auto"/>
                  </w:tcBorders>
                </w:tcPr>
                <w:p w14:paraId="36876669" w14:textId="77777777" w:rsidR="007419FF" w:rsidRPr="00D0186D" w:rsidRDefault="007419FF" w:rsidP="007419FF">
                  <w:pPr>
                    <w:spacing w:before="150" w:after="150"/>
                    <w:rPr>
                      <w:lang w:val="uk-UA" w:eastAsia="uk-UA"/>
                    </w:rPr>
                  </w:pPr>
                </w:p>
              </w:tc>
              <w:tc>
                <w:tcPr>
                  <w:tcW w:w="1349" w:type="dxa"/>
                  <w:tcBorders>
                    <w:top w:val="single" w:sz="2" w:space="0" w:color="auto"/>
                    <w:left w:val="single" w:sz="2" w:space="0" w:color="auto"/>
                    <w:bottom w:val="single" w:sz="2" w:space="0" w:color="auto"/>
                    <w:right w:val="single" w:sz="2" w:space="0" w:color="auto"/>
                  </w:tcBorders>
                </w:tcPr>
                <w:p w14:paraId="0370A27D" w14:textId="25156911" w:rsidR="007419FF" w:rsidRPr="00D0186D" w:rsidRDefault="00DE7381" w:rsidP="007419FF">
                  <w:pPr>
                    <w:spacing w:before="150" w:after="150"/>
                    <w:jc w:val="center"/>
                    <w:rPr>
                      <w:noProof/>
                      <w:lang w:val="uk-UA" w:eastAsia="uk-UA"/>
                    </w:rPr>
                  </w:pPr>
                  <m:oMath>
                    <m:r>
                      <m:rPr>
                        <m:sty m:val="p"/>
                      </m:rPr>
                      <w:rPr>
                        <w:rFonts w:ascii="Cambria Math" w:hAnsi="Cambria Math"/>
                        <w:lang w:val="uk-UA"/>
                      </w:rPr>
                      <m:t>РБ</m:t>
                    </m:r>
                    <m:sSubSup>
                      <m:sSubSupPr>
                        <m:ctrlPr>
                          <w:rPr>
                            <w:rFonts w:ascii="Cambria Math" w:hAnsi="Cambria Math"/>
                            <w:lang w:val="uk-UA"/>
                          </w:rPr>
                        </m:ctrlPr>
                      </m:sSubSupPr>
                      <m:e>
                        <m:r>
                          <m:rPr>
                            <m:sty m:val="p"/>
                          </m:rPr>
                          <w:rPr>
                            <w:rFonts w:ascii="Cambria Math" w:hAnsi="Cambria Math"/>
                            <w:lang w:val="uk-UA"/>
                          </w:rPr>
                          <m:t>А</m:t>
                        </m:r>
                      </m:e>
                      <m:sub>
                        <m:r>
                          <m:rPr>
                            <m:sty m:val="p"/>
                          </m:rPr>
                          <w:rPr>
                            <w:rFonts w:ascii="Cambria Math" w:hAnsi="Cambria Math"/>
                            <w:lang w:val="uk-UA"/>
                          </w:rPr>
                          <m:t>поч t</m:t>
                        </m:r>
                      </m:sub>
                      <m:sup>
                        <m:r>
                          <m:rPr>
                            <m:sty m:val="p"/>
                          </m:rPr>
                          <w:rPr>
                            <w:rFonts w:ascii="Cambria Math" w:hAnsi="Cambria Math"/>
                            <w:lang w:val="uk-UA"/>
                          </w:rPr>
                          <m:t>нов 1</m:t>
                        </m:r>
                      </m:sup>
                    </m:sSubSup>
                    <m:r>
                      <m:rPr>
                        <m:sty m:val="p"/>
                      </m:rPr>
                      <w:rPr>
                        <w:rFonts w:ascii="Cambria Math" w:hAnsi="Cambria Math"/>
                        <w:lang w:val="uk-UA"/>
                      </w:rPr>
                      <m:t xml:space="preserve"> </m:t>
                    </m:r>
                  </m:oMath>
                  <w:r w:rsidRPr="00D0186D">
                    <w:rPr>
                      <w:lang w:val="uk-UA"/>
                    </w:rPr>
                    <w:t xml:space="preserve"> </w:t>
                  </w:r>
                </w:p>
              </w:tc>
              <w:tc>
                <w:tcPr>
                  <w:tcW w:w="138" w:type="dxa"/>
                  <w:tcBorders>
                    <w:top w:val="single" w:sz="2" w:space="0" w:color="auto"/>
                    <w:left w:val="single" w:sz="2" w:space="0" w:color="auto"/>
                    <w:bottom w:val="single" w:sz="2" w:space="0" w:color="auto"/>
                    <w:right w:val="single" w:sz="2" w:space="0" w:color="auto"/>
                  </w:tcBorders>
                </w:tcPr>
                <w:p w14:paraId="13164ECF" w14:textId="77777777" w:rsidR="007419FF" w:rsidRPr="00D0186D" w:rsidRDefault="007419FF" w:rsidP="007419FF">
                  <w:pPr>
                    <w:spacing w:before="150" w:after="150"/>
                    <w:jc w:val="center"/>
                    <w:rPr>
                      <w:lang w:val="uk-UA" w:eastAsia="uk-UA"/>
                    </w:rPr>
                  </w:pPr>
                  <w:r w:rsidRPr="00D0186D">
                    <w:rPr>
                      <w:lang w:val="uk-UA" w:eastAsia="uk-UA"/>
                    </w:rPr>
                    <w:t>-</w:t>
                  </w:r>
                </w:p>
              </w:tc>
              <w:tc>
                <w:tcPr>
                  <w:tcW w:w="5583" w:type="dxa"/>
                  <w:tcBorders>
                    <w:top w:val="single" w:sz="2" w:space="0" w:color="auto"/>
                    <w:left w:val="single" w:sz="2" w:space="0" w:color="auto"/>
                    <w:bottom w:val="single" w:sz="2" w:space="0" w:color="auto"/>
                    <w:right w:val="single" w:sz="2" w:space="0" w:color="auto"/>
                  </w:tcBorders>
                </w:tcPr>
                <w:p w14:paraId="59DA13EB" w14:textId="77777777" w:rsidR="007419FF" w:rsidRPr="00D0186D" w:rsidRDefault="007419FF" w:rsidP="007419FF">
                  <w:pPr>
                    <w:spacing w:before="150" w:after="150"/>
                    <w:jc w:val="both"/>
                    <w:rPr>
                      <w:lang w:val="uk-UA" w:eastAsia="uk-UA"/>
                    </w:rPr>
                  </w:pPr>
                  <w:r w:rsidRPr="00D0186D">
                    <w:rPr>
                      <w:lang w:val="uk-UA" w:eastAsia="uk-UA"/>
                    </w:rPr>
                    <w:t>регуляторна база активів, віднесених до категорії 1, що створена після переходу до стимулюючого регулювання, на початок року t, тис. грн.</w:t>
                  </w:r>
                </w:p>
              </w:tc>
            </w:tr>
          </w:tbl>
          <w:p w14:paraId="0E362E7A" w14:textId="77777777" w:rsidR="007419FF" w:rsidRPr="00D0186D" w:rsidRDefault="007419FF" w:rsidP="007419FF">
            <w:pPr>
              <w:shd w:val="clear" w:color="auto" w:fill="FFFFFF"/>
              <w:spacing w:after="150"/>
              <w:ind w:firstLine="450"/>
              <w:jc w:val="both"/>
              <w:rPr>
                <w:lang w:val="uk-UA" w:eastAsia="uk-UA"/>
              </w:rPr>
            </w:pPr>
            <w:r w:rsidRPr="00D0186D">
              <w:rPr>
                <w:lang w:val="uk-UA" w:eastAsia="uk-UA"/>
              </w:rPr>
              <w:t>На початок першого року першого регуляторного періоду впровадження стимулюючого регулювання РБА</w:t>
            </w:r>
            <w:r w:rsidRPr="00D0186D">
              <w:rPr>
                <w:vertAlign w:val="superscript"/>
                <w:lang w:val="uk-UA" w:eastAsia="uk-UA"/>
              </w:rPr>
              <w:t>0</w:t>
            </w:r>
            <w:r w:rsidRPr="00D0186D">
              <w:rPr>
                <w:vertAlign w:val="subscript"/>
                <w:lang w:val="uk-UA" w:eastAsia="uk-UA"/>
              </w:rPr>
              <w:t>поч</w:t>
            </w:r>
            <w:r w:rsidRPr="00D0186D">
              <w:rPr>
                <w:b/>
                <w:bCs/>
                <w:vertAlign w:val="subscript"/>
                <w:lang w:val="uk-UA" w:eastAsia="uk-UA"/>
              </w:rPr>
              <w:t xml:space="preserve"> t</w:t>
            </w:r>
            <w:r w:rsidRPr="00D0186D">
              <w:rPr>
                <w:lang w:val="uk-UA" w:eastAsia="uk-UA"/>
              </w:rPr>
              <w:t> дорівнює регуляторній базі активів, яка створена на дату переходу до стимулюючого регулювання (РБА</w:t>
            </w:r>
            <w:r w:rsidRPr="00D0186D">
              <w:rPr>
                <w:vertAlign w:val="superscript"/>
                <w:lang w:val="uk-UA" w:eastAsia="uk-UA"/>
              </w:rPr>
              <w:t>0</w:t>
            </w:r>
            <w:r w:rsidRPr="00D0186D">
              <w:rPr>
                <w:lang w:val="uk-UA" w:eastAsia="uk-UA"/>
              </w:rPr>
              <w:t>);</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377"/>
              <w:gridCol w:w="1047"/>
              <w:gridCol w:w="50"/>
              <w:gridCol w:w="6241"/>
            </w:tblGrid>
            <w:tr w:rsidR="007419FF" w:rsidRPr="00D0186D" w14:paraId="199561DD" w14:textId="77777777" w:rsidTr="00E82934">
              <w:tc>
                <w:tcPr>
                  <w:tcW w:w="585" w:type="dxa"/>
                  <w:tcBorders>
                    <w:top w:val="single" w:sz="2" w:space="0" w:color="auto"/>
                    <w:left w:val="single" w:sz="2" w:space="0" w:color="auto"/>
                    <w:bottom w:val="single" w:sz="2" w:space="0" w:color="auto"/>
                    <w:right w:val="single" w:sz="2" w:space="0" w:color="auto"/>
                  </w:tcBorders>
                  <w:hideMark/>
                </w:tcPr>
                <w:p w14:paraId="4FA1B697" w14:textId="77777777" w:rsidR="007419FF" w:rsidRPr="00D0186D" w:rsidRDefault="007419FF" w:rsidP="007419FF">
                  <w:pPr>
                    <w:spacing w:after="150"/>
                    <w:jc w:val="both"/>
                    <w:rPr>
                      <w:lang w:val="uk-UA" w:eastAsia="uk-UA"/>
                    </w:rPr>
                  </w:pPr>
                </w:p>
              </w:tc>
              <w:tc>
                <w:tcPr>
                  <w:tcW w:w="1680" w:type="dxa"/>
                  <w:tcBorders>
                    <w:top w:val="single" w:sz="2" w:space="0" w:color="auto"/>
                    <w:left w:val="single" w:sz="2" w:space="0" w:color="auto"/>
                    <w:bottom w:val="single" w:sz="2" w:space="0" w:color="auto"/>
                    <w:right w:val="single" w:sz="2" w:space="0" w:color="auto"/>
                  </w:tcBorders>
                  <w:hideMark/>
                </w:tcPr>
                <w:p w14:paraId="09E6A882" w14:textId="45A16373" w:rsidR="007419FF" w:rsidRPr="00D0186D" w:rsidRDefault="00DE7381" w:rsidP="007419FF">
                  <w:pPr>
                    <w:spacing w:before="150" w:after="150"/>
                    <w:rPr>
                      <w:lang w:val="uk-UA" w:eastAsia="uk-UA"/>
                    </w:rPr>
                  </w:pPr>
                  <w:proofErr w:type="spellStart"/>
                  <w:r w:rsidRPr="00D0186D">
                    <w:rPr>
                      <w:lang w:val="uk-UA"/>
                    </w:rPr>
                    <w:t>РНД</w:t>
                  </w:r>
                  <w:r w:rsidRPr="00D0186D">
                    <w:rPr>
                      <w:vertAlign w:val="superscript"/>
                      <w:lang w:val="uk-UA"/>
                    </w:rPr>
                    <w:t>нов</w:t>
                  </w:r>
                  <w:proofErr w:type="spellEnd"/>
                </w:p>
              </w:tc>
              <w:tc>
                <w:tcPr>
                  <w:tcW w:w="15" w:type="dxa"/>
                  <w:tcBorders>
                    <w:top w:val="single" w:sz="2" w:space="0" w:color="auto"/>
                    <w:left w:val="single" w:sz="2" w:space="0" w:color="auto"/>
                    <w:bottom w:val="single" w:sz="2" w:space="0" w:color="auto"/>
                    <w:right w:val="single" w:sz="2" w:space="0" w:color="auto"/>
                  </w:tcBorders>
                  <w:hideMark/>
                </w:tcPr>
                <w:p w14:paraId="70DB3B0C" w14:textId="77777777" w:rsidR="007419FF" w:rsidRPr="00D0186D" w:rsidRDefault="007419FF" w:rsidP="007419FF">
                  <w:pPr>
                    <w:spacing w:before="150" w:after="150"/>
                    <w:jc w:val="center"/>
                    <w:rPr>
                      <w:lang w:val="uk-UA" w:eastAsia="uk-UA"/>
                    </w:rPr>
                  </w:pPr>
                  <w:r w:rsidRPr="00D0186D">
                    <w:rPr>
                      <w:lang w:val="uk-UA" w:eastAsia="uk-UA"/>
                    </w:rPr>
                    <w:t>-</w:t>
                  </w:r>
                </w:p>
              </w:tc>
              <w:tc>
                <w:tcPr>
                  <w:tcW w:w="10170" w:type="dxa"/>
                  <w:tcBorders>
                    <w:top w:val="single" w:sz="2" w:space="0" w:color="auto"/>
                    <w:left w:val="single" w:sz="2" w:space="0" w:color="auto"/>
                    <w:bottom w:val="single" w:sz="2" w:space="0" w:color="auto"/>
                    <w:right w:val="single" w:sz="2" w:space="0" w:color="auto"/>
                  </w:tcBorders>
                  <w:hideMark/>
                </w:tcPr>
                <w:p w14:paraId="25752190" w14:textId="77777777" w:rsidR="007419FF" w:rsidRPr="00D0186D" w:rsidRDefault="007419FF" w:rsidP="007419FF">
                  <w:pPr>
                    <w:spacing w:before="150" w:after="150"/>
                    <w:rPr>
                      <w:lang w:val="uk-UA" w:eastAsia="uk-UA"/>
                    </w:rPr>
                  </w:pPr>
                  <w:r w:rsidRPr="00D0186D">
                    <w:rPr>
                      <w:lang w:val="uk-UA" w:eastAsia="uk-UA"/>
                    </w:rPr>
                    <w:t>встановлена НКРЕКП регуляторна норма доходу на регуляторну базу активів, яка створена після переходу до стимулюючого регулювання, відносні одиниці.</w:t>
                  </w:r>
                </w:p>
              </w:tc>
            </w:tr>
          </w:tbl>
          <w:p w14:paraId="4C7CDD19" w14:textId="0AA65F1E" w:rsidR="007419FF" w:rsidRPr="00D0186D" w:rsidRDefault="007419FF" w:rsidP="007419FF">
            <w:pPr>
              <w:tabs>
                <w:tab w:val="left" w:pos="2325"/>
              </w:tabs>
              <w:rPr>
                <w:lang w:val="uk-UA" w:eastAsia="uk-UA"/>
              </w:rPr>
            </w:pPr>
          </w:p>
        </w:tc>
      </w:tr>
      <w:tr w:rsidR="007419FF" w:rsidRPr="00D0186D" w14:paraId="2FD49D61" w14:textId="77777777" w:rsidTr="00274934">
        <w:tc>
          <w:tcPr>
            <w:tcW w:w="7934" w:type="dxa"/>
          </w:tcPr>
          <w:p w14:paraId="1DA96009" w14:textId="77777777" w:rsidR="007419FF" w:rsidRPr="00D0186D" w:rsidRDefault="00ED4B6B" w:rsidP="007419FF">
            <w:pPr>
              <w:shd w:val="clear" w:color="auto" w:fill="FFFFFF"/>
              <w:ind w:firstLine="457"/>
              <w:jc w:val="both"/>
              <w:outlineLvl w:val="2"/>
              <w:rPr>
                <w:lang w:val="uk-UA" w:eastAsia="uk-UA"/>
              </w:rPr>
            </w:pPr>
            <w:hyperlink r:id="rId43" w:tgtFrame="_blank" w:history="1">
              <w:r w:rsidR="007419FF" w:rsidRPr="00D0186D">
                <w:rPr>
                  <w:lang w:val="uk-UA" w:eastAsia="uk-UA"/>
                </w:rPr>
                <w:t>5.16.</w:t>
              </w:r>
            </w:hyperlink>
            <w:r w:rsidR="007419FF" w:rsidRPr="00D0186D">
              <w:rPr>
                <w:lang w:val="uk-UA" w:eastAsia="uk-UA"/>
              </w:rPr>
              <w:t> Регуляторна база активів, віднесених до категорії 1, що створена після переходу до стимулюючого регулювання та на яку нараховується </w:t>
            </w:r>
            <w:r w:rsidR="007419FF" w:rsidRPr="00D0186D">
              <w:rPr>
                <w:noProof/>
                <w:lang w:val="uk-UA" w:eastAsia="uk-UA"/>
              </w:rPr>
              <w:drawing>
                <wp:inline distT="0" distB="0" distL="0" distR="0" wp14:anchorId="3DB08C7C" wp14:editId="390A4D6F">
                  <wp:extent cx="571500" cy="158750"/>
                  <wp:effectExtent l="0" t="0" r="0" b="0"/>
                  <wp:docPr id="51" name="Рисунок 51" descr="https://ips.ligazakon.net/l_flib1.nsf/LookupFiles/GK40721_IMG_270.GIF/$file/GK40721_IMG_27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Рисунок 51" descr="https://ips.ligazakon.net/l_flib1.nsf/LookupFiles/GK40721_IMG_270.GIF/$file/GK40721_IMG_270.GIF"/>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71500" cy="158750"/>
                          </a:xfrm>
                          <a:prstGeom prst="rect">
                            <a:avLst/>
                          </a:prstGeom>
                          <a:noFill/>
                          <a:ln>
                            <a:noFill/>
                          </a:ln>
                        </pic:spPr>
                      </pic:pic>
                    </a:graphicData>
                  </a:graphic>
                </wp:inline>
              </w:drawing>
            </w:r>
            <w:r w:rsidR="007419FF" w:rsidRPr="00D0186D">
              <w:rPr>
                <w:lang w:val="uk-UA" w:eastAsia="uk-UA"/>
              </w:rPr>
              <w:t>, на початок року </w:t>
            </w:r>
            <w:r w:rsidR="007419FF" w:rsidRPr="00D0186D">
              <w:rPr>
                <w:noProof/>
                <w:lang w:val="uk-UA" w:eastAsia="uk-UA"/>
              </w:rPr>
              <w:drawing>
                <wp:inline distT="0" distB="0" distL="0" distR="0" wp14:anchorId="5B4973BD" wp14:editId="2BEA0063">
                  <wp:extent cx="908050" cy="184150"/>
                  <wp:effectExtent l="0" t="0" r="6350" b="6350"/>
                  <wp:docPr id="50" name="Рисунок 50" descr="https://ips.ligazakon.net/l_flib1.nsf/LookupFiles/GK40721_IMG_271.GIF/$file/GK40721_IMG_2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Рисунок 50" descr="https://ips.ligazakon.net/l_flib1.nsf/LookupFiles/GK40721_IMG_271.GIF/$file/GK40721_IMG_271.GIF"/>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908050" cy="184150"/>
                          </a:xfrm>
                          <a:prstGeom prst="rect">
                            <a:avLst/>
                          </a:prstGeom>
                          <a:noFill/>
                          <a:ln>
                            <a:noFill/>
                          </a:ln>
                        </pic:spPr>
                      </pic:pic>
                    </a:graphicData>
                  </a:graphic>
                </wp:inline>
              </w:drawing>
            </w:r>
            <w:r w:rsidR="007419FF" w:rsidRPr="00D0186D">
              <w:rPr>
                <w:lang w:val="uk-UA" w:eastAsia="uk-UA"/>
              </w:rPr>
              <w:t> визначається за формулою</w:t>
            </w:r>
          </w:p>
          <w:p w14:paraId="05D5EC4D" w14:textId="77777777" w:rsidR="007419FF" w:rsidRPr="00D0186D" w:rsidRDefault="007419FF" w:rsidP="007419FF">
            <w:pPr>
              <w:shd w:val="clear" w:color="auto" w:fill="FFFFFF"/>
              <w:ind w:firstLine="457"/>
              <w:jc w:val="both"/>
              <w:outlineLvl w:val="2"/>
              <w:rPr>
                <w:lang w:val="uk-UA" w:eastAsia="uk-UA"/>
              </w:rPr>
            </w:pPr>
          </w:p>
          <w:tbl>
            <w:tblPr>
              <w:tblW w:w="10500" w:type="dxa"/>
              <w:jc w:val="center"/>
              <w:tblLayout w:type="fixed"/>
              <w:tblCellMar>
                <w:top w:w="15" w:type="dxa"/>
                <w:left w:w="15" w:type="dxa"/>
                <w:bottom w:w="15" w:type="dxa"/>
                <w:right w:w="15" w:type="dxa"/>
              </w:tblCellMar>
              <w:tblLook w:val="04A0" w:firstRow="1" w:lastRow="0" w:firstColumn="1" w:lastColumn="0" w:noHBand="0" w:noVBand="1"/>
            </w:tblPr>
            <w:tblGrid>
              <w:gridCol w:w="7350"/>
              <w:gridCol w:w="2625"/>
              <w:gridCol w:w="525"/>
            </w:tblGrid>
            <w:tr w:rsidR="007419FF" w:rsidRPr="00D0186D" w14:paraId="2DD9434A" w14:textId="77777777" w:rsidTr="00E82934">
              <w:trPr>
                <w:jc w:val="center"/>
              </w:trPr>
              <w:tc>
                <w:tcPr>
                  <w:tcW w:w="3500" w:type="pct"/>
                  <w:shd w:val="clear" w:color="auto" w:fill="auto"/>
                  <w:tcMar>
                    <w:top w:w="0" w:type="dxa"/>
                    <w:left w:w="0" w:type="dxa"/>
                    <w:bottom w:w="0" w:type="dxa"/>
                    <w:right w:w="0" w:type="dxa"/>
                  </w:tcMar>
                  <w:vAlign w:val="center"/>
                  <w:hideMark/>
                </w:tcPr>
                <w:p w14:paraId="7AD6EDD5" w14:textId="77777777" w:rsidR="007419FF" w:rsidRPr="00D0186D" w:rsidRDefault="007419FF" w:rsidP="007419FF">
                  <w:pPr>
                    <w:pStyle w:val="tr"/>
                    <w:spacing w:before="0" w:beforeAutospacing="0" w:after="0" w:afterAutospacing="0"/>
                    <w:jc w:val="right"/>
                  </w:pPr>
                  <w:r w:rsidRPr="00D0186D">
                    <w:rPr>
                      <w:noProof/>
                    </w:rPr>
                    <w:drawing>
                      <wp:inline distT="0" distB="0" distL="0" distR="0" wp14:anchorId="4B1DB0ED" wp14:editId="4D196191">
                        <wp:extent cx="3562350" cy="184150"/>
                        <wp:effectExtent l="0" t="0" r="0" b="6350"/>
                        <wp:docPr id="27" name="Рисунок 27" descr="https://ips.ligazakon.net/l_flib1.nsf/LookupFiles/GK40721_IMG_291.GIF/$file/GK40721_IMG_29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Рисунок 49" descr="https://ips.ligazakon.net/l_flib1.nsf/LookupFiles/GK40721_IMG_291.GIF/$file/GK40721_IMG_291.GIF"/>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562350" cy="184150"/>
                                </a:xfrm>
                                <a:prstGeom prst="rect">
                                  <a:avLst/>
                                </a:prstGeom>
                                <a:noFill/>
                                <a:ln>
                                  <a:noFill/>
                                </a:ln>
                              </pic:spPr>
                            </pic:pic>
                          </a:graphicData>
                        </a:graphic>
                      </wp:inline>
                    </w:drawing>
                  </w:r>
                </w:p>
              </w:tc>
              <w:tc>
                <w:tcPr>
                  <w:tcW w:w="1250" w:type="pct"/>
                  <w:shd w:val="clear" w:color="auto" w:fill="auto"/>
                  <w:tcMar>
                    <w:top w:w="0" w:type="dxa"/>
                    <w:left w:w="0" w:type="dxa"/>
                    <w:bottom w:w="0" w:type="dxa"/>
                    <w:right w:w="0" w:type="dxa"/>
                  </w:tcMar>
                  <w:vAlign w:val="center"/>
                  <w:hideMark/>
                </w:tcPr>
                <w:p w14:paraId="226EF67F" w14:textId="77777777" w:rsidR="007419FF" w:rsidRPr="00D0186D" w:rsidRDefault="007419FF" w:rsidP="007419FF">
                  <w:pPr>
                    <w:pStyle w:val="tl"/>
                    <w:spacing w:before="0" w:beforeAutospacing="0" w:after="0" w:afterAutospacing="0"/>
                  </w:pPr>
                  <w:r w:rsidRPr="00D0186D">
                    <w:t>, тис. грн,</w:t>
                  </w:r>
                </w:p>
              </w:tc>
              <w:tc>
                <w:tcPr>
                  <w:tcW w:w="250" w:type="pct"/>
                  <w:shd w:val="clear" w:color="auto" w:fill="auto"/>
                  <w:tcMar>
                    <w:top w:w="0" w:type="dxa"/>
                    <w:left w:w="0" w:type="dxa"/>
                    <w:bottom w:w="0" w:type="dxa"/>
                    <w:right w:w="0" w:type="dxa"/>
                  </w:tcMar>
                  <w:vAlign w:val="center"/>
                  <w:hideMark/>
                </w:tcPr>
                <w:p w14:paraId="15F33231" w14:textId="77777777" w:rsidR="007419FF" w:rsidRPr="00D0186D" w:rsidRDefault="00ED4B6B" w:rsidP="007419FF">
                  <w:pPr>
                    <w:pStyle w:val="tc"/>
                    <w:spacing w:before="0" w:beforeAutospacing="0" w:after="0" w:afterAutospacing="0"/>
                  </w:pPr>
                  <w:hyperlink r:id="rId47" w:tgtFrame="_blank" w:history="1">
                    <w:r w:rsidR="007419FF" w:rsidRPr="00D0186D">
                      <w:rPr>
                        <w:rStyle w:val="a5"/>
                        <w:color w:val="auto"/>
                      </w:rPr>
                      <w:t>(14)</w:t>
                    </w:r>
                  </w:hyperlink>
                </w:p>
              </w:tc>
            </w:tr>
          </w:tbl>
          <w:p w14:paraId="02F73E49" w14:textId="77777777" w:rsidR="007419FF" w:rsidRPr="00D0186D" w:rsidRDefault="00ED4B6B" w:rsidP="007419FF">
            <w:pPr>
              <w:pStyle w:val="tr"/>
              <w:shd w:val="clear" w:color="auto" w:fill="FFFFFF"/>
              <w:spacing w:before="0" w:beforeAutospacing="0" w:after="0" w:afterAutospacing="0"/>
              <w:jc w:val="right"/>
            </w:pPr>
            <w:hyperlink r:id="rId48" w:tgtFrame="_blank" w:history="1"/>
          </w:p>
          <w:p w14:paraId="621D262C" w14:textId="77777777" w:rsidR="007419FF" w:rsidRPr="00D0186D" w:rsidRDefault="007419FF" w:rsidP="007419FF">
            <w:pPr>
              <w:shd w:val="clear" w:color="auto" w:fill="FFFFFF"/>
              <w:ind w:firstLine="457"/>
              <w:jc w:val="both"/>
              <w:outlineLvl w:val="2"/>
              <w:rPr>
                <w:lang w:val="uk-UA" w:eastAsia="uk-UA"/>
              </w:rPr>
            </w:pPr>
            <w:r w:rsidRPr="00D0186D">
              <w:rPr>
                <w:lang w:val="uk-UA" w:eastAsia="uk-UA"/>
              </w:rPr>
              <w:t>де </w:t>
            </w:r>
            <w:r w:rsidRPr="00D0186D">
              <w:rPr>
                <w:noProof/>
                <w:lang w:val="uk-UA" w:eastAsia="uk-UA"/>
              </w:rPr>
              <w:drawing>
                <wp:inline distT="0" distB="0" distL="0" distR="0" wp14:anchorId="61C0DFF9" wp14:editId="3F5D4DAA">
                  <wp:extent cx="749300" cy="184150"/>
                  <wp:effectExtent l="0" t="0" r="0" b="6350"/>
                  <wp:docPr id="48" name="Рисунок 48" descr="https://ips.ligazakon.net/l_flib1.nsf/LookupFiles/GK40721_IMG_273.GIF/$file/GK40721_IMG_27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Рисунок 48" descr="https://ips.ligazakon.net/l_flib1.nsf/LookupFiles/GK40721_IMG_273.GIF/$file/GK40721_IMG_273.GIF"/>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749300" cy="184150"/>
                          </a:xfrm>
                          <a:prstGeom prst="rect">
                            <a:avLst/>
                          </a:prstGeom>
                          <a:noFill/>
                          <a:ln>
                            <a:noFill/>
                          </a:ln>
                        </pic:spPr>
                      </pic:pic>
                    </a:graphicData>
                  </a:graphic>
                </wp:inline>
              </w:drawing>
            </w:r>
            <w:r w:rsidRPr="00D0186D">
              <w:rPr>
                <w:lang w:val="uk-UA" w:eastAsia="uk-UA"/>
              </w:rPr>
              <w:t> - регуляторна база активів, віднесених до категорії 1, що створена після переходу до стимулюючого регулювання, на початок року t-1, тис. грн;</w:t>
            </w:r>
          </w:p>
          <w:p w14:paraId="134E53E9" w14:textId="77777777" w:rsidR="007419FF" w:rsidRPr="00D0186D" w:rsidRDefault="007419FF" w:rsidP="007419FF">
            <w:pPr>
              <w:shd w:val="clear" w:color="auto" w:fill="FFFFFF"/>
              <w:ind w:firstLine="457"/>
              <w:jc w:val="both"/>
              <w:outlineLvl w:val="2"/>
              <w:rPr>
                <w:lang w:val="uk-UA" w:eastAsia="uk-UA"/>
              </w:rPr>
            </w:pPr>
          </w:p>
          <w:p w14:paraId="3EF5C7AB" w14:textId="77777777" w:rsidR="007419FF" w:rsidRPr="00D0186D" w:rsidRDefault="007419FF" w:rsidP="007419FF">
            <w:pPr>
              <w:shd w:val="clear" w:color="auto" w:fill="FFFFFF"/>
              <w:ind w:firstLine="457"/>
              <w:jc w:val="both"/>
              <w:outlineLvl w:val="2"/>
              <w:rPr>
                <w:lang w:val="uk-UA" w:eastAsia="uk-UA"/>
              </w:rPr>
            </w:pPr>
            <w:r w:rsidRPr="00D0186D">
              <w:rPr>
                <w:noProof/>
                <w:lang w:val="uk-UA" w:eastAsia="uk-UA"/>
              </w:rPr>
              <w:drawing>
                <wp:inline distT="0" distB="0" distL="0" distR="0" wp14:anchorId="79795669" wp14:editId="3EF4EA50">
                  <wp:extent cx="425450" cy="158750"/>
                  <wp:effectExtent l="0" t="0" r="0" b="0"/>
                  <wp:docPr id="47" name="Рисунок 47" descr="https://ips.ligazakon.net/l_flib1.nsf/LookupFiles/GK40721_IMG_289.GIF/$file/GK40721_IMG_28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Рисунок 47" descr="https://ips.ligazakon.net/l_flib1.nsf/LookupFiles/GK40721_IMG_289.GIF/$file/GK40721_IMG_289.GIF"/>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425450" cy="158750"/>
                          </a:xfrm>
                          <a:prstGeom prst="rect">
                            <a:avLst/>
                          </a:prstGeom>
                          <a:noFill/>
                          <a:ln>
                            <a:noFill/>
                          </a:ln>
                        </pic:spPr>
                      </pic:pic>
                    </a:graphicData>
                  </a:graphic>
                </wp:inline>
              </w:drawing>
            </w:r>
            <w:r w:rsidRPr="00D0186D">
              <w:rPr>
                <w:lang w:val="uk-UA" w:eastAsia="uk-UA"/>
              </w:rPr>
              <w:t xml:space="preserve"> - залишкова вартість виведених з експлуатації активів (елементів активів), віднесених до категорії 1, із регуляторної бази активів, </w:t>
            </w:r>
            <w:r w:rsidRPr="00D0186D">
              <w:rPr>
                <w:lang w:val="uk-UA" w:eastAsia="uk-UA"/>
              </w:rPr>
              <w:lastRenderedPageBreak/>
              <w:t>створеної після переходу до стимулюючого регулювання, у році t-1, тис. грн;</w:t>
            </w:r>
          </w:p>
          <w:p w14:paraId="75F9C389" w14:textId="77777777" w:rsidR="007419FF" w:rsidRPr="00D0186D" w:rsidRDefault="007419FF" w:rsidP="007419FF">
            <w:pPr>
              <w:shd w:val="clear" w:color="auto" w:fill="FFFFFF"/>
              <w:ind w:firstLine="457"/>
              <w:jc w:val="both"/>
              <w:outlineLvl w:val="2"/>
              <w:rPr>
                <w:lang w:val="uk-UA" w:eastAsia="uk-UA"/>
              </w:rPr>
            </w:pPr>
          </w:p>
          <w:p w14:paraId="09CF4580" w14:textId="50A6DEA9" w:rsidR="007419FF" w:rsidRPr="00D0186D" w:rsidRDefault="007419FF" w:rsidP="007419FF">
            <w:pPr>
              <w:shd w:val="clear" w:color="auto" w:fill="FFFFFF"/>
              <w:ind w:firstLine="457"/>
              <w:jc w:val="both"/>
              <w:outlineLvl w:val="2"/>
              <w:rPr>
                <w:lang w:val="uk-UA" w:eastAsia="uk-UA"/>
              </w:rPr>
            </w:pPr>
            <w:r w:rsidRPr="00D0186D">
              <w:rPr>
                <w:noProof/>
                <w:lang w:val="uk-UA"/>
              </w:rPr>
              <w:drawing>
                <wp:inline distT="0" distB="0" distL="0" distR="0" wp14:anchorId="1995AA0C" wp14:editId="5F86C7AB">
                  <wp:extent cx="304800" cy="161925"/>
                  <wp:effectExtent l="0" t="0" r="0" b="9525"/>
                  <wp:docPr id="28" name="Рисунок 28" descr="https://ips.ligazakon.net/l_flib1.nsf/LookupFiles/GK40721_IMG_290.GIF/$file/GK40721_IMG_29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ips.ligazakon.net/l_flib1.nsf/LookupFiles/GK40721_IMG_290.GIF/$file/GK40721_IMG_290.GIF"/>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304800" cy="161925"/>
                          </a:xfrm>
                          <a:prstGeom prst="rect">
                            <a:avLst/>
                          </a:prstGeom>
                          <a:noFill/>
                          <a:ln>
                            <a:noFill/>
                          </a:ln>
                        </pic:spPr>
                      </pic:pic>
                    </a:graphicData>
                  </a:graphic>
                </wp:inline>
              </w:drawing>
            </w:r>
            <w:r w:rsidRPr="00D0186D">
              <w:rPr>
                <w:lang w:val="uk-UA" w:eastAsia="uk-UA"/>
              </w:rPr>
              <w:t> - фактична вартість створених та прийнятих на баланс активів, віднесених до категорії 1 (у тому числі створених з дотриманням вимог пункту 3.5 розділу III Порядку визначення регуляторної бази активів);</w:t>
            </w:r>
          </w:p>
          <w:p w14:paraId="6FA9F42C" w14:textId="77777777" w:rsidR="007419FF" w:rsidRPr="00D0186D" w:rsidRDefault="007419FF" w:rsidP="007419FF">
            <w:pPr>
              <w:shd w:val="clear" w:color="auto" w:fill="FFFFFF"/>
              <w:ind w:firstLine="457"/>
              <w:jc w:val="both"/>
              <w:outlineLvl w:val="2"/>
              <w:rPr>
                <w:lang w:val="uk-UA"/>
              </w:rPr>
            </w:pPr>
          </w:p>
          <w:p w14:paraId="6609306C" w14:textId="77777777" w:rsidR="007419FF" w:rsidRPr="00D0186D" w:rsidRDefault="007419FF" w:rsidP="007419FF">
            <w:pPr>
              <w:shd w:val="clear" w:color="auto" w:fill="FFFFFF"/>
              <w:ind w:firstLine="457"/>
              <w:jc w:val="both"/>
              <w:outlineLvl w:val="2"/>
              <w:rPr>
                <w:lang w:val="uk-UA"/>
              </w:rPr>
            </w:pPr>
          </w:p>
          <w:p w14:paraId="09938391" w14:textId="77777777" w:rsidR="007419FF" w:rsidRPr="00D0186D" w:rsidRDefault="007419FF" w:rsidP="007419FF">
            <w:pPr>
              <w:shd w:val="clear" w:color="auto" w:fill="FFFFFF"/>
              <w:ind w:firstLine="457"/>
              <w:jc w:val="both"/>
              <w:outlineLvl w:val="2"/>
              <w:rPr>
                <w:lang w:val="uk-UA"/>
              </w:rPr>
            </w:pPr>
          </w:p>
          <w:p w14:paraId="7B2B0D77" w14:textId="77777777" w:rsidR="007419FF" w:rsidRPr="00D0186D" w:rsidRDefault="007419FF" w:rsidP="007419FF">
            <w:pPr>
              <w:shd w:val="clear" w:color="auto" w:fill="FFFFFF"/>
              <w:ind w:firstLine="457"/>
              <w:jc w:val="both"/>
              <w:outlineLvl w:val="2"/>
              <w:rPr>
                <w:lang w:val="uk-UA"/>
              </w:rPr>
            </w:pPr>
            <w:r w:rsidRPr="00D0186D">
              <w:rPr>
                <w:lang w:val="uk-UA"/>
              </w:rPr>
              <w:t>Пункт відсутній</w:t>
            </w:r>
          </w:p>
          <w:p w14:paraId="5658C6A8" w14:textId="77777777" w:rsidR="007419FF" w:rsidRPr="00D0186D" w:rsidRDefault="007419FF" w:rsidP="007419FF">
            <w:pPr>
              <w:shd w:val="clear" w:color="auto" w:fill="FFFFFF"/>
              <w:spacing w:after="150"/>
              <w:ind w:firstLine="450"/>
              <w:jc w:val="both"/>
              <w:rPr>
                <w:lang w:val="uk-UA" w:eastAsia="uk-UA"/>
              </w:rPr>
            </w:pPr>
          </w:p>
        </w:tc>
        <w:tc>
          <w:tcPr>
            <w:tcW w:w="7937" w:type="dxa"/>
          </w:tcPr>
          <w:p w14:paraId="2ED6EEFD" w14:textId="77777777" w:rsidR="007419FF" w:rsidRPr="00D0186D" w:rsidRDefault="00ED4B6B" w:rsidP="007419FF">
            <w:pPr>
              <w:shd w:val="clear" w:color="auto" w:fill="FFFFFF"/>
              <w:ind w:firstLine="457"/>
              <w:jc w:val="both"/>
              <w:outlineLvl w:val="2"/>
              <w:rPr>
                <w:lang w:val="uk-UA" w:eastAsia="uk-UA"/>
              </w:rPr>
            </w:pPr>
            <w:hyperlink r:id="rId52" w:tgtFrame="_blank" w:history="1">
              <w:r w:rsidR="007419FF" w:rsidRPr="00D0186D">
                <w:rPr>
                  <w:lang w:val="uk-UA" w:eastAsia="uk-UA"/>
                </w:rPr>
                <w:t>5.16.</w:t>
              </w:r>
            </w:hyperlink>
            <w:r w:rsidR="007419FF" w:rsidRPr="00D0186D">
              <w:rPr>
                <w:lang w:val="uk-UA" w:eastAsia="uk-UA"/>
              </w:rPr>
              <w:t> Регуляторна база активів, віднесених до категорії 1, що створена після переходу до стимулюючого регулювання та на яку нараховується </w:t>
            </w:r>
            <w:r w:rsidR="007419FF" w:rsidRPr="00D0186D">
              <w:rPr>
                <w:noProof/>
                <w:lang w:val="uk-UA" w:eastAsia="uk-UA"/>
              </w:rPr>
              <w:drawing>
                <wp:inline distT="0" distB="0" distL="0" distR="0" wp14:anchorId="26D822D2" wp14:editId="4CBC9F9D">
                  <wp:extent cx="571500" cy="158750"/>
                  <wp:effectExtent l="0" t="0" r="0" b="0"/>
                  <wp:docPr id="53" name="Рисунок 53" descr="https://ips.ligazakon.net/l_flib1.nsf/LookupFiles/GK40721_IMG_270.GIF/$file/GK40721_IMG_27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Рисунок 51" descr="https://ips.ligazakon.net/l_flib1.nsf/LookupFiles/GK40721_IMG_270.GIF/$file/GK40721_IMG_270.GIF"/>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71500" cy="158750"/>
                          </a:xfrm>
                          <a:prstGeom prst="rect">
                            <a:avLst/>
                          </a:prstGeom>
                          <a:noFill/>
                          <a:ln>
                            <a:noFill/>
                          </a:ln>
                        </pic:spPr>
                      </pic:pic>
                    </a:graphicData>
                  </a:graphic>
                </wp:inline>
              </w:drawing>
            </w:r>
            <w:r w:rsidR="007419FF" w:rsidRPr="00D0186D">
              <w:rPr>
                <w:lang w:val="uk-UA" w:eastAsia="uk-UA"/>
              </w:rPr>
              <w:t>, на початок року t ( </w:t>
            </w:r>
            <m:oMath>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поч t</m:t>
                  </m:r>
                </m:sub>
                <m:sup>
                  <m:r>
                    <m:rPr>
                      <m:sty m:val="bi"/>
                    </m:rPr>
                    <w:rPr>
                      <w:rFonts w:ascii="Cambria Math" w:hAnsi="Cambria Math"/>
                      <w:lang w:val="uk-UA"/>
                    </w:rPr>
                    <m:t>нов 1 з</m:t>
                  </m:r>
                </m:sup>
              </m:sSubSup>
            </m:oMath>
            <w:r w:rsidR="007419FF" w:rsidRPr="00D0186D">
              <w:rPr>
                <w:lang w:val="uk-UA" w:eastAsia="uk-UA"/>
              </w:rPr>
              <w:t> ) визначається за формулою</w:t>
            </w:r>
          </w:p>
          <w:tbl>
            <w:tblPr>
              <w:tblW w:w="4997" w:type="pct"/>
              <w:tblLayout w:type="fixed"/>
              <w:tblCellMar>
                <w:left w:w="0" w:type="dxa"/>
                <w:right w:w="0" w:type="dxa"/>
              </w:tblCellMar>
              <w:tblLook w:val="04A0" w:firstRow="1" w:lastRow="0" w:firstColumn="1" w:lastColumn="0" w:noHBand="0" w:noVBand="1"/>
            </w:tblPr>
            <w:tblGrid>
              <w:gridCol w:w="6816"/>
              <w:gridCol w:w="894"/>
            </w:tblGrid>
            <w:tr w:rsidR="007419FF" w:rsidRPr="00D0186D" w14:paraId="2F4CDDB9" w14:textId="77777777" w:rsidTr="00E82934">
              <w:tc>
                <w:tcPr>
                  <w:tcW w:w="6492" w:type="dxa"/>
                  <w:tcBorders>
                    <w:top w:val="single" w:sz="2" w:space="0" w:color="auto"/>
                    <w:left w:val="single" w:sz="2" w:space="0" w:color="auto"/>
                    <w:bottom w:val="single" w:sz="2" w:space="0" w:color="auto"/>
                    <w:right w:val="single" w:sz="2" w:space="0" w:color="auto"/>
                  </w:tcBorders>
                  <w:hideMark/>
                </w:tcPr>
                <w:p w14:paraId="069B21B3" w14:textId="77777777" w:rsidR="007419FF" w:rsidRPr="00D0186D" w:rsidRDefault="007419FF" w:rsidP="007419FF">
                  <w:pPr>
                    <w:spacing w:before="150" w:after="150"/>
                    <w:jc w:val="center"/>
                    <w:rPr>
                      <w:b/>
                      <w:lang w:val="uk-UA" w:eastAsia="uk-UA"/>
                    </w:rPr>
                  </w:pPr>
                  <m:oMath>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поч t</m:t>
                        </m:r>
                      </m:sub>
                      <m:sup>
                        <m:r>
                          <m:rPr>
                            <m:sty m:val="bi"/>
                          </m:rPr>
                          <w:rPr>
                            <w:rFonts w:ascii="Cambria Math" w:hAnsi="Cambria Math"/>
                            <w:lang w:val="uk-UA"/>
                          </w:rPr>
                          <m:t xml:space="preserve">нов 1 </m:t>
                        </m:r>
                      </m:sup>
                    </m:sSubSup>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поч t-1</m:t>
                        </m:r>
                      </m:sub>
                      <m:sup>
                        <m:r>
                          <m:rPr>
                            <m:sty m:val="bi"/>
                          </m:rPr>
                          <w:rPr>
                            <w:rFonts w:ascii="Cambria Math" w:hAnsi="Cambria Math"/>
                            <w:lang w:val="uk-UA"/>
                          </w:rPr>
                          <m:t xml:space="preserve">нов 1 </m:t>
                        </m:r>
                      </m:sup>
                    </m:sSubSup>
                    <m:r>
                      <m:rPr>
                        <m:sty m:val="bi"/>
                      </m:rPr>
                      <w:rPr>
                        <w:rFonts w:ascii="Cambria Math" w:hAnsi="Cambria Math"/>
                        <w:lang w:val="uk-UA"/>
                      </w:rPr>
                      <m:t>-В</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 xml:space="preserve"> t-1</m:t>
                        </m:r>
                      </m:sub>
                      <m:sup>
                        <m:r>
                          <m:rPr>
                            <m:sty m:val="bi"/>
                          </m:rPr>
                          <w:rPr>
                            <w:rFonts w:ascii="Cambria Math" w:hAnsi="Cambria Math"/>
                            <w:lang w:val="uk-UA"/>
                          </w:rPr>
                          <m:t xml:space="preserve">нов 1 </m:t>
                        </m:r>
                      </m:sup>
                    </m:sSubSup>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t-1</m:t>
                        </m:r>
                      </m:sub>
                      <m:sup>
                        <m:r>
                          <m:rPr>
                            <m:sty m:val="bi"/>
                          </m:rPr>
                          <w:rPr>
                            <w:rFonts w:ascii="Cambria Math" w:hAnsi="Cambria Math"/>
                            <w:lang w:val="uk-UA"/>
                          </w:rPr>
                          <m:t>нов 1</m:t>
                        </m:r>
                      </m:sup>
                    </m:sSubSup>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І</m:t>
                        </m:r>
                      </m:e>
                      <m:sub>
                        <m:r>
                          <m:rPr>
                            <m:sty m:val="bi"/>
                          </m:rPr>
                          <w:rPr>
                            <w:rFonts w:ascii="Cambria Math" w:hAnsi="Cambria Math"/>
                            <w:lang w:val="uk-UA"/>
                          </w:rPr>
                          <m:t>t-1</m:t>
                        </m:r>
                      </m:sub>
                      <m:sup>
                        <m:r>
                          <m:rPr>
                            <m:sty m:val="bi"/>
                          </m:rPr>
                          <w:rPr>
                            <w:rFonts w:ascii="Cambria Math" w:hAnsi="Cambria Math"/>
                            <w:lang w:val="uk-UA"/>
                          </w:rPr>
                          <m:t xml:space="preserve">нов 1 </m:t>
                        </m:r>
                      </m:sup>
                    </m:sSubSup>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I</m:t>
                        </m:r>
                      </m:e>
                      <m:sub>
                        <m:r>
                          <m:rPr>
                            <m:sty m:val="bi"/>
                          </m:rPr>
                          <w:rPr>
                            <w:rFonts w:ascii="Cambria Math" w:hAnsi="Cambria Math"/>
                            <w:lang w:val="uk-UA"/>
                          </w:rPr>
                          <m:t>ВПt-1</m:t>
                        </m:r>
                      </m:sub>
                      <m:sup>
                        <m:r>
                          <m:rPr>
                            <m:sty m:val="bi"/>
                          </m:rPr>
                          <w:rPr>
                            <w:rFonts w:ascii="Cambria Math" w:hAnsi="Cambria Math"/>
                            <w:lang w:val="uk-UA"/>
                          </w:rPr>
                          <m:t xml:space="preserve">нов 1 </m:t>
                        </m:r>
                      </m:sup>
                    </m:sSubSup>
                  </m:oMath>
                  <w:r w:rsidRPr="00D0186D">
                    <w:rPr>
                      <w:b/>
                      <w:lang w:val="uk-UA"/>
                    </w:rPr>
                    <w:t xml:space="preserve">, </w:t>
                  </w:r>
                </w:p>
              </w:tc>
              <w:tc>
                <w:tcPr>
                  <w:tcW w:w="851" w:type="dxa"/>
                  <w:tcBorders>
                    <w:top w:val="single" w:sz="2" w:space="0" w:color="auto"/>
                    <w:left w:val="single" w:sz="2" w:space="0" w:color="auto"/>
                    <w:bottom w:val="single" w:sz="2" w:space="0" w:color="auto"/>
                    <w:right w:val="single" w:sz="2" w:space="0" w:color="auto"/>
                  </w:tcBorders>
                  <w:hideMark/>
                </w:tcPr>
                <w:p w14:paraId="086895F0" w14:textId="77777777" w:rsidR="007419FF" w:rsidRPr="00D0186D" w:rsidRDefault="007419FF" w:rsidP="007419FF">
                  <w:pPr>
                    <w:spacing w:before="150" w:after="150"/>
                    <w:jc w:val="right"/>
                    <w:rPr>
                      <w:lang w:val="uk-UA" w:eastAsia="uk-UA"/>
                    </w:rPr>
                  </w:pPr>
                  <w:r w:rsidRPr="00D0186D">
                    <w:rPr>
                      <w:lang w:val="uk-UA" w:eastAsia="uk-UA"/>
                    </w:rPr>
                    <w:t>тис. грн (14)</w:t>
                  </w:r>
                </w:p>
              </w:tc>
            </w:tr>
          </w:tbl>
          <w:p w14:paraId="32E2CB43" w14:textId="77777777" w:rsidR="007419FF" w:rsidRPr="00D0186D" w:rsidRDefault="007419FF" w:rsidP="007419FF">
            <w:pPr>
              <w:shd w:val="clear" w:color="auto" w:fill="FFFFFF"/>
              <w:ind w:firstLine="457"/>
              <w:jc w:val="both"/>
              <w:outlineLvl w:val="2"/>
              <w:rPr>
                <w:lang w:val="uk-UA" w:eastAsia="uk-UA"/>
              </w:rPr>
            </w:pPr>
            <w:r w:rsidRPr="00D0186D">
              <w:rPr>
                <w:lang w:val="uk-UA" w:eastAsia="uk-UA"/>
              </w:rPr>
              <w:t>де </w:t>
            </w:r>
            <m:oMath>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поч t-1</m:t>
                  </m:r>
                </m:sub>
                <m:sup>
                  <m:r>
                    <m:rPr>
                      <m:sty m:val="bi"/>
                    </m:rPr>
                    <w:rPr>
                      <w:rFonts w:ascii="Cambria Math" w:hAnsi="Cambria Math"/>
                      <w:lang w:val="uk-UA"/>
                    </w:rPr>
                    <m:t xml:space="preserve">нов 1 </m:t>
                  </m:r>
                </m:sup>
              </m:sSubSup>
            </m:oMath>
            <w:r w:rsidRPr="00D0186D">
              <w:rPr>
                <w:lang w:val="uk-UA" w:eastAsia="uk-UA"/>
              </w:rPr>
              <w:t xml:space="preserve"> – регуляторна база активів, віднесених до категорії 1, що створена після переходу до стимулюючого регулювання, визначена на рівні </w:t>
            </w:r>
            <w:r w:rsidRPr="00D0186D">
              <w:rPr>
                <w:b/>
                <w:lang w:val="uk-UA" w:eastAsia="uk-UA"/>
              </w:rPr>
              <w:t>залишкової вартість активів, включених до неї</w:t>
            </w:r>
            <w:r w:rsidRPr="00D0186D">
              <w:rPr>
                <w:lang w:val="uk-UA" w:eastAsia="uk-UA"/>
              </w:rPr>
              <w:t xml:space="preserve"> на початок року t-1, тис. грн;</w:t>
            </w:r>
          </w:p>
          <w:p w14:paraId="419CA700" w14:textId="77777777" w:rsidR="007419FF" w:rsidRPr="00D0186D" w:rsidRDefault="007419FF" w:rsidP="007419FF">
            <w:pPr>
              <w:shd w:val="clear" w:color="auto" w:fill="FFFFFF"/>
              <w:ind w:firstLine="457"/>
              <w:jc w:val="both"/>
              <w:outlineLvl w:val="2"/>
              <w:rPr>
                <w:lang w:val="uk-UA" w:eastAsia="uk-UA"/>
              </w:rPr>
            </w:pPr>
          </w:p>
          <w:p w14:paraId="1BA2BA6B" w14:textId="4E4B2125" w:rsidR="007419FF" w:rsidRPr="00D0186D" w:rsidRDefault="00DE7381" w:rsidP="007419FF">
            <w:pPr>
              <w:shd w:val="clear" w:color="auto" w:fill="FFFFFF"/>
              <w:ind w:firstLine="457"/>
              <w:jc w:val="both"/>
              <w:outlineLvl w:val="2"/>
              <w:rPr>
                <w:b/>
                <w:lang w:val="uk-UA" w:eastAsia="uk-UA"/>
              </w:rPr>
            </w:pPr>
            <m:oMath>
              <m:r>
                <m:rPr>
                  <m:sty m:val="bi"/>
                </m:rPr>
                <w:rPr>
                  <w:rFonts w:ascii="Cambria Math" w:hAnsi="Cambria Math"/>
                  <w:lang w:val="uk-UA"/>
                </w:rPr>
                <m:t>В</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 xml:space="preserve"> t-1</m:t>
                  </m:r>
                </m:sub>
                <m:sup>
                  <m:r>
                    <m:rPr>
                      <m:sty m:val="bi"/>
                    </m:rPr>
                    <w:rPr>
                      <w:rFonts w:ascii="Cambria Math" w:hAnsi="Cambria Math"/>
                      <w:lang w:val="uk-UA"/>
                    </w:rPr>
                    <m:t xml:space="preserve">нов 1 </m:t>
                  </m:r>
                </m:sup>
              </m:sSubSup>
            </m:oMath>
            <w:r w:rsidR="007419FF" w:rsidRPr="00D0186D">
              <w:rPr>
                <w:b/>
                <w:lang w:val="uk-UA" w:eastAsia="uk-UA"/>
              </w:rPr>
              <w:t xml:space="preserve"> - </w:t>
            </w:r>
            <w:r w:rsidRPr="00D0186D">
              <w:rPr>
                <w:b/>
                <w:lang w:val="uk-UA" w:eastAsia="uk-UA"/>
              </w:rPr>
              <w:t xml:space="preserve">залишкова вартість виведених з експлуатації активів (елементів активів), віднесених до категорії 1, із регуляторної бази </w:t>
            </w:r>
            <w:r w:rsidRPr="00D0186D">
              <w:rPr>
                <w:b/>
                <w:lang w:val="uk-UA" w:eastAsia="uk-UA"/>
              </w:rPr>
              <w:lastRenderedPageBreak/>
              <w:t xml:space="preserve">активів, створеної після переходу до стимулюючого регулювання, у році t-1 (для ліцензіатів, перелік яких наведено в додатку 30 до цього Порядку, на 2025 рік </w:t>
            </w:r>
            <w:r w:rsidRPr="00D0186D">
              <w:rPr>
                <w:b/>
                <w:lang w:val="uk-UA"/>
              </w:rPr>
              <w:t>–</w:t>
            </w:r>
            <w:r w:rsidRPr="00D0186D">
              <w:rPr>
                <w:b/>
                <w:lang w:val="uk-UA" w:eastAsia="uk-UA"/>
              </w:rPr>
              <w:t xml:space="preserve"> залишкова вартість активів, виведених у період від дати переходу на стимулююче регулювання по рік  t-1 (включно), що не були враховані у діючих тарифах), тис. грн;</w:t>
            </w:r>
          </w:p>
          <w:p w14:paraId="4CD655D7" w14:textId="1A3404BC" w:rsidR="007419FF" w:rsidRPr="00D0186D" w:rsidRDefault="00ED4B6B" w:rsidP="007419FF">
            <w:pPr>
              <w:shd w:val="clear" w:color="auto" w:fill="FFFFFF"/>
              <w:ind w:firstLine="457"/>
              <w:jc w:val="both"/>
              <w:outlineLvl w:val="2"/>
              <w:rPr>
                <w:b/>
                <w:lang w:val="uk-UA" w:eastAsia="uk-UA"/>
              </w:rPr>
            </w:pPr>
            <m:oMath>
              <m:sSubSup>
                <m:sSubSupPr>
                  <m:ctrlPr>
                    <w:rPr>
                      <w:rFonts w:ascii="Cambria Math" w:hAnsi="Cambria Math"/>
                      <w:b/>
                      <w:i/>
                      <w:lang w:val="uk-UA"/>
                    </w:rPr>
                  </m:ctrlPr>
                </m:sSubSupPr>
                <m:e>
                  <m:r>
                    <m:rPr>
                      <m:sty m:val="bi"/>
                    </m:rPr>
                    <w:rPr>
                      <w:rFonts w:ascii="Cambria Math" w:hAnsi="Cambria Math"/>
                      <w:lang w:val="uk-UA"/>
                    </w:rPr>
                    <m:t>І</m:t>
                  </m:r>
                </m:e>
                <m:sub>
                  <m:r>
                    <m:rPr>
                      <m:sty m:val="bi"/>
                    </m:rPr>
                    <w:rPr>
                      <w:rFonts w:ascii="Cambria Math" w:hAnsi="Cambria Math"/>
                      <w:lang w:val="uk-UA"/>
                    </w:rPr>
                    <m:t>t-1</m:t>
                  </m:r>
                </m:sub>
                <m:sup>
                  <m:r>
                    <m:rPr>
                      <m:sty m:val="bi"/>
                    </m:rPr>
                    <w:rPr>
                      <w:rFonts w:ascii="Cambria Math" w:hAnsi="Cambria Math"/>
                      <w:lang w:val="uk-UA"/>
                    </w:rPr>
                    <m:t xml:space="preserve">нов 1 </m:t>
                  </m:r>
                </m:sup>
              </m:sSubSup>
            </m:oMath>
            <w:r w:rsidR="007419FF" w:rsidRPr="00D0186D">
              <w:rPr>
                <w:b/>
                <w:lang w:val="uk-UA" w:eastAsia="uk-UA"/>
              </w:rPr>
              <w:t xml:space="preserve"> - </w:t>
            </w:r>
            <w:r w:rsidR="00DE7381" w:rsidRPr="00D0186D">
              <w:rPr>
                <w:b/>
                <w:lang w:val="uk-UA" w:eastAsia="uk-UA"/>
              </w:rPr>
              <w:t xml:space="preserve">первісна вартість створених та прийнятих на баланс активів, віднесених до категорії 1 (у тому числі створених з дотриманням вимог пункту 3.5 розділу III Порядку визначення регуляторної бази активів), у році t-1 (для ліцензіатів, перелік яких наведено в додатку 30 до цього Порядку, на 2025 рік </w:t>
            </w:r>
            <w:r w:rsidR="00DE7381" w:rsidRPr="00D0186D">
              <w:rPr>
                <w:b/>
                <w:lang w:val="uk-UA"/>
              </w:rPr>
              <w:t>–</w:t>
            </w:r>
            <w:r w:rsidR="00DE7381" w:rsidRPr="00D0186D">
              <w:rPr>
                <w:b/>
                <w:lang w:val="uk-UA" w:eastAsia="uk-UA"/>
              </w:rPr>
              <w:t xml:space="preserve"> первісна вартість активів, віднесених до категорії 1, створених та прийнятих на баланс у період від дати переходу на стимулююче регулювання по рік t-1 (включно), що не були враховані у діючих тарифах), тис. грн;</w:t>
            </w:r>
          </w:p>
          <w:p w14:paraId="26CA0954" w14:textId="2F303F00" w:rsidR="007419FF" w:rsidRPr="00D0186D" w:rsidRDefault="00ED4B6B" w:rsidP="007D4205">
            <w:pPr>
              <w:shd w:val="clear" w:color="auto" w:fill="FFFFFF"/>
              <w:ind w:firstLine="457"/>
              <w:jc w:val="both"/>
              <w:outlineLvl w:val="2"/>
              <w:rPr>
                <w:lang w:val="uk-UA"/>
              </w:rPr>
            </w:pPr>
            <m:oMath>
              <m:sSubSup>
                <m:sSubSupPr>
                  <m:ctrlPr>
                    <w:rPr>
                      <w:rFonts w:ascii="Cambria Math" w:hAnsi="Cambria Math"/>
                      <w:b/>
                      <w:i/>
                      <w:lang w:val="uk-UA"/>
                    </w:rPr>
                  </m:ctrlPr>
                </m:sSubSupPr>
                <m:e>
                  <m:r>
                    <m:rPr>
                      <m:sty m:val="bi"/>
                    </m:rPr>
                    <w:rPr>
                      <w:rFonts w:ascii="Cambria Math" w:hAnsi="Cambria Math"/>
                      <w:lang w:val="uk-UA"/>
                    </w:rPr>
                    <m:t>I</m:t>
                  </m:r>
                </m:e>
                <m:sub>
                  <m:r>
                    <m:rPr>
                      <m:sty m:val="bi"/>
                    </m:rPr>
                    <w:rPr>
                      <w:rFonts w:ascii="Cambria Math" w:hAnsi="Cambria Math"/>
                      <w:lang w:val="uk-UA"/>
                    </w:rPr>
                    <m:t>ВПt-1</m:t>
                  </m:r>
                </m:sub>
                <m:sup>
                  <m:r>
                    <m:rPr>
                      <m:sty m:val="bi"/>
                    </m:rPr>
                    <w:rPr>
                      <w:rFonts w:ascii="Cambria Math" w:hAnsi="Cambria Math"/>
                      <w:lang w:val="uk-UA"/>
                    </w:rPr>
                    <m:t xml:space="preserve">нов 1 </m:t>
                  </m:r>
                </m:sup>
              </m:sSubSup>
            </m:oMath>
            <w:r w:rsidR="007419FF" w:rsidRPr="00D0186D">
              <w:rPr>
                <w:b/>
                <w:lang w:val="uk-UA"/>
              </w:rPr>
              <w:t xml:space="preserve"> - </w:t>
            </w:r>
            <w:r w:rsidR="007419FF" w:rsidRPr="00D0186D">
              <w:rPr>
                <w:b/>
                <w:lang w:val="uk-UA" w:eastAsia="uk-UA"/>
              </w:rPr>
              <w:t>залишкова вартість активів введених (повернутих) до регуляторної бази активів, визначена на дату виведення таких активів з експлуатації, у зв'язку із тимчасовим припиненням їх використання (щодо нерухомого майна – без демонтажу), у році t-1, тис. грн.</w:t>
            </w:r>
          </w:p>
        </w:tc>
      </w:tr>
      <w:tr w:rsidR="00C14369" w:rsidRPr="00D0186D" w14:paraId="59EE46C8" w14:textId="77777777" w:rsidTr="00274934">
        <w:tc>
          <w:tcPr>
            <w:tcW w:w="7934" w:type="dxa"/>
          </w:tcPr>
          <w:p w14:paraId="3CB6FE1F" w14:textId="1895C98C" w:rsidR="00C509A2" w:rsidRPr="00D0186D" w:rsidRDefault="00C509A2" w:rsidP="00C509A2">
            <w:pPr>
              <w:shd w:val="clear" w:color="auto" w:fill="FFFFFF"/>
              <w:ind w:firstLine="457"/>
              <w:jc w:val="both"/>
              <w:outlineLvl w:val="2"/>
              <w:rPr>
                <w:lang w:val="uk-UA" w:eastAsia="uk-UA"/>
              </w:rPr>
            </w:pPr>
            <w:r w:rsidRPr="00D0186D">
              <w:rPr>
                <w:lang w:val="uk-UA" w:eastAsia="uk-UA"/>
              </w:rPr>
              <w:lastRenderedPageBreak/>
              <w:t>6. Коригування необхідного доходу від здійснення діяльності з розподілу електричної енергії</w:t>
            </w:r>
          </w:p>
          <w:p w14:paraId="533FAD7F" w14:textId="77777777" w:rsidR="00C509A2" w:rsidRPr="00D0186D" w:rsidRDefault="00C509A2" w:rsidP="00C509A2">
            <w:pPr>
              <w:shd w:val="clear" w:color="auto" w:fill="FFFFFF"/>
              <w:ind w:firstLine="457"/>
              <w:jc w:val="both"/>
              <w:outlineLvl w:val="2"/>
              <w:rPr>
                <w:lang w:val="uk-UA" w:eastAsia="uk-UA"/>
              </w:rPr>
            </w:pPr>
          </w:p>
          <w:p w14:paraId="4CEFD0DB" w14:textId="77777777" w:rsidR="00C509A2" w:rsidRPr="00D0186D" w:rsidRDefault="00C509A2" w:rsidP="00C509A2">
            <w:pPr>
              <w:shd w:val="clear" w:color="auto" w:fill="FFFFFF"/>
              <w:ind w:firstLine="457"/>
              <w:jc w:val="both"/>
              <w:outlineLvl w:val="2"/>
              <w:rPr>
                <w:lang w:val="uk-UA" w:eastAsia="uk-UA"/>
              </w:rPr>
            </w:pPr>
            <w:r w:rsidRPr="00D0186D">
              <w:rPr>
                <w:lang w:val="uk-UA" w:eastAsia="uk-UA"/>
              </w:rPr>
              <w:t>6.1. Коригування необхідного доходу від здійснення діяльності з розподілу електричної енергії здійснюється за результатами заходів контролю за дотриманням Ліцензійних умов та передбачає, зокрема, урахування:</w:t>
            </w:r>
          </w:p>
          <w:p w14:paraId="272C34BB" w14:textId="77777777" w:rsidR="00C509A2" w:rsidRPr="00D0186D" w:rsidRDefault="00C509A2" w:rsidP="00C509A2">
            <w:pPr>
              <w:shd w:val="clear" w:color="auto" w:fill="FFFFFF"/>
              <w:ind w:firstLine="457"/>
              <w:jc w:val="both"/>
              <w:outlineLvl w:val="2"/>
              <w:rPr>
                <w:lang w:val="uk-UA" w:eastAsia="uk-UA"/>
              </w:rPr>
            </w:pPr>
            <w:r w:rsidRPr="00D0186D">
              <w:rPr>
                <w:lang w:val="uk-UA" w:eastAsia="uk-UA"/>
              </w:rPr>
              <w:t>1) вартості фактичних витрат, пов'язаних з купівлею електричної енергії з метою компенсації технологічних витрат електричної енергії на її розподіл, за рік t-1;</w:t>
            </w:r>
          </w:p>
          <w:p w14:paraId="65EFB53C" w14:textId="77777777" w:rsidR="00C509A2" w:rsidRPr="00D0186D" w:rsidRDefault="00C509A2" w:rsidP="00C509A2">
            <w:pPr>
              <w:shd w:val="clear" w:color="auto" w:fill="FFFFFF"/>
              <w:ind w:firstLine="457"/>
              <w:jc w:val="both"/>
              <w:outlineLvl w:val="2"/>
              <w:rPr>
                <w:lang w:val="uk-UA" w:eastAsia="uk-UA"/>
              </w:rPr>
            </w:pPr>
            <w:r w:rsidRPr="00D0186D">
              <w:rPr>
                <w:lang w:val="uk-UA" w:eastAsia="uk-UA"/>
              </w:rPr>
              <w:t>2) уточнених операційних контрольованих витрат з розподілу електричної енергії за рік t-1, що визначаються за формулою</w:t>
            </w:r>
          </w:p>
          <w:p w14:paraId="29824AFB" w14:textId="54E408B1" w:rsidR="00062D99" w:rsidRPr="00D0186D" w:rsidRDefault="00062D99" w:rsidP="00062D99">
            <w:pPr>
              <w:shd w:val="clear" w:color="auto" w:fill="FFFFFF"/>
              <w:ind w:right="28" w:firstLine="543"/>
              <w:jc w:val="both"/>
              <w:outlineLvl w:val="2"/>
              <w:rPr>
                <w:lang w:val="uk-UA" w:eastAsia="uk-UA"/>
              </w:rPr>
            </w:pPr>
            <w:r w:rsidRPr="00D0186D">
              <w:rPr>
                <w:lang w:val="uk-UA" w:eastAsia="uk-UA"/>
              </w:rPr>
              <w:object w:dxaOrig="4920" w:dyaOrig="1359" w14:anchorId="013953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3.75pt;height:60.75pt" o:ole="">
                  <v:imagedata r:id="rId53" o:title=""/>
                </v:shape>
                <o:OLEObject Type="Embed" ProgID="Equation.3" ShapeID="_x0000_i1025" DrawAspect="Content" ObjectID="_1784542056" r:id="rId54"/>
              </w:object>
            </w:r>
            <w:r w:rsidRPr="00D0186D">
              <w:rPr>
                <w:lang w:val="uk-UA" w:eastAsia="uk-UA"/>
              </w:rPr>
              <w:t xml:space="preserve"> тис. грн,     (26)</w:t>
            </w:r>
          </w:p>
          <w:p w14:paraId="36B497C3" w14:textId="0F4242E2" w:rsidR="00C509A2" w:rsidRPr="00D0186D" w:rsidRDefault="00C509A2" w:rsidP="00C509A2">
            <w:pPr>
              <w:shd w:val="clear" w:color="auto" w:fill="FFFFFF"/>
              <w:ind w:firstLine="457"/>
              <w:jc w:val="both"/>
              <w:outlineLvl w:val="2"/>
              <w:rPr>
                <w:lang w:val="uk-UA" w:eastAsia="uk-UA"/>
              </w:rPr>
            </w:pPr>
          </w:p>
          <w:p w14:paraId="6A73CF2B" w14:textId="3B19370C" w:rsidR="00C509A2" w:rsidRPr="00D0186D" w:rsidRDefault="00062D99" w:rsidP="00C509A2">
            <w:pPr>
              <w:shd w:val="clear" w:color="auto" w:fill="FFFFFF"/>
              <w:ind w:firstLine="457"/>
              <w:jc w:val="both"/>
              <w:outlineLvl w:val="2"/>
              <w:rPr>
                <w:lang w:val="uk-UA" w:eastAsia="uk-UA"/>
              </w:rPr>
            </w:pPr>
            <w:r w:rsidRPr="00D0186D">
              <w:rPr>
                <w:lang w:val="uk-UA" w:eastAsia="uk-UA"/>
              </w:rPr>
              <w:t>…………………...</w:t>
            </w:r>
          </w:p>
          <w:p w14:paraId="77DF8833" w14:textId="36D63F2A" w:rsidR="00C509A2" w:rsidRPr="00D0186D" w:rsidRDefault="00C509A2" w:rsidP="00C509A2">
            <w:pPr>
              <w:shd w:val="clear" w:color="auto" w:fill="FFFFFF"/>
              <w:ind w:firstLine="457"/>
              <w:jc w:val="both"/>
              <w:outlineLvl w:val="2"/>
              <w:rPr>
                <w:lang w:val="uk-UA" w:eastAsia="uk-UA"/>
              </w:rPr>
            </w:pPr>
            <w:r w:rsidRPr="00D0186D">
              <w:rPr>
                <w:lang w:val="uk-UA" w:eastAsia="uk-UA"/>
              </w:rPr>
              <w:t xml:space="preserve">КУ - коефіцієнт поправки на зміну кількості умовних одиниць обладнання (0 </w:t>
            </w:r>
            <w:r w:rsidR="00FB439F" w:rsidRPr="00D0186D">
              <w:rPr>
                <w:lang w:val="uk-UA" w:eastAsia="uk-UA"/>
              </w:rPr>
              <w:t>&lt;</w:t>
            </w:r>
            <w:r w:rsidRPr="00D0186D">
              <w:rPr>
                <w:lang w:val="uk-UA" w:eastAsia="uk-UA"/>
              </w:rPr>
              <w:t xml:space="preserve"> КУ</w:t>
            </w:r>
            <w:r w:rsidR="00FB439F" w:rsidRPr="00D0186D">
              <w:rPr>
                <w:lang w:val="uk-UA" w:eastAsia="uk-UA"/>
              </w:rPr>
              <w:t>&lt;</w:t>
            </w:r>
            <w:r w:rsidRPr="00D0186D">
              <w:rPr>
                <w:lang w:val="uk-UA" w:eastAsia="uk-UA"/>
              </w:rPr>
              <w:t>1), встановлений НКРЕКП;</w:t>
            </w:r>
          </w:p>
          <w:p w14:paraId="5578F5BA" w14:textId="0518FD5B" w:rsidR="00C509A2" w:rsidRPr="00D0186D" w:rsidRDefault="00062D99" w:rsidP="00C509A2">
            <w:pPr>
              <w:shd w:val="clear" w:color="auto" w:fill="FFFFFF"/>
              <w:ind w:firstLine="457"/>
              <w:jc w:val="both"/>
              <w:outlineLvl w:val="2"/>
              <w:rPr>
                <w:lang w:val="uk-UA" w:eastAsia="uk-UA"/>
              </w:rPr>
            </w:pPr>
            <w:r w:rsidRPr="00D0186D">
              <w:rPr>
                <w:lang w:val="uk-UA" w:eastAsia="uk-UA"/>
              </w:rPr>
              <w:lastRenderedPageBreak/>
              <w:t>ΔУО</w:t>
            </w:r>
            <w:r w:rsidRPr="00D0186D">
              <w:rPr>
                <w:vertAlign w:val="subscript"/>
                <w:lang w:val="uk-UA" w:eastAsia="uk-UA"/>
              </w:rPr>
              <w:t>t-1</w:t>
            </w:r>
            <w:r w:rsidR="00C509A2" w:rsidRPr="00D0186D">
              <w:rPr>
                <w:lang w:val="uk-UA" w:eastAsia="uk-UA"/>
              </w:rPr>
              <w:t>- зміна кількості умовних одиниць обладнання за рік t-1;</w:t>
            </w:r>
          </w:p>
          <w:p w14:paraId="1C77BB50" w14:textId="2782CE2E" w:rsidR="00C509A2" w:rsidRPr="00D0186D" w:rsidRDefault="00062D99" w:rsidP="00C509A2">
            <w:pPr>
              <w:shd w:val="clear" w:color="auto" w:fill="FFFFFF"/>
              <w:ind w:firstLine="457"/>
              <w:jc w:val="both"/>
              <w:outlineLvl w:val="2"/>
              <w:rPr>
                <w:lang w:val="uk-UA" w:eastAsia="uk-UA"/>
              </w:rPr>
            </w:pPr>
            <w:r w:rsidRPr="00D0186D">
              <w:rPr>
                <w:lang w:val="uk-UA" w:eastAsia="uk-UA"/>
              </w:rPr>
              <w:t>УО</w:t>
            </w:r>
            <w:r w:rsidRPr="00D0186D">
              <w:rPr>
                <w:vertAlign w:val="subscript"/>
                <w:lang w:val="uk-UA" w:eastAsia="uk-UA"/>
              </w:rPr>
              <w:t xml:space="preserve">t-1 </w:t>
            </w:r>
            <w:r w:rsidR="00C509A2" w:rsidRPr="00D0186D">
              <w:rPr>
                <w:lang w:val="uk-UA" w:eastAsia="uk-UA"/>
              </w:rPr>
              <w:t>- кількість умовних одиниць обладнання на початок базового року t-1;</w:t>
            </w:r>
          </w:p>
          <w:p w14:paraId="516A9229" w14:textId="77777777" w:rsidR="00C14369" w:rsidRPr="00D0186D" w:rsidRDefault="00C14369" w:rsidP="00810CB9">
            <w:pPr>
              <w:pStyle w:val="tj"/>
              <w:shd w:val="clear" w:color="auto" w:fill="FFFFFF"/>
              <w:spacing w:before="0" w:beforeAutospacing="0" w:after="0" w:afterAutospacing="0"/>
              <w:ind w:firstLine="489"/>
              <w:jc w:val="both"/>
            </w:pPr>
          </w:p>
          <w:p w14:paraId="084470B0" w14:textId="729C5D5E" w:rsidR="00062D99" w:rsidRPr="00D0186D" w:rsidRDefault="00062D99" w:rsidP="00810CB9">
            <w:pPr>
              <w:pStyle w:val="tj"/>
              <w:shd w:val="clear" w:color="auto" w:fill="FFFFFF"/>
              <w:spacing w:before="0" w:beforeAutospacing="0" w:after="0" w:afterAutospacing="0"/>
              <w:ind w:firstLine="489"/>
              <w:jc w:val="both"/>
            </w:pPr>
            <w:r w:rsidRPr="00D0186D">
              <w:t>Абзац відсутній</w:t>
            </w:r>
          </w:p>
        </w:tc>
        <w:tc>
          <w:tcPr>
            <w:tcW w:w="7937" w:type="dxa"/>
          </w:tcPr>
          <w:p w14:paraId="385F808A" w14:textId="77777777" w:rsidR="00FB439F" w:rsidRPr="00D0186D" w:rsidRDefault="00FB439F" w:rsidP="00FB439F">
            <w:pPr>
              <w:shd w:val="clear" w:color="auto" w:fill="FFFFFF"/>
              <w:ind w:firstLine="457"/>
              <w:jc w:val="both"/>
              <w:outlineLvl w:val="2"/>
              <w:rPr>
                <w:lang w:val="uk-UA" w:eastAsia="uk-UA"/>
              </w:rPr>
            </w:pPr>
            <w:r w:rsidRPr="00D0186D">
              <w:rPr>
                <w:lang w:val="uk-UA" w:eastAsia="uk-UA"/>
              </w:rPr>
              <w:lastRenderedPageBreak/>
              <w:t>6. Коригування необхідного доходу від здійснення діяльності з розподілу електричної енергії</w:t>
            </w:r>
          </w:p>
          <w:p w14:paraId="42D2FCE2" w14:textId="77777777" w:rsidR="00FB439F" w:rsidRPr="00D0186D" w:rsidRDefault="00FB439F" w:rsidP="00FB439F">
            <w:pPr>
              <w:shd w:val="clear" w:color="auto" w:fill="FFFFFF"/>
              <w:ind w:firstLine="457"/>
              <w:jc w:val="both"/>
              <w:outlineLvl w:val="2"/>
              <w:rPr>
                <w:lang w:val="uk-UA" w:eastAsia="uk-UA"/>
              </w:rPr>
            </w:pPr>
          </w:p>
          <w:p w14:paraId="333C4045" w14:textId="77777777" w:rsidR="00FB439F" w:rsidRPr="00D0186D" w:rsidRDefault="00FB439F" w:rsidP="00FB439F">
            <w:pPr>
              <w:shd w:val="clear" w:color="auto" w:fill="FFFFFF"/>
              <w:ind w:firstLine="457"/>
              <w:jc w:val="both"/>
              <w:outlineLvl w:val="2"/>
              <w:rPr>
                <w:lang w:val="uk-UA" w:eastAsia="uk-UA"/>
              </w:rPr>
            </w:pPr>
            <w:r w:rsidRPr="00D0186D">
              <w:rPr>
                <w:lang w:val="uk-UA" w:eastAsia="uk-UA"/>
              </w:rPr>
              <w:t>6.1. Коригування необхідного доходу від здійснення діяльності з розподілу електричної енергії здійснюється за результатами заходів контролю за дотриманням Ліцензійних умов та передбачає, зокрема, урахування:</w:t>
            </w:r>
          </w:p>
          <w:p w14:paraId="297A6C90" w14:textId="77777777" w:rsidR="00FB439F" w:rsidRPr="00D0186D" w:rsidRDefault="00FB439F" w:rsidP="00FB439F">
            <w:pPr>
              <w:shd w:val="clear" w:color="auto" w:fill="FFFFFF"/>
              <w:ind w:firstLine="457"/>
              <w:contextualSpacing/>
              <w:jc w:val="both"/>
              <w:outlineLvl w:val="2"/>
              <w:rPr>
                <w:lang w:val="uk-UA" w:eastAsia="uk-UA"/>
              </w:rPr>
            </w:pPr>
            <w:r w:rsidRPr="00D0186D">
              <w:rPr>
                <w:lang w:val="uk-UA" w:eastAsia="uk-UA"/>
              </w:rPr>
              <w:t>1) вартості фактичних витрат, пов'язаних з купівлею електричної енергії з метою компенсації технологічних витрат електричної енергії на її розподіл, за рік t-1;</w:t>
            </w:r>
          </w:p>
          <w:p w14:paraId="58A38D74" w14:textId="77777777" w:rsidR="00FB439F" w:rsidRPr="00D0186D" w:rsidRDefault="00FB439F" w:rsidP="00FB439F">
            <w:pPr>
              <w:shd w:val="clear" w:color="auto" w:fill="FFFFFF"/>
              <w:ind w:firstLine="457"/>
              <w:contextualSpacing/>
              <w:jc w:val="both"/>
              <w:outlineLvl w:val="2"/>
              <w:rPr>
                <w:lang w:val="uk-UA" w:eastAsia="uk-UA"/>
              </w:rPr>
            </w:pPr>
            <w:r w:rsidRPr="00D0186D">
              <w:rPr>
                <w:lang w:val="uk-UA" w:eastAsia="uk-UA"/>
              </w:rPr>
              <w:t>2) уточнених операційних контрольованих витрат з розподілу електричної енергії за рік t-1, що визначаються за формулою</w:t>
            </w:r>
          </w:p>
          <w:p w14:paraId="15767D60" w14:textId="4634AE93" w:rsidR="00FB439F" w:rsidRPr="00D0186D" w:rsidRDefault="00062D99" w:rsidP="00062D99">
            <w:pPr>
              <w:shd w:val="clear" w:color="auto" w:fill="FFFFFF"/>
              <w:ind w:right="28"/>
              <w:jc w:val="both"/>
              <w:outlineLvl w:val="2"/>
              <w:rPr>
                <w:lang w:val="uk-UA" w:eastAsia="uk-UA"/>
              </w:rPr>
            </w:pPr>
            <w:r w:rsidRPr="00D0186D">
              <w:rPr>
                <w:lang w:val="uk-UA" w:eastAsia="uk-UA"/>
              </w:rPr>
              <w:object w:dxaOrig="4920" w:dyaOrig="1359" w14:anchorId="1AF15BE8">
                <v:shape id="_x0000_i1026" type="#_x0000_t75" style="width:274.5pt;height:69.75pt" o:ole="">
                  <v:imagedata r:id="rId53" o:title=""/>
                </v:shape>
                <o:OLEObject Type="Embed" ProgID="Equation.3" ShapeID="_x0000_i1026" DrawAspect="Content" ObjectID="_1784542057" r:id="rId55"/>
              </w:object>
            </w:r>
            <w:r w:rsidR="00FB439F" w:rsidRPr="00D0186D">
              <w:rPr>
                <w:lang w:val="uk-UA" w:eastAsia="uk-UA"/>
              </w:rPr>
              <w:t>, тис. грн,     (26)</w:t>
            </w:r>
          </w:p>
          <w:p w14:paraId="6ED22465" w14:textId="763A7AA9" w:rsidR="00FB439F" w:rsidRPr="00D0186D" w:rsidRDefault="00062D99" w:rsidP="00FB439F">
            <w:pPr>
              <w:shd w:val="clear" w:color="auto" w:fill="FFFFFF"/>
              <w:ind w:right="28" w:firstLine="457"/>
              <w:jc w:val="both"/>
              <w:outlineLvl w:val="2"/>
              <w:rPr>
                <w:lang w:val="uk-UA" w:eastAsia="uk-UA"/>
              </w:rPr>
            </w:pPr>
            <w:r w:rsidRPr="00D0186D">
              <w:rPr>
                <w:lang w:val="uk-UA" w:eastAsia="uk-UA"/>
              </w:rPr>
              <w:t>………………………</w:t>
            </w:r>
          </w:p>
          <w:p w14:paraId="64391CC7" w14:textId="77777777" w:rsidR="00062D99" w:rsidRPr="00D0186D" w:rsidRDefault="00062D99" w:rsidP="00062D99">
            <w:pPr>
              <w:shd w:val="clear" w:color="auto" w:fill="FFFFFF"/>
              <w:ind w:firstLine="457"/>
              <w:jc w:val="both"/>
              <w:outlineLvl w:val="2"/>
              <w:rPr>
                <w:lang w:val="uk-UA" w:eastAsia="uk-UA"/>
              </w:rPr>
            </w:pPr>
            <w:r w:rsidRPr="00D0186D">
              <w:rPr>
                <w:lang w:val="uk-UA" w:eastAsia="uk-UA"/>
              </w:rPr>
              <w:t>КУ - коефіцієнт поправки на зміну кількості умовних одиниць обладнання (0 &lt; КУ&lt;1), встановлений НКРЕКП;</w:t>
            </w:r>
          </w:p>
          <w:p w14:paraId="7E11F7AC" w14:textId="77777777" w:rsidR="00062D99" w:rsidRPr="00D0186D" w:rsidRDefault="00062D99" w:rsidP="00062D99">
            <w:pPr>
              <w:shd w:val="clear" w:color="auto" w:fill="FFFFFF"/>
              <w:ind w:firstLine="457"/>
              <w:jc w:val="both"/>
              <w:outlineLvl w:val="2"/>
              <w:rPr>
                <w:lang w:val="uk-UA" w:eastAsia="uk-UA"/>
              </w:rPr>
            </w:pPr>
            <w:r w:rsidRPr="00D0186D">
              <w:rPr>
                <w:lang w:val="uk-UA" w:eastAsia="uk-UA"/>
              </w:rPr>
              <w:lastRenderedPageBreak/>
              <w:t>ΔУО</w:t>
            </w:r>
            <w:r w:rsidRPr="00D0186D">
              <w:rPr>
                <w:vertAlign w:val="subscript"/>
                <w:lang w:val="uk-UA" w:eastAsia="uk-UA"/>
              </w:rPr>
              <w:t>t-1</w:t>
            </w:r>
            <w:r w:rsidRPr="00D0186D">
              <w:rPr>
                <w:lang w:val="uk-UA" w:eastAsia="uk-UA"/>
              </w:rPr>
              <w:t>- зміна кількості умовних одиниць обладнання за рік t-1;</w:t>
            </w:r>
          </w:p>
          <w:p w14:paraId="12578B95" w14:textId="77777777" w:rsidR="00062D99" w:rsidRPr="00D0186D" w:rsidRDefault="00062D99" w:rsidP="00062D99">
            <w:pPr>
              <w:shd w:val="clear" w:color="auto" w:fill="FFFFFF"/>
              <w:ind w:firstLine="457"/>
              <w:jc w:val="both"/>
              <w:outlineLvl w:val="2"/>
              <w:rPr>
                <w:lang w:val="uk-UA" w:eastAsia="uk-UA"/>
              </w:rPr>
            </w:pPr>
            <w:r w:rsidRPr="00D0186D">
              <w:rPr>
                <w:lang w:val="uk-UA" w:eastAsia="uk-UA"/>
              </w:rPr>
              <w:t>УО</w:t>
            </w:r>
            <w:r w:rsidRPr="00D0186D">
              <w:rPr>
                <w:vertAlign w:val="subscript"/>
                <w:lang w:val="uk-UA" w:eastAsia="uk-UA"/>
              </w:rPr>
              <w:t xml:space="preserve">t-1 </w:t>
            </w:r>
            <w:r w:rsidRPr="00D0186D">
              <w:rPr>
                <w:lang w:val="uk-UA" w:eastAsia="uk-UA"/>
              </w:rPr>
              <w:t>- кількість умовних одиниць обладнання на початок базового року t-1;</w:t>
            </w:r>
          </w:p>
          <w:p w14:paraId="3C80920B" w14:textId="77777777" w:rsidR="00062D99" w:rsidRPr="00D0186D" w:rsidRDefault="00062D99" w:rsidP="00FB439F">
            <w:pPr>
              <w:shd w:val="clear" w:color="auto" w:fill="FFFFFF"/>
              <w:ind w:right="28" w:firstLine="457"/>
              <w:jc w:val="both"/>
              <w:outlineLvl w:val="2"/>
              <w:rPr>
                <w:lang w:val="uk-UA" w:eastAsia="uk-UA"/>
              </w:rPr>
            </w:pPr>
          </w:p>
          <w:p w14:paraId="0ECB25F7" w14:textId="58A66EAC" w:rsidR="00FB439F" w:rsidRPr="00D0186D" w:rsidRDefault="00FB439F" w:rsidP="00FB439F">
            <w:pPr>
              <w:shd w:val="clear" w:color="auto" w:fill="FFFFFF"/>
              <w:ind w:firstLine="457"/>
              <w:jc w:val="both"/>
              <w:outlineLvl w:val="2"/>
              <w:rPr>
                <w:b/>
                <w:lang w:val="uk-UA" w:eastAsia="uk-UA"/>
              </w:rPr>
            </w:pPr>
            <w:bookmarkStart w:id="32" w:name="_Hlk173414096"/>
            <w:r w:rsidRPr="00D0186D">
              <w:rPr>
                <w:b/>
                <w:lang w:val="uk-UA" w:eastAsia="uk-UA"/>
              </w:rPr>
              <w:t>Для ліцензіатів, перелік яких наведено в додатку 30 до цього Порядку, коригування необхідного доходу від здійснення діяльності з розподілу електричної енергії здійснюється за результатами заходів контролю за дотриманням Ліцензійних умов та передбачає, зокрема, урахування уточнених операційних контрольованих витрат з розподілу електричної енергії за рік t-1, що визначаються за формулою</w:t>
            </w:r>
          </w:p>
          <w:bookmarkEnd w:id="32"/>
          <w:p w14:paraId="0C3FF242" w14:textId="77777777" w:rsidR="00062D99" w:rsidRPr="00D0186D" w:rsidRDefault="00062D99" w:rsidP="007D4205">
            <w:pPr>
              <w:shd w:val="clear" w:color="auto" w:fill="FFFFFF"/>
              <w:ind w:right="28" w:firstLine="457"/>
              <w:jc w:val="both"/>
              <w:outlineLvl w:val="2"/>
              <w:rPr>
                <w:lang w:val="uk-UA"/>
              </w:rPr>
            </w:pPr>
          </w:p>
          <w:p w14:paraId="38B0CE4E" w14:textId="05C438E1" w:rsidR="00062D99" w:rsidRPr="00D0186D" w:rsidRDefault="00062D99" w:rsidP="00062D99">
            <w:pPr>
              <w:shd w:val="clear" w:color="auto" w:fill="FFFFFF"/>
              <w:ind w:firstLine="457"/>
              <w:jc w:val="center"/>
              <w:outlineLvl w:val="2"/>
              <w:rPr>
                <w:lang w:val="uk-UA" w:eastAsia="uk-UA"/>
              </w:rPr>
            </w:pPr>
            <m:oMath>
              <m:r>
                <m:rPr>
                  <m:sty m:val="p"/>
                </m:rPr>
                <w:rPr>
                  <w:rFonts w:ascii="Cambria Math" w:hAnsi="Cambria Math"/>
                  <w:lang w:val="uk-UA" w:eastAsia="uk-UA"/>
                </w:rPr>
                <m:t>ОК</m:t>
              </m:r>
              <m:sSubSup>
                <m:sSubSupPr>
                  <m:ctrlPr>
                    <w:rPr>
                      <w:rFonts w:ascii="Cambria Math" w:hAnsi="Cambria Math"/>
                      <w:lang w:val="uk-UA" w:eastAsia="uk-UA"/>
                    </w:rPr>
                  </m:ctrlPr>
                </m:sSubSupPr>
                <m:e>
                  <m:r>
                    <m:rPr>
                      <m:sty m:val="p"/>
                    </m:rPr>
                    <w:rPr>
                      <w:rFonts w:ascii="Cambria Math" w:hAnsi="Cambria Math"/>
                      <w:lang w:val="uk-UA" w:eastAsia="uk-UA"/>
                    </w:rPr>
                    <m:t>В</m:t>
                  </m:r>
                </m:e>
                <m:sub>
                  <m:r>
                    <m:rPr>
                      <m:sty m:val="p"/>
                    </m:rPr>
                    <w:rPr>
                      <w:rFonts w:ascii="Cambria Math" w:hAnsi="Cambria Math"/>
                      <w:lang w:val="uk-UA" w:eastAsia="uk-UA"/>
                    </w:rPr>
                    <m:t>t-1</m:t>
                  </m:r>
                </m:sub>
                <m:sup>
                  <m:r>
                    <m:rPr>
                      <m:sty m:val="p"/>
                    </m:rPr>
                    <w:rPr>
                      <w:rFonts w:ascii="Cambria Math" w:hAnsi="Cambria Math"/>
                      <w:lang w:val="uk-UA" w:eastAsia="uk-UA"/>
                    </w:rPr>
                    <m:t> у</m:t>
                  </m:r>
                </m:sup>
              </m:sSubSup>
              <m:r>
                <m:rPr>
                  <m:sty m:val="p"/>
                </m:rPr>
                <w:rPr>
                  <w:rFonts w:ascii="Cambria Math" w:hAnsi="Cambria Math"/>
                  <w:lang w:val="uk-UA" w:eastAsia="uk-UA"/>
                </w:rPr>
                <m:t>=((ОК</m:t>
              </m:r>
              <m:sSubSup>
                <m:sSubSupPr>
                  <m:ctrlPr>
                    <w:rPr>
                      <w:rFonts w:ascii="Cambria Math" w:hAnsi="Cambria Math"/>
                      <w:lang w:val="uk-UA" w:eastAsia="uk-UA"/>
                    </w:rPr>
                  </m:ctrlPr>
                </m:sSubSupPr>
                <m:e>
                  <m:r>
                    <m:rPr>
                      <m:sty m:val="p"/>
                    </m:rPr>
                    <w:rPr>
                      <w:rFonts w:ascii="Cambria Math" w:hAnsi="Cambria Math"/>
                      <w:lang w:val="uk-UA" w:eastAsia="uk-UA"/>
                    </w:rPr>
                    <m:t>В</m:t>
                  </m:r>
                </m:e>
                <m:sub>
                  <m:r>
                    <m:rPr>
                      <m:sty m:val="p"/>
                    </m:rPr>
                    <w:rPr>
                      <w:rFonts w:ascii="Cambria Math" w:hAnsi="Cambria Math"/>
                      <w:lang w:val="uk-UA" w:eastAsia="uk-UA"/>
                    </w:rPr>
                    <m:t>t-2</m:t>
                  </m:r>
                </m:sub>
                <m:sup>
                  <m:r>
                    <m:rPr>
                      <m:sty m:val="p"/>
                    </m:rPr>
                    <w:rPr>
                      <w:rFonts w:ascii="Cambria Math" w:hAnsi="Cambria Math"/>
                      <w:lang w:val="uk-UA" w:eastAsia="uk-UA"/>
                    </w:rPr>
                    <m:t> у</m:t>
                  </m:r>
                </m:sup>
              </m:sSubSup>
              <m:r>
                <m:rPr>
                  <m:sty m:val="p"/>
                </m:rPr>
                <w:rPr>
                  <w:rFonts w:ascii="Cambria Math" w:hAnsi="Cambria Math"/>
                  <w:lang w:val="uk-UA" w:eastAsia="uk-UA"/>
                </w:rPr>
                <m:t>-ФО</m:t>
              </m:r>
              <m:sSubSup>
                <m:sSubSupPr>
                  <m:ctrlPr>
                    <w:rPr>
                      <w:rFonts w:ascii="Cambria Math" w:hAnsi="Cambria Math"/>
                      <w:lang w:val="uk-UA" w:eastAsia="uk-UA"/>
                    </w:rPr>
                  </m:ctrlPr>
                </m:sSubSupPr>
                <m:e>
                  <m:r>
                    <m:rPr>
                      <m:sty m:val="p"/>
                    </m:rPr>
                    <w:rPr>
                      <w:rFonts w:ascii="Cambria Math" w:hAnsi="Cambria Math"/>
                      <w:lang w:val="uk-UA" w:eastAsia="uk-UA"/>
                    </w:rPr>
                    <m:t>П</m:t>
                  </m:r>
                </m:e>
                <m:sub>
                  <m:r>
                    <m:rPr>
                      <m:sty m:val="p"/>
                    </m:rPr>
                    <w:rPr>
                      <w:rFonts w:ascii="Cambria Math" w:hAnsi="Cambria Math"/>
                      <w:lang w:val="uk-UA" w:eastAsia="uk-UA"/>
                    </w:rPr>
                    <m:t>t-2</m:t>
                  </m:r>
                </m:sub>
                <m:sup>
                  <m:r>
                    <m:rPr>
                      <m:sty m:val="p"/>
                    </m:rPr>
                    <w:rPr>
                      <w:rFonts w:ascii="Cambria Math" w:hAnsi="Cambria Math"/>
                      <w:lang w:val="uk-UA" w:eastAsia="uk-UA"/>
                    </w:rPr>
                    <m:t> у</m:t>
                  </m:r>
                </m:sup>
              </m:sSubSup>
              <m:r>
                <m:rPr>
                  <m:sty m:val="p"/>
                </m:rPr>
                <w:rPr>
                  <w:rFonts w:ascii="Cambria Math" w:hAnsi="Cambria Math"/>
                  <w:lang w:val="uk-UA" w:eastAsia="uk-UA"/>
                </w:rPr>
                <m:t>)×</m:t>
              </m:r>
              <m:f>
                <m:fPr>
                  <m:ctrlPr>
                    <w:rPr>
                      <w:rFonts w:ascii="Cambria Math" w:hAnsi="Cambria Math"/>
                      <w:lang w:val="uk-UA" w:eastAsia="uk-UA"/>
                    </w:rPr>
                  </m:ctrlPr>
                </m:fPr>
                <m:num>
                  <m:r>
                    <m:rPr>
                      <m:sty m:val="p"/>
                    </m:rPr>
                    <w:rPr>
                      <w:rFonts w:ascii="Cambria Math" w:hAnsi="Cambria Math"/>
                      <w:lang w:val="uk-UA" w:eastAsia="uk-UA"/>
                    </w:rPr>
                    <m:t>ІЦ</m:t>
                  </m:r>
                  <m:sSubSup>
                    <m:sSubSupPr>
                      <m:ctrlPr>
                        <w:rPr>
                          <w:rFonts w:ascii="Cambria Math" w:hAnsi="Cambria Math"/>
                          <w:lang w:val="uk-UA" w:eastAsia="uk-UA"/>
                        </w:rPr>
                      </m:ctrlPr>
                    </m:sSubSupPr>
                    <m:e>
                      <m:r>
                        <m:rPr>
                          <m:sty m:val="p"/>
                        </m:rPr>
                        <w:rPr>
                          <w:rFonts w:ascii="Cambria Math" w:hAnsi="Cambria Math"/>
                          <w:lang w:val="uk-UA" w:eastAsia="uk-UA"/>
                        </w:rPr>
                        <m:t>В</m:t>
                      </m:r>
                    </m:e>
                    <m:sub>
                      <m:r>
                        <m:rPr>
                          <m:sty m:val="p"/>
                        </m:rPr>
                        <w:rPr>
                          <w:rFonts w:ascii="Cambria Math" w:hAnsi="Cambria Math"/>
                          <w:lang w:val="uk-UA" w:eastAsia="uk-UA"/>
                        </w:rPr>
                        <m:t>t-1</m:t>
                      </m:r>
                    </m:sub>
                    <m:sup>
                      <m:r>
                        <m:rPr>
                          <m:sty m:val="p"/>
                        </m:rPr>
                        <w:rPr>
                          <w:rFonts w:ascii="Cambria Math" w:hAnsi="Cambria Math"/>
                          <w:lang w:val="uk-UA" w:eastAsia="uk-UA"/>
                        </w:rPr>
                        <m:t>ф</m:t>
                      </m:r>
                    </m:sup>
                  </m:sSubSup>
                </m:num>
                <m:den>
                  <m:r>
                    <m:rPr>
                      <m:sty m:val="p"/>
                    </m:rPr>
                    <w:rPr>
                      <w:rFonts w:ascii="Cambria Math" w:hAnsi="Cambria Math"/>
                      <w:lang w:val="uk-UA" w:eastAsia="uk-UA"/>
                    </w:rPr>
                    <m:t>100</m:t>
                  </m:r>
                </m:den>
              </m:f>
              <m:r>
                <m:rPr>
                  <m:sty m:val="p"/>
                </m:rPr>
                <w:rPr>
                  <w:rFonts w:ascii="Cambria Math" w:hAnsi="Cambria Math"/>
                  <w:lang w:val="uk-UA" w:eastAsia="uk-UA"/>
                </w:rPr>
                <m:t>+ФО</m:t>
              </m:r>
              <m:sSubSup>
                <m:sSubSupPr>
                  <m:ctrlPr>
                    <w:rPr>
                      <w:rFonts w:ascii="Cambria Math" w:hAnsi="Cambria Math"/>
                      <w:lang w:val="uk-UA" w:eastAsia="uk-UA"/>
                    </w:rPr>
                  </m:ctrlPr>
                </m:sSubSupPr>
                <m:e>
                  <m:r>
                    <m:rPr>
                      <m:sty m:val="p"/>
                    </m:rPr>
                    <w:rPr>
                      <w:rFonts w:ascii="Cambria Math" w:hAnsi="Cambria Math"/>
                      <w:lang w:val="uk-UA" w:eastAsia="uk-UA"/>
                    </w:rPr>
                    <m:t>П</m:t>
                  </m:r>
                </m:e>
                <m:sub>
                  <m:r>
                    <m:rPr>
                      <m:sty m:val="p"/>
                    </m:rPr>
                    <w:rPr>
                      <w:rFonts w:ascii="Cambria Math" w:hAnsi="Cambria Math"/>
                      <w:lang w:val="uk-UA" w:eastAsia="uk-UA"/>
                    </w:rPr>
                    <m:t>t-1</m:t>
                  </m:r>
                </m:sub>
                <m:sup>
                  <m:r>
                    <m:rPr>
                      <m:sty m:val="p"/>
                    </m:rPr>
                    <w:rPr>
                      <w:rFonts w:ascii="Cambria Math" w:hAnsi="Cambria Math"/>
                      <w:lang w:val="uk-UA" w:eastAsia="uk-UA"/>
                    </w:rPr>
                    <m:t> у</m:t>
                  </m:r>
                </m:sup>
              </m:sSubSup>
              <m:r>
                <m:rPr>
                  <m:sty m:val="p"/>
                </m:rPr>
                <w:rPr>
                  <w:rFonts w:ascii="Cambria Math" w:hAnsi="Cambria Math"/>
                  <w:lang w:val="uk-UA" w:eastAsia="uk-UA"/>
                </w:rPr>
                <m:t>)×(1-</m:t>
              </m:r>
              <m:f>
                <m:fPr>
                  <m:ctrlPr>
                    <w:rPr>
                      <w:rFonts w:ascii="Cambria Math" w:hAnsi="Cambria Math"/>
                      <w:lang w:val="uk-UA" w:eastAsia="uk-UA"/>
                    </w:rPr>
                  </m:ctrlPr>
                </m:fPr>
                <m:num>
                  <m:r>
                    <m:rPr>
                      <m:sty m:val="p"/>
                    </m:rPr>
                    <w:rPr>
                      <w:rFonts w:ascii="Cambria Math" w:hAnsi="Cambria Math"/>
                      <w:lang w:val="uk-UA" w:eastAsia="uk-UA"/>
                    </w:rPr>
                    <m:t>П</m:t>
                  </m:r>
                  <m:sSub>
                    <m:sSubPr>
                      <m:ctrlPr>
                        <w:rPr>
                          <w:rFonts w:ascii="Cambria Math" w:hAnsi="Cambria Math"/>
                          <w:lang w:val="uk-UA" w:eastAsia="uk-UA"/>
                        </w:rPr>
                      </m:ctrlPr>
                    </m:sSubPr>
                    <m:e>
                      <m:r>
                        <m:rPr>
                          <m:sty m:val="p"/>
                        </m:rPr>
                        <w:rPr>
                          <w:rFonts w:ascii="Cambria Math" w:hAnsi="Cambria Math"/>
                          <w:lang w:val="uk-UA" w:eastAsia="uk-UA"/>
                        </w:rPr>
                        <m:t>Е</m:t>
                      </m:r>
                    </m:e>
                    <m:sub>
                      <m:r>
                        <m:rPr>
                          <m:sty m:val="p"/>
                        </m:rPr>
                        <w:rPr>
                          <w:rFonts w:ascii="Cambria Math" w:hAnsi="Cambria Math"/>
                          <w:lang w:val="uk-UA" w:eastAsia="uk-UA"/>
                        </w:rPr>
                        <m:t>з</m:t>
                      </m:r>
                    </m:sub>
                  </m:sSub>
                  <m:r>
                    <m:rPr>
                      <m:sty m:val="p"/>
                    </m:rPr>
                    <w:rPr>
                      <w:rFonts w:ascii="Cambria Math" w:hAnsi="Cambria Math"/>
                      <w:lang w:val="uk-UA" w:eastAsia="uk-UA"/>
                    </w:rPr>
                    <m:t>+П</m:t>
                  </m:r>
                  <m:sSub>
                    <m:sSubPr>
                      <m:ctrlPr>
                        <w:rPr>
                          <w:rFonts w:ascii="Cambria Math" w:hAnsi="Cambria Math"/>
                          <w:lang w:val="uk-UA" w:eastAsia="uk-UA"/>
                        </w:rPr>
                      </m:ctrlPr>
                    </m:sSubPr>
                    <m:e>
                      <m:r>
                        <m:rPr>
                          <m:sty m:val="p"/>
                        </m:rPr>
                        <w:rPr>
                          <w:rFonts w:ascii="Cambria Math" w:hAnsi="Cambria Math"/>
                          <w:lang w:val="uk-UA" w:eastAsia="uk-UA"/>
                        </w:rPr>
                        <m:t>Е</m:t>
                      </m:r>
                    </m:e>
                    <m:sub>
                      <m:r>
                        <m:rPr>
                          <m:sty m:val="p"/>
                        </m:rPr>
                        <w:rPr>
                          <w:rFonts w:ascii="Cambria Math" w:hAnsi="Cambria Math"/>
                          <w:lang w:val="uk-UA" w:eastAsia="uk-UA"/>
                        </w:rPr>
                        <m:t>інд</m:t>
                      </m:r>
                    </m:sub>
                  </m:sSub>
                </m:num>
                <m:den>
                  <m:r>
                    <m:rPr>
                      <m:sty m:val="p"/>
                    </m:rPr>
                    <w:rPr>
                      <w:rFonts w:ascii="Cambria Math" w:hAnsi="Cambria Math"/>
                      <w:lang w:val="uk-UA" w:eastAsia="uk-UA"/>
                    </w:rPr>
                    <m:t>100</m:t>
                  </m:r>
                </m:den>
              </m:f>
              <m:r>
                <m:rPr>
                  <m:sty m:val="p"/>
                </m:rPr>
                <w:rPr>
                  <w:rFonts w:ascii="Cambria Math" w:hAnsi="Cambria Math"/>
                  <w:lang w:val="uk-UA" w:eastAsia="uk-UA"/>
                </w:rPr>
                <m:t>)×((1+КУ×</m:t>
              </m:r>
              <m:f>
                <m:fPr>
                  <m:ctrlPr>
                    <w:rPr>
                      <w:rFonts w:ascii="Cambria Math" w:hAnsi="Cambria Math"/>
                      <w:lang w:val="uk-UA" w:eastAsia="uk-UA"/>
                    </w:rPr>
                  </m:ctrlPr>
                </m:fPr>
                <m:num>
                  <m:r>
                    <m:rPr>
                      <m:sty m:val="p"/>
                    </m:rPr>
                    <w:rPr>
                      <w:rFonts w:ascii="Cambria Math" w:hAnsi="Cambria Math"/>
                      <w:lang w:val="uk-UA" w:eastAsia="uk-UA"/>
                    </w:rPr>
                    <m:t>ΔУ</m:t>
                  </m:r>
                  <m:sSub>
                    <m:sSubPr>
                      <m:ctrlPr>
                        <w:rPr>
                          <w:rFonts w:ascii="Cambria Math" w:hAnsi="Cambria Math"/>
                          <w:lang w:val="uk-UA" w:eastAsia="uk-UA"/>
                        </w:rPr>
                      </m:ctrlPr>
                    </m:sSubPr>
                    <m:e>
                      <m:r>
                        <m:rPr>
                          <m:sty m:val="p"/>
                        </m:rPr>
                        <w:rPr>
                          <w:rFonts w:ascii="Cambria Math" w:hAnsi="Cambria Math"/>
                          <w:lang w:val="uk-UA" w:eastAsia="uk-UA"/>
                        </w:rPr>
                        <m:t>О</m:t>
                      </m:r>
                    </m:e>
                    <m:sub>
                      <m:r>
                        <m:rPr>
                          <m:sty m:val="p"/>
                        </m:rPr>
                        <w:rPr>
                          <w:rFonts w:ascii="Cambria Math" w:hAnsi="Cambria Math"/>
                          <w:lang w:val="uk-UA" w:eastAsia="uk-UA"/>
                        </w:rPr>
                        <m:t>t-1</m:t>
                      </m:r>
                    </m:sub>
                  </m:sSub>
                </m:num>
                <m:den>
                  <m:sSubSup>
                    <m:sSubSupPr>
                      <m:ctrlPr>
                        <w:rPr>
                          <w:rFonts w:ascii="Cambria Math" w:hAnsi="Cambria Math"/>
                          <w:lang w:val="uk-UA" w:eastAsia="uk-UA"/>
                        </w:rPr>
                      </m:ctrlPr>
                    </m:sSubSupPr>
                    <m:e>
                      <m:r>
                        <m:rPr>
                          <m:sty m:val="p"/>
                        </m:rPr>
                        <w:rPr>
                          <w:rFonts w:ascii="Cambria Math" w:hAnsi="Cambria Math"/>
                          <w:lang w:val="uk-UA" w:eastAsia="uk-UA"/>
                        </w:rPr>
                        <m:t>УО</m:t>
                      </m:r>
                    </m:e>
                    <m:sub>
                      <m:r>
                        <m:rPr>
                          <m:sty m:val="p"/>
                        </m:rPr>
                        <w:rPr>
                          <w:rFonts w:ascii="Cambria Math" w:hAnsi="Cambria Math"/>
                          <w:lang w:val="uk-UA" w:eastAsia="uk-UA"/>
                        </w:rPr>
                        <m:t>t-1</m:t>
                      </m:r>
                    </m:sub>
                    <m:sup/>
                  </m:sSubSup>
                </m:den>
              </m:f>
              <m:r>
                <m:rPr>
                  <m:sty m:val="b"/>
                </m:rPr>
                <w:rPr>
                  <w:rFonts w:ascii="Cambria Math" w:hAnsi="Cambria Math"/>
                  <w:lang w:val="uk-UA" w:eastAsia="uk-UA"/>
                </w:rPr>
                <m:t>)-КФУ</m:t>
              </m:r>
              <m:r>
                <m:rPr>
                  <m:sty m:val="p"/>
                </m:rPr>
                <w:rPr>
                  <w:rFonts w:ascii="Cambria Math" w:hAnsi="Cambria Math"/>
                  <w:lang w:val="uk-UA" w:eastAsia="uk-UA"/>
                </w:rPr>
                <m:t>)</m:t>
              </m:r>
            </m:oMath>
            <w:r w:rsidRPr="00D0186D">
              <w:rPr>
                <w:lang w:val="uk-UA" w:eastAsia="uk-UA"/>
              </w:rPr>
              <w:t>, тис. грн (27)</w:t>
            </w:r>
          </w:p>
          <w:p w14:paraId="44A3C5F6" w14:textId="0B3519A7" w:rsidR="00062D99" w:rsidRPr="00D0186D" w:rsidRDefault="00062D99" w:rsidP="007D4205">
            <w:pPr>
              <w:shd w:val="clear" w:color="auto" w:fill="FFFFFF"/>
              <w:ind w:right="28" w:firstLine="457"/>
              <w:jc w:val="both"/>
              <w:outlineLvl w:val="2"/>
              <w:rPr>
                <w:lang w:val="uk-UA"/>
              </w:rPr>
            </w:pPr>
          </w:p>
        </w:tc>
      </w:tr>
      <w:tr w:rsidR="00572C6A" w:rsidRPr="00D0186D" w14:paraId="5406C962" w14:textId="77777777" w:rsidTr="00274934">
        <w:tc>
          <w:tcPr>
            <w:tcW w:w="7934" w:type="dxa"/>
          </w:tcPr>
          <w:p w14:paraId="49E54185" w14:textId="77777777" w:rsidR="002913B2" w:rsidRPr="00D0186D" w:rsidRDefault="002913B2" w:rsidP="002913B2">
            <w:pPr>
              <w:shd w:val="clear" w:color="auto" w:fill="FFFFFF"/>
              <w:jc w:val="both"/>
              <w:outlineLvl w:val="2"/>
              <w:rPr>
                <w:bCs/>
                <w:lang w:val="uk-UA" w:eastAsia="uk-UA"/>
              </w:rPr>
            </w:pPr>
            <w:r w:rsidRPr="00D0186D">
              <w:rPr>
                <w:bCs/>
                <w:lang w:val="uk-UA" w:eastAsia="uk-UA"/>
              </w:rPr>
              <w:lastRenderedPageBreak/>
              <w:t>7. Вимоги до оформлення заяви, порядок та строки розгляду заяви, підстави для встановлення тарифів, механізм формування прогнозованих витрат (прогнозованого необхідного доходу) ліцензіата на перехідний період</w:t>
            </w:r>
          </w:p>
          <w:p w14:paraId="259D073F" w14:textId="77777777" w:rsidR="00CC7D4B" w:rsidRPr="00D0186D" w:rsidRDefault="00273D67" w:rsidP="00A82A57">
            <w:pPr>
              <w:rPr>
                <w:lang w:val="uk-UA"/>
              </w:rPr>
            </w:pPr>
            <w:r w:rsidRPr="00D0186D">
              <w:rPr>
                <w:lang w:val="uk-UA"/>
              </w:rPr>
              <w:t>……………………….</w:t>
            </w:r>
          </w:p>
          <w:p w14:paraId="33693D1B" w14:textId="77777777" w:rsidR="0038176F" w:rsidRPr="00D0186D" w:rsidRDefault="0038176F" w:rsidP="0038176F">
            <w:pPr>
              <w:pStyle w:val="tj"/>
              <w:shd w:val="clear" w:color="auto" w:fill="FFFFFF"/>
              <w:spacing w:before="0" w:beforeAutospacing="0" w:after="0" w:afterAutospacing="0"/>
            </w:pPr>
            <w:r w:rsidRPr="00D0186D">
              <w:t>7.22. Розрахунок операційних витрат:</w:t>
            </w:r>
          </w:p>
          <w:p w14:paraId="675A020F" w14:textId="77777777" w:rsidR="0038176F" w:rsidRPr="00D0186D" w:rsidRDefault="0038176F" w:rsidP="0038176F">
            <w:pPr>
              <w:pStyle w:val="tj"/>
              <w:shd w:val="clear" w:color="auto" w:fill="FFFFFF"/>
              <w:spacing w:before="0" w:beforeAutospacing="0" w:after="0" w:afterAutospacing="0"/>
            </w:pPr>
            <w:r w:rsidRPr="00D0186D">
              <w:t>1) операційні витрати для забезпечення діяльності з розподілу електричної енергії визначаються за такими економічними елементами та їх окремими складовими і розраховуються за формулою</w:t>
            </w:r>
          </w:p>
          <w:p w14:paraId="030DDDB5" w14:textId="77777777" w:rsidR="0038176F" w:rsidRPr="00D0186D" w:rsidRDefault="0038176F" w:rsidP="0038176F">
            <w:pPr>
              <w:rPr>
                <w:lang w:val="uk-UA"/>
              </w:rPr>
            </w:pPr>
            <w:r w:rsidRPr="00D0186D">
              <w:rPr>
                <w:lang w:val="uk-UA"/>
              </w:rPr>
              <w:t>…………………..</w:t>
            </w:r>
          </w:p>
          <w:p w14:paraId="45FF1D94" w14:textId="77777777" w:rsidR="0038176F" w:rsidRPr="00D0186D" w:rsidRDefault="0038176F" w:rsidP="0038176F">
            <w:pPr>
              <w:rPr>
                <w:lang w:val="uk-UA"/>
              </w:rPr>
            </w:pPr>
          </w:p>
          <w:p w14:paraId="671E92C7" w14:textId="77777777" w:rsidR="0038176F" w:rsidRPr="00D0186D" w:rsidRDefault="0038176F" w:rsidP="0038176F">
            <w:pPr>
              <w:rPr>
                <w:lang w:val="uk-UA"/>
              </w:rPr>
            </w:pPr>
            <w:proofErr w:type="spellStart"/>
            <w:r w:rsidRPr="00D0186D">
              <w:rPr>
                <w:i/>
                <w:iCs/>
                <w:shd w:val="clear" w:color="auto" w:fill="FFFFFF"/>
                <w:lang w:val="uk-UA"/>
              </w:rPr>
              <w:t>КВ</w:t>
            </w:r>
            <w:r w:rsidRPr="00D0186D">
              <w:rPr>
                <w:i/>
                <w:iCs/>
                <w:shd w:val="clear" w:color="auto" w:fill="FFFFFF"/>
                <w:vertAlign w:val="subscript"/>
                <w:lang w:val="uk-UA"/>
              </w:rPr>
              <w:t>t</w:t>
            </w:r>
            <w:proofErr w:type="spellEnd"/>
            <w:r w:rsidRPr="00D0186D">
              <w:rPr>
                <w:shd w:val="clear" w:color="auto" w:fill="FFFFFF"/>
                <w:lang w:val="uk-UA"/>
              </w:rPr>
              <w:t> - коригування витрат (вилучення або компенсація ліцензіату за результатами його діяльності, у тому числі як ліцензіата з передачі електричної енергії місцевими (локальними) електромережами та з постачання електричної енергії за регульованим тарифом) на прогнозний рік, тис. грн</w:t>
            </w:r>
            <w:hyperlink r:id="rId56" w:tgtFrame="_blank" w:history="1">
              <w:r w:rsidRPr="00D0186D">
                <w:rPr>
                  <w:rStyle w:val="a5"/>
                  <w:i/>
                  <w:iCs/>
                  <w:color w:val="auto"/>
                  <w:shd w:val="clear" w:color="auto" w:fill="FFFFFF"/>
                  <w:lang w:val="uk-UA"/>
                </w:rPr>
                <w:t>.</w:t>
              </w:r>
            </w:hyperlink>
          </w:p>
          <w:p w14:paraId="4856767E" w14:textId="161E5B30" w:rsidR="00273D67" w:rsidRPr="00D0186D" w:rsidRDefault="00273D67" w:rsidP="00A82A57">
            <w:pPr>
              <w:rPr>
                <w:lang w:val="uk-UA"/>
              </w:rPr>
            </w:pPr>
          </w:p>
        </w:tc>
        <w:tc>
          <w:tcPr>
            <w:tcW w:w="7937" w:type="dxa"/>
          </w:tcPr>
          <w:p w14:paraId="32D0CABB" w14:textId="77777777" w:rsidR="00273D67" w:rsidRPr="00D0186D" w:rsidRDefault="00273D67" w:rsidP="00273D67">
            <w:pPr>
              <w:shd w:val="clear" w:color="auto" w:fill="FFFFFF"/>
              <w:jc w:val="both"/>
              <w:outlineLvl w:val="2"/>
              <w:rPr>
                <w:bCs/>
                <w:lang w:val="uk-UA" w:eastAsia="uk-UA"/>
              </w:rPr>
            </w:pPr>
            <w:r w:rsidRPr="00D0186D">
              <w:rPr>
                <w:bCs/>
                <w:lang w:val="uk-UA" w:eastAsia="uk-UA"/>
              </w:rPr>
              <w:t>7. Вимоги до оформлення заяви, порядок та строки розгляду заяви, підстави для встановлення тарифів, механізм формування прогнозованих витрат (прогнозованого необхідного доходу) ліцензіата на перехідний період</w:t>
            </w:r>
          </w:p>
          <w:p w14:paraId="0EFE2AB3" w14:textId="77777777" w:rsidR="00273D67" w:rsidRPr="00D0186D" w:rsidRDefault="00273D67" w:rsidP="00273D67">
            <w:pPr>
              <w:rPr>
                <w:lang w:val="uk-UA"/>
              </w:rPr>
            </w:pPr>
            <w:r w:rsidRPr="00D0186D">
              <w:rPr>
                <w:lang w:val="uk-UA"/>
              </w:rPr>
              <w:t>……………………….</w:t>
            </w:r>
          </w:p>
          <w:p w14:paraId="28089DA9" w14:textId="77777777" w:rsidR="00A92055" w:rsidRPr="00D0186D" w:rsidRDefault="00A92055" w:rsidP="00A92055">
            <w:pPr>
              <w:pStyle w:val="tj"/>
              <w:shd w:val="clear" w:color="auto" w:fill="FFFFFF"/>
              <w:spacing w:before="0" w:beforeAutospacing="0" w:after="0" w:afterAutospacing="0"/>
            </w:pPr>
            <w:r w:rsidRPr="00D0186D">
              <w:t>7.22. Розрахунок операційних витрат:</w:t>
            </w:r>
          </w:p>
          <w:p w14:paraId="6D953375" w14:textId="77777777" w:rsidR="00A92055" w:rsidRPr="00D0186D" w:rsidRDefault="00A92055" w:rsidP="00A92055">
            <w:pPr>
              <w:pStyle w:val="tj"/>
              <w:shd w:val="clear" w:color="auto" w:fill="FFFFFF"/>
              <w:spacing w:before="0" w:beforeAutospacing="0" w:after="0" w:afterAutospacing="0"/>
            </w:pPr>
            <w:r w:rsidRPr="00D0186D">
              <w:t>1) операційні витрати для забезпечення діяльності з розподілу електричної енергії визначаються за такими економічними елементами та їх окремими складовими і розраховуються за формулою</w:t>
            </w:r>
          </w:p>
          <w:p w14:paraId="0FE41242" w14:textId="77777777" w:rsidR="00A92055" w:rsidRPr="00D0186D" w:rsidRDefault="00A92055" w:rsidP="00A92055">
            <w:pPr>
              <w:rPr>
                <w:lang w:val="uk-UA"/>
              </w:rPr>
            </w:pPr>
            <w:r w:rsidRPr="00D0186D">
              <w:rPr>
                <w:lang w:val="uk-UA"/>
              </w:rPr>
              <w:t>…………………..</w:t>
            </w:r>
          </w:p>
          <w:p w14:paraId="3B9D201B" w14:textId="77777777" w:rsidR="00A92055" w:rsidRPr="00D0186D" w:rsidRDefault="00A92055" w:rsidP="00A92055">
            <w:pPr>
              <w:rPr>
                <w:lang w:val="uk-UA"/>
              </w:rPr>
            </w:pPr>
          </w:p>
          <w:p w14:paraId="15E57325" w14:textId="77777777" w:rsidR="00A92055" w:rsidRPr="00D0186D" w:rsidRDefault="00A92055" w:rsidP="00A92055">
            <w:pPr>
              <w:rPr>
                <w:lang w:val="uk-UA"/>
              </w:rPr>
            </w:pPr>
            <w:proofErr w:type="spellStart"/>
            <w:r w:rsidRPr="00D0186D">
              <w:rPr>
                <w:i/>
                <w:iCs/>
                <w:shd w:val="clear" w:color="auto" w:fill="FFFFFF"/>
                <w:lang w:val="uk-UA"/>
              </w:rPr>
              <w:t>КВ</w:t>
            </w:r>
            <w:r w:rsidRPr="00D0186D">
              <w:rPr>
                <w:i/>
                <w:iCs/>
                <w:shd w:val="clear" w:color="auto" w:fill="FFFFFF"/>
                <w:vertAlign w:val="subscript"/>
                <w:lang w:val="uk-UA"/>
              </w:rPr>
              <w:t>t</w:t>
            </w:r>
            <w:proofErr w:type="spellEnd"/>
            <w:r w:rsidRPr="00D0186D">
              <w:rPr>
                <w:shd w:val="clear" w:color="auto" w:fill="FFFFFF"/>
                <w:lang w:val="uk-UA"/>
              </w:rPr>
              <w:t> - коригування витрат (вилучення або компенсація ліцензіату за результатами його діяльності, у тому числі як ліцензіата з передачі електричної енергії місцевими (локальними) електромережами та з постачання електричної енергії за регульованим тарифом) на прогнозний рік, тис. грн</w:t>
            </w:r>
            <w:hyperlink r:id="rId57" w:tgtFrame="_blank" w:history="1">
              <w:r w:rsidRPr="00D0186D">
                <w:rPr>
                  <w:rStyle w:val="a5"/>
                  <w:i/>
                  <w:iCs/>
                  <w:color w:val="auto"/>
                  <w:shd w:val="clear" w:color="auto" w:fill="FFFFFF"/>
                  <w:lang w:val="uk-UA"/>
                </w:rPr>
                <w:t>.</w:t>
              </w:r>
            </w:hyperlink>
          </w:p>
          <w:p w14:paraId="06C60238" w14:textId="77777777" w:rsidR="00CC7D4B" w:rsidRPr="00D0186D" w:rsidRDefault="00A92055" w:rsidP="00A82A57">
            <w:pPr>
              <w:rPr>
                <w:lang w:val="uk-UA"/>
              </w:rPr>
            </w:pPr>
            <w:r w:rsidRPr="00D0186D">
              <w:rPr>
                <w:lang w:val="uk-UA"/>
              </w:rPr>
              <w:t>…………….</w:t>
            </w:r>
          </w:p>
          <w:p w14:paraId="2D4F502F" w14:textId="383E7A06" w:rsidR="00A92055" w:rsidRPr="00D0186D" w:rsidRDefault="00A92055" w:rsidP="00A82A57">
            <w:pPr>
              <w:rPr>
                <w:b/>
                <w:lang w:val="uk-UA"/>
              </w:rPr>
            </w:pPr>
            <w:bookmarkStart w:id="33" w:name="_Hlk173408232"/>
            <w:r w:rsidRPr="00D0186D">
              <w:rPr>
                <w:b/>
                <w:shd w:val="clear" w:color="auto" w:fill="FFFFFF"/>
                <w:lang w:val="uk-UA"/>
              </w:rPr>
              <w:t>У період дії в Україні воєнного стану д</w:t>
            </w:r>
            <w:r w:rsidRPr="00D0186D">
              <w:rPr>
                <w:b/>
                <w:lang w:val="uk-UA"/>
              </w:rPr>
              <w:t xml:space="preserve">ля ліцензіатів, перелік яких наведено в додатку 30 до цього Порядку, </w:t>
            </w:r>
            <w:r w:rsidR="00F616EB" w:rsidRPr="00D0186D">
              <w:rPr>
                <w:b/>
                <w:lang w:val="uk-UA"/>
              </w:rPr>
              <w:t xml:space="preserve">з 2025 року розрахунок операційних витрат крім </w:t>
            </w:r>
            <w:r w:rsidR="0038176F" w:rsidRPr="00D0186D">
              <w:rPr>
                <w:b/>
                <w:lang w:val="uk-UA"/>
              </w:rPr>
              <w:t>статей витрат</w:t>
            </w:r>
            <w:r w:rsidR="00F616EB" w:rsidRPr="00D0186D">
              <w:rPr>
                <w:b/>
                <w:lang w:val="uk-UA"/>
              </w:rPr>
              <w:t>:</w:t>
            </w:r>
          </w:p>
          <w:p w14:paraId="56C3EDA5" w14:textId="4FD1FCC1" w:rsidR="00F616EB" w:rsidRPr="00D0186D" w:rsidRDefault="00F616EB" w:rsidP="00F616EB">
            <w:pPr>
              <w:rPr>
                <w:b/>
                <w:lang w:val="uk-UA"/>
              </w:rPr>
            </w:pPr>
            <w:r w:rsidRPr="00D0186D">
              <w:rPr>
                <w:b/>
                <w:lang w:val="uk-UA" w:eastAsia="uk-UA"/>
              </w:rPr>
              <w:t>послуги оператора системи передачі;</w:t>
            </w:r>
          </w:p>
          <w:p w14:paraId="3580B33A" w14:textId="45DA5EFD" w:rsidR="00F616EB" w:rsidRPr="00D0186D" w:rsidRDefault="00F616EB" w:rsidP="00F616EB">
            <w:pPr>
              <w:rPr>
                <w:b/>
                <w:lang w:val="uk-UA"/>
              </w:rPr>
            </w:pPr>
            <w:r w:rsidRPr="00D0186D">
              <w:rPr>
                <w:b/>
                <w:lang w:val="uk-UA" w:eastAsia="uk-UA"/>
              </w:rPr>
              <w:t>послуги з диспетчерського (</w:t>
            </w:r>
            <w:proofErr w:type="spellStart"/>
            <w:r w:rsidRPr="00D0186D">
              <w:rPr>
                <w:b/>
                <w:lang w:val="uk-UA" w:eastAsia="uk-UA"/>
              </w:rPr>
              <w:t>оперативно</w:t>
            </w:r>
            <w:proofErr w:type="spellEnd"/>
            <w:r w:rsidRPr="00D0186D">
              <w:rPr>
                <w:b/>
                <w:lang w:val="uk-UA" w:eastAsia="uk-UA"/>
              </w:rPr>
              <w:t>-технологічного) управління;</w:t>
            </w:r>
          </w:p>
          <w:p w14:paraId="25687B35" w14:textId="77777777" w:rsidR="00F616EB" w:rsidRPr="00D0186D" w:rsidRDefault="00F616EB" w:rsidP="00F616EB">
            <w:pPr>
              <w:rPr>
                <w:b/>
                <w:lang w:val="uk-UA"/>
              </w:rPr>
            </w:pPr>
            <w:r w:rsidRPr="00D0186D">
              <w:rPr>
                <w:b/>
                <w:lang w:val="uk-UA" w:eastAsia="uk-UA"/>
              </w:rPr>
              <w:t>паливно-мастильні матеріали;</w:t>
            </w:r>
          </w:p>
          <w:p w14:paraId="4D27CCF2" w14:textId="657AF8CF" w:rsidR="00F616EB" w:rsidRPr="00D0186D" w:rsidRDefault="00F616EB" w:rsidP="00F616EB">
            <w:pPr>
              <w:rPr>
                <w:b/>
                <w:lang w:val="uk-UA"/>
              </w:rPr>
            </w:pPr>
            <w:r w:rsidRPr="00D0186D">
              <w:rPr>
                <w:b/>
                <w:lang w:val="uk-UA" w:eastAsia="uk-UA"/>
              </w:rPr>
              <w:lastRenderedPageBreak/>
              <w:t>витрати на електричну енергію для господарчих потреб;</w:t>
            </w:r>
          </w:p>
          <w:p w14:paraId="0AEE2FB7" w14:textId="185CC51C" w:rsidR="00F616EB" w:rsidRPr="00D0186D" w:rsidRDefault="00B92181" w:rsidP="00F616EB">
            <w:pPr>
              <w:rPr>
                <w:b/>
                <w:lang w:val="uk-UA"/>
              </w:rPr>
            </w:pPr>
            <w:r w:rsidRPr="00D0186D">
              <w:rPr>
                <w:b/>
                <w:bCs/>
                <w:lang w:val="uk-UA" w:eastAsia="uk-UA"/>
              </w:rPr>
              <w:t>в</w:t>
            </w:r>
            <w:r w:rsidR="00F616EB" w:rsidRPr="00D0186D">
              <w:rPr>
                <w:b/>
                <w:bCs/>
                <w:lang w:val="uk-UA" w:eastAsia="uk-UA"/>
              </w:rPr>
              <w:t>итрати, пов’язані з купівлею електричної енергії з метою компенсації технологічних витрат електричної енергії на її розподіл;</w:t>
            </w:r>
          </w:p>
          <w:p w14:paraId="6EA9441D" w14:textId="3FBE0015" w:rsidR="00F616EB" w:rsidRPr="00D0186D" w:rsidRDefault="00DE7381" w:rsidP="00F616EB">
            <w:pPr>
              <w:rPr>
                <w:b/>
                <w:bCs/>
                <w:lang w:val="uk-UA" w:eastAsia="uk-UA"/>
              </w:rPr>
            </w:pPr>
            <w:r w:rsidRPr="00D0186D">
              <w:rPr>
                <w:b/>
                <w:bCs/>
                <w:lang w:val="uk-UA" w:eastAsia="uk-UA"/>
              </w:rPr>
              <w:t>в</w:t>
            </w:r>
            <w:r w:rsidR="00F616EB" w:rsidRPr="00D0186D">
              <w:rPr>
                <w:b/>
                <w:bCs/>
                <w:lang w:val="uk-UA" w:eastAsia="uk-UA"/>
              </w:rPr>
              <w:t>итрати на оплату праці</w:t>
            </w:r>
            <w:r w:rsidR="00AF0870" w:rsidRPr="00D0186D">
              <w:rPr>
                <w:b/>
                <w:bCs/>
                <w:lang w:val="uk-UA" w:eastAsia="uk-UA"/>
              </w:rPr>
              <w:t xml:space="preserve"> та похідні витрати</w:t>
            </w:r>
            <w:r w:rsidR="00F616EB" w:rsidRPr="00D0186D">
              <w:rPr>
                <w:b/>
                <w:bCs/>
                <w:lang w:val="uk-UA" w:eastAsia="uk-UA"/>
              </w:rPr>
              <w:t>;</w:t>
            </w:r>
          </w:p>
          <w:p w14:paraId="16142947" w14:textId="232162D1" w:rsidR="00F616EB" w:rsidRPr="00D0186D" w:rsidRDefault="00DE7381" w:rsidP="00F616EB">
            <w:pPr>
              <w:rPr>
                <w:b/>
                <w:bCs/>
                <w:lang w:val="uk-UA" w:eastAsia="uk-UA"/>
              </w:rPr>
            </w:pPr>
            <w:r w:rsidRPr="00D0186D">
              <w:rPr>
                <w:b/>
                <w:bCs/>
                <w:lang w:val="uk-UA" w:eastAsia="uk-UA"/>
              </w:rPr>
              <w:t>а</w:t>
            </w:r>
            <w:r w:rsidR="00F616EB" w:rsidRPr="00D0186D">
              <w:rPr>
                <w:b/>
                <w:bCs/>
                <w:lang w:val="uk-UA" w:eastAsia="uk-UA"/>
              </w:rPr>
              <w:t>мортизація;</w:t>
            </w:r>
          </w:p>
          <w:p w14:paraId="7441BB51" w14:textId="601F4DC5" w:rsidR="007557DF" w:rsidRPr="00D0186D" w:rsidRDefault="00DE7381" w:rsidP="00F616EB">
            <w:pPr>
              <w:rPr>
                <w:b/>
                <w:bCs/>
                <w:lang w:val="uk-UA" w:eastAsia="uk-UA"/>
              </w:rPr>
            </w:pPr>
            <w:r w:rsidRPr="00D0186D">
              <w:rPr>
                <w:b/>
                <w:bCs/>
                <w:lang w:val="uk-UA" w:eastAsia="uk-UA"/>
              </w:rPr>
              <w:t>в</w:t>
            </w:r>
            <w:r w:rsidR="007557DF" w:rsidRPr="00D0186D">
              <w:rPr>
                <w:b/>
                <w:bCs/>
                <w:lang w:val="uk-UA" w:eastAsia="uk-UA"/>
              </w:rPr>
              <w:t>нески на регулювання;</w:t>
            </w:r>
          </w:p>
          <w:p w14:paraId="455034A6" w14:textId="0B23970E" w:rsidR="00AF0870" w:rsidRPr="00D0186D" w:rsidRDefault="00AF0870" w:rsidP="00AF0870">
            <w:pPr>
              <w:rPr>
                <w:b/>
                <w:lang w:val="uk-UA"/>
              </w:rPr>
            </w:pPr>
            <w:r w:rsidRPr="00D0186D">
              <w:rPr>
                <w:b/>
                <w:lang w:val="uk-UA"/>
              </w:rPr>
              <w:t xml:space="preserve">витрат </w:t>
            </w:r>
            <w:r w:rsidR="007557DF" w:rsidRPr="00D0186D">
              <w:rPr>
                <w:b/>
                <w:lang w:val="uk-UA"/>
              </w:rPr>
              <w:t xml:space="preserve">розрахунок </w:t>
            </w:r>
            <w:r w:rsidRPr="00D0186D">
              <w:rPr>
                <w:b/>
                <w:lang w:val="uk-UA"/>
              </w:rPr>
              <w:t>як</w:t>
            </w:r>
            <w:r w:rsidR="007557DF" w:rsidRPr="00D0186D">
              <w:rPr>
                <w:b/>
                <w:lang w:val="uk-UA"/>
              </w:rPr>
              <w:t>их</w:t>
            </w:r>
            <w:r w:rsidRPr="00D0186D">
              <w:rPr>
                <w:b/>
                <w:lang w:val="uk-UA"/>
              </w:rPr>
              <w:t xml:space="preserve"> залеж</w:t>
            </w:r>
            <w:r w:rsidR="008A7076" w:rsidRPr="00D0186D">
              <w:rPr>
                <w:b/>
                <w:lang w:val="uk-UA"/>
              </w:rPr>
              <w:t>и</w:t>
            </w:r>
            <w:r w:rsidRPr="00D0186D">
              <w:rPr>
                <w:b/>
                <w:lang w:val="uk-UA"/>
              </w:rPr>
              <w:t xml:space="preserve">ть від обсягів </w:t>
            </w:r>
            <w:r w:rsidR="00105E46" w:rsidRPr="00D0186D">
              <w:rPr>
                <w:b/>
                <w:lang w:val="uk-UA"/>
              </w:rPr>
              <w:t>електричної енергії</w:t>
            </w:r>
            <w:r w:rsidR="007557DF" w:rsidRPr="00D0186D">
              <w:rPr>
                <w:b/>
                <w:lang w:val="uk-UA"/>
              </w:rPr>
              <w:t xml:space="preserve"> та</w:t>
            </w:r>
            <w:r w:rsidR="00B92181" w:rsidRPr="00D0186D">
              <w:rPr>
                <w:b/>
                <w:lang w:val="uk-UA"/>
              </w:rPr>
              <w:t>/або</w:t>
            </w:r>
            <w:r w:rsidR="007557DF" w:rsidRPr="00D0186D">
              <w:rPr>
                <w:b/>
                <w:lang w:val="uk-UA"/>
              </w:rPr>
              <w:t xml:space="preserve"> </w:t>
            </w:r>
            <w:r w:rsidRPr="00D0186D">
              <w:rPr>
                <w:b/>
                <w:lang w:val="uk-UA"/>
              </w:rPr>
              <w:t xml:space="preserve">ціни на ринку електричної енергії, </w:t>
            </w:r>
          </w:p>
          <w:p w14:paraId="4C85654A" w14:textId="31C8CF11" w:rsidR="004E6136" w:rsidRPr="00D0186D" w:rsidRDefault="00F616EB" w:rsidP="0038176F">
            <w:pPr>
              <w:jc w:val="both"/>
              <w:rPr>
                <w:lang w:val="uk-UA"/>
              </w:rPr>
            </w:pPr>
            <w:r w:rsidRPr="00D0186D">
              <w:rPr>
                <w:b/>
                <w:lang w:val="uk-UA"/>
              </w:rPr>
              <w:t>здійснюється із застосуванням</w:t>
            </w:r>
            <w:r w:rsidR="0038176F" w:rsidRPr="00D0186D">
              <w:rPr>
                <w:lang w:val="uk-UA"/>
              </w:rPr>
              <w:t xml:space="preserve"> </w:t>
            </w:r>
            <w:r w:rsidR="004E6136" w:rsidRPr="00D0186D">
              <w:rPr>
                <w:b/>
                <w:lang w:val="uk-UA"/>
              </w:rPr>
              <w:t>коригуючого коефіцієнту зміни фактичних умовних одиниць енергетичного обладнання ліцензіата, що знаходиться на контрольованій території держави (КФУ),</w:t>
            </w:r>
            <w:r w:rsidR="004E6136" w:rsidRPr="00D0186D">
              <w:rPr>
                <w:b/>
                <w:shd w:val="clear" w:color="auto" w:fill="FFFFFF"/>
                <w:lang w:val="uk-UA"/>
              </w:rPr>
              <w:t xml:space="preserve"> що розраховується за формулою</w:t>
            </w:r>
          </w:p>
          <w:p w14:paraId="7DA6D5B1" w14:textId="629A6FCD" w:rsidR="0038176F" w:rsidRPr="00D0186D" w:rsidRDefault="00B92181" w:rsidP="00B92181">
            <w:pPr>
              <w:jc w:val="center"/>
              <w:rPr>
                <w:b/>
                <w:lang w:val="uk-UA"/>
              </w:rPr>
            </w:pPr>
            <m:oMath>
              <m:r>
                <m:rPr>
                  <m:sty m:val="bi"/>
                </m:rPr>
                <w:rPr>
                  <w:rFonts w:ascii="Cambria Math" w:hAnsi="Cambria Math"/>
                  <w:lang w:val="uk-UA"/>
                </w:rPr>
                <m:t>КФУ=1+КУ×</m:t>
              </m:r>
              <m:f>
                <m:fPr>
                  <m:ctrlPr>
                    <w:rPr>
                      <w:rFonts w:ascii="Cambria Math" w:hAnsi="Cambria Math"/>
                      <w:b/>
                      <w:i/>
                      <w:lang w:val="uk-UA"/>
                    </w:rPr>
                  </m:ctrlPr>
                </m:fPr>
                <m:num>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УО</m:t>
                      </m:r>
                    </m:e>
                    <m:sub>
                      <m:r>
                        <m:rPr>
                          <m:sty m:val="bi"/>
                        </m:rPr>
                        <w:rPr>
                          <w:rFonts w:ascii="Cambria Math" w:hAnsi="Cambria Math"/>
                          <w:lang w:val="uk-UA"/>
                        </w:rPr>
                        <m:t xml:space="preserve"> </m:t>
                      </m:r>
                    </m:sub>
                    <m:sup/>
                  </m:sSubSup>
                </m:num>
                <m:den>
                  <m:sSubSup>
                    <m:sSubSupPr>
                      <m:ctrlPr>
                        <w:rPr>
                          <w:rFonts w:ascii="Cambria Math" w:hAnsi="Cambria Math"/>
                          <w:b/>
                          <w:i/>
                          <w:lang w:val="uk-UA"/>
                        </w:rPr>
                      </m:ctrlPr>
                    </m:sSubSupPr>
                    <m:e>
                      <m:r>
                        <m:rPr>
                          <m:sty m:val="bi"/>
                        </m:rPr>
                        <w:rPr>
                          <w:rFonts w:ascii="Cambria Math" w:hAnsi="Cambria Math"/>
                          <w:lang w:val="uk-UA"/>
                        </w:rPr>
                        <m:t>УО</m:t>
                      </m:r>
                    </m:e>
                    <m:sub/>
                    <m:sup>
                      <m:r>
                        <m:rPr>
                          <m:sty m:val="bi"/>
                        </m:rPr>
                        <w:rPr>
                          <w:rFonts w:ascii="Cambria Math" w:hAnsi="Cambria Math"/>
                          <w:lang w:val="uk-UA"/>
                        </w:rPr>
                        <m:t>тар</m:t>
                      </m:r>
                    </m:sup>
                  </m:sSubSup>
                </m:den>
              </m:f>
            </m:oMath>
            <w:r w:rsidRPr="00D0186D">
              <w:rPr>
                <w:b/>
                <w:lang w:val="uk-UA"/>
              </w:rPr>
              <w:t xml:space="preserve">, </w:t>
            </w:r>
            <w:proofErr w:type="spellStart"/>
            <w:r w:rsidRPr="00D0186D">
              <w:rPr>
                <w:b/>
                <w:lang w:val="uk-UA"/>
              </w:rPr>
              <w:t>у.о</w:t>
            </w:r>
            <w:r w:rsidR="00D0186D">
              <w:rPr>
                <w:b/>
                <w:lang w:val="uk-UA"/>
              </w:rPr>
              <w:t>д</w:t>
            </w:r>
            <w:proofErr w:type="spellEnd"/>
            <w:r w:rsidRPr="00D0186D">
              <w:rPr>
                <w:b/>
                <w:lang w:val="uk-UA"/>
              </w:rPr>
              <w:t>.</w:t>
            </w:r>
            <w:r w:rsidR="0038176F" w:rsidRPr="00D0186D">
              <w:rPr>
                <w:b/>
                <w:lang w:val="uk-UA"/>
              </w:rPr>
              <w:t xml:space="preserve"> (3</w:t>
            </w:r>
            <w:r w:rsidR="00951710" w:rsidRPr="00D0186D">
              <w:rPr>
                <w:b/>
                <w:lang w:val="uk-UA"/>
              </w:rPr>
              <w:t>6</w:t>
            </w:r>
            <w:r w:rsidR="0038176F" w:rsidRPr="00D0186D">
              <w:rPr>
                <w:b/>
                <w:lang w:val="uk-UA"/>
              </w:rPr>
              <w:t>)</w:t>
            </w:r>
          </w:p>
          <w:tbl>
            <w:tblPr>
              <w:tblW w:w="7433" w:type="dxa"/>
              <w:tblLayout w:type="fixed"/>
              <w:tblCellMar>
                <w:left w:w="0" w:type="dxa"/>
                <w:right w:w="0" w:type="dxa"/>
              </w:tblCellMar>
              <w:tblLook w:val="04A0" w:firstRow="1" w:lastRow="0" w:firstColumn="1" w:lastColumn="0" w:noHBand="0" w:noVBand="1"/>
            </w:tblPr>
            <w:tblGrid>
              <w:gridCol w:w="489"/>
              <w:gridCol w:w="843"/>
              <w:gridCol w:w="289"/>
              <w:gridCol w:w="5812"/>
            </w:tblGrid>
            <w:tr w:rsidR="00B92181" w:rsidRPr="00D0186D" w14:paraId="32193DF7" w14:textId="77777777" w:rsidTr="005B163F">
              <w:tc>
                <w:tcPr>
                  <w:tcW w:w="489" w:type="dxa"/>
                  <w:tcBorders>
                    <w:top w:val="single" w:sz="2" w:space="0" w:color="auto"/>
                    <w:left w:val="single" w:sz="2" w:space="0" w:color="auto"/>
                    <w:bottom w:val="single" w:sz="2" w:space="0" w:color="auto"/>
                    <w:right w:val="single" w:sz="2" w:space="0" w:color="auto"/>
                  </w:tcBorders>
                  <w:hideMark/>
                </w:tcPr>
                <w:p w14:paraId="26E5F017" w14:textId="77777777" w:rsidR="00B92181" w:rsidRPr="00D0186D" w:rsidRDefault="00B92181" w:rsidP="00B92181">
                  <w:pPr>
                    <w:pStyle w:val="rvps11"/>
                    <w:spacing w:before="150" w:beforeAutospacing="0" w:after="150" w:afterAutospacing="0"/>
                    <w:jc w:val="right"/>
                    <w:rPr>
                      <w:b/>
                    </w:rPr>
                  </w:pPr>
                  <w:bookmarkStart w:id="34" w:name="_Hlk173408243"/>
                  <w:bookmarkEnd w:id="33"/>
                  <w:r w:rsidRPr="00D0186D">
                    <w:rPr>
                      <w:b/>
                    </w:rPr>
                    <w:t>де</w:t>
                  </w:r>
                </w:p>
              </w:tc>
              <w:tc>
                <w:tcPr>
                  <w:tcW w:w="843" w:type="dxa"/>
                  <w:tcBorders>
                    <w:top w:val="single" w:sz="2" w:space="0" w:color="auto"/>
                    <w:left w:val="single" w:sz="2" w:space="0" w:color="auto"/>
                    <w:bottom w:val="single" w:sz="2" w:space="0" w:color="auto"/>
                    <w:right w:val="single" w:sz="2" w:space="0" w:color="auto"/>
                  </w:tcBorders>
                </w:tcPr>
                <w:p w14:paraId="5E3863EB" w14:textId="77777777" w:rsidR="00B92181" w:rsidRPr="00D0186D" w:rsidRDefault="00B92181" w:rsidP="00B92181">
                  <w:pPr>
                    <w:pStyle w:val="rvps11"/>
                    <w:spacing w:before="150" w:beforeAutospacing="0" w:after="150" w:afterAutospacing="0"/>
                    <w:jc w:val="center"/>
                    <w:rPr>
                      <w:b/>
                    </w:rPr>
                  </w:pPr>
                  <w:r w:rsidRPr="00D0186D">
                    <w:rPr>
                      <w:b/>
                    </w:rPr>
                    <w:t>КУ</w:t>
                  </w:r>
                </w:p>
                <w:p w14:paraId="345E05BD" w14:textId="77777777" w:rsidR="00B92181" w:rsidRPr="00D0186D" w:rsidRDefault="00B92181" w:rsidP="00B92181">
                  <w:pPr>
                    <w:pStyle w:val="rvps11"/>
                    <w:spacing w:before="150" w:beforeAutospacing="0" w:after="150" w:afterAutospacing="0"/>
                    <w:jc w:val="center"/>
                    <w:rPr>
                      <w:b/>
                    </w:rPr>
                  </w:pPr>
                </w:p>
              </w:tc>
              <w:tc>
                <w:tcPr>
                  <w:tcW w:w="289" w:type="dxa"/>
                  <w:tcBorders>
                    <w:top w:val="single" w:sz="2" w:space="0" w:color="auto"/>
                    <w:left w:val="single" w:sz="2" w:space="0" w:color="auto"/>
                    <w:bottom w:val="single" w:sz="2" w:space="0" w:color="auto"/>
                    <w:right w:val="single" w:sz="2" w:space="0" w:color="auto"/>
                  </w:tcBorders>
                </w:tcPr>
                <w:p w14:paraId="160EF58F" w14:textId="77777777" w:rsidR="00B92181" w:rsidRPr="00D0186D" w:rsidRDefault="00B92181" w:rsidP="00B92181">
                  <w:pPr>
                    <w:pStyle w:val="rvps11"/>
                    <w:spacing w:before="150" w:beforeAutospacing="0" w:after="150" w:afterAutospacing="0"/>
                    <w:jc w:val="center"/>
                    <w:rPr>
                      <w:b/>
                    </w:rPr>
                  </w:pPr>
                  <w:r w:rsidRPr="00D0186D">
                    <w:rPr>
                      <w:b/>
                    </w:rPr>
                    <w:t>-</w:t>
                  </w:r>
                </w:p>
              </w:tc>
              <w:tc>
                <w:tcPr>
                  <w:tcW w:w="5812" w:type="dxa"/>
                  <w:tcBorders>
                    <w:top w:val="single" w:sz="2" w:space="0" w:color="auto"/>
                    <w:left w:val="single" w:sz="2" w:space="0" w:color="auto"/>
                    <w:bottom w:val="single" w:sz="2" w:space="0" w:color="auto"/>
                    <w:right w:val="single" w:sz="2" w:space="0" w:color="auto"/>
                  </w:tcBorders>
                </w:tcPr>
                <w:p w14:paraId="56EF36E1" w14:textId="77777777" w:rsidR="00B92181" w:rsidRPr="00D0186D" w:rsidRDefault="00B92181" w:rsidP="00DE7381">
                  <w:pPr>
                    <w:pStyle w:val="rvps11"/>
                    <w:spacing w:before="150" w:beforeAutospacing="0" w:after="150" w:afterAutospacing="0"/>
                    <w:jc w:val="both"/>
                    <w:rPr>
                      <w:b/>
                    </w:rPr>
                  </w:pPr>
                  <w:r w:rsidRPr="00D0186D">
                    <w:rPr>
                      <w:b/>
                    </w:rPr>
                    <w:t>коефіцієнт поправки на зміну кількості умовних одиниць обладнання (0 &lt; КУ  &lt; 1), встановлений НКРЕКП;</w:t>
                  </w:r>
                </w:p>
              </w:tc>
            </w:tr>
            <w:tr w:rsidR="00B92181" w:rsidRPr="00D0186D" w14:paraId="74E7DF0E" w14:textId="77777777" w:rsidTr="005B163F">
              <w:tc>
                <w:tcPr>
                  <w:tcW w:w="489" w:type="dxa"/>
                  <w:tcBorders>
                    <w:top w:val="single" w:sz="2" w:space="0" w:color="auto"/>
                    <w:left w:val="single" w:sz="2" w:space="0" w:color="auto"/>
                    <w:bottom w:val="single" w:sz="2" w:space="0" w:color="auto"/>
                    <w:right w:val="single" w:sz="2" w:space="0" w:color="auto"/>
                  </w:tcBorders>
                </w:tcPr>
                <w:p w14:paraId="0D6AF99C" w14:textId="77777777" w:rsidR="00B92181" w:rsidRPr="00D0186D" w:rsidRDefault="00B92181" w:rsidP="00B92181">
                  <w:pPr>
                    <w:pStyle w:val="rvps11"/>
                    <w:spacing w:before="150" w:beforeAutospacing="0" w:after="150" w:afterAutospacing="0"/>
                    <w:jc w:val="right"/>
                    <w:rPr>
                      <w:b/>
                    </w:rPr>
                  </w:pPr>
                </w:p>
              </w:tc>
              <w:tc>
                <w:tcPr>
                  <w:tcW w:w="843" w:type="dxa"/>
                  <w:tcBorders>
                    <w:top w:val="single" w:sz="2" w:space="0" w:color="auto"/>
                    <w:left w:val="single" w:sz="2" w:space="0" w:color="auto"/>
                    <w:bottom w:val="single" w:sz="2" w:space="0" w:color="auto"/>
                    <w:right w:val="single" w:sz="2" w:space="0" w:color="auto"/>
                  </w:tcBorders>
                </w:tcPr>
                <w:p w14:paraId="5BF69715" w14:textId="77777777" w:rsidR="00B92181" w:rsidRPr="00D0186D" w:rsidRDefault="00ED4B6B" w:rsidP="00B92181">
                  <w:pPr>
                    <w:pStyle w:val="rvps11"/>
                    <w:spacing w:before="150" w:beforeAutospacing="0" w:after="150" w:afterAutospacing="0"/>
                    <w:jc w:val="center"/>
                    <w:rPr>
                      <w:b/>
                    </w:rPr>
                  </w:pPr>
                  <m:oMathPara>
                    <m:oMath>
                      <m:sSubSup>
                        <m:sSubSupPr>
                          <m:ctrlPr>
                            <w:rPr>
                              <w:rFonts w:ascii="Cambria Math" w:hAnsi="Cambria Math"/>
                              <w:b/>
                              <w:i/>
                            </w:rPr>
                          </m:ctrlPr>
                        </m:sSubSupPr>
                        <m:e>
                          <m:r>
                            <m:rPr>
                              <m:sty m:val="bi"/>
                            </m:rPr>
                            <w:rPr>
                              <w:rFonts w:ascii="Cambria Math" w:hAnsi="Cambria Math"/>
                            </w:rPr>
                            <m:t>∆УО</m:t>
                          </m:r>
                        </m:e>
                        <m:sub/>
                        <m:sup/>
                      </m:sSubSup>
                    </m:oMath>
                  </m:oMathPara>
                </w:p>
              </w:tc>
              <w:tc>
                <w:tcPr>
                  <w:tcW w:w="289" w:type="dxa"/>
                  <w:tcBorders>
                    <w:top w:val="single" w:sz="2" w:space="0" w:color="auto"/>
                    <w:left w:val="single" w:sz="2" w:space="0" w:color="auto"/>
                    <w:bottom w:val="single" w:sz="2" w:space="0" w:color="auto"/>
                    <w:right w:val="single" w:sz="2" w:space="0" w:color="auto"/>
                  </w:tcBorders>
                </w:tcPr>
                <w:p w14:paraId="1E0EF06D" w14:textId="77777777" w:rsidR="00B92181" w:rsidRPr="00D0186D" w:rsidRDefault="00B92181" w:rsidP="00B92181">
                  <w:pPr>
                    <w:pStyle w:val="rvps11"/>
                    <w:spacing w:before="150" w:beforeAutospacing="0" w:after="150" w:afterAutospacing="0"/>
                    <w:jc w:val="center"/>
                    <w:rPr>
                      <w:b/>
                    </w:rPr>
                  </w:pPr>
                  <w:r w:rsidRPr="00D0186D">
                    <w:rPr>
                      <w:b/>
                    </w:rPr>
                    <w:t>-</w:t>
                  </w:r>
                </w:p>
              </w:tc>
              <w:tc>
                <w:tcPr>
                  <w:tcW w:w="5812" w:type="dxa"/>
                  <w:tcBorders>
                    <w:top w:val="single" w:sz="2" w:space="0" w:color="auto"/>
                    <w:left w:val="single" w:sz="2" w:space="0" w:color="auto"/>
                    <w:bottom w:val="single" w:sz="2" w:space="0" w:color="auto"/>
                    <w:right w:val="single" w:sz="2" w:space="0" w:color="auto"/>
                  </w:tcBorders>
                </w:tcPr>
                <w:p w14:paraId="3E2A3960" w14:textId="77777777" w:rsidR="00B92181" w:rsidRPr="00D0186D" w:rsidRDefault="00B92181" w:rsidP="00DE7381">
                  <w:pPr>
                    <w:pStyle w:val="rvps11"/>
                    <w:spacing w:before="150" w:beforeAutospacing="0" w:after="150" w:afterAutospacing="0"/>
                    <w:jc w:val="both"/>
                    <w:rPr>
                      <w:b/>
                    </w:rPr>
                  </w:pPr>
                  <w:r w:rsidRPr="00D0186D">
                    <w:rPr>
                      <w:b/>
                    </w:rPr>
                    <w:t>зміна фактичної кількості умовних одиниць енергетичного обладнання, що знаходиться на контрольованій території держави, до кількості умовних одиниць енергетичного обладнання  ліцензіата, врахованої у діючих тарифах;</w:t>
                  </w:r>
                </w:p>
              </w:tc>
            </w:tr>
            <w:tr w:rsidR="00B92181" w:rsidRPr="00D0186D" w14:paraId="3516C5D0" w14:textId="77777777" w:rsidTr="005B163F">
              <w:tc>
                <w:tcPr>
                  <w:tcW w:w="489" w:type="dxa"/>
                  <w:tcBorders>
                    <w:top w:val="single" w:sz="2" w:space="0" w:color="auto"/>
                    <w:left w:val="single" w:sz="2" w:space="0" w:color="auto"/>
                    <w:bottom w:val="single" w:sz="2" w:space="0" w:color="auto"/>
                    <w:right w:val="single" w:sz="2" w:space="0" w:color="auto"/>
                  </w:tcBorders>
                </w:tcPr>
                <w:p w14:paraId="7E650B5A" w14:textId="77777777" w:rsidR="00B92181" w:rsidRPr="00D0186D" w:rsidRDefault="00B92181" w:rsidP="00B92181">
                  <w:pPr>
                    <w:pStyle w:val="rvps11"/>
                    <w:spacing w:before="150" w:beforeAutospacing="0" w:after="150" w:afterAutospacing="0"/>
                    <w:jc w:val="right"/>
                    <w:rPr>
                      <w:b/>
                    </w:rPr>
                  </w:pPr>
                </w:p>
              </w:tc>
              <w:tc>
                <w:tcPr>
                  <w:tcW w:w="843" w:type="dxa"/>
                  <w:tcBorders>
                    <w:top w:val="single" w:sz="2" w:space="0" w:color="auto"/>
                    <w:left w:val="single" w:sz="2" w:space="0" w:color="auto"/>
                    <w:bottom w:val="single" w:sz="2" w:space="0" w:color="auto"/>
                    <w:right w:val="single" w:sz="2" w:space="0" w:color="auto"/>
                  </w:tcBorders>
                </w:tcPr>
                <w:p w14:paraId="057171DC" w14:textId="77777777" w:rsidR="00B92181" w:rsidRPr="00D0186D" w:rsidRDefault="00ED4B6B" w:rsidP="00B92181">
                  <w:pPr>
                    <w:pStyle w:val="rvps11"/>
                    <w:spacing w:before="150" w:beforeAutospacing="0" w:after="150" w:afterAutospacing="0"/>
                    <w:jc w:val="center"/>
                    <w:rPr>
                      <w:b/>
                    </w:rPr>
                  </w:pPr>
                  <m:oMathPara>
                    <m:oMath>
                      <m:sSubSup>
                        <m:sSubSupPr>
                          <m:ctrlPr>
                            <w:rPr>
                              <w:rFonts w:ascii="Cambria Math" w:hAnsi="Cambria Math"/>
                              <w:b/>
                              <w:i/>
                            </w:rPr>
                          </m:ctrlPr>
                        </m:sSubSupPr>
                        <m:e>
                          <m:r>
                            <m:rPr>
                              <m:sty m:val="bi"/>
                            </m:rPr>
                            <w:rPr>
                              <w:rFonts w:ascii="Cambria Math" w:hAnsi="Cambria Math"/>
                            </w:rPr>
                            <m:t>УО</m:t>
                          </m:r>
                        </m:e>
                        <m:sub>
                          <m:r>
                            <m:rPr>
                              <m:sty m:val="bi"/>
                            </m:rPr>
                            <w:rPr>
                              <w:rFonts w:ascii="Cambria Math" w:hAnsi="Cambria Math"/>
                            </w:rPr>
                            <m:t xml:space="preserve"> </m:t>
                          </m:r>
                        </m:sub>
                        <m:sup>
                          <m:r>
                            <m:rPr>
                              <m:sty m:val="bi"/>
                            </m:rPr>
                            <w:rPr>
                              <w:rFonts w:ascii="Cambria Math" w:hAnsi="Cambria Math"/>
                            </w:rPr>
                            <m:t>тар</m:t>
                          </m:r>
                        </m:sup>
                      </m:sSubSup>
                    </m:oMath>
                  </m:oMathPara>
                </w:p>
              </w:tc>
              <w:tc>
                <w:tcPr>
                  <w:tcW w:w="289" w:type="dxa"/>
                  <w:tcBorders>
                    <w:top w:val="single" w:sz="2" w:space="0" w:color="auto"/>
                    <w:left w:val="single" w:sz="2" w:space="0" w:color="auto"/>
                    <w:bottom w:val="single" w:sz="2" w:space="0" w:color="auto"/>
                    <w:right w:val="single" w:sz="2" w:space="0" w:color="auto"/>
                  </w:tcBorders>
                </w:tcPr>
                <w:p w14:paraId="6C29C9A1" w14:textId="77777777" w:rsidR="00B92181" w:rsidRPr="00D0186D" w:rsidRDefault="00B92181" w:rsidP="00B92181">
                  <w:pPr>
                    <w:pStyle w:val="rvps11"/>
                    <w:spacing w:before="150" w:beforeAutospacing="0" w:after="150" w:afterAutospacing="0"/>
                    <w:jc w:val="center"/>
                    <w:rPr>
                      <w:b/>
                    </w:rPr>
                  </w:pPr>
                  <w:r w:rsidRPr="00D0186D">
                    <w:rPr>
                      <w:b/>
                    </w:rPr>
                    <w:t>-</w:t>
                  </w:r>
                </w:p>
              </w:tc>
              <w:tc>
                <w:tcPr>
                  <w:tcW w:w="5812" w:type="dxa"/>
                  <w:tcBorders>
                    <w:top w:val="single" w:sz="2" w:space="0" w:color="auto"/>
                    <w:left w:val="single" w:sz="2" w:space="0" w:color="auto"/>
                    <w:bottom w:val="single" w:sz="2" w:space="0" w:color="auto"/>
                    <w:right w:val="single" w:sz="2" w:space="0" w:color="auto"/>
                  </w:tcBorders>
                </w:tcPr>
                <w:p w14:paraId="1A2914FC" w14:textId="77777777" w:rsidR="00B92181" w:rsidRPr="00D0186D" w:rsidRDefault="00B92181" w:rsidP="00DE7381">
                  <w:pPr>
                    <w:pStyle w:val="rvps11"/>
                    <w:spacing w:before="150" w:beforeAutospacing="0" w:after="150" w:afterAutospacing="0"/>
                    <w:jc w:val="both"/>
                    <w:rPr>
                      <w:b/>
                    </w:rPr>
                  </w:pPr>
                  <w:r w:rsidRPr="00D0186D">
                    <w:rPr>
                      <w:b/>
                    </w:rPr>
                    <w:t>кількість умовних одиниць  енергетичного обладнання  ліцензіата, врахована у діючих тарифах;</w:t>
                  </w:r>
                </w:p>
              </w:tc>
            </w:tr>
            <w:bookmarkEnd w:id="34"/>
          </w:tbl>
          <w:p w14:paraId="380C8994" w14:textId="2717EF27" w:rsidR="0038176F" w:rsidRPr="00D0186D" w:rsidRDefault="0038176F" w:rsidP="00B92181">
            <w:pPr>
              <w:rPr>
                <w:lang w:val="uk-UA"/>
              </w:rPr>
            </w:pPr>
          </w:p>
        </w:tc>
      </w:tr>
      <w:tr w:rsidR="00572C6A" w:rsidRPr="00D0186D" w14:paraId="6918D764" w14:textId="77777777" w:rsidTr="00274934">
        <w:tc>
          <w:tcPr>
            <w:tcW w:w="7934" w:type="dxa"/>
          </w:tcPr>
          <w:p w14:paraId="01DF8845" w14:textId="77777777" w:rsidR="0038176F" w:rsidRPr="00D0186D" w:rsidRDefault="0038176F" w:rsidP="0038176F">
            <w:pPr>
              <w:jc w:val="both"/>
              <w:rPr>
                <w:lang w:val="uk-UA"/>
              </w:rPr>
            </w:pPr>
            <w:r w:rsidRPr="00D0186D">
              <w:rPr>
                <w:shd w:val="clear" w:color="auto" w:fill="FFFFFF"/>
                <w:lang w:val="uk-UA"/>
              </w:rPr>
              <w:lastRenderedPageBreak/>
              <w:t>2) витрати на оплату праці визначаються відповідно до Порядку визначення витрат на оплату праці, які враховуються в тарифах на розподіл електричної енергії (передачу електричної енергії місцевими (локальними) електромережами), постачання електричної енергії за регульованим тарифом, передачу електричної енергії магістральними та міждержавними електричними мережами, виробництво теплової та виробництво електричної енергії, затвердженого </w:t>
            </w:r>
            <w:r w:rsidRPr="00D0186D">
              <w:rPr>
                <w:rStyle w:val="hard-blue-color"/>
                <w:shd w:val="clear" w:color="auto" w:fill="FFFFFF"/>
                <w:lang w:val="uk-UA"/>
              </w:rPr>
              <w:t>постановою НКРЕКП від 26 жовтня 2015 року N 2645</w:t>
            </w:r>
            <w:r w:rsidRPr="00D0186D">
              <w:rPr>
                <w:shd w:val="clear" w:color="auto" w:fill="FFFFFF"/>
                <w:lang w:val="uk-UA"/>
              </w:rPr>
              <w:t>, зареєстрованого в Міністерстві юстиції України 13 листопада 2015 року за N 1431/27876;</w:t>
            </w:r>
          </w:p>
          <w:p w14:paraId="2417D9E9" w14:textId="77777777" w:rsidR="00CC7D4B" w:rsidRPr="00D0186D" w:rsidRDefault="00CC7D4B" w:rsidP="0038176F">
            <w:pPr>
              <w:jc w:val="both"/>
              <w:rPr>
                <w:lang w:val="uk-UA"/>
              </w:rPr>
            </w:pPr>
          </w:p>
        </w:tc>
        <w:tc>
          <w:tcPr>
            <w:tcW w:w="7937" w:type="dxa"/>
          </w:tcPr>
          <w:p w14:paraId="777B79BB" w14:textId="56FA03C1" w:rsidR="0038176F" w:rsidRPr="00D0186D" w:rsidRDefault="0038176F" w:rsidP="0038176F">
            <w:pPr>
              <w:jc w:val="both"/>
              <w:rPr>
                <w:shd w:val="clear" w:color="auto" w:fill="FFFFFF"/>
                <w:lang w:val="uk-UA"/>
              </w:rPr>
            </w:pPr>
            <w:bookmarkStart w:id="35" w:name="_Hlk173409144"/>
            <w:r w:rsidRPr="00D0186D">
              <w:rPr>
                <w:shd w:val="clear" w:color="auto" w:fill="FFFFFF"/>
                <w:lang w:val="uk-UA"/>
              </w:rPr>
              <w:t>2) витрати на оплату праці визначаються відповідно до Порядку визначення витрат на оплату праці</w:t>
            </w:r>
            <w:r w:rsidRPr="00D0186D">
              <w:rPr>
                <w:strike/>
                <w:shd w:val="clear" w:color="auto" w:fill="FFFFFF"/>
                <w:lang w:val="uk-UA"/>
              </w:rPr>
              <w:t>, які враховуються в тарифах на розподіл електричної енергії (передачу електричної енергії місцевими (локальними) електромережами), постачання електричної енергії за регульованим тарифом, передачу електричної енергії магістральними та міждержавними електричними мережами, виробництво теплової та виробництво електричної енергії, затвердженого </w:t>
            </w:r>
            <w:r w:rsidRPr="00D0186D">
              <w:rPr>
                <w:rStyle w:val="hard-blue-color"/>
                <w:strike/>
                <w:shd w:val="clear" w:color="auto" w:fill="FFFFFF"/>
                <w:lang w:val="uk-UA"/>
              </w:rPr>
              <w:t>постановою НКРЕКП від 26 жовтня 2015 року N 2645</w:t>
            </w:r>
            <w:r w:rsidRPr="00D0186D">
              <w:rPr>
                <w:strike/>
                <w:shd w:val="clear" w:color="auto" w:fill="FFFFFF"/>
                <w:lang w:val="uk-UA"/>
              </w:rPr>
              <w:t>, зареєстрованого в Міністерстві юстиції України 13 листопада 2015 року за N 1431/27876</w:t>
            </w:r>
            <w:r w:rsidRPr="00D0186D">
              <w:rPr>
                <w:shd w:val="clear" w:color="auto" w:fill="FFFFFF"/>
                <w:lang w:val="uk-UA"/>
              </w:rPr>
              <w:t>;</w:t>
            </w:r>
          </w:p>
          <w:p w14:paraId="7132E5C9" w14:textId="788FD047" w:rsidR="0038176F" w:rsidRPr="00D0186D" w:rsidRDefault="0038176F" w:rsidP="0038176F">
            <w:pPr>
              <w:jc w:val="both"/>
              <w:rPr>
                <w:b/>
                <w:lang w:val="uk-UA"/>
              </w:rPr>
            </w:pPr>
            <w:r w:rsidRPr="00D0186D">
              <w:rPr>
                <w:b/>
                <w:lang w:val="uk-UA"/>
              </w:rPr>
              <w:t>для ліцензіатів, перелік яких наведено в додатку 30 до цього Порядку</w:t>
            </w:r>
            <w:r w:rsidR="00105E46" w:rsidRPr="00D0186D">
              <w:rPr>
                <w:b/>
                <w:lang w:val="uk-UA"/>
              </w:rPr>
              <w:t>,</w:t>
            </w:r>
            <w:r w:rsidRPr="00D0186D">
              <w:rPr>
                <w:b/>
                <w:lang w:val="uk-UA"/>
              </w:rPr>
              <w:t xml:space="preserve"> при визначенні  витрат на оплату праці у році t</w:t>
            </w:r>
            <w:r w:rsidRPr="00D0186D">
              <w:rPr>
                <w:b/>
                <w:noProof/>
                <w:lang w:val="uk-UA"/>
              </w:rPr>
              <w:t xml:space="preserve"> (ОП</w:t>
            </w:r>
            <w:r w:rsidRPr="00D0186D">
              <w:rPr>
                <w:b/>
                <w:noProof/>
                <w:vertAlign w:val="subscript"/>
                <w:lang w:val="uk-UA"/>
              </w:rPr>
              <w:t>t</w:t>
            </w:r>
            <w:r w:rsidRPr="00D0186D">
              <w:rPr>
                <w:b/>
                <w:noProof/>
                <w:vertAlign w:val="superscript"/>
                <w:lang w:val="uk-UA"/>
              </w:rPr>
              <w:t>n</w:t>
            </w:r>
            <w:r w:rsidRPr="00D0186D">
              <w:rPr>
                <w:b/>
                <w:lang w:val="uk-UA"/>
              </w:rPr>
              <w:t xml:space="preserve">), що </w:t>
            </w:r>
            <w:r w:rsidRPr="00D0186D">
              <w:rPr>
                <w:b/>
                <w:lang w:val="uk-UA"/>
              </w:rPr>
              <w:lastRenderedPageBreak/>
              <w:t>розраховується відповідно до Порядку визначення витрат на оплату праці,</w:t>
            </w:r>
            <w:r w:rsidRPr="00D0186D">
              <w:rPr>
                <w:b/>
                <w:noProof/>
                <w:lang w:val="uk-UA"/>
              </w:rPr>
              <w:t xml:space="preserve"> </w:t>
            </w:r>
            <w:r w:rsidRPr="00D0186D">
              <w:rPr>
                <w:b/>
                <w:lang w:val="uk-UA"/>
              </w:rPr>
              <w:t xml:space="preserve"> тарифна чисельність працівників у році t (</w:t>
            </w:r>
            <m:oMath>
              <m:sSubSup>
                <m:sSubSupPr>
                  <m:ctrlPr>
                    <w:rPr>
                      <w:rFonts w:ascii="Cambria Math" w:hAnsi="Cambria Math"/>
                      <w:b/>
                      <w:i/>
                      <w:lang w:val="uk-UA"/>
                    </w:rPr>
                  </m:ctrlPr>
                </m:sSubSupPr>
                <m:e>
                  <m:r>
                    <m:rPr>
                      <m:sty m:val="bi"/>
                    </m:rPr>
                    <w:rPr>
                      <w:rFonts w:ascii="Cambria Math" w:hAnsi="Cambria Math"/>
                      <w:lang w:val="uk-UA"/>
                    </w:rPr>
                    <m:t>ТЧП</m:t>
                  </m:r>
                </m:e>
                <m:sub>
                  <m:r>
                    <m:rPr>
                      <m:sty m:val="bi"/>
                    </m:rPr>
                    <w:rPr>
                      <w:rFonts w:ascii="Cambria Math" w:hAnsi="Cambria Math"/>
                      <w:lang w:val="uk-UA"/>
                    </w:rPr>
                    <m:t xml:space="preserve"> t</m:t>
                  </m:r>
                </m:sub>
                <m:sup>
                  <m:r>
                    <m:rPr>
                      <m:sty m:val="bi"/>
                    </m:rPr>
                    <w:rPr>
                      <w:rFonts w:ascii="Cambria Math" w:hAnsi="Cambria Math"/>
                      <w:lang w:val="uk-UA"/>
                    </w:rPr>
                    <m:t>тар</m:t>
                  </m:r>
                </m:sup>
              </m:sSubSup>
              <m:r>
                <m:rPr>
                  <m:sty m:val="bi"/>
                </m:rPr>
                <w:rPr>
                  <w:rFonts w:ascii="Cambria Math" w:hAnsi="Cambria Math"/>
                  <w:lang w:val="uk-UA"/>
                </w:rPr>
                <m:t>)</m:t>
              </m:r>
            </m:oMath>
            <w:r w:rsidRPr="00D0186D">
              <w:rPr>
                <w:b/>
                <w:lang w:val="uk-UA"/>
              </w:rPr>
              <w:t xml:space="preserve"> розраховується за формулою:</w:t>
            </w:r>
          </w:p>
          <w:p w14:paraId="48A639AB" w14:textId="77777777" w:rsidR="0038176F" w:rsidRPr="00D0186D" w:rsidRDefault="0038176F" w:rsidP="0038176F">
            <w:pPr>
              <w:rPr>
                <w:lang w:val="uk-UA"/>
              </w:rPr>
            </w:pPr>
          </w:p>
          <w:p w14:paraId="2BFF3375" w14:textId="0453C8AD" w:rsidR="0038176F" w:rsidRPr="00D0186D" w:rsidRDefault="00ED4B6B" w:rsidP="0038176F">
            <w:pPr>
              <w:jc w:val="center"/>
              <w:rPr>
                <w:b/>
                <w:lang w:val="uk-UA"/>
              </w:rPr>
            </w:pPr>
            <m:oMath>
              <m:sSubSup>
                <m:sSubSupPr>
                  <m:ctrlPr>
                    <w:rPr>
                      <w:rFonts w:ascii="Cambria Math" w:hAnsi="Cambria Math"/>
                      <w:b/>
                      <w:i/>
                      <w:lang w:val="uk-UA"/>
                    </w:rPr>
                  </m:ctrlPr>
                </m:sSubSupPr>
                <m:e>
                  <m:r>
                    <m:rPr>
                      <m:sty m:val="bi"/>
                    </m:rPr>
                    <w:rPr>
                      <w:rFonts w:ascii="Cambria Math" w:hAnsi="Cambria Math"/>
                      <w:lang w:val="uk-UA"/>
                    </w:rPr>
                    <m:t>ТЧП</m:t>
                  </m:r>
                </m:e>
                <m:sub>
                  <m:r>
                    <m:rPr>
                      <m:sty m:val="bi"/>
                    </m:rPr>
                    <w:rPr>
                      <w:rFonts w:ascii="Cambria Math" w:hAnsi="Cambria Math"/>
                      <w:lang w:val="uk-UA"/>
                    </w:rPr>
                    <m:t xml:space="preserve"> t</m:t>
                  </m:r>
                </m:sub>
                <m:sup>
                  <m:r>
                    <m:rPr>
                      <m:sty m:val="bi"/>
                    </m:rPr>
                    <w:rPr>
                      <w:rFonts w:ascii="Cambria Math" w:hAnsi="Cambria Math"/>
                      <w:lang w:val="uk-UA"/>
                    </w:rPr>
                    <m:t>тар</m:t>
                  </m:r>
                </m:sup>
              </m:sSubSup>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ТЧП</m:t>
                  </m:r>
                </m:e>
                <m:sub>
                  <m:r>
                    <m:rPr>
                      <m:sty m:val="bi"/>
                    </m:rPr>
                    <w:rPr>
                      <w:rFonts w:ascii="Cambria Math" w:hAnsi="Cambria Math"/>
                      <w:lang w:val="uk-UA"/>
                    </w:rPr>
                    <m:t xml:space="preserve"> t-1</m:t>
                  </m:r>
                </m:sub>
                <m:sup>
                  <m:r>
                    <m:rPr>
                      <m:sty m:val="bi"/>
                    </m:rPr>
                    <w:rPr>
                      <w:rFonts w:ascii="Cambria Math" w:hAnsi="Cambria Math"/>
                      <w:lang w:val="uk-UA"/>
                    </w:rPr>
                    <m:t>тар</m:t>
                  </m:r>
                </m:sup>
              </m:sSubSup>
              <m:r>
                <m:rPr>
                  <m:sty m:val="bi"/>
                </m:rPr>
                <w:rPr>
                  <w:rFonts w:ascii="Cambria Math" w:hAnsi="Cambria Math"/>
                  <w:lang w:val="uk-UA"/>
                </w:rPr>
                <m:t xml:space="preserve"> ×КФУ</m:t>
              </m:r>
            </m:oMath>
            <w:r w:rsidR="0038176F" w:rsidRPr="00D0186D">
              <w:rPr>
                <w:b/>
                <w:lang w:val="uk-UA"/>
              </w:rPr>
              <w:t>,</w:t>
            </w:r>
            <w:r w:rsidR="0038176F" w:rsidRPr="00D0186D">
              <w:rPr>
                <w:lang w:val="uk-UA"/>
              </w:rPr>
              <w:t xml:space="preserve"> осіб      </w:t>
            </w:r>
            <w:r w:rsidR="0038176F" w:rsidRPr="00D0186D">
              <w:rPr>
                <w:b/>
                <w:lang w:val="uk-UA"/>
              </w:rPr>
              <w:t>(</w:t>
            </w:r>
            <w:r w:rsidR="00C8531F" w:rsidRPr="00D0186D">
              <w:rPr>
                <w:b/>
                <w:lang w:val="uk-UA"/>
              </w:rPr>
              <w:t>3</w:t>
            </w:r>
            <w:r w:rsidR="00951710" w:rsidRPr="00D0186D">
              <w:rPr>
                <w:b/>
                <w:lang w:val="uk-UA"/>
              </w:rPr>
              <w:t>8</w:t>
            </w:r>
            <w:r w:rsidR="0038176F" w:rsidRPr="00D0186D">
              <w:rPr>
                <w:b/>
                <w:lang w:val="uk-UA"/>
              </w:rPr>
              <w:t>)</w:t>
            </w:r>
            <w:bookmarkEnd w:id="35"/>
          </w:p>
          <w:p w14:paraId="7865DD47" w14:textId="77777777" w:rsidR="0038176F" w:rsidRPr="00D0186D" w:rsidRDefault="0038176F" w:rsidP="0038176F">
            <w:pPr>
              <w:rPr>
                <w:lang w:val="uk-UA"/>
              </w:rPr>
            </w:pPr>
          </w:p>
          <w:tbl>
            <w:tblPr>
              <w:tblW w:w="7433" w:type="dxa"/>
              <w:tblLayout w:type="fixed"/>
              <w:tblCellMar>
                <w:left w:w="0" w:type="dxa"/>
                <w:right w:w="0" w:type="dxa"/>
              </w:tblCellMar>
              <w:tblLook w:val="04A0" w:firstRow="1" w:lastRow="0" w:firstColumn="1" w:lastColumn="0" w:noHBand="0" w:noVBand="1"/>
            </w:tblPr>
            <w:tblGrid>
              <w:gridCol w:w="489"/>
              <w:gridCol w:w="843"/>
              <w:gridCol w:w="289"/>
              <w:gridCol w:w="5812"/>
            </w:tblGrid>
            <w:tr w:rsidR="0038176F" w:rsidRPr="00D0186D" w14:paraId="062441A2" w14:textId="77777777" w:rsidTr="00903674">
              <w:tc>
                <w:tcPr>
                  <w:tcW w:w="489" w:type="dxa"/>
                  <w:tcBorders>
                    <w:top w:val="single" w:sz="2" w:space="0" w:color="auto"/>
                    <w:left w:val="single" w:sz="2" w:space="0" w:color="auto"/>
                    <w:bottom w:val="single" w:sz="2" w:space="0" w:color="auto"/>
                    <w:right w:val="single" w:sz="2" w:space="0" w:color="auto"/>
                  </w:tcBorders>
                  <w:hideMark/>
                </w:tcPr>
                <w:p w14:paraId="76E6DB76" w14:textId="77777777" w:rsidR="0038176F" w:rsidRPr="00D0186D" w:rsidRDefault="0038176F" w:rsidP="0038176F">
                  <w:pPr>
                    <w:pStyle w:val="rvps11"/>
                    <w:spacing w:before="150" w:beforeAutospacing="0" w:after="150" w:afterAutospacing="0"/>
                    <w:jc w:val="right"/>
                    <w:rPr>
                      <w:b/>
                    </w:rPr>
                  </w:pPr>
                  <w:r w:rsidRPr="00D0186D">
                    <w:rPr>
                      <w:b/>
                    </w:rPr>
                    <w:t>де</w:t>
                  </w:r>
                </w:p>
              </w:tc>
              <w:tc>
                <w:tcPr>
                  <w:tcW w:w="843" w:type="dxa"/>
                  <w:tcBorders>
                    <w:top w:val="single" w:sz="2" w:space="0" w:color="auto"/>
                    <w:left w:val="single" w:sz="2" w:space="0" w:color="auto"/>
                    <w:bottom w:val="single" w:sz="2" w:space="0" w:color="auto"/>
                    <w:right w:val="single" w:sz="2" w:space="0" w:color="auto"/>
                  </w:tcBorders>
                </w:tcPr>
                <w:p w14:paraId="117E22A6" w14:textId="77777777" w:rsidR="0038176F" w:rsidRPr="00D0186D" w:rsidRDefault="00ED4B6B" w:rsidP="0038176F">
                  <w:pPr>
                    <w:pStyle w:val="rvps11"/>
                    <w:spacing w:before="150" w:beforeAutospacing="0" w:after="150" w:afterAutospacing="0"/>
                    <w:jc w:val="center"/>
                    <w:rPr>
                      <w:b/>
                    </w:rPr>
                  </w:pPr>
                  <m:oMathPara>
                    <m:oMath>
                      <m:sSubSup>
                        <m:sSubSupPr>
                          <m:ctrlPr>
                            <w:rPr>
                              <w:rFonts w:ascii="Cambria Math" w:hAnsi="Cambria Math"/>
                              <w:b/>
                              <w:i/>
                            </w:rPr>
                          </m:ctrlPr>
                        </m:sSubSupPr>
                        <m:e>
                          <m:r>
                            <m:rPr>
                              <m:sty m:val="bi"/>
                            </m:rPr>
                            <w:rPr>
                              <w:rFonts w:ascii="Cambria Math" w:hAnsi="Cambria Math"/>
                            </w:rPr>
                            <m:t>ТЧП</m:t>
                          </m:r>
                        </m:e>
                        <m:sub>
                          <m:r>
                            <m:rPr>
                              <m:sty m:val="bi"/>
                            </m:rPr>
                            <w:rPr>
                              <w:rFonts w:ascii="Cambria Math" w:hAnsi="Cambria Math"/>
                            </w:rPr>
                            <m:t xml:space="preserve"> t-1</m:t>
                          </m:r>
                        </m:sub>
                        <m:sup>
                          <m:r>
                            <m:rPr>
                              <m:sty m:val="bi"/>
                            </m:rPr>
                            <w:rPr>
                              <w:rFonts w:ascii="Cambria Math" w:hAnsi="Cambria Math"/>
                            </w:rPr>
                            <m:t>тар</m:t>
                          </m:r>
                        </m:sup>
                      </m:sSubSup>
                    </m:oMath>
                  </m:oMathPara>
                </w:p>
              </w:tc>
              <w:tc>
                <w:tcPr>
                  <w:tcW w:w="289" w:type="dxa"/>
                  <w:tcBorders>
                    <w:top w:val="single" w:sz="2" w:space="0" w:color="auto"/>
                    <w:left w:val="single" w:sz="2" w:space="0" w:color="auto"/>
                    <w:bottom w:val="single" w:sz="2" w:space="0" w:color="auto"/>
                    <w:right w:val="single" w:sz="2" w:space="0" w:color="auto"/>
                  </w:tcBorders>
                </w:tcPr>
                <w:p w14:paraId="2F03F99F" w14:textId="77777777" w:rsidR="0038176F" w:rsidRPr="00D0186D" w:rsidRDefault="0038176F" w:rsidP="0038176F">
                  <w:pPr>
                    <w:pStyle w:val="rvps11"/>
                    <w:spacing w:before="150" w:beforeAutospacing="0" w:after="150" w:afterAutospacing="0"/>
                    <w:jc w:val="center"/>
                    <w:rPr>
                      <w:b/>
                    </w:rPr>
                  </w:pPr>
                  <w:r w:rsidRPr="00D0186D">
                    <w:rPr>
                      <w:b/>
                    </w:rPr>
                    <w:t>-</w:t>
                  </w:r>
                </w:p>
              </w:tc>
              <w:tc>
                <w:tcPr>
                  <w:tcW w:w="5812" w:type="dxa"/>
                  <w:tcBorders>
                    <w:top w:val="single" w:sz="2" w:space="0" w:color="auto"/>
                    <w:left w:val="single" w:sz="2" w:space="0" w:color="auto"/>
                    <w:bottom w:val="single" w:sz="2" w:space="0" w:color="auto"/>
                    <w:right w:val="single" w:sz="2" w:space="0" w:color="auto"/>
                  </w:tcBorders>
                </w:tcPr>
                <w:p w14:paraId="468C0EE5" w14:textId="77777777" w:rsidR="0038176F" w:rsidRPr="00D0186D" w:rsidRDefault="0038176F" w:rsidP="0038176F">
                  <w:pPr>
                    <w:pStyle w:val="rvps11"/>
                    <w:spacing w:before="150" w:beforeAutospacing="0" w:after="150" w:afterAutospacing="0"/>
                    <w:rPr>
                      <w:b/>
                    </w:rPr>
                  </w:pPr>
                  <w:r w:rsidRPr="00D0186D">
                    <w:rPr>
                      <w:b/>
                    </w:rPr>
                    <w:t>тарифна чисельність працівників, що врахована у діючих тарифах року t-1, осіб.</w:t>
                  </w:r>
                </w:p>
              </w:tc>
            </w:tr>
          </w:tbl>
          <w:p w14:paraId="506EE797" w14:textId="77777777" w:rsidR="0038176F" w:rsidRPr="00D0186D" w:rsidRDefault="0038176F" w:rsidP="0038176F">
            <w:pPr>
              <w:jc w:val="both"/>
              <w:rPr>
                <w:lang w:val="uk-UA"/>
              </w:rPr>
            </w:pPr>
          </w:p>
          <w:p w14:paraId="420F8973" w14:textId="77777777" w:rsidR="00CC7D4B" w:rsidRPr="00D0186D" w:rsidRDefault="00CC7D4B" w:rsidP="0038176F">
            <w:pPr>
              <w:jc w:val="both"/>
              <w:rPr>
                <w:lang w:val="uk-UA"/>
              </w:rPr>
            </w:pPr>
          </w:p>
        </w:tc>
      </w:tr>
      <w:tr w:rsidR="0024619C" w:rsidRPr="00D0186D" w14:paraId="6DDBA8D7" w14:textId="77777777" w:rsidTr="00274934">
        <w:tc>
          <w:tcPr>
            <w:tcW w:w="7934" w:type="dxa"/>
          </w:tcPr>
          <w:p w14:paraId="328D7011" w14:textId="77777777" w:rsidR="0028052C" w:rsidRPr="00D0186D" w:rsidRDefault="0028052C" w:rsidP="0028052C">
            <w:pPr>
              <w:pStyle w:val="tj"/>
              <w:shd w:val="clear" w:color="auto" w:fill="FFFFFF"/>
              <w:spacing w:before="0" w:beforeAutospacing="0" w:after="0" w:afterAutospacing="0"/>
              <w:ind w:firstLine="491"/>
              <w:jc w:val="both"/>
            </w:pPr>
            <w:r w:rsidRPr="00D0186D">
              <w:lastRenderedPageBreak/>
              <w:t>Глава 8</w:t>
            </w:r>
          </w:p>
          <w:p w14:paraId="77111530" w14:textId="77777777" w:rsidR="0028052C" w:rsidRPr="00D0186D" w:rsidRDefault="0028052C" w:rsidP="00F1065D">
            <w:pPr>
              <w:pStyle w:val="tj"/>
              <w:shd w:val="clear" w:color="auto" w:fill="FFFFFF"/>
              <w:spacing w:before="0" w:beforeAutospacing="0" w:after="0" w:afterAutospacing="0"/>
              <w:ind w:firstLine="491"/>
              <w:jc w:val="both"/>
            </w:pPr>
            <w:r w:rsidRPr="00D0186D">
              <w:t>8.1. Тариф на послуги з розподілу електричної енергії розраховується для споживачів </w:t>
            </w:r>
            <w:hyperlink r:id="rId58" w:tgtFrame="_blank" w:history="1">
              <w:r w:rsidRPr="00D0186D">
                <w:t>та операторів установок зберігання енергії </w:t>
              </w:r>
            </w:hyperlink>
            <w:r w:rsidRPr="00D0186D">
              <w:t>відповідного класу напруги.</w:t>
            </w:r>
          </w:p>
          <w:p w14:paraId="6566CA8C" w14:textId="77777777" w:rsidR="0028052C" w:rsidRPr="00D0186D" w:rsidRDefault="0028052C" w:rsidP="00F1065D">
            <w:pPr>
              <w:pStyle w:val="tj"/>
              <w:shd w:val="clear" w:color="auto" w:fill="FFFFFF"/>
              <w:spacing w:before="0" w:beforeAutospacing="0" w:after="0" w:afterAutospacing="0"/>
              <w:ind w:firstLine="491"/>
              <w:jc w:val="both"/>
            </w:pPr>
            <w:r w:rsidRPr="00D0186D">
              <w:t>………………………………</w:t>
            </w:r>
          </w:p>
          <w:p w14:paraId="33753D4B" w14:textId="4E8C8932" w:rsidR="0028052C" w:rsidRPr="00D0186D" w:rsidRDefault="0028052C" w:rsidP="00F1065D">
            <w:pPr>
              <w:pStyle w:val="tj"/>
              <w:shd w:val="clear" w:color="auto" w:fill="FFFFFF"/>
              <w:spacing w:before="0" w:beforeAutospacing="0" w:after="0" w:afterAutospacing="0"/>
              <w:ind w:firstLine="491"/>
              <w:jc w:val="both"/>
            </w:pPr>
            <w:r w:rsidRPr="00D0186D">
              <w:t>Базою розподілу прогнозованих витрат/прогнозованого необхідного доходу (за винятком вартості витрат, пов'язаних із закупівлею електричної енергії з метою компенсації технологічних витрат електричної енергії на її розподіл) від здійснення діяльності з розподілу за класами напруги є кількість умовних одиниць енергетичного обладнання</w:t>
            </w:r>
            <w:hyperlink r:id="rId59" w:tgtFrame="_blank" w:history="1">
              <w:r w:rsidRPr="00D0186D">
                <w:t>, віднесених до відповідного класу</w:t>
              </w:r>
            </w:hyperlink>
            <w:r w:rsidRPr="00D0186D">
              <w:t> напруги.</w:t>
            </w:r>
          </w:p>
          <w:p w14:paraId="007826AC" w14:textId="77777777" w:rsidR="00F1065D" w:rsidRPr="00D0186D" w:rsidRDefault="00F1065D" w:rsidP="00F1065D">
            <w:pPr>
              <w:pStyle w:val="tj"/>
              <w:shd w:val="clear" w:color="auto" w:fill="FFFFFF"/>
              <w:spacing w:before="0" w:beforeAutospacing="0" w:after="0" w:afterAutospacing="0"/>
              <w:ind w:firstLine="491"/>
              <w:jc w:val="both"/>
            </w:pPr>
          </w:p>
          <w:p w14:paraId="12721137" w14:textId="33BD3752" w:rsidR="0028052C" w:rsidRPr="00D0186D" w:rsidRDefault="0028052C" w:rsidP="00F1065D">
            <w:pPr>
              <w:jc w:val="both"/>
              <w:rPr>
                <w:lang w:val="uk-UA"/>
              </w:rPr>
            </w:pPr>
            <w:r w:rsidRPr="00D0186D">
              <w:rPr>
                <w:lang w:val="uk-UA" w:eastAsia="uk-UA"/>
              </w:rPr>
              <w:t>Для ліцензіатів, перелік яких наведено в додатку 30 до цього Порядку, на 2024 та 2025 роки співвідношення кількості умовних одиниць енергетичного обладнання на 1 та 2 класах напруги фіксується на рівні, врахованому в тарифах 2023 року.</w:t>
            </w:r>
          </w:p>
        </w:tc>
        <w:tc>
          <w:tcPr>
            <w:tcW w:w="7937" w:type="dxa"/>
          </w:tcPr>
          <w:p w14:paraId="3C614132" w14:textId="77777777" w:rsidR="0028052C" w:rsidRPr="00D0186D" w:rsidRDefault="0028052C" w:rsidP="0028052C">
            <w:pPr>
              <w:pStyle w:val="tj"/>
              <w:shd w:val="clear" w:color="auto" w:fill="FFFFFF"/>
              <w:spacing w:before="0" w:beforeAutospacing="0" w:after="0" w:afterAutospacing="0"/>
              <w:ind w:firstLine="491"/>
              <w:jc w:val="both"/>
            </w:pPr>
            <w:r w:rsidRPr="00D0186D">
              <w:t>Глава 8</w:t>
            </w:r>
          </w:p>
          <w:p w14:paraId="7A0EE0FE" w14:textId="77777777" w:rsidR="0028052C" w:rsidRPr="00D0186D" w:rsidRDefault="0028052C" w:rsidP="00F1065D">
            <w:pPr>
              <w:pStyle w:val="tj"/>
              <w:shd w:val="clear" w:color="auto" w:fill="FFFFFF"/>
              <w:spacing w:before="0" w:beforeAutospacing="0" w:after="0" w:afterAutospacing="0"/>
              <w:ind w:firstLine="491"/>
              <w:jc w:val="both"/>
            </w:pPr>
            <w:r w:rsidRPr="00D0186D">
              <w:t>8.1. Тариф на послуги з розподілу електричної енергії розраховується для споживачів </w:t>
            </w:r>
            <w:hyperlink r:id="rId60" w:tgtFrame="_blank" w:history="1">
              <w:r w:rsidRPr="00D0186D">
                <w:t>та операторів установок зберігання енергії </w:t>
              </w:r>
            </w:hyperlink>
            <w:r w:rsidRPr="00D0186D">
              <w:t>відповідного класу напруги.</w:t>
            </w:r>
          </w:p>
          <w:p w14:paraId="27DA7B91" w14:textId="77777777" w:rsidR="0028052C" w:rsidRPr="00D0186D" w:rsidRDefault="0028052C" w:rsidP="00F1065D">
            <w:pPr>
              <w:pStyle w:val="tj"/>
              <w:shd w:val="clear" w:color="auto" w:fill="FFFFFF"/>
              <w:spacing w:before="0" w:beforeAutospacing="0" w:after="0" w:afterAutospacing="0"/>
              <w:ind w:firstLine="491"/>
              <w:jc w:val="both"/>
            </w:pPr>
            <w:r w:rsidRPr="00D0186D">
              <w:t>………………………………</w:t>
            </w:r>
          </w:p>
          <w:p w14:paraId="03C336EE" w14:textId="77777777" w:rsidR="0028052C" w:rsidRPr="00D0186D" w:rsidRDefault="0028052C" w:rsidP="00F1065D">
            <w:pPr>
              <w:pStyle w:val="tj"/>
              <w:shd w:val="clear" w:color="auto" w:fill="FFFFFF"/>
              <w:spacing w:before="0" w:beforeAutospacing="0" w:after="0" w:afterAutospacing="0"/>
              <w:ind w:firstLine="493"/>
              <w:jc w:val="both"/>
            </w:pPr>
            <w:r w:rsidRPr="00D0186D">
              <w:t>Базою розподілу прогнозованих витрат/прогнозованого необхідного доходу (за винятком вартості витрат, пов'язаних із закупівлею електричної енергії з метою компенсації технологічних витрат електричної енергії на її розподіл) від здійснення діяльності з розподілу за класами напруги є кількість умовних одиниць енергетичного обладнання</w:t>
            </w:r>
            <w:hyperlink r:id="rId61" w:tgtFrame="_blank" w:history="1">
              <w:r w:rsidRPr="00D0186D">
                <w:t>, віднесених до відповідного класу</w:t>
              </w:r>
            </w:hyperlink>
            <w:r w:rsidRPr="00D0186D">
              <w:t> напруги.</w:t>
            </w:r>
          </w:p>
          <w:p w14:paraId="1BC76B8F" w14:textId="77777777" w:rsidR="00F1065D" w:rsidRPr="00D0186D" w:rsidRDefault="00F1065D" w:rsidP="00F1065D">
            <w:pPr>
              <w:pStyle w:val="tj"/>
              <w:shd w:val="clear" w:color="auto" w:fill="FFFFFF"/>
              <w:spacing w:before="0" w:beforeAutospacing="0" w:after="0" w:afterAutospacing="0"/>
              <w:ind w:firstLine="493"/>
              <w:jc w:val="both"/>
              <w:rPr>
                <w:b/>
              </w:rPr>
            </w:pPr>
          </w:p>
          <w:p w14:paraId="7AD270F8" w14:textId="6BBEF010" w:rsidR="00105E46" w:rsidRPr="00D0186D" w:rsidRDefault="00DE7381" w:rsidP="00F1065D">
            <w:pPr>
              <w:pStyle w:val="tj"/>
              <w:shd w:val="clear" w:color="auto" w:fill="FFFFFF"/>
              <w:spacing w:before="0" w:beforeAutospacing="0" w:after="0" w:afterAutospacing="0"/>
              <w:ind w:firstLine="493"/>
              <w:jc w:val="both"/>
              <w:rPr>
                <w:b/>
              </w:rPr>
            </w:pPr>
            <w:bookmarkStart w:id="36" w:name="_Hlk173411173"/>
            <w:r w:rsidRPr="00D0186D">
              <w:rPr>
                <w:rFonts w:eastAsiaTheme="minorHAnsi"/>
                <w:b/>
              </w:rPr>
              <w:t xml:space="preserve">Для ліцензіатів, перелік яких наведено в додатку 30 до цього Порядку, на 2024 рік співвідношення кількості умовних одиниць енергетичного обладнання на 1 та 2 класах напруги фіксується на рівні, врахованому в тарифах 2023 року. Починаючи з 2025 року кількість умовних одиниць енергетичного обладнання на 1 та 2 класах напруги визначається за виключенням умовних одиниць обладнання, </w:t>
            </w:r>
            <w:r w:rsidRPr="00D0186D">
              <w:rPr>
                <w:rFonts w:eastAsiaTheme="minorHAnsi"/>
                <w:b/>
                <w:bCs/>
              </w:rPr>
              <w:t xml:space="preserve">що розташоване </w:t>
            </w:r>
            <w:r w:rsidRPr="00D0186D">
              <w:rPr>
                <w:rFonts w:eastAsiaTheme="minorHAnsi"/>
                <w:b/>
              </w:rPr>
              <w:t>на тимчасово окупованих територіях держави та/або над яким втрачено контроль через наслідки російської військової агресії проти України.</w:t>
            </w:r>
          </w:p>
          <w:bookmarkEnd w:id="36"/>
          <w:p w14:paraId="3D0B1970" w14:textId="663F9306" w:rsidR="0024619C" w:rsidRPr="00D0186D" w:rsidRDefault="0024619C" w:rsidP="0028052C">
            <w:pPr>
              <w:rPr>
                <w:lang w:val="uk-UA"/>
              </w:rPr>
            </w:pPr>
          </w:p>
        </w:tc>
      </w:tr>
      <w:tr w:rsidR="00ED4B6B" w:rsidRPr="00D0186D" w14:paraId="69E7BC78" w14:textId="77777777" w:rsidTr="00274934">
        <w:tc>
          <w:tcPr>
            <w:tcW w:w="7934" w:type="dxa"/>
          </w:tcPr>
          <w:p w14:paraId="336EBC1E" w14:textId="4B8EFFD4" w:rsidR="00ED4B6B" w:rsidRPr="00D0186D" w:rsidRDefault="00ED4B6B" w:rsidP="0028052C">
            <w:pPr>
              <w:pStyle w:val="tj"/>
              <w:shd w:val="clear" w:color="auto" w:fill="FFFFFF"/>
              <w:spacing w:before="0" w:beforeAutospacing="0" w:after="0" w:afterAutospacing="0"/>
              <w:ind w:firstLine="491"/>
              <w:jc w:val="both"/>
            </w:pPr>
            <w:r>
              <w:t xml:space="preserve">Додатки </w:t>
            </w:r>
            <w:r w:rsidRPr="00ED4B6B">
              <w:rPr>
                <w:szCs w:val="28"/>
              </w:rPr>
              <w:t>4 – 6, 8 та 28</w:t>
            </w:r>
            <w:bookmarkStart w:id="37" w:name="_GoBack"/>
            <w:bookmarkEnd w:id="37"/>
          </w:p>
        </w:tc>
        <w:tc>
          <w:tcPr>
            <w:tcW w:w="7937" w:type="dxa"/>
          </w:tcPr>
          <w:p w14:paraId="3A33A257" w14:textId="61CBB1E4" w:rsidR="00ED4B6B" w:rsidRPr="00D0186D" w:rsidRDefault="00ED4B6B" w:rsidP="0028052C">
            <w:pPr>
              <w:pStyle w:val="tj"/>
              <w:shd w:val="clear" w:color="auto" w:fill="FFFFFF"/>
              <w:spacing w:before="0" w:beforeAutospacing="0" w:after="0" w:afterAutospacing="0"/>
              <w:ind w:firstLine="491"/>
              <w:jc w:val="both"/>
            </w:pPr>
            <w:r w:rsidRPr="00ED4B6B">
              <w:rPr>
                <w:szCs w:val="28"/>
              </w:rPr>
              <w:t>додатки 4 – 6, 8 та 28 викласти в новій редакції</w:t>
            </w:r>
          </w:p>
        </w:tc>
      </w:tr>
      <w:tr w:rsidR="00471DC6" w:rsidRPr="00D0186D" w14:paraId="4AD1EB08" w14:textId="77777777" w:rsidTr="00A92055">
        <w:tc>
          <w:tcPr>
            <w:tcW w:w="15871" w:type="dxa"/>
            <w:gridSpan w:val="2"/>
          </w:tcPr>
          <w:p w14:paraId="780AA110" w14:textId="2E99D3DC" w:rsidR="00471DC6" w:rsidRPr="00D0186D" w:rsidRDefault="006C481B" w:rsidP="006C481B">
            <w:pPr>
              <w:pStyle w:val="rvps2"/>
              <w:spacing w:before="0" w:beforeAutospacing="0" w:after="0" w:afterAutospacing="0"/>
              <w:ind w:firstLine="491"/>
              <w:jc w:val="center"/>
            </w:pPr>
            <w:r w:rsidRPr="00D0186D">
              <w:rPr>
                <w:b/>
                <w:bCs/>
              </w:rPr>
              <w:t xml:space="preserve">Постанова НКРЕ від </w:t>
            </w:r>
            <w:r w:rsidRPr="00D0186D">
              <w:rPr>
                <w:b/>
                <w:bCs/>
                <w:shd w:val="clear" w:color="auto" w:fill="FFFFFF"/>
              </w:rPr>
              <w:t>23.07.2013  № 1009 «Про встановлення параметрів регулювання, що мають довгостроковий строк дії, для цілей стимулюючого регулювання»</w:t>
            </w:r>
          </w:p>
        </w:tc>
      </w:tr>
      <w:tr w:rsidR="00471DC6" w:rsidRPr="00D0186D" w14:paraId="41A68937" w14:textId="77777777" w:rsidTr="00274934">
        <w:tc>
          <w:tcPr>
            <w:tcW w:w="7934" w:type="dxa"/>
          </w:tcPr>
          <w:p w14:paraId="26C3CCFB" w14:textId="77777777" w:rsidR="00870023" w:rsidRPr="00D0186D" w:rsidRDefault="00870023" w:rsidP="00870023">
            <w:pPr>
              <w:shd w:val="clear" w:color="auto" w:fill="FFFFFF"/>
              <w:ind w:firstLine="488"/>
              <w:jc w:val="both"/>
              <w:rPr>
                <w:lang w:val="uk-UA" w:eastAsia="uk-UA"/>
              </w:rPr>
            </w:pPr>
            <w:r w:rsidRPr="00D0186D">
              <w:rPr>
                <w:lang w:val="uk-UA" w:eastAsia="uk-UA"/>
              </w:rPr>
              <w:lastRenderedPageBreak/>
              <w:t>1) регуляторна норма доходу на регуляторну базу активів, яка створена на дату переходу до стимулюючого регулювання, - 0,03 відносних одиниць, крім ліцензіатів:</w:t>
            </w:r>
          </w:p>
          <w:p w14:paraId="409B7979" w14:textId="77777777" w:rsidR="00870023" w:rsidRPr="00D0186D" w:rsidRDefault="00870023" w:rsidP="00870023">
            <w:pPr>
              <w:shd w:val="clear" w:color="auto" w:fill="FFFFFF"/>
              <w:ind w:firstLine="488"/>
              <w:jc w:val="both"/>
              <w:rPr>
                <w:lang w:val="uk-UA" w:eastAsia="uk-UA"/>
              </w:rPr>
            </w:pPr>
            <w:r w:rsidRPr="00D0186D">
              <w:rPr>
                <w:lang w:val="uk-UA" w:eastAsia="uk-UA"/>
              </w:rPr>
              <w:t xml:space="preserve">перелік яких наведено в додатку 30 до постанови НКРЕКП </w:t>
            </w:r>
            <w:r w:rsidRPr="00D0186D">
              <w:rPr>
                <w:lang w:val="uk-UA" w:eastAsia="uk-UA"/>
              </w:rPr>
              <w:br/>
              <w:t>від 05 жовтня 2018 року N 1175 "Про затвердження Порядку встановлення (формування) тарифів на послуги з розподілу електричної енергії" (далі - Порядок встановлення (формування) тарифів) та частина основних фондів яких знаходиться на територіях, на яких ведуться (велися) бойові дії або тимчасово окупованих Російською Федерацією, з урахуванням Переліку територій, на яких ведуться (велися) бойові дії або тимчасово окупованих Російською Федерацією, затвердженого наказом Міністерства з питань реінтеграції тимчасово окупованих територій України від 22 грудня 2022 року N 309, зареєстрованим в Міністерстві юстиції України 23 грудня 2022 року за N 1668/39004;</w:t>
            </w:r>
          </w:p>
          <w:p w14:paraId="278FEAF4" w14:textId="77777777" w:rsidR="00870023" w:rsidRPr="00D0186D" w:rsidRDefault="00870023" w:rsidP="00870023">
            <w:pPr>
              <w:shd w:val="clear" w:color="auto" w:fill="FFFFFF"/>
              <w:ind w:firstLine="488"/>
              <w:jc w:val="both"/>
              <w:rPr>
                <w:lang w:val="uk-UA" w:eastAsia="uk-UA"/>
              </w:rPr>
            </w:pPr>
            <w:r w:rsidRPr="00D0186D">
              <w:rPr>
                <w:lang w:val="uk-UA" w:eastAsia="uk-UA"/>
              </w:rPr>
              <w:t xml:space="preserve">контролером або кінцевим </w:t>
            </w:r>
            <w:proofErr w:type="spellStart"/>
            <w:r w:rsidRPr="00D0186D">
              <w:rPr>
                <w:lang w:val="uk-UA" w:eastAsia="uk-UA"/>
              </w:rPr>
              <w:t>бенефіціарним</w:t>
            </w:r>
            <w:proofErr w:type="spellEnd"/>
            <w:r w:rsidRPr="00D0186D">
              <w:rPr>
                <w:lang w:val="uk-UA" w:eastAsia="uk-UA"/>
              </w:rPr>
              <w:t xml:space="preserve"> власником контрольного пакету акцій яких є фізичні або юридичні особи, щодо яких застосовано економічні та обмежувальні заходи (санкції);</w:t>
            </w:r>
          </w:p>
          <w:p w14:paraId="57355DDE" w14:textId="77777777" w:rsidR="00870023" w:rsidRPr="00D0186D" w:rsidRDefault="00870023" w:rsidP="00870023">
            <w:pPr>
              <w:shd w:val="clear" w:color="auto" w:fill="FFFFFF"/>
              <w:ind w:firstLine="488"/>
              <w:jc w:val="both"/>
              <w:rPr>
                <w:lang w:val="uk-UA" w:eastAsia="uk-UA"/>
              </w:rPr>
            </w:pPr>
            <w:r w:rsidRPr="00D0186D">
              <w:rPr>
                <w:lang w:val="uk-UA" w:eastAsia="uk-UA"/>
              </w:rPr>
              <w:t xml:space="preserve">для яких регуляторна норма доходу на регуляторну базу активів, яка створена на дату переходу до стимулюючого регулювання, у </w:t>
            </w:r>
            <w:r w:rsidRPr="00D0186D">
              <w:rPr>
                <w:b/>
                <w:lang w:val="uk-UA" w:eastAsia="uk-UA"/>
              </w:rPr>
              <w:t>2024 році</w:t>
            </w:r>
            <w:r w:rsidRPr="00D0186D">
              <w:rPr>
                <w:lang w:val="uk-UA" w:eastAsia="uk-UA"/>
              </w:rPr>
              <w:t xml:space="preserve"> становить 0 відносних одиниць; </w:t>
            </w:r>
          </w:p>
          <w:p w14:paraId="4F03F5F0" w14:textId="77777777" w:rsidR="0068580F" w:rsidRPr="00D0186D" w:rsidRDefault="0068580F" w:rsidP="00870023">
            <w:pPr>
              <w:shd w:val="clear" w:color="auto" w:fill="FFFFFF"/>
              <w:ind w:firstLine="488"/>
              <w:jc w:val="both"/>
              <w:rPr>
                <w:lang w:val="uk-UA" w:eastAsia="uk-UA"/>
              </w:rPr>
            </w:pPr>
          </w:p>
          <w:p w14:paraId="16FFDFC6" w14:textId="77777777" w:rsidR="00870023" w:rsidRPr="00D0186D" w:rsidRDefault="00870023" w:rsidP="00870023">
            <w:pPr>
              <w:pStyle w:val="rvps2"/>
              <w:shd w:val="clear" w:color="auto" w:fill="FFFFFF"/>
              <w:spacing w:before="0" w:beforeAutospacing="0" w:after="0" w:afterAutospacing="0"/>
              <w:ind w:firstLine="488"/>
              <w:jc w:val="both"/>
            </w:pPr>
            <w:r w:rsidRPr="00D0186D">
              <w:t xml:space="preserve">2) регуляторна норма доходу на регуляторну базу активів, яка створена після переходу на стимулююче регулювання, - 0,1674 відносних одиниць (для 2023 </w:t>
            </w:r>
            <w:r w:rsidRPr="00D0186D">
              <w:rPr>
                <w:b/>
              </w:rPr>
              <w:t>та 2024</w:t>
            </w:r>
            <w:r w:rsidRPr="00D0186D">
              <w:t xml:space="preserve"> років – 0,03 відносних одиниць), крім ліцензіатів:</w:t>
            </w:r>
          </w:p>
          <w:p w14:paraId="71385A76" w14:textId="77777777" w:rsidR="00870023" w:rsidRPr="00D0186D" w:rsidRDefault="00870023" w:rsidP="00870023">
            <w:pPr>
              <w:pStyle w:val="rvps2"/>
              <w:shd w:val="clear" w:color="auto" w:fill="FFFFFF"/>
              <w:spacing w:before="0" w:beforeAutospacing="0" w:after="0" w:afterAutospacing="0"/>
              <w:ind w:firstLine="488"/>
              <w:jc w:val="both"/>
            </w:pPr>
            <w:r w:rsidRPr="00D0186D">
              <w:t>перелік яких наведено в додатку 30 до Порядку встановлення (формування) тарифів;</w:t>
            </w:r>
          </w:p>
          <w:p w14:paraId="19F34F2A" w14:textId="77777777" w:rsidR="00870023" w:rsidRPr="00D0186D" w:rsidRDefault="00870023" w:rsidP="00870023">
            <w:pPr>
              <w:pStyle w:val="rvps2"/>
              <w:shd w:val="clear" w:color="auto" w:fill="FFFFFF"/>
              <w:spacing w:before="0" w:beforeAutospacing="0" w:after="0" w:afterAutospacing="0"/>
              <w:ind w:firstLine="488"/>
              <w:jc w:val="both"/>
            </w:pPr>
            <w:r w:rsidRPr="00D0186D">
              <w:t xml:space="preserve">контролером або кінцевим </w:t>
            </w:r>
            <w:proofErr w:type="spellStart"/>
            <w:r w:rsidRPr="00D0186D">
              <w:t>бенефіціарним</w:t>
            </w:r>
            <w:proofErr w:type="spellEnd"/>
            <w:r w:rsidRPr="00D0186D">
              <w:t xml:space="preserve"> власником контрольного пакету акцій яких є фізичні або юридичні особи, щодо яких застосовано економічні та обмежувальні заходи (санкції);</w:t>
            </w:r>
          </w:p>
          <w:p w14:paraId="2630C01F" w14:textId="77777777" w:rsidR="00870023" w:rsidRPr="00D0186D" w:rsidRDefault="00870023" w:rsidP="00870023">
            <w:pPr>
              <w:pStyle w:val="rvps2"/>
              <w:shd w:val="clear" w:color="auto" w:fill="FFFFFF"/>
              <w:spacing w:before="0" w:beforeAutospacing="0" w:after="0" w:afterAutospacing="0"/>
              <w:ind w:firstLine="488"/>
              <w:jc w:val="both"/>
            </w:pPr>
            <w:r w:rsidRPr="00D0186D">
              <w:t xml:space="preserve">для яких регуляторна норма доходу на регуляторну базу активів, яка створена після переходу на стимулююче регулювання, у </w:t>
            </w:r>
            <w:r w:rsidRPr="00D0186D">
              <w:rPr>
                <w:b/>
              </w:rPr>
              <w:t>2024 році</w:t>
            </w:r>
            <w:r w:rsidRPr="00D0186D">
              <w:t xml:space="preserve"> становить 0 відносних одиниць;</w:t>
            </w:r>
          </w:p>
          <w:p w14:paraId="4F60244E" w14:textId="77777777" w:rsidR="00471DC6" w:rsidRPr="00D0186D" w:rsidRDefault="00471DC6" w:rsidP="0028052C">
            <w:pPr>
              <w:pStyle w:val="rvps2"/>
              <w:spacing w:before="0" w:beforeAutospacing="0" w:after="0" w:afterAutospacing="0"/>
              <w:ind w:firstLine="491"/>
              <w:jc w:val="both"/>
            </w:pPr>
          </w:p>
        </w:tc>
        <w:tc>
          <w:tcPr>
            <w:tcW w:w="7937" w:type="dxa"/>
          </w:tcPr>
          <w:p w14:paraId="79FD789B" w14:textId="633EC931" w:rsidR="0068580F" w:rsidRPr="00D0186D" w:rsidRDefault="0068580F" w:rsidP="0068580F">
            <w:pPr>
              <w:shd w:val="clear" w:color="auto" w:fill="FFFFFF"/>
              <w:ind w:firstLine="488"/>
              <w:jc w:val="both"/>
              <w:rPr>
                <w:lang w:val="uk-UA" w:eastAsia="uk-UA"/>
              </w:rPr>
            </w:pPr>
            <w:bookmarkStart w:id="38" w:name="_Hlk173411690"/>
            <w:r w:rsidRPr="00D0186D">
              <w:rPr>
                <w:lang w:val="uk-UA" w:eastAsia="uk-UA"/>
              </w:rPr>
              <w:t>1) регуляторна норма доходу на регуляторну базу активів, яка створена на дату переходу до стимулюючого регулювання, - 0,03 відносних одиниць, крім:</w:t>
            </w:r>
          </w:p>
          <w:p w14:paraId="56990C17" w14:textId="77777777" w:rsidR="008B4F5E" w:rsidRPr="00D0186D" w:rsidRDefault="008B4F5E" w:rsidP="008B4F5E">
            <w:pPr>
              <w:shd w:val="clear" w:color="auto" w:fill="FFFFFF"/>
              <w:ind w:firstLine="709"/>
              <w:jc w:val="both"/>
              <w:rPr>
                <w:b/>
                <w:lang w:val="uk-UA" w:eastAsia="uk-UA"/>
              </w:rPr>
            </w:pPr>
            <w:r w:rsidRPr="00D0186D">
              <w:rPr>
                <w:b/>
                <w:lang w:val="uk-UA" w:eastAsia="uk-UA"/>
              </w:rPr>
              <w:t xml:space="preserve">ліцензіатів, контролером або кінцевим </w:t>
            </w:r>
            <w:proofErr w:type="spellStart"/>
            <w:r w:rsidRPr="00D0186D">
              <w:rPr>
                <w:b/>
                <w:lang w:val="uk-UA" w:eastAsia="uk-UA"/>
              </w:rPr>
              <w:t>бенефіціарним</w:t>
            </w:r>
            <w:proofErr w:type="spellEnd"/>
            <w:r w:rsidRPr="00D0186D">
              <w:rPr>
                <w:b/>
                <w:lang w:val="uk-UA" w:eastAsia="uk-UA"/>
              </w:rPr>
              <w:t xml:space="preserve"> власником контрольного пакету акцій яких є фізичні або юридичні особи, щодо яких застосовано економічні та обмежувальні заходи (санкції), регуляторна норма доходу на регуляторну базу активів, яка створена на дату переходу до стимулюючого регулювання, </w:t>
            </w:r>
            <w:r w:rsidRPr="00D0186D">
              <w:rPr>
                <w:b/>
                <w:bCs/>
                <w:lang w:val="uk-UA" w:eastAsia="uk-UA"/>
              </w:rPr>
              <w:t>для яких</w:t>
            </w:r>
            <w:r w:rsidRPr="00D0186D">
              <w:rPr>
                <w:b/>
                <w:lang w:val="uk-UA" w:eastAsia="uk-UA"/>
              </w:rPr>
              <w:t xml:space="preserve"> у 2024 та 2025 роках становить 0 відносних одиниць; </w:t>
            </w:r>
          </w:p>
          <w:p w14:paraId="4871AC9E" w14:textId="77777777" w:rsidR="008B4F5E" w:rsidRPr="00D0186D" w:rsidRDefault="008B4F5E" w:rsidP="008B4F5E">
            <w:pPr>
              <w:shd w:val="clear" w:color="auto" w:fill="FFFFFF"/>
              <w:ind w:firstLine="709"/>
              <w:jc w:val="both"/>
              <w:rPr>
                <w:b/>
                <w:lang w:val="uk-UA" w:eastAsia="uk-UA"/>
              </w:rPr>
            </w:pPr>
            <w:r w:rsidRPr="00D0186D">
              <w:rPr>
                <w:b/>
                <w:lang w:val="uk-UA"/>
              </w:rPr>
              <w:t xml:space="preserve">ліцензіатів, </w:t>
            </w:r>
            <w:r w:rsidRPr="00D0186D">
              <w:rPr>
                <w:b/>
                <w:lang w:val="uk-UA" w:eastAsia="uk-UA"/>
              </w:rPr>
              <w:t xml:space="preserve">перелік яких наведено в додатку 30 до постанови НКРЕКП від 05 жовтня 2018 року № 1175 «Про затвердження Порядку встановлення (формування) тарифів на послуги з розподілу електричної енергії» (далі </w:t>
            </w:r>
            <w:r w:rsidRPr="00D0186D">
              <w:rPr>
                <w:b/>
                <w:lang w:val="uk-UA"/>
              </w:rPr>
              <w:t>–</w:t>
            </w:r>
            <w:r w:rsidRPr="00D0186D">
              <w:rPr>
                <w:b/>
                <w:lang w:val="uk-UA" w:eastAsia="uk-UA"/>
              </w:rPr>
              <w:t xml:space="preserve"> Порядок встановлення (формування) тарифів), регуляторна норма доходу на регуляторну базу активів, яка створена на дату переходу до стимулюючого регулювання, для яких у 2024 рік становить 0 відносних одиниць;</w:t>
            </w:r>
          </w:p>
          <w:p w14:paraId="3D9B7218" w14:textId="77777777" w:rsidR="003E1B88" w:rsidRPr="00D0186D" w:rsidRDefault="003E1B88" w:rsidP="00870023">
            <w:pPr>
              <w:pStyle w:val="rvps2"/>
              <w:shd w:val="clear" w:color="auto" w:fill="FFFFFF"/>
              <w:spacing w:before="0" w:beforeAutospacing="0" w:after="0" w:afterAutospacing="0"/>
              <w:ind w:firstLine="488"/>
              <w:jc w:val="both"/>
              <w:rPr>
                <w:b/>
              </w:rPr>
            </w:pPr>
          </w:p>
          <w:p w14:paraId="6DFA3896" w14:textId="77777777" w:rsidR="002920BE" w:rsidRPr="00D0186D" w:rsidRDefault="002920BE" w:rsidP="00870023">
            <w:pPr>
              <w:pStyle w:val="rvps2"/>
              <w:shd w:val="clear" w:color="auto" w:fill="FFFFFF"/>
              <w:spacing w:before="0" w:beforeAutospacing="0" w:after="0" w:afterAutospacing="0"/>
              <w:ind w:firstLine="488"/>
              <w:jc w:val="both"/>
            </w:pPr>
          </w:p>
          <w:p w14:paraId="137CBBE3" w14:textId="77777777" w:rsidR="002920BE" w:rsidRPr="00D0186D" w:rsidRDefault="002920BE" w:rsidP="00870023">
            <w:pPr>
              <w:pStyle w:val="rvps2"/>
              <w:shd w:val="clear" w:color="auto" w:fill="FFFFFF"/>
              <w:spacing w:before="0" w:beforeAutospacing="0" w:after="0" w:afterAutospacing="0"/>
              <w:ind w:firstLine="488"/>
              <w:jc w:val="both"/>
            </w:pPr>
          </w:p>
          <w:p w14:paraId="51E12244" w14:textId="77777777" w:rsidR="002920BE" w:rsidRPr="00D0186D" w:rsidRDefault="002920BE" w:rsidP="00870023">
            <w:pPr>
              <w:pStyle w:val="rvps2"/>
              <w:shd w:val="clear" w:color="auto" w:fill="FFFFFF"/>
              <w:spacing w:before="0" w:beforeAutospacing="0" w:after="0" w:afterAutospacing="0"/>
              <w:ind w:firstLine="488"/>
              <w:jc w:val="both"/>
            </w:pPr>
          </w:p>
          <w:p w14:paraId="3CDF8E66" w14:textId="77777777" w:rsidR="002920BE" w:rsidRPr="00D0186D" w:rsidRDefault="002920BE" w:rsidP="00870023">
            <w:pPr>
              <w:pStyle w:val="rvps2"/>
              <w:shd w:val="clear" w:color="auto" w:fill="FFFFFF"/>
              <w:spacing w:before="0" w:beforeAutospacing="0" w:after="0" w:afterAutospacing="0"/>
              <w:ind w:firstLine="488"/>
              <w:jc w:val="both"/>
            </w:pPr>
          </w:p>
          <w:p w14:paraId="65F05E9C" w14:textId="4F6F0094" w:rsidR="00870023" w:rsidRPr="00D0186D" w:rsidRDefault="00870023" w:rsidP="00870023">
            <w:pPr>
              <w:pStyle w:val="rvps2"/>
              <w:shd w:val="clear" w:color="auto" w:fill="FFFFFF"/>
              <w:spacing w:before="0" w:beforeAutospacing="0" w:after="0" w:afterAutospacing="0"/>
              <w:ind w:firstLine="488"/>
              <w:jc w:val="both"/>
            </w:pPr>
            <w:r w:rsidRPr="00D0186D">
              <w:t xml:space="preserve">2) регуляторна норма доходу на регуляторну базу активів, яка створена після переходу на стимулююче регулювання, - 0,1674 відносних одиниць (для 2023 </w:t>
            </w:r>
            <w:r w:rsidRPr="00D0186D">
              <w:rPr>
                <w:b/>
              </w:rPr>
              <w:t>– 2025</w:t>
            </w:r>
            <w:r w:rsidRPr="00D0186D">
              <w:t xml:space="preserve"> років – 0,03 відносних одиниць)</w:t>
            </w:r>
            <w:r w:rsidR="00B92181" w:rsidRPr="00D0186D">
              <w:t>, крім:</w:t>
            </w:r>
          </w:p>
          <w:p w14:paraId="327583AE" w14:textId="0616406A" w:rsidR="00870023" w:rsidRPr="00D0186D" w:rsidRDefault="003E1B88" w:rsidP="00870023">
            <w:pPr>
              <w:pStyle w:val="rvps2"/>
              <w:shd w:val="clear" w:color="auto" w:fill="FFFFFF"/>
              <w:spacing w:before="0" w:beforeAutospacing="0" w:after="0" w:afterAutospacing="0"/>
              <w:ind w:firstLine="488"/>
              <w:jc w:val="both"/>
              <w:rPr>
                <w:b/>
              </w:rPr>
            </w:pPr>
            <w:r w:rsidRPr="00D0186D">
              <w:rPr>
                <w:b/>
              </w:rPr>
              <w:t>ліцензіатів</w:t>
            </w:r>
            <w:r w:rsidR="00B92181" w:rsidRPr="00D0186D">
              <w:rPr>
                <w:b/>
              </w:rPr>
              <w:t>,</w:t>
            </w:r>
            <w:r w:rsidRPr="00D0186D">
              <w:rPr>
                <w:b/>
              </w:rPr>
              <w:t xml:space="preserve"> </w:t>
            </w:r>
            <w:r w:rsidR="00870023" w:rsidRPr="00D0186D">
              <w:rPr>
                <w:b/>
              </w:rPr>
              <w:t xml:space="preserve">контролером або кінцевим </w:t>
            </w:r>
            <w:proofErr w:type="spellStart"/>
            <w:r w:rsidR="00870023" w:rsidRPr="00D0186D">
              <w:rPr>
                <w:b/>
              </w:rPr>
              <w:t>бенефіціарним</w:t>
            </w:r>
            <w:proofErr w:type="spellEnd"/>
            <w:r w:rsidR="00870023" w:rsidRPr="00D0186D">
              <w:rPr>
                <w:b/>
              </w:rPr>
              <w:t xml:space="preserve"> власником контрольного пакету акцій яких є фізичні або юридичні особи, щодо яких застосовано економічні та обмежувальні заходи (санкції)</w:t>
            </w:r>
            <w:r w:rsidRPr="00D0186D">
              <w:rPr>
                <w:b/>
              </w:rPr>
              <w:t xml:space="preserve">, </w:t>
            </w:r>
            <w:r w:rsidR="00870023" w:rsidRPr="00D0186D">
              <w:rPr>
                <w:b/>
              </w:rPr>
              <w:t xml:space="preserve">регуляторна норма доходу на регуляторну базу активів, яка створена після переходу на стимулююче регулювання, </w:t>
            </w:r>
            <w:r w:rsidR="00B92181" w:rsidRPr="00D0186D">
              <w:rPr>
                <w:b/>
              </w:rPr>
              <w:t xml:space="preserve">для яких </w:t>
            </w:r>
            <w:r w:rsidR="00870023" w:rsidRPr="00D0186D">
              <w:rPr>
                <w:b/>
              </w:rPr>
              <w:t>у 2024 та 2025 роках становить 0 відносних одиниць;</w:t>
            </w:r>
          </w:p>
          <w:p w14:paraId="064220B1" w14:textId="0FE0C230" w:rsidR="006C481B" w:rsidRPr="00D0186D" w:rsidRDefault="00870023" w:rsidP="006C481B">
            <w:pPr>
              <w:pStyle w:val="rvps2"/>
              <w:shd w:val="clear" w:color="auto" w:fill="FFFFFF"/>
              <w:spacing w:before="0" w:beforeAutospacing="0" w:after="0" w:afterAutospacing="0"/>
              <w:ind w:firstLine="488"/>
              <w:jc w:val="both"/>
              <w:rPr>
                <w:b/>
              </w:rPr>
            </w:pPr>
            <w:r w:rsidRPr="00D0186D">
              <w:rPr>
                <w:b/>
              </w:rPr>
              <w:t>для ліцензіатів</w:t>
            </w:r>
            <w:r w:rsidR="00F60A6F" w:rsidRPr="00D0186D">
              <w:rPr>
                <w:b/>
              </w:rPr>
              <w:t>,</w:t>
            </w:r>
            <w:r w:rsidRPr="00D0186D">
              <w:rPr>
                <w:b/>
              </w:rPr>
              <w:t xml:space="preserve"> перелік яких наведено в додатку 30 до Порядку</w:t>
            </w:r>
            <w:r w:rsidR="00F60A6F" w:rsidRPr="00D0186D">
              <w:rPr>
                <w:b/>
              </w:rPr>
              <w:t>,</w:t>
            </w:r>
            <w:r w:rsidRPr="00D0186D">
              <w:rPr>
                <w:b/>
              </w:rPr>
              <w:t xml:space="preserve"> встановлення (формування) тарифів</w:t>
            </w:r>
            <w:r w:rsidR="00B92181" w:rsidRPr="00D0186D">
              <w:rPr>
                <w:b/>
              </w:rPr>
              <w:t>,</w:t>
            </w:r>
            <w:r w:rsidRPr="00D0186D">
              <w:rPr>
                <w:b/>
              </w:rPr>
              <w:t xml:space="preserve"> регуляторна норма доходу на регуляторну базу активів, яка створена після переходу на стимулююче регулювання, </w:t>
            </w:r>
            <w:r w:rsidR="00B92181" w:rsidRPr="00D0186D">
              <w:rPr>
                <w:b/>
              </w:rPr>
              <w:t xml:space="preserve">для яких </w:t>
            </w:r>
            <w:r w:rsidRPr="00D0186D">
              <w:rPr>
                <w:b/>
              </w:rPr>
              <w:t>у 2024 році становить 0 відносних одиниць;</w:t>
            </w:r>
            <w:bookmarkEnd w:id="38"/>
          </w:p>
          <w:p w14:paraId="365DA598" w14:textId="02DAD40D" w:rsidR="00471DC6" w:rsidRPr="00D0186D" w:rsidRDefault="00471DC6" w:rsidP="00870023">
            <w:pPr>
              <w:pStyle w:val="rvps2"/>
              <w:shd w:val="clear" w:color="auto" w:fill="FFFFFF"/>
              <w:spacing w:before="0" w:beforeAutospacing="0" w:after="0" w:afterAutospacing="0"/>
              <w:ind w:firstLine="488"/>
              <w:jc w:val="both"/>
            </w:pPr>
          </w:p>
        </w:tc>
      </w:tr>
      <w:tr w:rsidR="000B2439" w:rsidRPr="00D0186D" w14:paraId="6561079B" w14:textId="77777777" w:rsidTr="00903674">
        <w:tc>
          <w:tcPr>
            <w:tcW w:w="15871" w:type="dxa"/>
            <w:gridSpan w:val="2"/>
          </w:tcPr>
          <w:p w14:paraId="726D479B" w14:textId="272719CB" w:rsidR="000B2439" w:rsidRPr="00D0186D" w:rsidRDefault="000B2439" w:rsidP="00BA156C">
            <w:pPr>
              <w:pStyle w:val="rvps2"/>
              <w:spacing w:before="0" w:beforeAutospacing="0" w:after="0" w:afterAutospacing="0"/>
              <w:ind w:firstLine="491"/>
              <w:jc w:val="center"/>
              <w:rPr>
                <w:b/>
                <w:bCs/>
              </w:rPr>
            </w:pPr>
            <w:r w:rsidRPr="00D0186D">
              <w:rPr>
                <w:b/>
                <w:bCs/>
              </w:rPr>
              <w:t>Постанова НКРЕКП від 05.10.2018  № 1176 Про затвердження Методики розрахунку тарифу на послуги постачальника універсальних послуг</w:t>
            </w:r>
          </w:p>
        </w:tc>
      </w:tr>
      <w:tr w:rsidR="000B2439" w:rsidRPr="00D0186D" w14:paraId="2DE359EF" w14:textId="77777777" w:rsidTr="00274934">
        <w:tc>
          <w:tcPr>
            <w:tcW w:w="7934" w:type="dxa"/>
          </w:tcPr>
          <w:p w14:paraId="26CB4EFA" w14:textId="77777777" w:rsidR="000B2439" w:rsidRPr="00D0186D" w:rsidRDefault="000B2439" w:rsidP="00BA156C">
            <w:pPr>
              <w:pStyle w:val="rvps2"/>
              <w:spacing w:before="0" w:beforeAutospacing="0" w:after="0" w:afterAutospacing="0"/>
              <w:ind w:firstLine="491"/>
              <w:jc w:val="center"/>
            </w:pPr>
          </w:p>
          <w:p w14:paraId="29F0A27C" w14:textId="77777777" w:rsidR="00F94F13" w:rsidRPr="00D0186D" w:rsidRDefault="00F94F13" w:rsidP="00F94F13">
            <w:pPr>
              <w:pStyle w:val="3"/>
              <w:shd w:val="clear" w:color="auto" w:fill="FFFFFF"/>
              <w:spacing w:before="0" w:after="0"/>
              <w:jc w:val="both"/>
              <w:outlineLvl w:val="2"/>
              <w:rPr>
                <w:rFonts w:ascii="Times New Roman" w:hAnsi="Times New Roman"/>
                <w:sz w:val="24"/>
                <w:szCs w:val="24"/>
                <w:lang w:eastAsia="uk-UA"/>
              </w:rPr>
            </w:pPr>
            <w:r w:rsidRPr="00D0186D">
              <w:rPr>
                <w:rFonts w:ascii="Times New Roman" w:hAnsi="Times New Roman"/>
                <w:sz w:val="24"/>
                <w:szCs w:val="24"/>
              </w:rPr>
              <w:t>8. Механізм формування витрат</w:t>
            </w:r>
          </w:p>
          <w:p w14:paraId="0F964A03" w14:textId="77777777" w:rsidR="00F94F13" w:rsidRPr="00D0186D" w:rsidRDefault="00F94F13" w:rsidP="00F94F13">
            <w:pPr>
              <w:pStyle w:val="tj"/>
              <w:shd w:val="clear" w:color="auto" w:fill="FFFFFF"/>
              <w:spacing w:before="0" w:beforeAutospacing="0" w:after="0" w:afterAutospacing="0"/>
              <w:jc w:val="both"/>
            </w:pPr>
            <w:r w:rsidRPr="00D0186D">
              <w:t>8.1. Визначення операційних витрат:</w:t>
            </w:r>
          </w:p>
          <w:p w14:paraId="13A21C33" w14:textId="77777777" w:rsidR="00F94F13" w:rsidRPr="00D0186D" w:rsidRDefault="00F94F13" w:rsidP="00F94F13">
            <w:pPr>
              <w:pStyle w:val="tj"/>
              <w:shd w:val="clear" w:color="auto" w:fill="FFFFFF"/>
              <w:spacing w:before="0" w:beforeAutospacing="0" w:after="0" w:afterAutospacing="0"/>
              <w:jc w:val="both"/>
            </w:pPr>
            <w:r w:rsidRPr="00D0186D">
              <w:t>1) операційні витрати для забезпечення діяльності з надання послуг постачальника універсальних послуг визначаються за наступними економічними елементами та їх окремими складовими і розраховуються за формулою</w:t>
            </w:r>
          </w:p>
          <w:p w14:paraId="4D209277" w14:textId="5717B3F8" w:rsidR="00F94F13" w:rsidRPr="00D0186D" w:rsidRDefault="00F94F13" w:rsidP="00F94F13">
            <w:pPr>
              <w:pStyle w:val="tc"/>
              <w:shd w:val="clear" w:color="auto" w:fill="FFFFFF"/>
              <w:spacing w:before="0" w:beforeAutospacing="0" w:after="0" w:afterAutospacing="0"/>
              <w:jc w:val="both"/>
            </w:pPr>
            <w:r w:rsidRPr="00D0186D">
              <w:rPr>
                <w:i/>
                <w:iCs/>
              </w:rPr>
              <w:t>ОВ = МВ + ОП + ЄСВ + А + ІВ - КВ</w:t>
            </w:r>
            <w:r w:rsidRPr="00D0186D">
              <w:t>, тис. грн, (2)</w:t>
            </w:r>
          </w:p>
          <w:p w14:paraId="43602276" w14:textId="4239279F" w:rsidR="006C3673" w:rsidRPr="00D0186D" w:rsidRDefault="006C3673" w:rsidP="00F94F13">
            <w:pPr>
              <w:pStyle w:val="tc"/>
              <w:shd w:val="clear" w:color="auto" w:fill="FFFFFF"/>
              <w:spacing w:before="0" w:beforeAutospacing="0" w:after="0" w:afterAutospacing="0"/>
              <w:jc w:val="both"/>
            </w:pPr>
            <w:r w:rsidRPr="00D0186D">
              <w:t>……………………</w:t>
            </w:r>
          </w:p>
          <w:p w14:paraId="0AA5C390" w14:textId="40756699" w:rsidR="00F94F13" w:rsidRDefault="00F94F13" w:rsidP="00F94F13">
            <w:pPr>
              <w:pStyle w:val="rvps2"/>
              <w:spacing w:before="0" w:beforeAutospacing="0" w:after="0" w:afterAutospacing="0"/>
              <w:jc w:val="both"/>
              <w:rPr>
                <w:rStyle w:val="a5"/>
                <w:color w:val="auto"/>
                <w:shd w:val="clear" w:color="auto" w:fill="FFFFFF"/>
              </w:rPr>
            </w:pPr>
            <w:r w:rsidRPr="00D0186D">
              <w:rPr>
                <w:i/>
                <w:iCs/>
                <w:shd w:val="clear" w:color="auto" w:fill="FFFFFF"/>
              </w:rPr>
              <w:t>КВ</w:t>
            </w:r>
            <w:r w:rsidRPr="00D0186D">
              <w:rPr>
                <w:shd w:val="clear" w:color="auto" w:fill="FFFFFF"/>
              </w:rPr>
              <w:t> - коригування витрат (вилучення або компенсація постачальнику універсальних послуг за результатами діяльності) на прогнозний період, тис. грн</w:t>
            </w:r>
            <w:hyperlink r:id="rId62" w:tgtFrame="_blank" w:history="1">
              <w:r w:rsidRPr="00D0186D">
                <w:rPr>
                  <w:rStyle w:val="a5"/>
                  <w:color w:val="auto"/>
                  <w:shd w:val="clear" w:color="auto" w:fill="FFFFFF"/>
                </w:rPr>
                <w:t>.</w:t>
              </w:r>
            </w:hyperlink>
          </w:p>
          <w:p w14:paraId="72EDE53A" w14:textId="2B7FE69F" w:rsidR="00D0186D" w:rsidRDefault="00D0186D" w:rsidP="00F94F13">
            <w:pPr>
              <w:pStyle w:val="rvps2"/>
              <w:spacing w:before="0" w:beforeAutospacing="0" w:after="0" w:afterAutospacing="0"/>
              <w:jc w:val="both"/>
            </w:pPr>
          </w:p>
          <w:p w14:paraId="64BF21AC" w14:textId="137BC15E" w:rsidR="00D0186D" w:rsidRDefault="00D0186D" w:rsidP="00F94F13">
            <w:pPr>
              <w:pStyle w:val="rvps2"/>
              <w:spacing w:before="0" w:beforeAutospacing="0" w:after="0" w:afterAutospacing="0"/>
              <w:jc w:val="both"/>
            </w:pPr>
          </w:p>
          <w:p w14:paraId="0DB5EC9F" w14:textId="5E684EA3" w:rsidR="00D0186D" w:rsidRPr="00D0186D" w:rsidRDefault="00D0186D" w:rsidP="00F94F13">
            <w:pPr>
              <w:pStyle w:val="rvps2"/>
              <w:spacing w:before="0" w:beforeAutospacing="0" w:after="0" w:afterAutospacing="0"/>
              <w:jc w:val="both"/>
            </w:pPr>
            <w:r>
              <w:t>Абзац відсутній</w:t>
            </w:r>
          </w:p>
          <w:p w14:paraId="28F43B87" w14:textId="77777777" w:rsidR="000B2439" w:rsidRPr="00D0186D" w:rsidRDefault="000B2439" w:rsidP="007557DF">
            <w:pPr>
              <w:pStyle w:val="rvps2"/>
              <w:spacing w:before="0" w:beforeAutospacing="0" w:after="0" w:afterAutospacing="0"/>
              <w:ind w:firstLine="491"/>
              <w:jc w:val="center"/>
            </w:pPr>
          </w:p>
        </w:tc>
        <w:tc>
          <w:tcPr>
            <w:tcW w:w="7937" w:type="dxa"/>
          </w:tcPr>
          <w:p w14:paraId="1F815A64" w14:textId="77777777" w:rsidR="00D0186D" w:rsidRDefault="00D0186D" w:rsidP="000B2439">
            <w:pPr>
              <w:pStyle w:val="3"/>
              <w:shd w:val="clear" w:color="auto" w:fill="FFFFFF"/>
              <w:spacing w:before="0" w:after="0"/>
              <w:jc w:val="both"/>
              <w:outlineLvl w:val="2"/>
              <w:rPr>
                <w:rFonts w:ascii="Times New Roman" w:hAnsi="Times New Roman"/>
                <w:sz w:val="24"/>
                <w:szCs w:val="24"/>
              </w:rPr>
            </w:pPr>
          </w:p>
          <w:p w14:paraId="6085CF07" w14:textId="78DBB37A" w:rsidR="000B2439" w:rsidRPr="00D0186D" w:rsidRDefault="000B2439" w:rsidP="000B2439">
            <w:pPr>
              <w:pStyle w:val="3"/>
              <w:shd w:val="clear" w:color="auto" w:fill="FFFFFF"/>
              <w:spacing w:before="0" w:after="0"/>
              <w:jc w:val="both"/>
              <w:outlineLvl w:val="2"/>
              <w:rPr>
                <w:rFonts w:ascii="Times New Roman" w:hAnsi="Times New Roman"/>
                <w:sz w:val="24"/>
                <w:szCs w:val="24"/>
                <w:lang w:eastAsia="uk-UA"/>
              </w:rPr>
            </w:pPr>
            <w:r w:rsidRPr="00D0186D">
              <w:rPr>
                <w:rFonts w:ascii="Times New Roman" w:hAnsi="Times New Roman"/>
                <w:sz w:val="24"/>
                <w:szCs w:val="24"/>
              </w:rPr>
              <w:t>8. Механізм формування витрат</w:t>
            </w:r>
          </w:p>
          <w:p w14:paraId="08641976" w14:textId="77777777" w:rsidR="000B2439" w:rsidRPr="00D0186D" w:rsidRDefault="000B2439" w:rsidP="000B2439">
            <w:pPr>
              <w:pStyle w:val="tj"/>
              <w:shd w:val="clear" w:color="auto" w:fill="FFFFFF"/>
              <w:spacing w:before="0" w:beforeAutospacing="0" w:after="0" w:afterAutospacing="0"/>
              <w:jc w:val="both"/>
            </w:pPr>
            <w:r w:rsidRPr="00D0186D">
              <w:t>8.1. Визначення операційних витрат:</w:t>
            </w:r>
          </w:p>
          <w:p w14:paraId="03317626" w14:textId="77777777" w:rsidR="000B2439" w:rsidRPr="00D0186D" w:rsidRDefault="000B2439" w:rsidP="000B2439">
            <w:pPr>
              <w:pStyle w:val="tj"/>
              <w:shd w:val="clear" w:color="auto" w:fill="FFFFFF"/>
              <w:spacing w:before="0" w:beforeAutospacing="0" w:after="0" w:afterAutospacing="0"/>
              <w:jc w:val="both"/>
            </w:pPr>
            <w:r w:rsidRPr="00D0186D">
              <w:t>1) операційні витрати для забезпечення діяльності з надання послуг постачальника універсальних послуг визначаються за наступними економічними елементами та їх окремими складовими і розраховуються за формулою</w:t>
            </w:r>
          </w:p>
          <w:p w14:paraId="1B8E3EB6" w14:textId="77777777" w:rsidR="000B2439" w:rsidRPr="00D0186D" w:rsidRDefault="000B2439" w:rsidP="000B2439">
            <w:pPr>
              <w:pStyle w:val="tc"/>
              <w:shd w:val="clear" w:color="auto" w:fill="FFFFFF"/>
              <w:spacing w:before="0" w:beforeAutospacing="0" w:after="0" w:afterAutospacing="0"/>
              <w:jc w:val="both"/>
            </w:pPr>
            <w:r w:rsidRPr="00D0186D">
              <w:rPr>
                <w:i/>
                <w:iCs/>
              </w:rPr>
              <w:t>ОВ = МВ + ОП + ЄСВ + А + ІВ - КВ</w:t>
            </w:r>
            <w:r w:rsidRPr="00D0186D">
              <w:t>, тис. грн, (2)</w:t>
            </w:r>
          </w:p>
          <w:p w14:paraId="3B089AB8" w14:textId="30A7C806" w:rsidR="000B2439" w:rsidRPr="00D0186D" w:rsidRDefault="000B2439" w:rsidP="000B2439">
            <w:pPr>
              <w:pStyle w:val="tc"/>
              <w:shd w:val="clear" w:color="auto" w:fill="FFFFFF"/>
              <w:spacing w:before="0" w:beforeAutospacing="0" w:after="0" w:afterAutospacing="0"/>
              <w:jc w:val="both"/>
            </w:pPr>
            <w:r w:rsidRPr="00D0186D">
              <w:t>……………………</w:t>
            </w:r>
          </w:p>
          <w:p w14:paraId="08BCD73C" w14:textId="22661682" w:rsidR="006C3673" w:rsidRPr="00D0186D" w:rsidRDefault="006C3673" w:rsidP="000B2439">
            <w:pPr>
              <w:pStyle w:val="tc"/>
              <w:shd w:val="clear" w:color="auto" w:fill="FFFFFF"/>
              <w:spacing w:before="0" w:beforeAutospacing="0" w:after="0" w:afterAutospacing="0"/>
              <w:jc w:val="both"/>
            </w:pPr>
          </w:p>
          <w:p w14:paraId="071D468D" w14:textId="77777777" w:rsidR="00800BC3" w:rsidRPr="00D0186D" w:rsidRDefault="00800BC3" w:rsidP="00800BC3">
            <w:pPr>
              <w:pStyle w:val="rvps2"/>
              <w:spacing w:before="0" w:beforeAutospacing="0" w:after="0" w:afterAutospacing="0"/>
              <w:jc w:val="both"/>
            </w:pPr>
            <w:r w:rsidRPr="00D0186D">
              <w:rPr>
                <w:i/>
                <w:iCs/>
                <w:shd w:val="clear" w:color="auto" w:fill="FFFFFF"/>
              </w:rPr>
              <w:t>КВ</w:t>
            </w:r>
            <w:r w:rsidRPr="00D0186D">
              <w:rPr>
                <w:shd w:val="clear" w:color="auto" w:fill="FFFFFF"/>
              </w:rPr>
              <w:t> - коригування витрат (вилучення або компенсація постачальнику універсальних послуг за результатами діяльності) на прогнозний період, тис. грн</w:t>
            </w:r>
            <w:hyperlink r:id="rId63" w:tgtFrame="_blank" w:history="1">
              <w:r w:rsidRPr="00D0186D">
                <w:rPr>
                  <w:rStyle w:val="a5"/>
                  <w:color w:val="auto"/>
                  <w:shd w:val="clear" w:color="auto" w:fill="FFFFFF"/>
                </w:rPr>
                <w:t>.</w:t>
              </w:r>
            </w:hyperlink>
          </w:p>
          <w:p w14:paraId="092831C5" w14:textId="77777777" w:rsidR="00800BC3" w:rsidRPr="00D0186D" w:rsidRDefault="00800BC3" w:rsidP="00800BC3">
            <w:pPr>
              <w:pStyle w:val="rvps2"/>
              <w:spacing w:before="0" w:beforeAutospacing="0" w:after="0" w:afterAutospacing="0"/>
              <w:ind w:firstLine="491"/>
              <w:jc w:val="center"/>
            </w:pPr>
          </w:p>
          <w:p w14:paraId="69A338C3" w14:textId="0FC683C5" w:rsidR="00800BC3" w:rsidRPr="00D0186D" w:rsidRDefault="009B7316" w:rsidP="00800BC3">
            <w:pPr>
              <w:jc w:val="both"/>
              <w:rPr>
                <w:b/>
                <w:lang w:val="uk-UA"/>
              </w:rPr>
            </w:pPr>
            <w:bookmarkStart w:id="39" w:name="_Hlk173412511"/>
            <w:r w:rsidRPr="00D0186D">
              <w:rPr>
                <w:b/>
                <w:shd w:val="clear" w:color="auto" w:fill="FFFFFF"/>
                <w:lang w:val="uk-UA"/>
              </w:rPr>
              <w:t>Д</w:t>
            </w:r>
            <w:r w:rsidR="00800BC3" w:rsidRPr="00D0186D">
              <w:rPr>
                <w:b/>
                <w:lang w:val="uk-UA"/>
              </w:rPr>
              <w:t xml:space="preserve">ля ліцензіатів, перелік яких наведено в додатку 5 до цього Порядку, </w:t>
            </w:r>
            <w:r w:rsidRPr="00D0186D">
              <w:rPr>
                <w:b/>
                <w:lang w:val="uk-UA"/>
              </w:rPr>
              <w:t>на</w:t>
            </w:r>
            <w:r w:rsidR="00800BC3" w:rsidRPr="00D0186D">
              <w:rPr>
                <w:b/>
                <w:lang w:val="uk-UA"/>
              </w:rPr>
              <w:t xml:space="preserve"> 2025 р</w:t>
            </w:r>
            <w:r w:rsidRPr="00D0186D">
              <w:rPr>
                <w:b/>
                <w:lang w:val="uk-UA"/>
              </w:rPr>
              <w:t>і</w:t>
            </w:r>
            <w:r w:rsidR="00800BC3" w:rsidRPr="00D0186D">
              <w:rPr>
                <w:b/>
                <w:lang w:val="uk-UA"/>
              </w:rPr>
              <w:t>к розрахунок операційних витрат, крім:</w:t>
            </w:r>
          </w:p>
          <w:p w14:paraId="35C5843B" w14:textId="4D6616A4" w:rsidR="00800BC3" w:rsidRPr="00D0186D" w:rsidRDefault="00937D0B" w:rsidP="00800BC3">
            <w:pPr>
              <w:jc w:val="both"/>
              <w:rPr>
                <w:b/>
                <w:lang w:val="uk-UA"/>
              </w:rPr>
            </w:pPr>
            <w:r w:rsidRPr="00D0186D">
              <w:rPr>
                <w:b/>
                <w:lang w:val="uk-UA"/>
              </w:rPr>
              <w:t>в</w:t>
            </w:r>
            <w:r w:rsidR="00800BC3" w:rsidRPr="00D0186D">
              <w:rPr>
                <w:b/>
                <w:lang w:val="uk-UA"/>
              </w:rPr>
              <w:t>итрат на оплату праці та похідних від них;</w:t>
            </w:r>
          </w:p>
          <w:p w14:paraId="756E9AC8" w14:textId="45A11DC7" w:rsidR="00800BC3" w:rsidRPr="00D0186D" w:rsidRDefault="00937D0B" w:rsidP="00800BC3">
            <w:pPr>
              <w:jc w:val="both"/>
              <w:rPr>
                <w:b/>
                <w:lang w:val="uk-UA"/>
              </w:rPr>
            </w:pPr>
            <w:r w:rsidRPr="00D0186D">
              <w:rPr>
                <w:b/>
                <w:lang w:val="uk-UA"/>
              </w:rPr>
              <w:t>в</w:t>
            </w:r>
            <w:r w:rsidR="00800BC3" w:rsidRPr="00D0186D">
              <w:rPr>
                <w:b/>
                <w:lang w:val="uk-UA"/>
              </w:rPr>
              <w:t>неск</w:t>
            </w:r>
            <w:r w:rsidRPr="00D0186D">
              <w:rPr>
                <w:b/>
                <w:lang w:val="uk-UA"/>
              </w:rPr>
              <w:t>ів</w:t>
            </w:r>
            <w:r w:rsidR="00800BC3" w:rsidRPr="00D0186D">
              <w:rPr>
                <w:b/>
                <w:lang w:val="uk-UA"/>
              </w:rPr>
              <w:t xml:space="preserve"> на регулювання</w:t>
            </w:r>
            <w:r w:rsidR="003C6B5A" w:rsidRPr="00D0186D">
              <w:rPr>
                <w:b/>
                <w:lang w:val="uk-UA"/>
              </w:rPr>
              <w:t>;</w:t>
            </w:r>
          </w:p>
          <w:p w14:paraId="5100325C" w14:textId="107DC7DE" w:rsidR="009D2846" w:rsidRPr="00D0186D" w:rsidRDefault="009D2846" w:rsidP="00800BC3">
            <w:pPr>
              <w:jc w:val="both"/>
              <w:rPr>
                <w:b/>
                <w:lang w:val="uk-UA"/>
              </w:rPr>
            </w:pPr>
            <w:r w:rsidRPr="00D0186D">
              <w:rPr>
                <w:b/>
                <w:lang w:val="uk-UA"/>
              </w:rPr>
              <w:t>прибутк</w:t>
            </w:r>
            <w:r w:rsidR="007D4205" w:rsidRPr="00D0186D">
              <w:rPr>
                <w:b/>
                <w:lang w:val="uk-UA"/>
              </w:rPr>
              <w:t>у</w:t>
            </w:r>
            <w:r w:rsidR="00DE7381" w:rsidRPr="00D0186D">
              <w:rPr>
                <w:b/>
                <w:lang w:val="uk-UA"/>
              </w:rPr>
              <w:t>;</w:t>
            </w:r>
          </w:p>
          <w:p w14:paraId="7D819D34" w14:textId="13E3164E" w:rsidR="00D43FA6" w:rsidRPr="00D0186D" w:rsidRDefault="009D2846" w:rsidP="00800BC3">
            <w:pPr>
              <w:jc w:val="both"/>
              <w:rPr>
                <w:b/>
                <w:lang w:val="uk-UA"/>
              </w:rPr>
            </w:pPr>
            <w:r w:rsidRPr="00D0186D">
              <w:rPr>
                <w:b/>
                <w:lang w:val="uk-UA"/>
              </w:rPr>
              <w:t>витрат на забезпечення обігового капіталу;</w:t>
            </w:r>
          </w:p>
          <w:p w14:paraId="2F34D235" w14:textId="288781DD" w:rsidR="00800BC3" w:rsidRPr="00D0186D" w:rsidRDefault="00800BC3" w:rsidP="00800BC3">
            <w:pPr>
              <w:jc w:val="both"/>
              <w:rPr>
                <w:b/>
                <w:lang w:val="uk-UA"/>
              </w:rPr>
            </w:pPr>
            <w:r w:rsidRPr="00D0186D">
              <w:rPr>
                <w:b/>
                <w:lang w:val="uk-UA"/>
              </w:rPr>
              <w:t>витрат</w:t>
            </w:r>
            <w:r w:rsidR="00814CAF" w:rsidRPr="00D0186D">
              <w:rPr>
                <w:b/>
                <w:lang w:val="uk-UA"/>
              </w:rPr>
              <w:t>,</w:t>
            </w:r>
            <w:r w:rsidRPr="00D0186D">
              <w:rPr>
                <w:b/>
                <w:lang w:val="uk-UA"/>
              </w:rPr>
              <w:t xml:space="preserve"> розрахунок яких залеж</w:t>
            </w:r>
            <w:r w:rsidR="00937D0B" w:rsidRPr="00D0186D">
              <w:rPr>
                <w:b/>
                <w:lang w:val="uk-UA"/>
              </w:rPr>
              <w:t>и</w:t>
            </w:r>
            <w:r w:rsidRPr="00D0186D">
              <w:rPr>
                <w:b/>
                <w:lang w:val="uk-UA"/>
              </w:rPr>
              <w:t xml:space="preserve">ть від обсягів </w:t>
            </w:r>
            <w:r w:rsidR="00814CAF" w:rsidRPr="00D0186D">
              <w:rPr>
                <w:b/>
                <w:lang w:val="uk-UA"/>
              </w:rPr>
              <w:t xml:space="preserve">електричної енергії </w:t>
            </w:r>
            <w:r w:rsidRPr="00D0186D">
              <w:rPr>
                <w:b/>
                <w:lang w:val="uk-UA"/>
              </w:rPr>
              <w:t>та</w:t>
            </w:r>
            <w:r w:rsidR="009D2846" w:rsidRPr="00D0186D">
              <w:rPr>
                <w:b/>
                <w:lang w:val="uk-UA"/>
              </w:rPr>
              <w:t>/або</w:t>
            </w:r>
            <w:r w:rsidRPr="00D0186D">
              <w:rPr>
                <w:b/>
                <w:lang w:val="uk-UA"/>
              </w:rPr>
              <w:t xml:space="preserve"> ціни на ринку електричної енергії,</w:t>
            </w:r>
          </w:p>
          <w:p w14:paraId="1871164B" w14:textId="4CB9D853" w:rsidR="00800BC3" w:rsidRPr="00D0186D" w:rsidRDefault="00800BC3" w:rsidP="00800BC3">
            <w:pPr>
              <w:jc w:val="both"/>
              <w:rPr>
                <w:b/>
                <w:shd w:val="clear" w:color="auto" w:fill="FFFFFF"/>
                <w:lang w:val="uk-UA"/>
              </w:rPr>
            </w:pPr>
            <w:r w:rsidRPr="00D0186D">
              <w:rPr>
                <w:b/>
                <w:lang w:val="uk-UA"/>
              </w:rPr>
              <w:t>здійснюється із застосуванням</w:t>
            </w:r>
            <w:r w:rsidRPr="00D0186D">
              <w:rPr>
                <w:lang w:val="uk-UA"/>
              </w:rPr>
              <w:t xml:space="preserve"> </w:t>
            </w:r>
            <w:r w:rsidR="009B7316" w:rsidRPr="00D0186D">
              <w:rPr>
                <w:lang w:val="uk-UA"/>
              </w:rPr>
              <w:t xml:space="preserve">коригуючого </w:t>
            </w:r>
            <w:r w:rsidRPr="00D0186D">
              <w:rPr>
                <w:b/>
                <w:lang w:val="uk-UA"/>
              </w:rPr>
              <w:t>коефіцієнту</w:t>
            </w:r>
            <w:r w:rsidR="0087408C" w:rsidRPr="00D0186D">
              <w:rPr>
                <w:b/>
                <w:lang w:val="uk-UA"/>
              </w:rPr>
              <w:t xml:space="preserve"> </w:t>
            </w:r>
            <w:r w:rsidRPr="00D0186D">
              <w:rPr>
                <w:b/>
                <w:lang w:val="uk-UA"/>
              </w:rPr>
              <w:t xml:space="preserve"> </w:t>
            </w:r>
            <w:r w:rsidR="009B7316" w:rsidRPr="00D0186D">
              <w:rPr>
                <w:b/>
                <w:lang w:val="uk-UA"/>
              </w:rPr>
              <w:t xml:space="preserve">зміни </w:t>
            </w:r>
            <w:r w:rsidRPr="00D0186D">
              <w:rPr>
                <w:b/>
                <w:lang w:val="uk-UA"/>
              </w:rPr>
              <w:t xml:space="preserve">фактичної кількості побутових споживачів, </w:t>
            </w:r>
            <w:r w:rsidR="00937D0B" w:rsidRPr="00D0186D">
              <w:rPr>
                <w:b/>
                <w:lang w:val="uk-UA"/>
              </w:rPr>
              <w:t>які</w:t>
            </w:r>
            <w:r w:rsidRPr="00D0186D">
              <w:rPr>
                <w:b/>
                <w:lang w:val="uk-UA"/>
              </w:rPr>
              <w:t xml:space="preserve"> знаходиться на контрольованій території держави (К</w:t>
            </w:r>
            <w:r w:rsidR="0087408C" w:rsidRPr="00D0186D">
              <w:rPr>
                <w:b/>
                <w:lang w:val="uk-UA"/>
              </w:rPr>
              <w:t>Ф</w:t>
            </w:r>
            <w:r w:rsidRPr="00D0186D">
              <w:rPr>
                <w:b/>
                <w:lang w:val="uk-UA"/>
              </w:rPr>
              <w:t>С), що розраховується формулою</w:t>
            </w:r>
          </w:p>
          <w:p w14:paraId="417A2D01" w14:textId="18D1BDE4" w:rsidR="00800BC3" w:rsidRPr="00D0186D" w:rsidRDefault="00800BC3" w:rsidP="000B2439">
            <w:pPr>
              <w:pStyle w:val="tc"/>
              <w:shd w:val="clear" w:color="auto" w:fill="FFFFFF"/>
              <w:spacing w:before="0" w:beforeAutospacing="0" w:after="0" w:afterAutospacing="0"/>
              <w:jc w:val="both"/>
            </w:pPr>
          </w:p>
          <w:p w14:paraId="1E08BD56" w14:textId="3CF01D22" w:rsidR="00800BC3" w:rsidRPr="00D0186D" w:rsidRDefault="00800BC3" w:rsidP="00800BC3">
            <w:pPr>
              <w:jc w:val="center"/>
              <w:rPr>
                <w:b/>
                <w:lang w:val="uk-UA"/>
              </w:rPr>
            </w:pPr>
            <m:oMath>
              <m:r>
                <m:rPr>
                  <m:sty m:val="bi"/>
                </m:rPr>
                <w:rPr>
                  <w:rFonts w:ascii="Cambria Math" w:hAnsi="Cambria Math"/>
                  <w:lang w:val="uk-UA"/>
                </w:rPr>
                <m:t>КФС=1+КА×</m:t>
              </m:r>
              <m:f>
                <m:fPr>
                  <m:ctrlPr>
                    <w:rPr>
                      <w:rFonts w:ascii="Cambria Math" w:hAnsi="Cambria Math"/>
                      <w:b/>
                      <w:i/>
                      <w:lang w:val="uk-UA"/>
                    </w:rPr>
                  </m:ctrlPr>
                </m:fPr>
                <m:num>
                  <m:r>
                    <m:rPr>
                      <m:sty m:val="bi"/>
                    </m:rPr>
                    <w:rPr>
                      <w:rFonts w:ascii="Cambria Math" w:hAnsi="Cambria Math"/>
                      <w:lang w:val="uk-UA"/>
                    </w:rPr>
                    <m:t>ΔПС</m:t>
                  </m:r>
                </m:num>
                <m:den>
                  <m:r>
                    <m:rPr>
                      <m:sty m:val="bi"/>
                    </m:rPr>
                    <w:rPr>
                      <w:rFonts w:ascii="Cambria Math" w:hAnsi="Cambria Math"/>
                      <w:lang w:val="uk-UA"/>
                    </w:rPr>
                    <m:t>ПС</m:t>
                  </m:r>
                </m:den>
              </m:f>
            </m:oMath>
            <w:r w:rsidRPr="00D0186D">
              <w:rPr>
                <w:b/>
                <w:lang w:val="uk-UA"/>
              </w:rPr>
              <w:t xml:space="preserve">, </w:t>
            </w:r>
            <w:r w:rsidR="00D0186D">
              <w:rPr>
                <w:b/>
                <w:lang w:val="uk-UA"/>
              </w:rPr>
              <w:t>осіб</w:t>
            </w:r>
            <w:r w:rsidRPr="00D0186D">
              <w:rPr>
                <w:b/>
                <w:lang w:val="uk-UA"/>
              </w:rPr>
              <w:t>.      (</w:t>
            </w:r>
            <w:r w:rsidR="000122B5" w:rsidRPr="00D0186D">
              <w:rPr>
                <w:b/>
                <w:lang w:val="uk-UA"/>
              </w:rPr>
              <w:t>3</w:t>
            </w:r>
            <w:r w:rsidRPr="00D0186D">
              <w:rPr>
                <w:b/>
                <w:lang w:val="uk-UA"/>
              </w:rPr>
              <w:t>)</w:t>
            </w:r>
          </w:p>
          <w:p w14:paraId="78E986F8" w14:textId="77777777" w:rsidR="00274934" w:rsidRPr="00D0186D" w:rsidRDefault="00274934" w:rsidP="00274934">
            <w:pPr>
              <w:jc w:val="both"/>
              <w:rPr>
                <w:lang w:val="uk-UA"/>
              </w:rPr>
            </w:pPr>
          </w:p>
          <w:p w14:paraId="09FDFDF8" w14:textId="77777777" w:rsidR="00274934" w:rsidRPr="00D0186D" w:rsidRDefault="00274934" w:rsidP="00274934">
            <w:pPr>
              <w:rPr>
                <w:lang w:val="uk-UA"/>
              </w:rPr>
            </w:pPr>
          </w:p>
          <w:tbl>
            <w:tblPr>
              <w:tblW w:w="7433" w:type="dxa"/>
              <w:tblLayout w:type="fixed"/>
              <w:tblCellMar>
                <w:left w:w="0" w:type="dxa"/>
                <w:right w:w="0" w:type="dxa"/>
              </w:tblCellMar>
              <w:tblLook w:val="04A0" w:firstRow="1" w:lastRow="0" w:firstColumn="1" w:lastColumn="0" w:noHBand="0" w:noVBand="1"/>
            </w:tblPr>
            <w:tblGrid>
              <w:gridCol w:w="489"/>
              <w:gridCol w:w="843"/>
              <w:gridCol w:w="289"/>
              <w:gridCol w:w="5812"/>
            </w:tblGrid>
            <w:tr w:rsidR="00274934" w:rsidRPr="00D0186D" w14:paraId="2D8CE197" w14:textId="77777777" w:rsidTr="00800BC3">
              <w:tc>
                <w:tcPr>
                  <w:tcW w:w="489" w:type="dxa"/>
                  <w:tcBorders>
                    <w:top w:val="single" w:sz="2" w:space="0" w:color="auto"/>
                    <w:left w:val="single" w:sz="2" w:space="0" w:color="auto"/>
                    <w:bottom w:val="single" w:sz="2" w:space="0" w:color="auto"/>
                    <w:right w:val="single" w:sz="2" w:space="0" w:color="auto"/>
                  </w:tcBorders>
                  <w:hideMark/>
                </w:tcPr>
                <w:p w14:paraId="7004CCF0" w14:textId="77777777" w:rsidR="00274934" w:rsidRPr="00D0186D" w:rsidRDefault="00274934" w:rsidP="00274934">
                  <w:pPr>
                    <w:pStyle w:val="rvps11"/>
                    <w:spacing w:before="150" w:beforeAutospacing="0" w:after="150" w:afterAutospacing="0"/>
                    <w:jc w:val="right"/>
                    <w:rPr>
                      <w:b/>
                    </w:rPr>
                  </w:pPr>
                  <w:r w:rsidRPr="00D0186D">
                    <w:rPr>
                      <w:b/>
                    </w:rPr>
                    <w:t>де</w:t>
                  </w:r>
                </w:p>
              </w:tc>
              <w:tc>
                <w:tcPr>
                  <w:tcW w:w="843" w:type="dxa"/>
                  <w:tcBorders>
                    <w:top w:val="single" w:sz="2" w:space="0" w:color="auto"/>
                    <w:left w:val="single" w:sz="2" w:space="0" w:color="auto"/>
                    <w:bottom w:val="single" w:sz="2" w:space="0" w:color="auto"/>
                    <w:right w:val="single" w:sz="2" w:space="0" w:color="auto"/>
                  </w:tcBorders>
                </w:tcPr>
                <w:p w14:paraId="0336F5B9" w14:textId="3DD094EB" w:rsidR="00274934" w:rsidRPr="00D0186D" w:rsidRDefault="00274934" w:rsidP="00274934">
                  <w:pPr>
                    <w:pStyle w:val="rvps11"/>
                    <w:spacing w:before="150" w:beforeAutospacing="0" w:after="150" w:afterAutospacing="0"/>
                    <w:jc w:val="center"/>
                    <w:rPr>
                      <w:b/>
                    </w:rPr>
                  </w:pPr>
                  <w:r w:rsidRPr="00D0186D">
                    <w:rPr>
                      <w:b/>
                    </w:rPr>
                    <w:t>К</w:t>
                  </w:r>
                  <w:r w:rsidR="0087408C" w:rsidRPr="00D0186D">
                    <w:rPr>
                      <w:b/>
                    </w:rPr>
                    <w:t>А</w:t>
                  </w:r>
                </w:p>
                <w:p w14:paraId="6E7D6849" w14:textId="77777777" w:rsidR="00274934" w:rsidRPr="00D0186D" w:rsidRDefault="00274934" w:rsidP="00274934">
                  <w:pPr>
                    <w:pStyle w:val="rvps11"/>
                    <w:spacing w:before="150" w:beforeAutospacing="0" w:after="150" w:afterAutospacing="0"/>
                    <w:jc w:val="center"/>
                    <w:rPr>
                      <w:b/>
                    </w:rPr>
                  </w:pPr>
                </w:p>
              </w:tc>
              <w:tc>
                <w:tcPr>
                  <w:tcW w:w="289" w:type="dxa"/>
                  <w:tcBorders>
                    <w:top w:val="single" w:sz="2" w:space="0" w:color="auto"/>
                    <w:left w:val="single" w:sz="2" w:space="0" w:color="auto"/>
                    <w:bottom w:val="single" w:sz="2" w:space="0" w:color="auto"/>
                    <w:right w:val="single" w:sz="2" w:space="0" w:color="auto"/>
                  </w:tcBorders>
                </w:tcPr>
                <w:p w14:paraId="5C16AD8F" w14:textId="77777777" w:rsidR="00274934" w:rsidRPr="00D0186D" w:rsidRDefault="00274934" w:rsidP="00274934">
                  <w:pPr>
                    <w:pStyle w:val="rvps11"/>
                    <w:spacing w:before="150" w:beforeAutospacing="0" w:after="150" w:afterAutospacing="0"/>
                    <w:jc w:val="center"/>
                    <w:rPr>
                      <w:b/>
                    </w:rPr>
                  </w:pPr>
                  <w:r w:rsidRPr="00D0186D">
                    <w:rPr>
                      <w:b/>
                    </w:rPr>
                    <w:t>-</w:t>
                  </w:r>
                </w:p>
              </w:tc>
              <w:tc>
                <w:tcPr>
                  <w:tcW w:w="5812" w:type="dxa"/>
                  <w:tcBorders>
                    <w:top w:val="single" w:sz="2" w:space="0" w:color="auto"/>
                    <w:left w:val="single" w:sz="2" w:space="0" w:color="auto"/>
                    <w:bottom w:val="single" w:sz="2" w:space="0" w:color="auto"/>
                    <w:right w:val="single" w:sz="2" w:space="0" w:color="auto"/>
                  </w:tcBorders>
                </w:tcPr>
                <w:p w14:paraId="6D0D2D39" w14:textId="123891D9" w:rsidR="00274934" w:rsidRPr="00D0186D" w:rsidRDefault="00274934" w:rsidP="00DE7381">
                  <w:pPr>
                    <w:pStyle w:val="rvps11"/>
                    <w:spacing w:before="150" w:beforeAutospacing="0" w:after="150" w:afterAutospacing="0"/>
                    <w:jc w:val="both"/>
                    <w:rPr>
                      <w:b/>
                    </w:rPr>
                  </w:pPr>
                  <w:r w:rsidRPr="00D0186D">
                    <w:rPr>
                      <w:b/>
                    </w:rPr>
                    <w:t>коефіцієнт поправки на зміну кількості абонентів (К</w:t>
                  </w:r>
                  <w:r w:rsidR="0087408C" w:rsidRPr="00D0186D">
                    <w:rPr>
                      <w:b/>
                    </w:rPr>
                    <w:t>А</w:t>
                  </w:r>
                  <w:r w:rsidRPr="00D0186D">
                    <w:rPr>
                      <w:b/>
                    </w:rPr>
                    <w:t xml:space="preserve"> = 0,7);</w:t>
                  </w:r>
                </w:p>
              </w:tc>
            </w:tr>
            <w:tr w:rsidR="007614BD" w:rsidRPr="00ED4B6B" w14:paraId="4D25F59D" w14:textId="77777777" w:rsidTr="00800BC3">
              <w:tc>
                <w:tcPr>
                  <w:tcW w:w="489" w:type="dxa"/>
                  <w:tcBorders>
                    <w:top w:val="single" w:sz="2" w:space="0" w:color="auto"/>
                    <w:left w:val="single" w:sz="2" w:space="0" w:color="auto"/>
                    <w:bottom w:val="single" w:sz="2" w:space="0" w:color="auto"/>
                    <w:right w:val="single" w:sz="2" w:space="0" w:color="auto"/>
                  </w:tcBorders>
                </w:tcPr>
                <w:p w14:paraId="10B71754" w14:textId="77777777" w:rsidR="00274934" w:rsidRPr="00D0186D" w:rsidRDefault="00274934" w:rsidP="00274934">
                  <w:pPr>
                    <w:pStyle w:val="rvps11"/>
                    <w:spacing w:before="150" w:beforeAutospacing="0" w:after="150" w:afterAutospacing="0"/>
                    <w:jc w:val="right"/>
                    <w:rPr>
                      <w:b/>
                    </w:rPr>
                  </w:pPr>
                </w:p>
              </w:tc>
              <w:tc>
                <w:tcPr>
                  <w:tcW w:w="843" w:type="dxa"/>
                  <w:tcBorders>
                    <w:top w:val="single" w:sz="2" w:space="0" w:color="auto"/>
                    <w:left w:val="single" w:sz="2" w:space="0" w:color="auto"/>
                    <w:bottom w:val="single" w:sz="2" w:space="0" w:color="auto"/>
                    <w:right w:val="single" w:sz="2" w:space="0" w:color="auto"/>
                  </w:tcBorders>
                </w:tcPr>
                <w:p w14:paraId="5B06B134" w14:textId="3A958C74" w:rsidR="00274934" w:rsidRPr="00D0186D" w:rsidRDefault="009D2846" w:rsidP="00274934">
                  <w:pPr>
                    <w:pStyle w:val="rvps11"/>
                    <w:spacing w:before="150" w:beforeAutospacing="0" w:after="150" w:afterAutospacing="0"/>
                    <w:jc w:val="center"/>
                    <w:rPr>
                      <w:b/>
                    </w:rPr>
                  </w:pPr>
                  <m:oMathPara>
                    <m:oMath>
                      <m:r>
                        <m:rPr>
                          <m:sty m:val="bi"/>
                        </m:rPr>
                        <w:rPr>
                          <w:rFonts w:ascii="Cambria Math" w:hAnsi="Cambria Math"/>
                        </w:rPr>
                        <m:t>ΔПС</m:t>
                      </m:r>
                    </m:oMath>
                  </m:oMathPara>
                </w:p>
              </w:tc>
              <w:tc>
                <w:tcPr>
                  <w:tcW w:w="289" w:type="dxa"/>
                  <w:tcBorders>
                    <w:top w:val="single" w:sz="2" w:space="0" w:color="auto"/>
                    <w:left w:val="single" w:sz="2" w:space="0" w:color="auto"/>
                    <w:bottom w:val="single" w:sz="2" w:space="0" w:color="auto"/>
                    <w:right w:val="single" w:sz="2" w:space="0" w:color="auto"/>
                  </w:tcBorders>
                </w:tcPr>
                <w:p w14:paraId="2AC900DE" w14:textId="77777777" w:rsidR="00274934" w:rsidRPr="00D0186D" w:rsidRDefault="00274934" w:rsidP="00274934">
                  <w:pPr>
                    <w:pStyle w:val="rvps11"/>
                    <w:spacing w:before="150" w:beforeAutospacing="0" w:after="150" w:afterAutospacing="0"/>
                    <w:jc w:val="center"/>
                    <w:rPr>
                      <w:b/>
                    </w:rPr>
                  </w:pPr>
                  <w:r w:rsidRPr="00D0186D">
                    <w:rPr>
                      <w:b/>
                    </w:rPr>
                    <w:t>-</w:t>
                  </w:r>
                </w:p>
              </w:tc>
              <w:tc>
                <w:tcPr>
                  <w:tcW w:w="5812" w:type="dxa"/>
                  <w:tcBorders>
                    <w:top w:val="single" w:sz="2" w:space="0" w:color="auto"/>
                    <w:left w:val="single" w:sz="2" w:space="0" w:color="auto"/>
                    <w:bottom w:val="single" w:sz="2" w:space="0" w:color="auto"/>
                    <w:right w:val="single" w:sz="2" w:space="0" w:color="auto"/>
                  </w:tcBorders>
                </w:tcPr>
                <w:p w14:paraId="7C330A7A" w14:textId="1A3F51D6" w:rsidR="002C01F9" w:rsidRPr="00D0186D" w:rsidRDefault="002C01F9" w:rsidP="00DE7381">
                  <w:pPr>
                    <w:pStyle w:val="rvps11"/>
                    <w:spacing w:before="150" w:beforeAutospacing="0" w:after="150" w:afterAutospacing="0"/>
                    <w:jc w:val="both"/>
                    <w:rPr>
                      <w:b/>
                    </w:rPr>
                  </w:pPr>
                  <w:r w:rsidRPr="00D0186D">
                    <w:rPr>
                      <w:b/>
                    </w:rPr>
                    <w:t xml:space="preserve">зміна </w:t>
                  </w:r>
                  <w:r w:rsidR="009B7316" w:rsidRPr="00D0186D">
                    <w:rPr>
                      <w:b/>
                    </w:rPr>
                    <w:t xml:space="preserve">фактичної </w:t>
                  </w:r>
                  <w:r w:rsidRPr="00D0186D">
                    <w:rPr>
                      <w:b/>
                    </w:rPr>
                    <w:t>кількості побутових споживачів ліцензіата</w:t>
                  </w:r>
                  <w:r w:rsidR="0087408C" w:rsidRPr="00D0186D">
                    <w:rPr>
                      <w:b/>
                    </w:rPr>
                    <w:t>, які знаход</w:t>
                  </w:r>
                  <w:r w:rsidR="007C1A37" w:rsidRPr="00D0186D">
                    <w:rPr>
                      <w:b/>
                    </w:rPr>
                    <w:t>я</w:t>
                  </w:r>
                  <w:r w:rsidR="0087408C" w:rsidRPr="00D0186D">
                    <w:rPr>
                      <w:b/>
                    </w:rPr>
                    <w:t>ться на контрольованій території держави</w:t>
                  </w:r>
                  <w:r w:rsidRPr="00D0186D">
                    <w:rPr>
                      <w:b/>
                    </w:rPr>
                    <w:t xml:space="preserve"> </w:t>
                  </w:r>
                  <w:r w:rsidR="0087408C" w:rsidRPr="00D0186D">
                    <w:rPr>
                      <w:b/>
                    </w:rPr>
                    <w:t>(</w:t>
                  </w:r>
                  <w:r w:rsidRPr="00D0186D">
                    <w:rPr>
                      <w:b/>
                    </w:rPr>
                    <w:t>станом на 01 липня року t-1</w:t>
                  </w:r>
                  <w:r w:rsidR="0087408C" w:rsidRPr="00D0186D">
                    <w:rPr>
                      <w:b/>
                    </w:rPr>
                    <w:t>)</w:t>
                  </w:r>
                  <w:r w:rsidRPr="00D0186D">
                    <w:rPr>
                      <w:b/>
                    </w:rPr>
                    <w:t xml:space="preserve">, до </w:t>
                  </w:r>
                  <w:r w:rsidRPr="00D0186D">
                    <w:rPr>
                      <w:b/>
                    </w:rPr>
                    <w:lastRenderedPageBreak/>
                    <w:t xml:space="preserve">кількості побутових споживачів </w:t>
                  </w:r>
                  <w:r w:rsidR="0087408C" w:rsidRPr="00D0186D">
                    <w:rPr>
                      <w:b/>
                    </w:rPr>
                    <w:t xml:space="preserve">ліцензіата </w:t>
                  </w:r>
                  <w:r w:rsidRPr="00D0186D">
                    <w:rPr>
                      <w:b/>
                    </w:rPr>
                    <w:t>станом на 01 липня</w:t>
                  </w:r>
                  <w:r w:rsidR="009B7316" w:rsidRPr="00D0186D">
                    <w:rPr>
                      <w:b/>
                    </w:rPr>
                    <w:t xml:space="preserve"> 2021</w:t>
                  </w:r>
                  <w:r w:rsidRPr="00D0186D">
                    <w:rPr>
                      <w:b/>
                    </w:rPr>
                    <w:t xml:space="preserve"> року</w:t>
                  </w:r>
                  <w:r w:rsidR="007614BD" w:rsidRPr="00D0186D">
                    <w:rPr>
                      <w:b/>
                    </w:rPr>
                    <w:t xml:space="preserve"> при встановле</w:t>
                  </w:r>
                  <w:r w:rsidR="007C1A37" w:rsidRPr="00D0186D">
                    <w:rPr>
                      <w:b/>
                    </w:rPr>
                    <w:t>н</w:t>
                  </w:r>
                  <w:r w:rsidR="007614BD" w:rsidRPr="00D0186D">
                    <w:rPr>
                      <w:b/>
                    </w:rPr>
                    <w:t>ні тарифу на 2025 рік, у наступних періодах – до кількості побутових споживачів ліцензіата</w:t>
                  </w:r>
                  <w:r w:rsidR="007C1A37" w:rsidRPr="00D0186D">
                    <w:rPr>
                      <w:b/>
                    </w:rPr>
                    <w:t>,</w:t>
                  </w:r>
                  <w:r w:rsidR="007614BD" w:rsidRPr="00D0186D">
                    <w:rPr>
                      <w:b/>
                    </w:rPr>
                    <w:t xml:space="preserve"> врахован</w:t>
                  </w:r>
                  <w:r w:rsidR="00E53CE6" w:rsidRPr="00D0186D">
                    <w:rPr>
                      <w:b/>
                    </w:rPr>
                    <w:t>ої</w:t>
                  </w:r>
                  <w:r w:rsidR="007614BD" w:rsidRPr="00D0186D">
                    <w:rPr>
                      <w:b/>
                    </w:rPr>
                    <w:t xml:space="preserve"> у діючому тарифі</w:t>
                  </w:r>
                  <w:r w:rsidRPr="00D0186D">
                    <w:rPr>
                      <w:b/>
                    </w:rPr>
                    <w:t>;</w:t>
                  </w:r>
                </w:p>
              </w:tc>
            </w:tr>
            <w:tr w:rsidR="00274934" w:rsidRPr="00D0186D" w14:paraId="70840094" w14:textId="77777777" w:rsidTr="00800BC3">
              <w:tc>
                <w:tcPr>
                  <w:tcW w:w="489" w:type="dxa"/>
                  <w:tcBorders>
                    <w:top w:val="single" w:sz="2" w:space="0" w:color="auto"/>
                    <w:left w:val="single" w:sz="2" w:space="0" w:color="auto"/>
                    <w:bottom w:val="single" w:sz="2" w:space="0" w:color="auto"/>
                    <w:right w:val="single" w:sz="2" w:space="0" w:color="auto"/>
                  </w:tcBorders>
                </w:tcPr>
                <w:p w14:paraId="444C5549" w14:textId="77777777" w:rsidR="00274934" w:rsidRPr="00D0186D" w:rsidRDefault="00274934" w:rsidP="00274934">
                  <w:pPr>
                    <w:pStyle w:val="rvps11"/>
                    <w:spacing w:before="150" w:beforeAutospacing="0" w:after="150" w:afterAutospacing="0"/>
                    <w:jc w:val="right"/>
                    <w:rPr>
                      <w:b/>
                    </w:rPr>
                  </w:pPr>
                </w:p>
              </w:tc>
              <w:tc>
                <w:tcPr>
                  <w:tcW w:w="843" w:type="dxa"/>
                  <w:tcBorders>
                    <w:top w:val="single" w:sz="2" w:space="0" w:color="auto"/>
                    <w:left w:val="single" w:sz="2" w:space="0" w:color="auto"/>
                    <w:bottom w:val="single" w:sz="2" w:space="0" w:color="auto"/>
                    <w:right w:val="single" w:sz="2" w:space="0" w:color="auto"/>
                  </w:tcBorders>
                </w:tcPr>
                <w:p w14:paraId="3F70B5C6" w14:textId="022B5E7C" w:rsidR="00274934" w:rsidRPr="00D0186D" w:rsidRDefault="009D2846" w:rsidP="00274934">
                  <w:pPr>
                    <w:pStyle w:val="rvps11"/>
                    <w:spacing w:before="150" w:beforeAutospacing="0" w:after="150" w:afterAutospacing="0"/>
                    <w:jc w:val="center"/>
                    <w:rPr>
                      <w:b/>
                    </w:rPr>
                  </w:pPr>
                  <m:oMathPara>
                    <m:oMath>
                      <m:r>
                        <m:rPr>
                          <m:sty m:val="bi"/>
                        </m:rPr>
                        <w:rPr>
                          <w:rFonts w:ascii="Cambria Math" w:hAnsi="Cambria Math"/>
                        </w:rPr>
                        <m:t>ПС</m:t>
                      </m:r>
                    </m:oMath>
                  </m:oMathPara>
                </w:p>
              </w:tc>
              <w:tc>
                <w:tcPr>
                  <w:tcW w:w="289" w:type="dxa"/>
                  <w:tcBorders>
                    <w:top w:val="single" w:sz="2" w:space="0" w:color="auto"/>
                    <w:left w:val="single" w:sz="2" w:space="0" w:color="auto"/>
                    <w:bottom w:val="single" w:sz="2" w:space="0" w:color="auto"/>
                    <w:right w:val="single" w:sz="2" w:space="0" w:color="auto"/>
                  </w:tcBorders>
                </w:tcPr>
                <w:p w14:paraId="61FA481E" w14:textId="77777777" w:rsidR="00274934" w:rsidRPr="00D0186D" w:rsidRDefault="00274934" w:rsidP="00274934">
                  <w:pPr>
                    <w:pStyle w:val="rvps11"/>
                    <w:spacing w:before="150" w:beforeAutospacing="0" w:after="150" w:afterAutospacing="0"/>
                    <w:jc w:val="center"/>
                    <w:rPr>
                      <w:b/>
                    </w:rPr>
                  </w:pPr>
                  <w:r w:rsidRPr="00D0186D">
                    <w:rPr>
                      <w:b/>
                    </w:rPr>
                    <w:t>-</w:t>
                  </w:r>
                </w:p>
              </w:tc>
              <w:tc>
                <w:tcPr>
                  <w:tcW w:w="5812" w:type="dxa"/>
                  <w:tcBorders>
                    <w:top w:val="single" w:sz="2" w:space="0" w:color="auto"/>
                    <w:left w:val="single" w:sz="2" w:space="0" w:color="auto"/>
                    <w:bottom w:val="single" w:sz="2" w:space="0" w:color="auto"/>
                    <w:right w:val="single" w:sz="2" w:space="0" w:color="auto"/>
                  </w:tcBorders>
                </w:tcPr>
                <w:p w14:paraId="59AD82E9" w14:textId="72033C7B" w:rsidR="00814CAF" w:rsidRPr="00D0186D" w:rsidRDefault="00814CAF" w:rsidP="00DE7381">
                  <w:pPr>
                    <w:pStyle w:val="rvps11"/>
                    <w:spacing w:before="150" w:beforeAutospacing="0" w:after="150" w:afterAutospacing="0"/>
                    <w:jc w:val="both"/>
                    <w:rPr>
                      <w:b/>
                    </w:rPr>
                  </w:pPr>
                  <w:r w:rsidRPr="00D0186D">
                    <w:rPr>
                      <w:b/>
                    </w:rPr>
                    <w:t xml:space="preserve">кількість побутових споживачів ліцензіата станом на 01 липня </w:t>
                  </w:r>
                  <w:r w:rsidR="0087408C" w:rsidRPr="00D0186D">
                    <w:rPr>
                      <w:b/>
                    </w:rPr>
                    <w:t xml:space="preserve">2021 </w:t>
                  </w:r>
                  <w:r w:rsidRPr="00D0186D">
                    <w:rPr>
                      <w:b/>
                    </w:rPr>
                    <w:t>року</w:t>
                  </w:r>
                  <w:r w:rsidR="007614BD" w:rsidRPr="00D0186D">
                    <w:rPr>
                      <w:b/>
                    </w:rPr>
                    <w:t xml:space="preserve"> при встановле</w:t>
                  </w:r>
                  <w:r w:rsidR="007C1A37" w:rsidRPr="00D0186D">
                    <w:rPr>
                      <w:b/>
                    </w:rPr>
                    <w:t>н</w:t>
                  </w:r>
                  <w:r w:rsidR="007614BD" w:rsidRPr="00D0186D">
                    <w:rPr>
                      <w:b/>
                    </w:rPr>
                    <w:t>ні тарифу на 2025 рік, у наступних періодах – до кількості побутових споживачів ліцензіата</w:t>
                  </w:r>
                  <w:r w:rsidR="007C1A37" w:rsidRPr="00D0186D">
                    <w:rPr>
                      <w:b/>
                    </w:rPr>
                    <w:t>,</w:t>
                  </w:r>
                  <w:r w:rsidR="007614BD" w:rsidRPr="00D0186D">
                    <w:rPr>
                      <w:b/>
                    </w:rPr>
                    <w:t xml:space="preserve"> врахован</w:t>
                  </w:r>
                  <w:r w:rsidR="00E53CE6" w:rsidRPr="00D0186D">
                    <w:rPr>
                      <w:b/>
                    </w:rPr>
                    <w:t>ої</w:t>
                  </w:r>
                  <w:r w:rsidR="007614BD" w:rsidRPr="00D0186D">
                    <w:rPr>
                      <w:b/>
                    </w:rPr>
                    <w:t xml:space="preserve"> у діючому тарифі;</w:t>
                  </w:r>
                </w:p>
              </w:tc>
            </w:tr>
            <w:bookmarkEnd w:id="39"/>
          </w:tbl>
          <w:p w14:paraId="1317291A" w14:textId="77777777" w:rsidR="00274934" w:rsidRPr="00D0186D" w:rsidRDefault="00274934" w:rsidP="00274934">
            <w:pPr>
              <w:rPr>
                <w:b/>
                <w:lang w:val="uk-UA"/>
              </w:rPr>
            </w:pPr>
          </w:p>
          <w:p w14:paraId="61525067" w14:textId="132027F0" w:rsidR="000B2439" w:rsidRPr="00D0186D" w:rsidRDefault="000B2439" w:rsidP="00800BC3">
            <w:pPr>
              <w:jc w:val="both"/>
              <w:rPr>
                <w:lang w:val="uk-UA"/>
              </w:rPr>
            </w:pPr>
          </w:p>
        </w:tc>
      </w:tr>
      <w:tr w:rsidR="00274934" w:rsidRPr="00D0186D" w14:paraId="4232F689" w14:textId="77777777" w:rsidTr="00274934">
        <w:tc>
          <w:tcPr>
            <w:tcW w:w="7934" w:type="dxa"/>
          </w:tcPr>
          <w:p w14:paraId="45E925E6" w14:textId="7AEE7F8C" w:rsidR="00800BC3" w:rsidRDefault="00800BC3" w:rsidP="00800BC3">
            <w:pPr>
              <w:pStyle w:val="tj"/>
              <w:shd w:val="clear" w:color="auto" w:fill="FFFFFF"/>
              <w:spacing w:before="0" w:beforeAutospacing="0" w:after="0" w:afterAutospacing="0"/>
              <w:jc w:val="both"/>
            </w:pPr>
            <w:r w:rsidRPr="00D0186D">
              <w:lastRenderedPageBreak/>
              <w:t>3) витрати на оплату праці визначаються відповідно до Порядку визначення витрат на оплату праці, які враховуються в тарифах на розподіл електричної енергії (передачу електричної енергії місцевими (локальними) електромережами), постачання електричної енергії за регульованим тарифом, передачу електричної енергії магістральними та міждержавними електричними мережами, виробництво теплової та виробництво електричної енергії, затвердженого постановою НКРЕКП від 26 жовтня 2015 року № 2645, зареєстрованого в Міністерстві юстиції України 13 листопада 2015 року за № 1431/27876;</w:t>
            </w:r>
          </w:p>
          <w:p w14:paraId="2AA01692" w14:textId="77777777" w:rsidR="00D0186D" w:rsidRPr="00D0186D" w:rsidRDefault="00D0186D" w:rsidP="00800BC3">
            <w:pPr>
              <w:pStyle w:val="tj"/>
              <w:shd w:val="clear" w:color="auto" w:fill="FFFFFF"/>
              <w:spacing w:before="0" w:beforeAutospacing="0" w:after="0" w:afterAutospacing="0"/>
              <w:jc w:val="both"/>
            </w:pPr>
          </w:p>
          <w:p w14:paraId="1C5FD0C8" w14:textId="72712D94" w:rsidR="00800BC3" w:rsidRPr="00D0186D" w:rsidRDefault="00D0186D" w:rsidP="00800BC3">
            <w:pPr>
              <w:pStyle w:val="tc"/>
              <w:shd w:val="clear" w:color="auto" w:fill="FFFFFF"/>
              <w:spacing w:before="0" w:beforeAutospacing="0" w:after="0" w:afterAutospacing="0"/>
              <w:jc w:val="both"/>
            </w:pPr>
            <w:r>
              <w:t>Абзац відсутній</w:t>
            </w:r>
          </w:p>
          <w:p w14:paraId="56D8E1BD" w14:textId="77777777" w:rsidR="00274934" w:rsidRPr="00D0186D" w:rsidRDefault="00274934" w:rsidP="00BA156C">
            <w:pPr>
              <w:pStyle w:val="rvps2"/>
              <w:spacing w:before="0" w:beforeAutospacing="0" w:after="0" w:afterAutospacing="0"/>
              <w:ind w:firstLine="491"/>
              <w:jc w:val="center"/>
            </w:pPr>
          </w:p>
        </w:tc>
        <w:tc>
          <w:tcPr>
            <w:tcW w:w="7937" w:type="dxa"/>
          </w:tcPr>
          <w:p w14:paraId="02927E96" w14:textId="4BEC2712" w:rsidR="00800BC3" w:rsidRPr="00D0186D" w:rsidRDefault="00800BC3" w:rsidP="00800BC3">
            <w:pPr>
              <w:pStyle w:val="tj"/>
              <w:shd w:val="clear" w:color="auto" w:fill="FFFFFF"/>
              <w:spacing w:before="0" w:beforeAutospacing="0" w:after="0" w:afterAutospacing="0"/>
              <w:jc w:val="both"/>
            </w:pPr>
            <w:r w:rsidRPr="00D0186D">
              <w:t>3) витрати на оплату праці визначаються відповідно до Порядку визначення витрат на оплату праці, які враховуються в тарифах на розподіл електричної енергії (передачу електричної енергії місцевими (локальними) електромережами), постачання електричної енергії за регульованим тарифом, передачу електричної енергії магістральними та міждержавними електричними мережами, виробництво теплової та виробництво електричної енергії, затвердженого постановою НКРЕКП від 26 жовтня 2015 року № 2645, зареєстрованого в Міністерстві юстиції України 13 листопада 2015 року за № 1431/27876</w:t>
            </w:r>
            <w:r w:rsidR="008969EF" w:rsidRPr="00D0186D">
              <w:t>.</w:t>
            </w:r>
          </w:p>
          <w:p w14:paraId="5AC9C443" w14:textId="75F0EC60" w:rsidR="00800BC3" w:rsidRPr="00D0186D" w:rsidRDefault="008969EF" w:rsidP="00800BC3">
            <w:pPr>
              <w:jc w:val="both"/>
              <w:rPr>
                <w:b/>
                <w:lang w:val="uk-UA"/>
              </w:rPr>
            </w:pPr>
            <w:bookmarkStart w:id="40" w:name="_Hlk173413142"/>
            <w:r w:rsidRPr="00D0186D">
              <w:rPr>
                <w:b/>
                <w:lang w:val="uk-UA"/>
              </w:rPr>
              <w:t>Д</w:t>
            </w:r>
            <w:r w:rsidR="00800BC3" w:rsidRPr="00D0186D">
              <w:rPr>
                <w:b/>
                <w:lang w:val="uk-UA"/>
              </w:rPr>
              <w:t>ля ліцензіатів, перелік яких наведено в додатку 5 до цього Порядку</w:t>
            </w:r>
            <w:r w:rsidR="00F60A6F" w:rsidRPr="00D0186D">
              <w:rPr>
                <w:b/>
                <w:lang w:val="uk-UA"/>
              </w:rPr>
              <w:t>,</w:t>
            </w:r>
            <w:r w:rsidR="00800BC3" w:rsidRPr="00D0186D">
              <w:rPr>
                <w:b/>
                <w:lang w:val="uk-UA"/>
              </w:rPr>
              <w:t xml:space="preserve"> при визначенні  прогнозованого витрат на оплату праці </w:t>
            </w:r>
            <w:r w:rsidR="00800BC3" w:rsidRPr="00D0186D">
              <w:rPr>
                <w:b/>
                <w:noProof/>
                <w:lang w:val="uk-UA"/>
              </w:rPr>
              <w:t>(ОП</w:t>
            </w:r>
            <w:r w:rsidR="00800BC3" w:rsidRPr="00D0186D">
              <w:rPr>
                <w:b/>
                <w:lang w:val="uk-UA"/>
              </w:rPr>
              <w:t>), тарифна чисельність працівників у році t (</w:t>
            </w:r>
            <m:oMath>
              <m:sSubSup>
                <m:sSubSupPr>
                  <m:ctrlPr>
                    <w:rPr>
                      <w:rFonts w:ascii="Cambria Math" w:hAnsi="Cambria Math"/>
                      <w:b/>
                      <w:i/>
                      <w:lang w:val="uk-UA"/>
                    </w:rPr>
                  </m:ctrlPr>
                </m:sSubSupPr>
                <m:e>
                  <m:r>
                    <m:rPr>
                      <m:sty m:val="bi"/>
                    </m:rPr>
                    <w:rPr>
                      <w:rFonts w:ascii="Cambria Math" w:hAnsi="Cambria Math"/>
                      <w:lang w:val="uk-UA"/>
                    </w:rPr>
                    <m:t>ТЧП</m:t>
                  </m:r>
                </m:e>
                <m:sub>
                  <m:r>
                    <m:rPr>
                      <m:sty m:val="bi"/>
                    </m:rPr>
                    <w:rPr>
                      <w:rFonts w:ascii="Cambria Math" w:hAnsi="Cambria Math"/>
                      <w:lang w:val="uk-UA"/>
                    </w:rPr>
                    <m:t xml:space="preserve"> t</m:t>
                  </m:r>
                </m:sub>
                <m:sup>
                  <m:r>
                    <m:rPr>
                      <m:sty m:val="bi"/>
                    </m:rPr>
                    <w:rPr>
                      <w:rFonts w:ascii="Cambria Math" w:hAnsi="Cambria Math"/>
                      <w:lang w:val="uk-UA"/>
                    </w:rPr>
                    <m:t>тар</m:t>
                  </m:r>
                </m:sup>
              </m:sSubSup>
              <m:r>
                <m:rPr>
                  <m:sty m:val="bi"/>
                </m:rPr>
                <w:rPr>
                  <w:rFonts w:ascii="Cambria Math" w:hAnsi="Cambria Math"/>
                  <w:lang w:val="uk-UA"/>
                </w:rPr>
                <m:t>)</m:t>
              </m:r>
            </m:oMath>
            <w:r w:rsidR="00800BC3" w:rsidRPr="00D0186D">
              <w:rPr>
                <w:b/>
                <w:lang w:val="uk-UA"/>
              </w:rPr>
              <w:t xml:space="preserve"> розраховується за формулою</w:t>
            </w:r>
          </w:p>
          <w:p w14:paraId="097B27EB" w14:textId="77777777" w:rsidR="00800BC3" w:rsidRPr="00D0186D" w:rsidRDefault="00800BC3" w:rsidP="00800BC3">
            <w:pPr>
              <w:rPr>
                <w:lang w:val="uk-UA"/>
              </w:rPr>
            </w:pPr>
          </w:p>
          <w:p w14:paraId="54B71339" w14:textId="4A92A1C2" w:rsidR="00800BC3" w:rsidRPr="00D0186D" w:rsidRDefault="00ED4B6B" w:rsidP="00800BC3">
            <w:pPr>
              <w:jc w:val="center"/>
              <w:rPr>
                <w:b/>
                <w:lang w:val="uk-UA"/>
              </w:rPr>
            </w:pPr>
            <m:oMath>
              <m:sSubSup>
                <m:sSubSupPr>
                  <m:ctrlPr>
                    <w:rPr>
                      <w:rFonts w:ascii="Cambria Math" w:hAnsi="Cambria Math"/>
                      <w:b/>
                      <w:i/>
                      <w:lang w:val="uk-UA"/>
                    </w:rPr>
                  </m:ctrlPr>
                </m:sSubSupPr>
                <m:e>
                  <m:r>
                    <m:rPr>
                      <m:sty m:val="bi"/>
                    </m:rPr>
                    <w:rPr>
                      <w:rFonts w:ascii="Cambria Math" w:hAnsi="Cambria Math"/>
                      <w:lang w:val="uk-UA"/>
                    </w:rPr>
                    <m:t>ТЧП</m:t>
                  </m:r>
                </m:e>
                <m:sub>
                  <m:r>
                    <m:rPr>
                      <m:sty m:val="bi"/>
                    </m:rPr>
                    <w:rPr>
                      <w:rFonts w:ascii="Cambria Math" w:hAnsi="Cambria Math"/>
                      <w:lang w:val="uk-UA"/>
                    </w:rPr>
                    <m:t xml:space="preserve"> t</m:t>
                  </m:r>
                </m:sub>
                <m:sup>
                  <m:r>
                    <m:rPr>
                      <m:sty m:val="bi"/>
                    </m:rPr>
                    <w:rPr>
                      <w:rFonts w:ascii="Cambria Math" w:hAnsi="Cambria Math"/>
                      <w:lang w:val="uk-UA"/>
                    </w:rPr>
                    <m:t>тар</m:t>
                  </m:r>
                </m:sup>
              </m:sSubSup>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ТЧП</m:t>
                  </m:r>
                </m:e>
                <m:sub>
                  <m:r>
                    <m:rPr>
                      <m:sty m:val="bi"/>
                    </m:rPr>
                    <w:rPr>
                      <w:rFonts w:ascii="Cambria Math" w:hAnsi="Cambria Math"/>
                      <w:lang w:val="uk-UA"/>
                    </w:rPr>
                    <m:t xml:space="preserve"> t-1</m:t>
                  </m:r>
                </m:sub>
                <m:sup>
                  <m:r>
                    <m:rPr>
                      <m:sty m:val="bi"/>
                    </m:rPr>
                    <w:rPr>
                      <w:rFonts w:ascii="Cambria Math" w:hAnsi="Cambria Math"/>
                      <w:lang w:val="uk-UA"/>
                    </w:rPr>
                    <m:t>тар</m:t>
                  </m:r>
                </m:sup>
              </m:sSubSup>
              <m:r>
                <m:rPr>
                  <m:sty m:val="bi"/>
                </m:rPr>
                <w:rPr>
                  <w:rFonts w:ascii="Cambria Math" w:hAnsi="Cambria Math"/>
                  <w:lang w:val="uk-UA"/>
                </w:rPr>
                <m:t xml:space="preserve"> ×КФС</m:t>
              </m:r>
            </m:oMath>
            <w:r w:rsidR="00800BC3" w:rsidRPr="00D0186D">
              <w:rPr>
                <w:b/>
                <w:lang w:val="uk-UA"/>
              </w:rPr>
              <w:t>,</w:t>
            </w:r>
            <w:r w:rsidR="00800BC3" w:rsidRPr="00D0186D">
              <w:rPr>
                <w:lang w:val="uk-UA"/>
              </w:rPr>
              <w:t xml:space="preserve"> осіб      </w:t>
            </w:r>
            <w:r w:rsidR="00800BC3" w:rsidRPr="00D0186D">
              <w:rPr>
                <w:b/>
                <w:lang w:val="uk-UA"/>
              </w:rPr>
              <w:t>(</w:t>
            </w:r>
            <w:r w:rsidR="000122B5" w:rsidRPr="00D0186D">
              <w:rPr>
                <w:b/>
                <w:lang w:val="uk-UA"/>
              </w:rPr>
              <w:t>5</w:t>
            </w:r>
            <w:r w:rsidR="00800BC3" w:rsidRPr="00D0186D">
              <w:rPr>
                <w:b/>
                <w:lang w:val="uk-UA"/>
              </w:rPr>
              <w:t>)</w:t>
            </w:r>
          </w:p>
          <w:p w14:paraId="0E695C09" w14:textId="77777777" w:rsidR="00800BC3" w:rsidRPr="00D0186D" w:rsidRDefault="00800BC3" w:rsidP="00800BC3">
            <w:pPr>
              <w:rPr>
                <w:lang w:val="uk-UA"/>
              </w:rPr>
            </w:pPr>
          </w:p>
          <w:tbl>
            <w:tblPr>
              <w:tblW w:w="7433" w:type="dxa"/>
              <w:tblLayout w:type="fixed"/>
              <w:tblCellMar>
                <w:left w:w="0" w:type="dxa"/>
                <w:right w:w="0" w:type="dxa"/>
              </w:tblCellMar>
              <w:tblLook w:val="04A0" w:firstRow="1" w:lastRow="0" w:firstColumn="1" w:lastColumn="0" w:noHBand="0" w:noVBand="1"/>
            </w:tblPr>
            <w:tblGrid>
              <w:gridCol w:w="489"/>
              <w:gridCol w:w="843"/>
              <w:gridCol w:w="289"/>
              <w:gridCol w:w="5812"/>
            </w:tblGrid>
            <w:tr w:rsidR="00800BC3" w:rsidRPr="00D0186D" w14:paraId="13A19EED" w14:textId="77777777" w:rsidTr="00800BC3">
              <w:tc>
                <w:tcPr>
                  <w:tcW w:w="489" w:type="dxa"/>
                  <w:tcBorders>
                    <w:top w:val="single" w:sz="2" w:space="0" w:color="auto"/>
                    <w:left w:val="single" w:sz="2" w:space="0" w:color="auto"/>
                    <w:bottom w:val="single" w:sz="2" w:space="0" w:color="auto"/>
                    <w:right w:val="single" w:sz="2" w:space="0" w:color="auto"/>
                  </w:tcBorders>
                  <w:hideMark/>
                </w:tcPr>
                <w:p w14:paraId="7AFC6F14" w14:textId="77777777" w:rsidR="00800BC3" w:rsidRPr="00D0186D" w:rsidRDefault="00800BC3" w:rsidP="00800BC3">
                  <w:pPr>
                    <w:pStyle w:val="rvps11"/>
                    <w:spacing w:before="150" w:beforeAutospacing="0" w:after="150" w:afterAutospacing="0"/>
                    <w:jc w:val="right"/>
                    <w:rPr>
                      <w:b/>
                    </w:rPr>
                  </w:pPr>
                  <w:r w:rsidRPr="00D0186D">
                    <w:rPr>
                      <w:b/>
                    </w:rPr>
                    <w:t>де</w:t>
                  </w:r>
                </w:p>
              </w:tc>
              <w:tc>
                <w:tcPr>
                  <w:tcW w:w="843" w:type="dxa"/>
                  <w:tcBorders>
                    <w:top w:val="single" w:sz="2" w:space="0" w:color="auto"/>
                    <w:left w:val="single" w:sz="2" w:space="0" w:color="auto"/>
                    <w:bottom w:val="single" w:sz="2" w:space="0" w:color="auto"/>
                    <w:right w:val="single" w:sz="2" w:space="0" w:color="auto"/>
                  </w:tcBorders>
                </w:tcPr>
                <w:p w14:paraId="413E39BE" w14:textId="77777777" w:rsidR="00800BC3" w:rsidRPr="00D0186D" w:rsidRDefault="00ED4B6B" w:rsidP="00800BC3">
                  <w:pPr>
                    <w:pStyle w:val="rvps11"/>
                    <w:spacing w:before="150" w:beforeAutospacing="0" w:after="150" w:afterAutospacing="0"/>
                    <w:jc w:val="center"/>
                    <w:rPr>
                      <w:b/>
                    </w:rPr>
                  </w:pPr>
                  <m:oMathPara>
                    <m:oMath>
                      <m:sSubSup>
                        <m:sSubSupPr>
                          <m:ctrlPr>
                            <w:rPr>
                              <w:rFonts w:ascii="Cambria Math" w:hAnsi="Cambria Math"/>
                              <w:b/>
                              <w:i/>
                            </w:rPr>
                          </m:ctrlPr>
                        </m:sSubSupPr>
                        <m:e>
                          <m:r>
                            <m:rPr>
                              <m:sty m:val="bi"/>
                            </m:rPr>
                            <w:rPr>
                              <w:rFonts w:ascii="Cambria Math" w:hAnsi="Cambria Math"/>
                            </w:rPr>
                            <m:t>ТЧП</m:t>
                          </m:r>
                        </m:e>
                        <m:sub>
                          <m:r>
                            <m:rPr>
                              <m:sty m:val="bi"/>
                            </m:rPr>
                            <w:rPr>
                              <w:rFonts w:ascii="Cambria Math" w:hAnsi="Cambria Math"/>
                            </w:rPr>
                            <m:t xml:space="preserve"> t-1</m:t>
                          </m:r>
                        </m:sub>
                        <m:sup>
                          <m:r>
                            <m:rPr>
                              <m:sty m:val="bi"/>
                            </m:rPr>
                            <w:rPr>
                              <w:rFonts w:ascii="Cambria Math" w:hAnsi="Cambria Math"/>
                            </w:rPr>
                            <m:t>тар</m:t>
                          </m:r>
                        </m:sup>
                      </m:sSubSup>
                    </m:oMath>
                  </m:oMathPara>
                </w:p>
              </w:tc>
              <w:tc>
                <w:tcPr>
                  <w:tcW w:w="289" w:type="dxa"/>
                  <w:tcBorders>
                    <w:top w:val="single" w:sz="2" w:space="0" w:color="auto"/>
                    <w:left w:val="single" w:sz="2" w:space="0" w:color="auto"/>
                    <w:bottom w:val="single" w:sz="2" w:space="0" w:color="auto"/>
                    <w:right w:val="single" w:sz="2" w:space="0" w:color="auto"/>
                  </w:tcBorders>
                </w:tcPr>
                <w:p w14:paraId="0B3A0206" w14:textId="77777777" w:rsidR="00800BC3" w:rsidRPr="00D0186D" w:rsidRDefault="00800BC3" w:rsidP="00800BC3">
                  <w:pPr>
                    <w:pStyle w:val="rvps11"/>
                    <w:spacing w:before="150" w:beforeAutospacing="0" w:after="150" w:afterAutospacing="0"/>
                    <w:jc w:val="center"/>
                    <w:rPr>
                      <w:b/>
                    </w:rPr>
                  </w:pPr>
                  <w:r w:rsidRPr="00D0186D">
                    <w:rPr>
                      <w:b/>
                    </w:rPr>
                    <w:t>-</w:t>
                  </w:r>
                </w:p>
              </w:tc>
              <w:tc>
                <w:tcPr>
                  <w:tcW w:w="5812" w:type="dxa"/>
                  <w:tcBorders>
                    <w:top w:val="single" w:sz="2" w:space="0" w:color="auto"/>
                    <w:left w:val="single" w:sz="2" w:space="0" w:color="auto"/>
                    <w:bottom w:val="single" w:sz="2" w:space="0" w:color="auto"/>
                    <w:right w:val="single" w:sz="2" w:space="0" w:color="auto"/>
                  </w:tcBorders>
                </w:tcPr>
                <w:p w14:paraId="4B6C450B" w14:textId="1734470B" w:rsidR="00800BC3" w:rsidRPr="00D0186D" w:rsidRDefault="00800BC3" w:rsidP="00800BC3">
                  <w:pPr>
                    <w:pStyle w:val="rvps11"/>
                    <w:spacing w:before="150" w:beforeAutospacing="0" w:after="150" w:afterAutospacing="0"/>
                    <w:rPr>
                      <w:b/>
                    </w:rPr>
                  </w:pPr>
                  <w:r w:rsidRPr="00D0186D">
                    <w:rPr>
                      <w:b/>
                    </w:rPr>
                    <w:t>тарифна чисельність працівників, що врахована у діюч</w:t>
                  </w:r>
                  <w:r w:rsidR="0006224C" w:rsidRPr="00D0186D">
                    <w:rPr>
                      <w:b/>
                    </w:rPr>
                    <w:t>ому</w:t>
                  </w:r>
                  <w:r w:rsidRPr="00D0186D">
                    <w:rPr>
                      <w:b/>
                    </w:rPr>
                    <w:t xml:space="preserve"> тариф</w:t>
                  </w:r>
                  <w:r w:rsidR="0006224C" w:rsidRPr="00D0186D">
                    <w:rPr>
                      <w:b/>
                    </w:rPr>
                    <w:t>і</w:t>
                  </w:r>
                  <w:r w:rsidRPr="00D0186D">
                    <w:rPr>
                      <w:b/>
                    </w:rPr>
                    <w:t xml:space="preserve"> року t-1, осіб.</w:t>
                  </w:r>
                </w:p>
              </w:tc>
            </w:tr>
            <w:bookmarkEnd w:id="40"/>
          </w:tbl>
          <w:p w14:paraId="5958E416" w14:textId="77777777" w:rsidR="00274934" w:rsidRPr="00D0186D" w:rsidRDefault="00274934" w:rsidP="000B2439">
            <w:pPr>
              <w:pStyle w:val="3"/>
              <w:shd w:val="clear" w:color="auto" w:fill="FFFFFF"/>
              <w:spacing w:before="0" w:after="0"/>
              <w:jc w:val="both"/>
              <w:outlineLvl w:val="2"/>
              <w:rPr>
                <w:rFonts w:ascii="Times New Roman" w:hAnsi="Times New Roman"/>
                <w:sz w:val="24"/>
                <w:szCs w:val="24"/>
              </w:rPr>
            </w:pPr>
          </w:p>
        </w:tc>
      </w:tr>
    </w:tbl>
    <w:p w14:paraId="4627D465" w14:textId="12018671" w:rsidR="00E42502" w:rsidRPr="00D0186D" w:rsidRDefault="00E42502" w:rsidP="00A82A57">
      <w:pPr>
        <w:rPr>
          <w:lang w:val="uk-UA"/>
        </w:rPr>
      </w:pPr>
    </w:p>
    <w:sectPr w:rsidR="00E42502" w:rsidRPr="00D0186D" w:rsidSect="00572C6A">
      <w:footerReference w:type="default" r:id="rId64"/>
      <w:pgSz w:w="16838" w:h="11906" w:orient="landscape" w:code="9"/>
      <w:pgMar w:top="425" w:right="567" w:bottom="851" w:left="567" w:header="709" w:footer="1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E6D472" w14:textId="77777777" w:rsidR="00E01361" w:rsidRDefault="00E01361" w:rsidP="00CC7D4B">
      <w:r>
        <w:separator/>
      </w:r>
    </w:p>
  </w:endnote>
  <w:endnote w:type="continuationSeparator" w:id="0">
    <w:p w14:paraId="4D099D28" w14:textId="77777777" w:rsidR="00E01361" w:rsidRDefault="00E01361" w:rsidP="00CC7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0669600"/>
      <w:docPartObj>
        <w:docPartGallery w:val="Page Numbers (Bottom of Page)"/>
        <w:docPartUnique/>
      </w:docPartObj>
    </w:sdtPr>
    <w:sdtEndPr/>
    <w:sdtContent>
      <w:p w14:paraId="799CC95D" w14:textId="287E2DDE" w:rsidR="00E01361" w:rsidRDefault="00E01361">
        <w:pPr>
          <w:pStyle w:val="aa"/>
          <w:jc w:val="center"/>
        </w:pPr>
        <w:r>
          <w:fldChar w:fldCharType="begin"/>
        </w:r>
        <w:r>
          <w:instrText>PAGE   \* MERGEFORMAT</w:instrText>
        </w:r>
        <w:r>
          <w:fldChar w:fldCharType="separate"/>
        </w:r>
        <w:r>
          <w:rPr>
            <w:lang w:val="uk-UA"/>
          </w:rPr>
          <w:t>2</w:t>
        </w:r>
        <w:r>
          <w:fldChar w:fldCharType="end"/>
        </w:r>
      </w:p>
    </w:sdtContent>
  </w:sdt>
  <w:p w14:paraId="2C141AC4" w14:textId="77777777" w:rsidR="00E01361" w:rsidRDefault="00E0136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622E7F" w14:textId="77777777" w:rsidR="00E01361" w:rsidRDefault="00E01361" w:rsidP="00CC7D4B">
      <w:r>
        <w:separator/>
      </w:r>
    </w:p>
  </w:footnote>
  <w:footnote w:type="continuationSeparator" w:id="0">
    <w:p w14:paraId="589E417F" w14:textId="77777777" w:rsidR="00E01361" w:rsidRDefault="00E01361" w:rsidP="00CC7D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8C5"/>
    <w:rsid w:val="00007166"/>
    <w:rsid w:val="000122B5"/>
    <w:rsid w:val="00032991"/>
    <w:rsid w:val="00041BB1"/>
    <w:rsid w:val="000508FB"/>
    <w:rsid w:val="00060136"/>
    <w:rsid w:val="0006224C"/>
    <w:rsid w:val="00062D99"/>
    <w:rsid w:val="00070F2E"/>
    <w:rsid w:val="000A37A1"/>
    <w:rsid w:val="000B2439"/>
    <w:rsid w:val="000C4FF2"/>
    <w:rsid w:val="000E575E"/>
    <w:rsid w:val="00102413"/>
    <w:rsid w:val="00105E46"/>
    <w:rsid w:val="00124923"/>
    <w:rsid w:val="00132845"/>
    <w:rsid w:val="00133EDD"/>
    <w:rsid w:val="00146A1D"/>
    <w:rsid w:val="00176376"/>
    <w:rsid w:val="00193723"/>
    <w:rsid w:val="001B5469"/>
    <w:rsid w:val="002339CA"/>
    <w:rsid w:val="00244C5B"/>
    <w:rsid w:val="0024619C"/>
    <w:rsid w:val="00273D67"/>
    <w:rsid w:val="00274934"/>
    <w:rsid w:val="0028052C"/>
    <w:rsid w:val="002866BA"/>
    <w:rsid w:val="002879CF"/>
    <w:rsid w:val="002913B2"/>
    <w:rsid w:val="002920BE"/>
    <w:rsid w:val="00295782"/>
    <w:rsid w:val="002C01F9"/>
    <w:rsid w:val="002E6E02"/>
    <w:rsid w:val="0033120F"/>
    <w:rsid w:val="00336BD8"/>
    <w:rsid w:val="00343B6B"/>
    <w:rsid w:val="00356DEC"/>
    <w:rsid w:val="0038176F"/>
    <w:rsid w:val="003A5D80"/>
    <w:rsid w:val="003C6B5A"/>
    <w:rsid w:val="003E1B88"/>
    <w:rsid w:val="00431692"/>
    <w:rsid w:val="00447EBE"/>
    <w:rsid w:val="004548C5"/>
    <w:rsid w:val="004655B2"/>
    <w:rsid w:val="00471DC6"/>
    <w:rsid w:val="004867FD"/>
    <w:rsid w:val="004E6136"/>
    <w:rsid w:val="00541300"/>
    <w:rsid w:val="00561177"/>
    <w:rsid w:val="00572C6A"/>
    <w:rsid w:val="005B163F"/>
    <w:rsid w:val="005C43E5"/>
    <w:rsid w:val="006066A4"/>
    <w:rsid w:val="006215D7"/>
    <w:rsid w:val="00633BCE"/>
    <w:rsid w:val="00653D6E"/>
    <w:rsid w:val="00661D7C"/>
    <w:rsid w:val="00666CB1"/>
    <w:rsid w:val="00670BB9"/>
    <w:rsid w:val="0068580F"/>
    <w:rsid w:val="00691121"/>
    <w:rsid w:val="006C3673"/>
    <w:rsid w:val="006C481B"/>
    <w:rsid w:val="0071655A"/>
    <w:rsid w:val="007419FF"/>
    <w:rsid w:val="00752DF8"/>
    <w:rsid w:val="00754A37"/>
    <w:rsid w:val="007557DF"/>
    <w:rsid w:val="007614BD"/>
    <w:rsid w:val="007661C1"/>
    <w:rsid w:val="007A025C"/>
    <w:rsid w:val="007A0D36"/>
    <w:rsid w:val="007B1C36"/>
    <w:rsid w:val="007C1A37"/>
    <w:rsid w:val="007C2328"/>
    <w:rsid w:val="007C5619"/>
    <w:rsid w:val="007D4205"/>
    <w:rsid w:val="007E454C"/>
    <w:rsid w:val="00800BC3"/>
    <w:rsid w:val="00810CB9"/>
    <w:rsid w:val="00814CAF"/>
    <w:rsid w:val="008150D9"/>
    <w:rsid w:val="00822C61"/>
    <w:rsid w:val="00834858"/>
    <w:rsid w:val="00856491"/>
    <w:rsid w:val="008664B6"/>
    <w:rsid w:val="00870023"/>
    <w:rsid w:val="0087408C"/>
    <w:rsid w:val="00887661"/>
    <w:rsid w:val="008969EF"/>
    <w:rsid w:val="008A7076"/>
    <w:rsid w:val="008B4F5E"/>
    <w:rsid w:val="008D72F7"/>
    <w:rsid w:val="008E5308"/>
    <w:rsid w:val="00903674"/>
    <w:rsid w:val="00930BB5"/>
    <w:rsid w:val="00937D0B"/>
    <w:rsid w:val="009405A2"/>
    <w:rsid w:val="00951710"/>
    <w:rsid w:val="00957F15"/>
    <w:rsid w:val="0097546C"/>
    <w:rsid w:val="009B7316"/>
    <w:rsid w:val="009C2FCA"/>
    <w:rsid w:val="009D2846"/>
    <w:rsid w:val="009E4C3A"/>
    <w:rsid w:val="009E7623"/>
    <w:rsid w:val="00A41674"/>
    <w:rsid w:val="00A74636"/>
    <w:rsid w:val="00A82A57"/>
    <w:rsid w:val="00A92055"/>
    <w:rsid w:val="00AE6C46"/>
    <w:rsid w:val="00AF0870"/>
    <w:rsid w:val="00B52A39"/>
    <w:rsid w:val="00B708D6"/>
    <w:rsid w:val="00B92181"/>
    <w:rsid w:val="00B94E01"/>
    <w:rsid w:val="00B969EF"/>
    <w:rsid w:val="00BA156C"/>
    <w:rsid w:val="00BE6BC0"/>
    <w:rsid w:val="00BF54E9"/>
    <w:rsid w:val="00C14369"/>
    <w:rsid w:val="00C32CCF"/>
    <w:rsid w:val="00C509A2"/>
    <w:rsid w:val="00C8531F"/>
    <w:rsid w:val="00C856EB"/>
    <w:rsid w:val="00C85F73"/>
    <w:rsid w:val="00C93996"/>
    <w:rsid w:val="00CC7D4B"/>
    <w:rsid w:val="00CD22E6"/>
    <w:rsid w:val="00D01500"/>
    <w:rsid w:val="00D0186D"/>
    <w:rsid w:val="00D1754B"/>
    <w:rsid w:val="00D43FA6"/>
    <w:rsid w:val="00D94BCD"/>
    <w:rsid w:val="00DC31FB"/>
    <w:rsid w:val="00DC3C22"/>
    <w:rsid w:val="00DC760E"/>
    <w:rsid w:val="00DD3D06"/>
    <w:rsid w:val="00DE5530"/>
    <w:rsid w:val="00DE7381"/>
    <w:rsid w:val="00DF7932"/>
    <w:rsid w:val="00E01361"/>
    <w:rsid w:val="00E1575C"/>
    <w:rsid w:val="00E2052B"/>
    <w:rsid w:val="00E42502"/>
    <w:rsid w:val="00E502A3"/>
    <w:rsid w:val="00E53CE6"/>
    <w:rsid w:val="00E72C88"/>
    <w:rsid w:val="00E82934"/>
    <w:rsid w:val="00EA3366"/>
    <w:rsid w:val="00ED4B6B"/>
    <w:rsid w:val="00EF236E"/>
    <w:rsid w:val="00F1065D"/>
    <w:rsid w:val="00F60A6F"/>
    <w:rsid w:val="00F616EB"/>
    <w:rsid w:val="00F94F13"/>
    <w:rsid w:val="00FA6C41"/>
    <w:rsid w:val="00FB439F"/>
    <w:rsid w:val="00FE18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0775F88"/>
  <w15:chartTrackingRefBased/>
  <w15:docId w15:val="{39342517-95F8-4DFF-BEAF-FA7F10F5A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94BCD"/>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next w:val="a"/>
    <w:link w:val="30"/>
    <w:semiHidden/>
    <w:unhideWhenUsed/>
    <w:qFormat/>
    <w:rsid w:val="000A37A1"/>
    <w:pPr>
      <w:keepNext/>
      <w:spacing w:before="240" w:after="60"/>
      <w:outlineLvl w:val="2"/>
    </w:pPr>
    <w:rPr>
      <w:rFonts w:ascii="Calibri Light" w:hAnsi="Calibri Light"/>
      <w:b/>
      <w:bCs/>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94BCD"/>
    <w:pPr>
      <w:ind w:left="720"/>
      <w:contextualSpacing/>
    </w:pPr>
  </w:style>
  <w:style w:type="character" w:styleId="a4">
    <w:name w:val="Placeholder Text"/>
    <w:basedOn w:val="a0"/>
    <w:uiPriority w:val="99"/>
    <w:semiHidden/>
    <w:rsid w:val="008D72F7"/>
    <w:rPr>
      <w:color w:val="808080"/>
    </w:rPr>
  </w:style>
  <w:style w:type="paragraph" w:customStyle="1" w:styleId="rvps2">
    <w:name w:val="rvps2"/>
    <w:basedOn w:val="a"/>
    <w:rsid w:val="007A0D36"/>
    <w:pPr>
      <w:spacing w:before="100" w:beforeAutospacing="1" w:after="100" w:afterAutospacing="1"/>
    </w:pPr>
    <w:rPr>
      <w:lang w:val="uk-UA" w:eastAsia="uk-UA"/>
    </w:rPr>
  </w:style>
  <w:style w:type="character" w:styleId="a5">
    <w:name w:val="Hyperlink"/>
    <w:basedOn w:val="a0"/>
    <w:uiPriority w:val="99"/>
    <w:semiHidden/>
    <w:unhideWhenUsed/>
    <w:rsid w:val="007A0D36"/>
    <w:rPr>
      <w:color w:val="0000FF"/>
      <w:u w:val="single"/>
    </w:rPr>
  </w:style>
  <w:style w:type="character" w:customStyle="1" w:styleId="rvts9">
    <w:name w:val="rvts9"/>
    <w:basedOn w:val="a0"/>
    <w:rsid w:val="007A0D36"/>
  </w:style>
  <w:style w:type="character" w:customStyle="1" w:styleId="rvts46">
    <w:name w:val="rvts46"/>
    <w:basedOn w:val="a0"/>
    <w:rsid w:val="007A0D36"/>
  </w:style>
  <w:style w:type="character" w:customStyle="1" w:styleId="rvts11">
    <w:name w:val="rvts11"/>
    <w:basedOn w:val="a0"/>
    <w:rsid w:val="007A0D36"/>
  </w:style>
  <w:style w:type="paragraph" w:styleId="a6">
    <w:name w:val="Normal (Web)"/>
    <w:basedOn w:val="a"/>
    <w:uiPriority w:val="99"/>
    <w:semiHidden/>
    <w:unhideWhenUsed/>
    <w:rsid w:val="007A0D36"/>
    <w:pPr>
      <w:spacing w:before="100" w:beforeAutospacing="1" w:after="100" w:afterAutospacing="1"/>
    </w:pPr>
    <w:rPr>
      <w:lang w:val="uk-UA" w:eastAsia="uk-UA"/>
    </w:rPr>
  </w:style>
  <w:style w:type="character" w:customStyle="1" w:styleId="rvts37">
    <w:name w:val="rvts37"/>
    <w:basedOn w:val="a0"/>
    <w:rsid w:val="007A0D36"/>
  </w:style>
  <w:style w:type="table" w:styleId="a7">
    <w:name w:val="Table Grid"/>
    <w:basedOn w:val="a1"/>
    <w:uiPriority w:val="39"/>
    <w:rsid w:val="00CC7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CC7D4B"/>
    <w:pPr>
      <w:tabs>
        <w:tab w:val="center" w:pos="4819"/>
        <w:tab w:val="right" w:pos="9639"/>
      </w:tabs>
    </w:pPr>
  </w:style>
  <w:style w:type="character" w:customStyle="1" w:styleId="a9">
    <w:name w:val="Верхній колонтитул Знак"/>
    <w:basedOn w:val="a0"/>
    <w:link w:val="a8"/>
    <w:uiPriority w:val="99"/>
    <w:rsid w:val="00CC7D4B"/>
    <w:rPr>
      <w:rFonts w:ascii="Times New Roman" w:eastAsia="Times New Roman" w:hAnsi="Times New Roman" w:cs="Times New Roman"/>
      <w:sz w:val="24"/>
      <w:szCs w:val="24"/>
      <w:lang w:val="ru-RU" w:eastAsia="ru-RU"/>
    </w:rPr>
  </w:style>
  <w:style w:type="paragraph" w:styleId="aa">
    <w:name w:val="footer"/>
    <w:basedOn w:val="a"/>
    <w:link w:val="ab"/>
    <w:uiPriority w:val="99"/>
    <w:unhideWhenUsed/>
    <w:rsid w:val="00CC7D4B"/>
    <w:pPr>
      <w:tabs>
        <w:tab w:val="center" w:pos="4819"/>
        <w:tab w:val="right" w:pos="9639"/>
      </w:tabs>
    </w:pPr>
  </w:style>
  <w:style w:type="character" w:customStyle="1" w:styleId="ab">
    <w:name w:val="Нижній колонтитул Знак"/>
    <w:basedOn w:val="a0"/>
    <w:link w:val="aa"/>
    <w:uiPriority w:val="99"/>
    <w:rsid w:val="00CC7D4B"/>
    <w:rPr>
      <w:rFonts w:ascii="Times New Roman" w:eastAsia="Times New Roman" w:hAnsi="Times New Roman" w:cs="Times New Roman"/>
      <w:sz w:val="24"/>
      <w:szCs w:val="24"/>
      <w:lang w:val="ru-RU" w:eastAsia="ru-RU"/>
    </w:rPr>
  </w:style>
  <w:style w:type="paragraph" w:customStyle="1" w:styleId="Default">
    <w:name w:val="Default"/>
    <w:rsid w:val="0012492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j">
    <w:name w:val="tj"/>
    <w:basedOn w:val="a"/>
    <w:rsid w:val="002866BA"/>
    <w:pPr>
      <w:spacing w:before="100" w:beforeAutospacing="1" w:after="100" w:afterAutospacing="1"/>
    </w:pPr>
    <w:rPr>
      <w:lang w:val="uk-UA" w:eastAsia="uk-UA"/>
    </w:rPr>
  </w:style>
  <w:style w:type="paragraph" w:customStyle="1" w:styleId="tr">
    <w:name w:val="tr"/>
    <w:basedOn w:val="a"/>
    <w:rsid w:val="002866BA"/>
    <w:pPr>
      <w:spacing w:before="100" w:beforeAutospacing="1" w:after="100" w:afterAutospacing="1"/>
    </w:pPr>
    <w:rPr>
      <w:lang w:val="uk-UA" w:eastAsia="uk-UA"/>
    </w:rPr>
  </w:style>
  <w:style w:type="paragraph" w:customStyle="1" w:styleId="tc">
    <w:name w:val="tc"/>
    <w:basedOn w:val="a"/>
    <w:rsid w:val="002866BA"/>
    <w:pPr>
      <w:spacing w:before="100" w:beforeAutospacing="1" w:after="100" w:afterAutospacing="1"/>
    </w:pPr>
    <w:rPr>
      <w:lang w:val="uk-UA" w:eastAsia="uk-UA"/>
    </w:rPr>
  </w:style>
  <w:style w:type="paragraph" w:customStyle="1" w:styleId="rvps12">
    <w:name w:val="rvps12"/>
    <w:basedOn w:val="a"/>
    <w:rsid w:val="002866BA"/>
    <w:pPr>
      <w:spacing w:before="100" w:beforeAutospacing="1" w:after="100" w:afterAutospacing="1"/>
    </w:pPr>
    <w:rPr>
      <w:lang w:val="uk-UA" w:eastAsia="uk-UA"/>
    </w:rPr>
  </w:style>
  <w:style w:type="paragraph" w:customStyle="1" w:styleId="rvps14">
    <w:name w:val="rvps14"/>
    <w:basedOn w:val="a"/>
    <w:rsid w:val="002866BA"/>
    <w:pPr>
      <w:spacing w:before="100" w:beforeAutospacing="1" w:after="100" w:afterAutospacing="1"/>
    </w:pPr>
    <w:rPr>
      <w:lang w:val="uk-UA" w:eastAsia="uk-UA"/>
    </w:rPr>
  </w:style>
  <w:style w:type="character" w:styleId="ac">
    <w:name w:val="Strong"/>
    <w:basedOn w:val="a0"/>
    <w:qFormat/>
    <w:rsid w:val="007A025C"/>
    <w:rPr>
      <w:b/>
      <w:bCs/>
    </w:rPr>
  </w:style>
  <w:style w:type="paragraph" w:customStyle="1" w:styleId="rvps11">
    <w:name w:val="rvps11"/>
    <w:basedOn w:val="a"/>
    <w:rsid w:val="00193723"/>
    <w:pPr>
      <w:spacing w:before="100" w:beforeAutospacing="1" w:after="100" w:afterAutospacing="1"/>
    </w:pPr>
    <w:rPr>
      <w:lang w:val="uk-UA" w:eastAsia="uk-UA"/>
    </w:rPr>
  </w:style>
  <w:style w:type="character" w:customStyle="1" w:styleId="rvts40">
    <w:name w:val="rvts40"/>
    <w:basedOn w:val="a0"/>
    <w:rsid w:val="00193723"/>
  </w:style>
  <w:style w:type="character" w:customStyle="1" w:styleId="30">
    <w:name w:val="Заголовок 3 Знак"/>
    <w:basedOn w:val="a0"/>
    <w:link w:val="3"/>
    <w:semiHidden/>
    <w:rsid w:val="000A37A1"/>
    <w:rPr>
      <w:rFonts w:ascii="Calibri Light" w:eastAsia="Times New Roman" w:hAnsi="Calibri Light" w:cs="Times New Roman"/>
      <w:b/>
      <w:bCs/>
      <w:sz w:val="26"/>
      <w:szCs w:val="26"/>
      <w:lang w:eastAsia="ru-RU"/>
    </w:rPr>
  </w:style>
  <w:style w:type="paragraph" w:customStyle="1" w:styleId="tl">
    <w:name w:val="tl"/>
    <w:basedOn w:val="a"/>
    <w:rsid w:val="00810CB9"/>
    <w:pPr>
      <w:spacing w:before="100" w:beforeAutospacing="1" w:after="100" w:afterAutospacing="1"/>
    </w:pPr>
    <w:rPr>
      <w:lang w:val="uk-UA" w:eastAsia="uk-UA"/>
    </w:rPr>
  </w:style>
  <w:style w:type="character" w:customStyle="1" w:styleId="hard-blue-color">
    <w:name w:val="hard-blue-color"/>
    <w:basedOn w:val="a0"/>
    <w:rsid w:val="003817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054042">
      <w:bodyDiv w:val="1"/>
      <w:marLeft w:val="0"/>
      <w:marRight w:val="0"/>
      <w:marTop w:val="0"/>
      <w:marBottom w:val="0"/>
      <w:divBdr>
        <w:top w:val="none" w:sz="0" w:space="0" w:color="auto"/>
        <w:left w:val="none" w:sz="0" w:space="0" w:color="auto"/>
        <w:bottom w:val="none" w:sz="0" w:space="0" w:color="auto"/>
        <w:right w:val="none" w:sz="0" w:space="0" w:color="auto"/>
      </w:divBdr>
      <w:divsChild>
        <w:div w:id="248391828">
          <w:marLeft w:val="0"/>
          <w:marRight w:val="0"/>
          <w:marTop w:val="0"/>
          <w:marBottom w:val="0"/>
          <w:divBdr>
            <w:top w:val="none" w:sz="0" w:space="0" w:color="auto"/>
            <w:left w:val="none" w:sz="0" w:space="0" w:color="auto"/>
            <w:bottom w:val="none" w:sz="0" w:space="0" w:color="auto"/>
            <w:right w:val="none" w:sz="0" w:space="0" w:color="auto"/>
          </w:divBdr>
        </w:div>
        <w:div w:id="1406487933">
          <w:marLeft w:val="0"/>
          <w:marRight w:val="0"/>
          <w:marTop w:val="0"/>
          <w:marBottom w:val="0"/>
          <w:divBdr>
            <w:top w:val="none" w:sz="0" w:space="0" w:color="auto"/>
            <w:left w:val="none" w:sz="0" w:space="0" w:color="auto"/>
            <w:bottom w:val="none" w:sz="0" w:space="0" w:color="auto"/>
            <w:right w:val="none" w:sz="0" w:space="0" w:color="auto"/>
          </w:divBdr>
        </w:div>
        <w:div w:id="1199395829">
          <w:marLeft w:val="0"/>
          <w:marRight w:val="0"/>
          <w:marTop w:val="0"/>
          <w:marBottom w:val="0"/>
          <w:divBdr>
            <w:top w:val="none" w:sz="0" w:space="0" w:color="auto"/>
            <w:left w:val="none" w:sz="0" w:space="0" w:color="auto"/>
            <w:bottom w:val="none" w:sz="0" w:space="0" w:color="auto"/>
            <w:right w:val="none" w:sz="0" w:space="0" w:color="auto"/>
          </w:divBdr>
          <w:divsChild>
            <w:div w:id="204020232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559231">
      <w:bodyDiv w:val="1"/>
      <w:marLeft w:val="0"/>
      <w:marRight w:val="0"/>
      <w:marTop w:val="0"/>
      <w:marBottom w:val="0"/>
      <w:divBdr>
        <w:top w:val="none" w:sz="0" w:space="0" w:color="auto"/>
        <w:left w:val="none" w:sz="0" w:space="0" w:color="auto"/>
        <w:bottom w:val="none" w:sz="0" w:space="0" w:color="auto"/>
        <w:right w:val="none" w:sz="0" w:space="0" w:color="auto"/>
      </w:divBdr>
      <w:divsChild>
        <w:div w:id="1937903227">
          <w:marLeft w:val="0"/>
          <w:marRight w:val="0"/>
          <w:marTop w:val="0"/>
          <w:marBottom w:val="0"/>
          <w:divBdr>
            <w:top w:val="none" w:sz="0" w:space="0" w:color="auto"/>
            <w:left w:val="none" w:sz="0" w:space="0" w:color="auto"/>
            <w:bottom w:val="none" w:sz="0" w:space="0" w:color="auto"/>
            <w:right w:val="none" w:sz="0" w:space="0" w:color="auto"/>
          </w:divBdr>
        </w:div>
        <w:div w:id="274093254">
          <w:marLeft w:val="0"/>
          <w:marRight w:val="0"/>
          <w:marTop w:val="0"/>
          <w:marBottom w:val="0"/>
          <w:divBdr>
            <w:top w:val="none" w:sz="0" w:space="0" w:color="auto"/>
            <w:left w:val="none" w:sz="0" w:space="0" w:color="auto"/>
            <w:bottom w:val="none" w:sz="0" w:space="0" w:color="auto"/>
            <w:right w:val="none" w:sz="0" w:space="0" w:color="auto"/>
          </w:divBdr>
        </w:div>
        <w:div w:id="1383291246">
          <w:marLeft w:val="0"/>
          <w:marRight w:val="0"/>
          <w:marTop w:val="0"/>
          <w:marBottom w:val="0"/>
          <w:divBdr>
            <w:top w:val="none" w:sz="0" w:space="0" w:color="auto"/>
            <w:left w:val="none" w:sz="0" w:space="0" w:color="auto"/>
            <w:bottom w:val="none" w:sz="0" w:space="0" w:color="auto"/>
            <w:right w:val="none" w:sz="0" w:space="0" w:color="auto"/>
          </w:divBdr>
        </w:div>
        <w:div w:id="1627613756">
          <w:marLeft w:val="0"/>
          <w:marRight w:val="0"/>
          <w:marTop w:val="0"/>
          <w:marBottom w:val="0"/>
          <w:divBdr>
            <w:top w:val="none" w:sz="0" w:space="0" w:color="auto"/>
            <w:left w:val="none" w:sz="0" w:space="0" w:color="auto"/>
            <w:bottom w:val="none" w:sz="0" w:space="0" w:color="auto"/>
            <w:right w:val="none" w:sz="0" w:space="0" w:color="auto"/>
          </w:divBdr>
        </w:div>
      </w:divsChild>
    </w:div>
    <w:div w:id="606037355">
      <w:bodyDiv w:val="1"/>
      <w:marLeft w:val="0"/>
      <w:marRight w:val="0"/>
      <w:marTop w:val="0"/>
      <w:marBottom w:val="0"/>
      <w:divBdr>
        <w:top w:val="none" w:sz="0" w:space="0" w:color="auto"/>
        <w:left w:val="none" w:sz="0" w:space="0" w:color="auto"/>
        <w:bottom w:val="none" w:sz="0" w:space="0" w:color="auto"/>
        <w:right w:val="none" w:sz="0" w:space="0" w:color="auto"/>
      </w:divBdr>
    </w:div>
    <w:div w:id="931862709">
      <w:bodyDiv w:val="1"/>
      <w:marLeft w:val="0"/>
      <w:marRight w:val="0"/>
      <w:marTop w:val="0"/>
      <w:marBottom w:val="0"/>
      <w:divBdr>
        <w:top w:val="none" w:sz="0" w:space="0" w:color="auto"/>
        <w:left w:val="none" w:sz="0" w:space="0" w:color="auto"/>
        <w:bottom w:val="none" w:sz="0" w:space="0" w:color="auto"/>
        <w:right w:val="none" w:sz="0" w:space="0" w:color="auto"/>
      </w:divBdr>
    </w:div>
    <w:div w:id="980307721">
      <w:bodyDiv w:val="1"/>
      <w:marLeft w:val="0"/>
      <w:marRight w:val="0"/>
      <w:marTop w:val="0"/>
      <w:marBottom w:val="0"/>
      <w:divBdr>
        <w:top w:val="none" w:sz="0" w:space="0" w:color="auto"/>
        <w:left w:val="none" w:sz="0" w:space="0" w:color="auto"/>
        <w:bottom w:val="none" w:sz="0" w:space="0" w:color="auto"/>
        <w:right w:val="none" w:sz="0" w:space="0" w:color="auto"/>
      </w:divBdr>
    </w:div>
    <w:div w:id="1262878790">
      <w:bodyDiv w:val="1"/>
      <w:marLeft w:val="0"/>
      <w:marRight w:val="0"/>
      <w:marTop w:val="0"/>
      <w:marBottom w:val="0"/>
      <w:divBdr>
        <w:top w:val="none" w:sz="0" w:space="0" w:color="auto"/>
        <w:left w:val="none" w:sz="0" w:space="0" w:color="auto"/>
        <w:bottom w:val="none" w:sz="0" w:space="0" w:color="auto"/>
        <w:right w:val="none" w:sz="0" w:space="0" w:color="auto"/>
      </w:divBdr>
    </w:div>
    <w:div w:id="1509565505">
      <w:bodyDiv w:val="1"/>
      <w:marLeft w:val="0"/>
      <w:marRight w:val="0"/>
      <w:marTop w:val="0"/>
      <w:marBottom w:val="0"/>
      <w:divBdr>
        <w:top w:val="none" w:sz="0" w:space="0" w:color="auto"/>
        <w:left w:val="none" w:sz="0" w:space="0" w:color="auto"/>
        <w:bottom w:val="none" w:sz="0" w:space="0" w:color="auto"/>
        <w:right w:val="none" w:sz="0" w:space="0" w:color="auto"/>
      </w:divBdr>
    </w:div>
    <w:div w:id="1644388834">
      <w:bodyDiv w:val="1"/>
      <w:marLeft w:val="0"/>
      <w:marRight w:val="0"/>
      <w:marTop w:val="0"/>
      <w:marBottom w:val="0"/>
      <w:divBdr>
        <w:top w:val="none" w:sz="0" w:space="0" w:color="auto"/>
        <w:left w:val="none" w:sz="0" w:space="0" w:color="auto"/>
        <w:bottom w:val="none" w:sz="0" w:space="0" w:color="auto"/>
        <w:right w:val="none" w:sz="0" w:space="0" w:color="auto"/>
      </w:divBdr>
    </w:div>
    <w:div w:id="1717465648">
      <w:bodyDiv w:val="1"/>
      <w:marLeft w:val="0"/>
      <w:marRight w:val="0"/>
      <w:marTop w:val="0"/>
      <w:marBottom w:val="0"/>
      <w:divBdr>
        <w:top w:val="none" w:sz="0" w:space="0" w:color="auto"/>
        <w:left w:val="none" w:sz="0" w:space="0" w:color="auto"/>
        <w:bottom w:val="none" w:sz="0" w:space="0" w:color="auto"/>
        <w:right w:val="none" w:sz="0" w:space="0" w:color="auto"/>
      </w:divBdr>
    </w:div>
    <w:div w:id="1848472161">
      <w:bodyDiv w:val="1"/>
      <w:marLeft w:val="0"/>
      <w:marRight w:val="0"/>
      <w:marTop w:val="0"/>
      <w:marBottom w:val="0"/>
      <w:divBdr>
        <w:top w:val="none" w:sz="0" w:space="0" w:color="auto"/>
        <w:left w:val="none" w:sz="0" w:space="0" w:color="auto"/>
        <w:bottom w:val="none" w:sz="0" w:space="0" w:color="auto"/>
        <w:right w:val="none" w:sz="0" w:space="0" w:color="auto"/>
      </w:divBdr>
    </w:div>
    <w:div w:id="1933002708">
      <w:bodyDiv w:val="1"/>
      <w:marLeft w:val="0"/>
      <w:marRight w:val="0"/>
      <w:marTop w:val="0"/>
      <w:marBottom w:val="0"/>
      <w:divBdr>
        <w:top w:val="none" w:sz="0" w:space="0" w:color="auto"/>
        <w:left w:val="none" w:sz="0" w:space="0" w:color="auto"/>
        <w:bottom w:val="none" w:sz="0" w:space="0" w:color="auto"/>
        <w:right w:val="none" w:sz="0" w:space="0" w:color="auto"/>
      </w:divBdr>
    </w:div>
    <w:div w:id="2009138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file/imgs/83/p478167n423-62.emf" TargetMode="External"/><Relationship Id="rId21" Type="http://schemas.openxmlformats.org/officeDocument/2006/relationships/image" Target="media/image12.gif"/><Relationship Id="rId34" Type="http://schemas.openxmlformats.org/officeDocument/2006/relationships/hyperlink" Target="https://zakon.rada.gov.ua/laws/show/z1221-13" TargetMode="External"/><Relationship Id="rId42" Type="http://schemas.openxmlformats.org/officeDocument/2006/relationships/image" Target="media/image20.gif"/><Relationship Id="rId47" Type="http://schemas.openxmlformats.org/officeDocument/2006/relationships/hyperlink" Target="https://ips.ligazakon.net/document/view/gk49505?ed=2021_09_16&amp;an=274" TargetMode="External"/><Relationship Id="rId50" Type="http://schemas.openxmlformats.org/officeDocument/2006/relationships/image" Target="media/image25.gif"/><Relationship Id="rId55" Type="http://schemas.openxmlformats.org/officeDocument/2006/relationships/oleObject" Target="embeddings/oleObject2.bin"/><Relationship Id="rId63" Type="http://schemas.openxmlformats.org/officeDocument/2006/relationships/hyperlink" Target="https://ips.ligazakon.net/document/view/gk55072?ed=2023_11_03&amp;an=8" TargetMode="External"/><Relationship Id="rId7" Type="http://schemas.openxmlformats.org/officeDocument/2006/relationships/hyperlink" Target="https://zakon.rada.gov.ua/laws/file/imgs/93/p404491n137-2.emf" TargetMode="External"/><Relationship Id="rId2" Type="http://schemas.openxmlformats.org/officeDocument/2006/relationships/styles" Target="styles.xml"/><Relationship Id="rId16" Type="http://schemas.openxmlformats.org/officeDocument/2006/relationships/image" Target="media/image9.gif"/><Relationship Id="rId29" Type="http://schemas.openxmlformats.org/officeDocument/2006/relationships/image" Target="media/image15.gif"/><Relationship Id="rId11" Type="http://schemas.openxmlformats.org/officeDocument/2006/relationships/image" Target="media/image4.gif"/><Relationship Id="rId24" Type="http://schemas.openxmlformats.org/officeDocument/2006/relationships/hyperlink" Target="https://zakon.rada.gov.ua/laws/file/imgs/99/p478167n533-61.bmp" TargetMode="External"/><Relationship Id="rId32" Type="http://schemas.openxmlformats.org/officeDocument/2006/relationships/hyperlink" Target="https://zakon.rada.gov.ua/laws/file/imgs/100/p478167n425v2-65.emf" TargetMode="External"/><Relationship Id="rId37" Type="http://schemas.openxmlformats.org/officeDocument/2006/relationships/hyperlink" Target="https://zakon.rada.gov.ua/laws/file/imgs/100/p478167n425v2-66.emf" TargetMode="External"/><Relationship Id="rId40" Type="http://schemas.openxmlformats.org/officeDocument/2006/relationships/image" Target="media/image19.gif"/><Relationship Id="rId45" Type="http://schemas.openxmlformats.org/officeDocument/2006/relationships/image" Target="media/image22.gif"/><Relationship Id="rId53" Type="http://schemas.openxmlformats.org/officeDocument/2006/relationships/image" Target="media/image27.wmf"/><Relationship Id="rId58" Type="http://schemas.openxmlformats.org/officeDocument/2006/relationships/hyperlink" Target="https://ips.ligazakon.net/document/view/gk51735?ed=2022_07_12&amp;an=32" TargetMode="External"/><Relationship Id="rId66"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https://ips.ligazakon.net/document/view/gk49381?ed=2021_08_25&amp;an=18" TargetMode="External"/><Relationship Id="rId19" Type="http://schemas.openxmlformats.org/officeDocument/2006/relationships/hyperlink" Target="https://ips.ligazakon.net/document/view/gk49505?ed=2021_09_16&amp;an=50" TargetMode="External"/><Relationship Id="rId14" Type="http://schemas.openxmlformats.org/officeDocument/2006/relationships/image" Target="media/image7.gif"/><Relationship Id="rId22" Type="http://schemas.openxmlformats.org/officeDocument/2006/relationships/hyperlink" Target="https://ips.ligazakon.net/document/view/gk49505?ed=2021_09_16&amp;an=272" TargetMode="External"/><Relationship Id="rId27" Type="http://schemas.openxmlformats.org/officeDocument/2006/relationships/image" Target="media/image14.gif"/><Relationship Id="rId30" Type="http://schemas.openxmlformats.org/officeDocument/2006/relationships/hyperlink" Target="https://zakon.rada.gov.ua/laws/file/imgs/100/p478167n425v2-64.emf" TargetMode="External"/><Relationship Id="rId35" Type="http://schemas.openxmlformats.org/officeDocument/2006/relationships/hyperlink" Target="https://zakon.rada.gov.ua/laws/show/z1221-13" TargetMode="External"/><Relationship Id="rId43" Type="http://schemas.openxmlformats.org/officeDocument/2006/relationships/hyperlink" Target="https://ips.ligazakon.net/document/view/gk51968?ed=2022_08_16&amp;an=56" TargetMode="External"/><Relationship Id="rId48" Type="http://schemas.openxmlformats.org/officeDocument/2006/relationships/hyperlink" Target="https://ips.ligazakon.net/document/view/gk51968?ed=2022_08_16&amp;an=64" TargetMode="External"/><Relationship Id="rId56" Type="http://schemas.openxmlformats.org/officeDocument/2006/relationships/hyperlink" Target="https://ips.ligazakon.net/document/view/gk54459?ed=2023_08_08&amp;an=33" TargetMode="External"/><Relationship Id="rId64" Type="http://schemas.openxmlformats.org/officeDocument/2006/relationships/footer" Target="footer1.xml"/><Relationship Id="rId8" Type="http://schemas.openxmlformats.org/officeDocument/2006/relationships/image" Target="media/image1.gif"/><Relationship Id="rId51" Type="http://schemas.openxmlformats.org/officeDocument/2006/relationships/image" Target="media/image26.gif"/><Relationship Id="rId3" Type="http://schemas.openxmlformats.org/officeDocument/2006/relationships/settings" Target="settings.xml"/><Relationship Id="rId12" Type="http://schemas.openxmlformats.org/officeDocument/2006/relationships/image" Target="media/image5.gif"/><Relationship Id="rId17" Type="http://schemas.openxmlformats.org/officeDocument/2006/relationships/image" Target="media/image10.gif"/><Relationship Id="rId25" Type="http://schemas.openxmlformats.org/officeDocument/2006/relationships/image" Target="media/image13.gif"/><Relationship Id="rId33" Type="http://schemas.openxmlformats.org/officeDocument/2006/relationships/image" Target="media/image17.gif"/><Relationship Id="rId38" Type="http://schemas.openxmlformats.org/officeDocument/2006/relationships/image" Target="media/image18.gif"/><Relationship Id="rId46" Type="http://schemas.openxmlformats.org/officeDocument/2006/relationships/image" Target="media/image23.gif"/><Relationship Id="rId59" Type="http://schemas.openxmlformats.org/officeDocument/2006/relationships/hyperlink" Target="https://ips.ligazakon.net/document/view/gk49381?ed=2021_08_25&amp;an=18" TargetMode="External"/><Relationship Id="rId20" Type="http://schemas.openxmlformats.org/officeDocument/2006/relationships/hyperlink" Target="https://ips.ligazakon.net/document/view/gk49505?ed=2021_09_16&amp;an=51" TargetMode="External"/><Relationship Id="rId41" Type="http://schemas.openxmlformats.org/officeDocument/2006/relationships/hyperlink" Target="https://zakon.rada.gov.ua/laws/file/imgs/83/p478167n427-68.bmp" TargetMode="External"/><Relationship Id="rId54" Type="http://schemas.openxmlformats.org/officeDocument/2006/relationships/oleObject" Target="embeddings/oleObject1.bin"/><Relationship Id="rId62" Type="http://schemas.openxmlformats.org/officeDocument/2006/relationships/hyperlink" Target="https://ips.ligazakon.net/document/view/gk55072?ed=2023_11_03&amp;an=8" TargetMode="Externa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image" Target="media/image8.gif"/><Relationship Id="rId23" Type="http://schemas.openxmlformats.org/officeDocument/2006/relationships/hyperlink" Target="https://ips.ligazakon.net/document/view/gk49505?ed=2021_09_16&amp;an=272" TargetMode="External"/><Relationship Id="rId28" Type="http://schemas.openxmlformats.org/officeDocument/2006/relationships/hyperlink" Target="https://zakon.rada.gov.ua/laws/file/imgs/100/p478167n424v1-63.bmp" TargetMode="External"/><Relationship Id="rId36" Type="http://schemas.openxmlformats.org/officeDocument/2006/relationships/hyperlink" Target="https://zakon.rada.gov.ua/laws/show/z1221-13" TargetMode="External"/><Relationship Id="rId49" Type="http://schemas.openxmlformats.org/officeDocument/2006/relationships/image" Target="media/image24.gif"/><Relationship Id="rId57" Type="http://schemas.openxmlformats.org/officeDocument/2006/relationships/hyperlink" Target="https://ips.ligazakon.net/document/view/gk54459?ed=2023_08_08&amp;an=33" TargetMode="External"/><Relationship Id="rId10" Type="http://schemas.openxmlformats.org/officeDocument/2006/relationships/image" Target="media/image3.gif"/><Relationship Id="rId31" Type="http://schemas.openxmlformats.org/officeDocument/2006/relationships/image" Target="media/image16.gif"/><Relationship Id="rId44" Type="http://schemas.openxmlformats.org/officeDocument/2006/relationships/image" Target="media/image21.gif"/><Relationship Id="rId52" Type="http://schemas.openxmlformats.org/officeDocument/2006/relationships/hyperlink" Target="https://ips.ligazakon.net/document/view/gk51968?ed=2022_08_16&amp;an=56" TargetMode="External"/><Relationship Id="rId60" Type="http://schemas.openxmlformats.org/officeDocument/2006/relationships/hyperlink" Target="https://ips.ligazakon.net/document/view/gk51735?ed=2022_07_12&amp;an=32"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gif"/><Relationship Id="rId13" Type="http://schemas.openxmlformats.org/officeDocument/2006/relationships/image" Target="media/image6.gif"/><Relationship Id="rId18" Type="http://schemas.openxmlformats.org/officeDocument/2006/relationships/image" Target="media/image11.gif"/><Relationship Id="rId39" Type="http://schemas.openxmlformats.org/officeDocument/2006/relationships/hyperlink" Target="https://zakon.rada.gov.ua/laws/file/imgs/100/p478167n425v2-67.emf"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EFC05E-E3FB-4A5E-ABD9-F458EF10E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707</TotalTime>
  <Pages>18</Pages>
  <Words>28625</Words>
  <Characters>16317</Characters>
  <Application>Microsoft Office Word</Application>
  <DocSecurity>0</DocSecurity>
  <Lines>135</Lines>
  <Paragraphs>89</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44853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Свистун</dc:creator>
  <cp:keywords/>
  <dc:description/>
  <cp:lastModifiedBy>Ольга Свистун</cp:lastModifiedBy>
  <cp:revision>18</cp:revision>
  <cp:lastPrinted>2023-09-26T12:17:00Z</cp:lastPrinted>
  <dcterms:created xsi:type="dcterms:W3CDTF">2024-07-30T15:11:00Z</dcterms:created>
  <dcterms:modified xsi:type="dcterms:W3CDTF">2024-08-07T10:21:00Z</dcterms:modified>
</cp:coreProperties>
</file>