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9AF" w:rsidRPr="003B79AF" w:rsidRDefault="003B79AF" w:rsidP="00835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:rsidR="003B79AF" w:rsidRPr="00C70B63" w:rsidRDefault="00C70B63" w:rsidP="0083573C">
      <w:pPr>
        <w:spacing w:after="0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60713A">
        <w:rPr>
          <w:rFonts w:ascii="Times New Roman" w:hAnsi="Times New Roman" w:cs="Times New Roman"/>
          <w:b/>
          <w:sz w:val="28"/>
          <w:szCs w:val="28"/>
        </w:rPr>
        <w:t xml:space="preserve">до проєкту рішення, що має ознаки регуляторного акта, - постанови НКРЕКП 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EF4334" w:rsidRPr="0060713A">
        <w:rPr>
          <w:rFonts w:ascii="Times New Roman" w:hAnsi="Times New Roman" w:cs="Times New Roman"/>
          <w:b/>
          <w:sz w:val="28"/>
          <w:szCs w:val="28"/>
        </w:rPr>
        <w:t>внесення з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 xml:space="preserve">мін до </w:t>
      </w:r>
      <w:r w:rsidR="00CC5CAB">
        <w:rPr>
          <w:rFonts w:ascii="Times New Roman" w:hAnsi="Times New Roman" w:cs="Times New Roman"/>
          <w:b/>
          <w:sz w:val="28"/>
          <w:szCs w:val="28"/>
        </w:rPr>
        <w:t>Порядку моніторингу ринку теплової енергії</w:t>
      </w:r>
      <w:r w:rsidR="003B79AF" w:rsidRPr="0060713A">
        <w:rPr>
          <w:rFonts w:ascii="Times New Roman" w:hAnsi="Times New Roman" w:cs="Times New Roman"/>
          <w:b/>
          <w:sz w:val="28"/>
          <w:szCs w:val="28"/>
        </w:rPr>
        <w:t>»</w:t>
      </w:r>
    </w:p>
    <w:p w:rsidR="005A40C8" w:rsidRPr="003B79AF" w:rsidRDefault="005A40C8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0"/>
        <w:gridCol w:w="7393"/>
      </w:tblGrid>
      <w:tr w:rsidR="00DD5075" w:rsidRPr="00755E8A" w:rsidTr="006A66BE">
        <w:trPr>
          <w:trHeight w:val="417"/>
        </w:trPr>
        <w:tc>
          <w:tcPr>
            <w:tcW w:w="7450" w:type="dxa"/>
          </w:tcPr>
          <w:p w:rsidR="00276278" w:rsidRPr="00C2083D" w:rsidRDefault="003B79AF" w:rsidP="00A33483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393" w:type="dxa"/>
          </w:tcPr>
          <w:p w:rsidR="00276278" w:rsidRPr="00C2083D" w:rsidRDefault="003B79AF" w:rsidP="003B79AF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Редакція зі змінами</w:t>
            </w:r>
          </w:p>
        </w:tc>
      </w:tr>
      <w:tr w:rsidR="004A6446" w:rsidRPr="00755E8A" w:rsidTr="000D5588">
        <w:trPr>
          <w:trHeight w:val="409"/>
        </w:trPr>
        <w:tc>
          <w:tcPr>
            <w:tcW w:w="14843" w:type="dxa"/>
            <w:gridSpan w:val="2"/>
          </w:tcPr>
          <w:p w:rsidR="004A6446" w:rsidRPr="004A6446" w:rsidRDefault="004A6446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446">
              <w:rPr>
                <w:rFonts w:ascii="Times New Roman" w:hAnsi="Times New Roman" w:cs="Times New Roman"/>
                <w:b/>
                <w:sz w:val="28"/>
                <w:szCs w:val="28"/>
              </w:rPr>
              <w:t>1. Загальні положення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E465DA" w:rsidRPr="004207DB" w:rsidRDefault="004207DB" w:rsidP="004207D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 xml:space="preserve">1.4. Моніторинг організовується та здійснюється відповідно до встановлених предметів та індикаторів/показників моніторингу </w:t>
            </w:r>
            <w:r w:rsidRPr="00903413">
              <w:rPr>
                <w:b/>
                <w:sz w:val="28"/>
                <w:szCs w:val="28"/>
              </w:rPr>
              <w:t>структурними підрозділами</w:t>
            </w:r>
            <w:r w:rsidRPr="00C2241C">
              <w:rPr>
                <w:sz w:val="28"/>
                <w:szCs w:val="28"/>
              </w:rPr>
              <w:t xml:space="preserve"> HKPEKП, визначеними в додатку 4 до Порядку </w:t>
            </w:r>
            <w:r w:rsidRPr="00C2241C">
              <w:rPr>
                <w:rStyle w:val="rvts15"/>
                <w:sz w:val="28"/>
                <w:szCs w:val="28"/>
              </w:rPr>
              <w:t>здійснення моніторингу</w:t>
            </w:r>
            <w:r w:rsidRPr="00C2241C">
              <w:rPr>
                <w:sz w:val="28"/>
                <w:szCs w:val="28"/>
              </w:rPr>
              <w:t xml:space="preserve">, </w:t>
            </w:r>
            <w:r w:rsidRPr="00E53515">
              <w:rPr>
                <w:b/>
                <w:sz w:val="28"/>
                <w:szCs w:val="28"/>
              </w:rPr>
              <w:t>які оформлюють результати моніторингу у формі інформаційного повідомлення й передають його до Департаменту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Департамент), який є відповідальним за консолідацію отриманої інформації щодо результатів моніторингу та за подання її до структурного підрозділу HKPEKП, відповідального за поширення інформації та комунікацію з громадськістю</w:t>
            </w:r>
            <w:r w:rsidRPr="00C2241C">
              <w:rPr>
                <w:sz w:val="28"/>
                <w:szCs w:val="28"/>
              </w:rPr>
              <w:t>, для оприлюднення на офіційному вебсайті HKPEKП.</w:t>
            </w:r>
          </w:p>
        </w:tc>
        <w:tc>
          <w:tcPr>
            <w:tcW w:w="7393" w:type="dxa"/>
          </w:tcPr>
          <w:p w:rsidR="00E465DA" w:rsidRPr="00903413" w:rsidRDefault="00903413" w:rsidP="00186530">
            <w:pPr>
              <w:ind w:firstLine="55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Hlk172209505"/>
            <w:r w:rsidRPr="00903413">
              <w:rPr>
                <w:rFonts w:ascii="Times New Roman" w:hAnsi="Times New Roman" w:cs="Times New Roman"/>
                <w:sz w:val="28"/>
                <w:szCs w:val="28"/>
              </w:rPr>
              <w:t xml:space="preserve">1.4. Моніторинг організовується та здійснюється відповідно до встановлених предметів та індикаторів/показників моніторингу 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структурним підрозділом</w:t>
            </w:r>
            <w:r w:rsidRPr="0065786C">
              <w:rPr>
                <w:rFonts w:ascii="Times New Roman" w:hAnsi="Times New Roman" w:cs="Times New Roman"/>
                <w:sz w:val="28"/>
                <w:szCs w:val="28"/>
              </w:rPr>
              <w:t xml:space="preserve"> HKPEKП, визначеними в додатку 4 до Порядку </w:t>
            </w:r>
            <w:r w:rsidRPr="0065786C">
              <w:rPr>
                <w:rStyle w:val="rvts15"/>
                <w:rFonts w:ascii="Times New Roman" w:hAnsi="Times New Roman" w:cs="Times New Roman"/>
                <w:sz w:val="28"/>
                <w:szCs w:val="28"/>
              </w:rPr>
              <w:t>здійснення моніторингу</w:t>
            </w:r>
            <w:r w:rsidR="00745E5E" w:rsidRPr="0065786C">
              <w:rPr>
                <w:rStyle w:val="rvts15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5E5E" w:rsidRPr="0065786C">
              <w:rPr>
                <w:rStyle w:val="rvts15"/>
                <w:rFonts w:ascii="Times New Roman" w:hAnsi="Times New Roman" w:cs="Times New Roman"/>
                <w:b/>
                <w:sz w:val="28"/>
                <w:szCs w:val="28"/>
              </w:rPr>
              <w:t>а саме</w:t>
            </w:r>
            <w:r w:rsidR="00745E5E"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Департаментом із регулювання відносин у сферах теплопостачання та забезпечення енергетичної ефективності в галузях енергетики та комунальних послуг (далі – Департамент)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>, як</w:t>
            </w:r>
            <w:r w:rsidR="00745E5E"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оформлю</w:t>
            </w:r>
            <w:r w:rsidR="00745E5E"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результати моніторингу у </w:t>
            </w:r>
            <w:r w:rsidR="00C951BB">
              <w:rPr>
                <w:rFonts w:ascii="Times New Roman" w:hAnsi="Times New Roman" w:cs="Times New Roman"/>
                <w:b/>
                <w:sz w:val="28"/>
                <w:szCs w:val="28"/>
              </w:rPr>
              <w:t>вигляді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інформаційного повідомлення для оприлюднення на офіційному вебсайті HKPEKП.</w:t>
            </w:r>
            <w:bookmarkEnd w:id="0"/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960438" w:rsidRPr="009510F3" w:rsidRDefault="00BA21AF" w:rsidP="00BA21AF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>1.9. Перелік джерел інформації для здійснення моніторингу, визначени</w:t>
            </w:r>
            <w:r>
              <w:rPr>
                <w:sz w:val="28"/>
                <w:szCs w:val="28"/>
              </w:rPr>
              <w:t>й</w:t>
            </w:r>
            <w:r w:rsidRPr="00C2241C">
              <w:rPr>
                <w:sz w:val="28"/>
                <w:szCs w:val="28"/>
              </w:rPr>
              <w:t xml:space="preserve"> цим Порядком, не є вичерпним i може доповнюватись іншими джерелами, забезпечуючи процес моніторингу достовірними та актуальними даними.</w:t>
            </w:r>
          </w:p>
        </w:tc>
        <w:tc>
          <w:tcPr>
            <w:tcW w:w="7393" w:type="dxa"/>
          </w:tcPr>
          <w:p w:rsidR="00D1191A" w:rsidRPr="006C74AD" w:rsidRDefault="006C74AD" w:rsidP="006C74AD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4AD">
              <w:rPr>
                <w:rFonts w:ascii="Times New Roman" w:hAnsi="Times New Roman" w:cs="Times New Roman"/>
                <w:sz w:val="28"/>
                <w:szCs w:val="28"/>
              </w:rPr>
              <w:t xml:space="preserve">1.9. Перелік джерел інформації для здійснення моніторингу, визначений цим Порядком, не є вичерпним i може доповнюватись іншими джерелами, 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зокрема </w:t>
            </w:r>
            <w:r w:rsidR="00D52CDD">
              <w:rPr>
                <w:rFonts w:ascii="Times New Roman" w:hAnsi="Times New Roman" w:cs="Times New Roman"/>
                <w:b/>
                <w:sz w:val="28"/>
                <w:szCs w:val="28"/>
              </w:rPr>
              <w:t>визначени</w:t>
            </w:r>
            <w:r w:rsidR="00C951BB">
              <w:rPr>
                <w:rFonts w:ascii="Times New Roman" w:hAnsi="Times New Roman" w:cs="Times New Roman"/>
                <w:b/>
                <w:sz w:val="28"/>
                <w:szCs w:val="28"/>
              </w:rPr>
              <w:t>ми</w:t>
            </w:r>
            <w:bookmarkStart w:id="1" w:name="_GoBack"/>
            <w:bookmarkEnd w:id="1"/>
            <w:r w:rsidR="00D52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7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пунктом 5.1 глави 5 Порядку </w:t>
            </w:r>
            <w:r w:rsidRPr="0065786C">
              <w:rPr>
                <w:rStyle w:val="rvts15"/>
                <w:rFonts w:ascii="Times New Roman" w:hAnsi="Times New Roman" w:cs="Times New Roman"/>
                <w:b/>
                <w:sz w:val="28"/>
                <w:szCs w:val="28"/>
              </w:rPr>
              <w:t>здійснення моніторингу</w:t>
            </w:r>
            <w:r w:rsidRPr="0065786C">
              <w:rPr>
                <w:rStyle w:val="rvts15"/>
                <w:rFonts w:ascii="Times New Roman" w:hAnsi="Times New Roman" w:cs="Times New Roman"/>
                <w:sz w:val="28"/>
                <w:szCs w:val="28"/>
              </w:rPr>
              <w:t>,</w:t>
            </w:r>
            <w:r w:rsidRPr="006C74AD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забезпечуючи процес моніторингу достовірними та актуальними даними.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2E260D" w:rsidRPr="000D15FA" w:rsidRDefault="002E260D" w:rsidP="002E260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lastRenderedPageBreak/>
              <w:t>1</w:t>
            </w:r>
            <w:r w:rsidRPr="000D15FA">
              <w:rPr>
                <w:sz w:val="28"/>
                <w:szCs w:val="28"/>
              </w:rPr>
              <w:t xml:space="preserve">.17. Організацію, проведення моніторингу та підготовку результатів у формі інформаційних текстових повідомлень, які можуть містити таблиці, графіки, малюнки, здійснюють </w:t>
            </w:r>
            <w:r w:rsidRPr="002E260D">
              <w:rPr>
                <w:b/>
                <w:sz w:val="28"/>
                <w:szCs w:val="28"/>
              </w:rPr>
              <w:t>відповідальні структурні підрозділи</w:t>
            </w:r>
            <w:r w:rsidRPr="000D15FA">
              <w:rPr>
                <w:sz w:val="28"/>
                <w:szCs w:val="28"/>
              </w:rPr>
              <w:t xml:space="preserve"> HKPEKП згідно з цим Порядком та розподілом функцій з моніторингу, визначеним у додатку 4 до Порядку здійснення моніторингу.</w:t>
            </w:r>
          </w:p>
        </w:tc>
        <w:tc>
          <w:tcPr>
            <w:tcW w:w="7393" w:type="dxa"/>
          </w:tcPr>
          <w:p w:rsidR="002E260D" w:rsidRPr="000D15FA" w:rsidRDefault="002E260D" w:rsidP="002E260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>1</w:t>
            </w:r>
            <w:r w:rsidRPr="000D15FA">
              <w:rPr>
                <w:sz w:val="28"/>
                <w:szCs w:val="28"/>
              </w:rPr>
              <w:t xml:space="preserve">.17. Організацію, проведення моніторингу та підготовку результатів у формі інформаційних текстових повідомлень, які можуть містити таблиці, графіки, малюнки, здійснюють </w:t>
            </w:r>
            <w:r w:rsidRPr="002E260D">
              <w:rPr>
                <w:b/>
                <w:sz w:val="28"/>
                <w:szCs w:val="28"/>
              </w:rPr>
              <w:t>відповідаль</w:t>
            </w:r>
            <w:r w:rsidRPr="0065786C">
              <w:rPr>
                <w:b/>
                <w:sz w:val="28"/>
                <w:szCs w:val="28"/>
              </w:rPr>
              <w:t>ний</w:t>
            </w:r>
            <w:r w:rsidRPr="002E260D">
              <w:rPr>
                <w:b/>
                <w:sz w:val="28"/>
                <w:szCs w:val="28"/>
              </w:rPr>
              <w:t xml:space="preserve"> структурний підрозділ</w:t>
            </w:r>
            <w:r w:rsidRPr="000D15FA">
              <w:rPr>
                <w:sz w:val="28"/>
                <w:szCs w:val="28"/>
              </w:rPr>
              <w:t xml:space="preserve"> HKPEKП згідно з цим Порядком та розподілом функцій з моніторингу, визначеним у додатку 4 до Порядку здійснення моніторингу.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2E260D" w:rsidRPr="00C2241C" w:rsidRDefault="002E260D" w:rsidP="002E260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 xml:space="preserve">1.18. Результати моніторингу оприлюднюються на офіційному вебсайті HKPEKП </w:t>
            </w:r>
            <w:r w:rsidRPr="006A66BE">
              <w:rPr>
                <w:b/>
                <w:sz w:val="28"/>
                <w:szCs w:val="28"/>
              </w:rPr>
              <w:t>не пізніше 1 місяця після завершення періоду моніторингу</w:t>
            </w:r>
            <w:r w:rsidRPr="006A66BE">
              <w:rPr>
                <w:sz w:val="28"/>
                <w:szCs w:val="28"/>
              </w:rPr>
              <w:t>.</w:t>
            </w:r>
          </w:p>
          <w:p w:rsidR="002E260D" w:rsidRPr="00392B48" w:rsidRDefault="002E260D" w:rsidP="002E260D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>Спеціальні звіти з моніторингу щодо окремих предметів моніторингу надсилаються відповідно до вимог чинного законодавства.</w:t>
            </w:r>
          </w:p>
        </w:tc>
        <w:tc>
          <w:tcPr>
            <w:tcW w:w="7393" w:type="dxa"/>
          </w:tcPr>
          <w:p w:rsidR="000E3B12" w:rsidRDefault="002E260D" w:rsidP="000E3B1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bookmarkStart w:id="2" w:name="_Hlk172207846"/>
            <w:r w:rsidRPr="00C2241C">
              <w:rPr>
                <w:sz w:val="28"/>
                <w:szCs w:val="28"/>
              </w:rPr>
              <w:t>1.18. Результати моніторингу</w:t>
            </w:r>
            <w:r>
              <w:rPr>
                <w:sz w:val="28"/>
                <w:szCs w:val="28"/>
              </w:rPr>
              <w:t xml:space="preserve"> узагальнюються </w:t>
            </w:r>
            <w:r w:rsidRPr="0065786C">
              <w:rPr>
                <w:b/>
                <w:sz w:val="28"/>
                <w:szCs w:val="28"/>
              </w:rPr>
              <w:t xml:space="preserve">за три </w:t>
            </w:r>
            <w:r w:rsidR="00C74F66" w:rsidRPr="0065786C">
              <w:rPr>
                <w:b/>
                <w:sz w:val="28"/>
                <w:szCs w:val="28"/>
              </w:rPr>
              <w:t>звітних періоди</w:t>
            </w:r>
            <w:r w:rsidR="009B0734" w:rsidRPr="0065786C">
              <w:rPr>
                <w:b/>
                <w:sz w:val="28"/>
                <w:szCs w:val="28"/>
              </w:rPr>
              <w:t>, або за потреби</w:t>
            </w:r>
            <w:r w:rsidR="00B2031C">
              <w:rPr>
                <w:b/>
                <w:sz w:val="28"/>
                <w:szCs w:val="28"/>
              </w:rPr>
              <w:t>,</w:t>
            </w:r>
            <w:r w:rsidR="009B0734" w:rsidRPr="0065786C">
              <w:rPr>
                <w:b/>
                <w:sz w:val="28"/>
                <w:szCs w:val="28"/>
              </w:rPr>
              <w:t xml:space="preserve"> </w:t>
            </w:r>
            <w:r w:rsidR="00636B99" w:rsidRPr="0065786C">
              <w:rPr>
                <w:b/>
                <w:sz w:val="28"/>
                <w:szCs w:val="28"/>
              </w:rPr>
              <w:t xml:space="preserve">за звітний місяць </w:t>
            </w:r>
            <w:r>
              <w:rPr>
                <w:sz w:val="28"/>
                <w:szCs w:val="28"/>
              </w:rPr>
              <w:t xml:space="preserve">та </w:t>
            </w:r>
            <w:r w:rsidRPr="00C2241C">
              <w:rPr>
                <w:sz w:val="28"/>
                <w:szCs w:val="28"/>
              </w:rPr>
              <w:t>оприлюднюються на офіційному вебсайті HKPEKП</w:t>
            </w:r>
            <w:r w:rsidR="000E3B12">
              <w:rPr>
                <w:sz w:val="28"/>
                <w:szCs w:val="28"/>
              </w:rPr>
              <w:t>.</w:t>
            </w:r>
          </w:p>
          <w:bookmarkEnd w:id="2"/>
          <w:p w:rsidR="002E260D" w:rsidRPr="000D15FA" w:rsidRDefault="002E260D" w:rsidP="000E3B1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>Спеціальні звіти з моніторингу щодо окремих предметів моніторингу надсилаються відповідно до вимог чинного законодавства.</w:t>
            </w:r>
          </w:p>
        </w:tc>
      </w:tr>
      <w:tr w:rsidR="00E73213" w:rsidRPr="00755E8A" w:rsidTr="00570F27">
        <w:trPr>
          <w:trHeight w:val="409"/>
        </w:trPr>
        <w:tc>
          <w:tcPr>
            <w:tcW w:w="14843" w:type="dxa"/>
            <w:gridSpan w:val="2"/>
          </w:tcPr>
          <w:p w:rsidR="00E73213" w:rsidRPr="00E73213" w:rsidRDefault="00E73213" w:rsidP="00E7321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E73213">
              <w:rPr>
                <w:b/>
                <w:sz w:val="28"/>
                <w:szCs w:val="28"/>
              </w:rPr>
              <w:t>2. Моніторинг рівня прозорості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Абзац 3 пункту 2.2.</w:t>
            </w:r>
          </w:p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4E7491">
              <w:rPr>
                <w:sz w:val="28"/>
                <w:szCs w:val="28"/>
              </w:rPr>
              <w:t xml:space="preserve">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085925">
              <w:rPr>
                <w:b/>
                <w:sz w:val="28"/>
                <w:szCs w:val="28"/>
              </w:rPr>
              <w:t>главою 5</w:t>
            </w:r>
            <w:r w:rsidRPr="004E7491">
              <w:rPr>
                <w:sz w:val="28"/>
                <w:szCs w:val="28"/>
              </w:rPr>
              <w:t xml:space="preserve"> Порядку здійснення моніторингу, проводиться моніторинг рівня прозорості.</w:t>
            </w:r>
          </w:p>
        </w:tc>
        <w:tc>
          <w:tcPr>
            <w:tcW w:w="7393" w:type="dxa"/>
          </w:tcPr>
          <w:p w:rsidR="00BC139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Абзац 3 пункту 2.2.</w:t>
            </w:r>
          </w:p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4E7491">
              <w:rPr>
                <w:sz w:val="28"/>
                <w:szCs w:val="28"/>
              </w:rPr>
              <w:t>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</w:t>
            </w:r>
            <w:r>
              <w:rPr>
                <w:sz w:val="28"/>
                <w:szCs w:val="28"/>
              </w:rPr>
              <w:t xml:space="preserve"> </w:t>
            </w:r>
            <w:r w:rsidRPr="00BC1396">
              <w:rPr>
                <w:b/>
                <w:sz w:val="28"/>
                <w:szCs w:val="28"/>
              </w:rPr>
              <w:t>пунктом 5.1</w:t>
            </w:r>
            <w:r w:rsidRPr="004E7491">
              <w:rPr>
                <w:sz w:val="28"/>
                <w:szCs w:val="28"/>
              </w:rPr>
              <w:t xml:space="preserve"> </w:t>
            </w:r>
            <w:r w:rsidRPr="00085925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и </w:t>
            </w:r>
            <w:r w:rsidRPr="00085925">
              <w:rPr>
                <w:b/>
                <w:sz w:val="28"/>
                <w:szCs w:val="28"/>
              </w:rPr>
              <w:t>5</w:t>
            </w:r>
            <w:r w:rsidRPr="004E7491">
              <w:rPr>
                <w:sz w:val="28"/>
                <w:szCs w:val="28"/>
              </w:rPr>
              <w:t xml:space="preserve"> Порядку здійснення моніторингу, проводиться моніторинг рівня прозорості.</w:t>
            </w:r>
          </w:p>
        </w:tc>
      </w:tr>
      <w:tr w:rsidR="00E73213" w:rsidRPr="00755E8A" w:rsidTr="00D52C34">
        <w:trPr>
          <w:trHeight w:val="409"/>
        </w:trPr>
        <w:tc>
          <w:tcPr>
            <w:tcW w:w="14843" w:type="dxa"/>
            <w:gridSpan w:val="2"/>
          </w:tcPr>
          <w:p w:rsidR="00E73213" w:rsidRPr="00E73213" w:rsidRDefault="00E73213" w:rsidP="00E7321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E73213">
              <w:rPr>
                <w:b/>
                <w:sz w:val="28"/>
                <w:szCs w:val="28"/>
              </w:rPr>
              <w:t>3. Моніторинг тарифів на теплову енергію, її виробництво, транспортування, постачання, на послугу з постачання теплової енергії та послугу з постачання гарячої води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E60640">
              <w:rPr>
                <w:sz w:val="28"/>
                <w:szCs w:val="28"/>
              </w:rPr>
              <w:t xml:space="preserve">3.2.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главою 5 Порядку здійснення моніторингу, проводиться моніторинг рівня </w:t>
            </w:r>
            <w:r w:rsidRPr="00E60640">
              <w:rPr>
                <w:sz w:val="28"/>
                <w:szCs w:val="28"/>
              </w:rPr>
              <w:lastRenderedPageBreak/>
              <w:t>тарифів на теплову енергію, її виробництво, транспортування, постачання, на послугу з постачання теплової енергії та послугу з постачання гарячої води, розрахунків споживачів.</w:t>
            </w:r>
          </w:p>
        </w:tc>
        <w:tc>
          <w:tcPr>
            <w:tcW w:w="7393" w:type="dxa"/>
          </w:tcPr>
          <w:p w:rsidR="00BC139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E60640">
              <w:rPr>
                <w:sz w:val="28"/>
                <w:szCs w:val="28"/>
              </w:rPr>
              <w:lastRenderedPageBreak/>
              <w:t xml:space="preserve">3.2.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BC1396">
              <w:rPr>
                <w:b/>
                <w:sz w:val="28"/>
                <w:szCs w:val="28"/>
              </w:rPr>
              <w:t>пунктом 5.1</w:t>
            </w:r>
            <w:r w:rsidRPr="004E7491">
              <w:rPr>
                <w:sz w:val="28"/>
                <w:szCs w:val="28"/>
              </w:rPr>
              <w:t xml:space="preserve"> </w:t>
            </w:r>
            <w:r w:rsidRPr="00085925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и </w:t>
            </w:r>
            <w:r w:rsidRPr="00085925">
              <w:rPr>
                <w:b/>
                <w:sz w:val="28"/>
                <w:szCs w:val="28"/>
              </w:rPr>
              <w:t>5</w:t>
            </w:r>
            <w:r w:rsidRPr="00E60640">
              <w:rPr>
                <w:sz w:val="28"/>
                <w:szCs w:val="28"/>
              </w:rPr>
              <w:t xml:space="preserve"> Порядку здійснення моніторингу, проводиться </w:t>
            </w:r>
            <w:r w:rsidRPr="00E60640">
              <w:rPr>
                <w:sz w:val="28"/>
                <w:szCs w:val="28"/>
              </w:rPr>
              <w:lastRenderedPageBreak/>
              <w:t>моніторинг рівня тарифів на теплову енергію, її виробництво, транспортування, постачання, на послугу з постачання теплової енергії та послугу з постачання гарячої води, розрахунків споживачів.</w:t>
            </w:r>
          </w:p>
        </w:tc>
      </w:tr>
      <w:tr w:rsidR="00E73213" w:rsidRPr="00755E8A" w:rsidTr="008F721B">
        <w:trPr>
          <w:trHeight w:val="409"/>
        </w:trPr>
        <w:tc>
          <w:tcPr>
            <w:tcW w:w="14843" w:type="dxa"/>
            <w:gridSpan w:val="2"/>
          </w:tcPr>
          <w:p w:rsidR="00E73213" w:rsidRPr="00E73213" w:rsidRDefault="00E73213" w:rsidP="00E7321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E73213">
              <w:rPr>
                <w:b/>
                <w:sz w:val="28"/>
                <w:szCs w:val="28"/>
              </w:rPr>
              <w:lastRenderedPageBreak/>
              <w:t>4. Моніторинг розробки та реалізації інвестиційних програм, а також проектів, що підтримуються за рахунок міжнародних фінансових організацій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35024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C2241C">
              <w:rPr>
                <w:sz w:val="28"/>
                <w:szCs w:val="28"/>
              </w:rPr>
              <w:t xml:space="preserve">4.2. За результатами опрацювання даних (інформації), наданих суб’єктами господарювання відповідно до форми, </w:t>
            </w:r>
            <w:r>
              <w:rPr>
                <w:sz w:val="28"/>
                <w:szCs w:val="28"/>
              </w:rPr>
              <w:t>передбаченої</w:t>
            </w:r>
            <w:r w:rsidRPr="00C2241C">
              <w:rPr>
                <w:sz w:val="28"/>
                <w:szCs w:val="28"/>
              </w:rPr>
              <w:t xml:space="preserve"> пунктом 1.13 глави 1 цього Порядку, та інших джерел даних (інформації), визначених </w:t>
            </w:r>
            <w:r w:rsidRPr="00085925">
              <w:rPr>
                <w:b/>
                <w:sz w:val="28"/>
                <w:szCs w:val="28"/>
              </w:rPr>
              <w:t>главою 5</w:t>
            </w:r>
            <w:r w:rsidRPr="00C2241C">
              <w:rPr>
                <w:sz w:val="28"/>
                <w:szCs w:val="28"/>
              </w:rPr>
              <w:t xml:space="preserve"> Порядку</w:t>
            </w:r>
            <w:r w:rsidRPr="00C2241C">
              <w:rPr>
                <w:rStyle w:val="rvts15"/>
                <w:sz w:val="28"/>
                <w:szCs w:val="28"/>
              </w:rPr>
              <w:t xml:space="preserve"> здійснення моніторингу</w:t>
            </w:r>
            <w:r w:rsidRPr="00C2241C">
              <w:rPr>
                <w:sz w:val="28"/>
                <w:szCs w:val="28"/>
              </w:rPr>
              <w:t>, проводиться моніторинг</w:t>
            </w:r>
            <w:r w:rsidRPr="00C2241C">
              <w:rPr>
                <w:b/>
                <w:sz w:val="28"/>
                <w:szCs w:val="28"/>
              </w:rPr>
              <w:t xml:space="preserve"> </w:t>
            </w:r>
            <w:r w:rsidRPr="00C2241C">
              <w:rPr>
                <w:sz w:val="28"/>
                <w:szCs w:val="28"/>
              </w:rPr>
              <w:t>наявності інвестиційних програм суб’єктів господарювання у сфері теплопостачання та їх виконання, наявності проектів, які підтримуються за рахунок МФО та їх виконання.</w:t>
            </w:r>
          </w:p>
        </w:tc>
        <w:tc>
          <w:tcPr>
            <w:tcW w:w="7393" w:type="dxa"/>
          </w:tcPr>
          <w:p w:rsidR="00BC1396" w:rsidRPr="0035024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C2241C">
              <w:rPr>
                <w:sz w:val="28"/>
                <w:szCs w:val="28"/>
              </w:rPr>
              <w:t xml:space="preserve">4.2. За результатами опрацювання даних (інформації), наданих суб’єктами господарювання відповідно до форми, </w:t>
            </w:r>
            <w:r>
              <w:rPr>
                <w:sz w:val="28"/>
                <w:szCs w:val="28"/>
              </w:rPr>
              <w:t>передбаченої</w:t>
            </w:r>
            <w:r w:rsidRPr="00C2241C">
              <w:rPr>
                <w:sz w:val="28"/>
                <w:szCs w:val="28"/>
              </w:rPr>
              <w:t xml:space="preserve"> пунктом 1.13 глави 1 цього Порядку, та інших джерел даних (інформації), визначених </w:t>
            </w:r>
            <w:r w:rsidRPr="00BC1396">
              <w:rPr>
                <w:b/>
                <w:sz w:val="28"/>
                <w:szCs w:val="28"/>
              </w:rPr>
              <w:t>пунктом 5.1</w:t>
            </w:r>
            <w:r w:rsidRPr="004E7491">
              <w:rPr>
                <w:sz w:val="28"/>
                <w:szCs w:val="28"/>
              </w:rPr>
              <w:t xml:space="preserve"> </w:t>
            </w:r>
            <w:r w:rsidRPr="00085925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и </w:t>
            </w:r>
            <w:r w:rsidRPr="00085925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2241C">
              <w:rPr>
                <w:sz w:val="28"/>
                <w:szCs w:val="28"/>
              </w:rPr>
              <w:t>Порядку</w:t>
            </w:r>
            <w:r w:rsidRPr="00C2241C">
              <w:rPr>
                <w:rStyle w:val="rvts15"/>
                <w:sz w:val="28"/>
                <w:szCs w:val="28"/>
              </w:rPr>
              <w:t xml:space="preserve"> здійснення моніторингу</w:t>
            </w:r>
            <w:r w:rsidRPr="00C2241C">
              <w:rPr>
                <w:sz w:val="28"/>
                <w:szCs w:val="28"/>
              </w:rPr>
              <w:t>, проводиться моніторинг</w:t>
            </w:r>
            <w:r w:rsidRPr="00C2241C">
              <w:rPr>
                <w:b/>
                <w:sz w:val="28"/>
                <w:szCs w:val="28"/>
              </w:rPr>
              <w:t xml:space="preserve"> </w:t>
            </w:r>
            <w:r w:rsidRPr="00C2241C">
              <w:rPr>
                <w:sz w:val="28"/>
                <w:szCs w:val="28"/>
              </w:rPr>
              <w:t>наявності інвестиційних програм суб’єктів господарювання у сфері теплопостачання та їх виконання, наявності проектів, які підтримуються за рахунок МФО та їх виконання.</w:t>
            </w:r>
          </w:p>
        </w:tc>
      </w:tr>
      <w:tr w:rsidR="00353633" w:rsidRPr="00755E8A" w:rsidTr="00236799">
        <w:trPr>
          <w:trHeight w:val="409"/>
        </w:trPr>
        <w:tc>
          <w:tcPr>
            <w:tcW w:w="14843" w:type="dxa"/>
            <w:gridSpan w:val="2"/>
          </w:tcPr>
          <w:p w:rsidR="00353633" w:rsidRPr="00353633" w:rsidRDefault="00353633" w:rsidP="00353633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353633">
              <w:rPr>
                <w:b/>
                <w:sz w:val="28"/>
                <w:szCs w:val="28"/>
              </w:rPr>
              <w:t>5. Моніторинг дотримання вимог щодо надійності та безперебійності виробництва, транспортування, постачання теплової енергії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69289C">
              <w:rPr>
                <w:sz w:val="28"/>
                <w:szCs w:val="28"/>
              </w:rPr>
              <w:t xml:space="preserve">5.2.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085925">
              <w:rPr>
                <w:b/>
                <w:sz w:val="28"/>
                <w:szCs w:val="28"/>
              </w:rPr>
              <w:t>главою 5</w:t>
            </w:r>
            <w:r w:rsidRPr="0069289C">
              <w:rPr>
                <w:sz w:val="28"/>
                <w:szCs w:val="28"/>
              </w:rPr>
              <w:t xml:space="preserve"> Порядку здійснення моніторингу, проводиться моніторинг дотримання вимог щодо надійності та безперебійності виробництва, транспортування, постачання теплової енергії.</w:t>
            </w:r>
          </w:p>
        </w:tc>
        <w:tc>
          <w:tcPr>
            <w:tcW w:w="7393" w:type="dxa"/>
          </w:tcPr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69289C">
              <w:rPr>
                <w:sz w:val="28"/>
                <w:szCs w:val="28"/>
              </w:rPr>
              <w:t xml:space="preserve">5.2.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BC1396">
              <w:rPr>
                <w:b/>
                <w:sz w:val="28"/>
                <w:szCs w:val="28"/>
              </w:rPr>
              <w:t>пунктом 5.1</w:t>
            </w:r>
            <w:r w:rsidRPr="004E7491">
              <w:rPr>
                <w:sz w:val="28"/>
                <w:szCs w:val="28"/>
              </w:rPr>
              <w:t xml:space="preserve"> </w:t>
            </w:r>
            <w:r w:rsidRPr="00085925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и </w:t>
            </w:r>
            <w:r w:rsidRPr="00085925">
              <w:rPr>
                <w:b/>
                <w:sz w:val="28"/>
                <w:szCs w:val="28"/>
              </w:rPr>
              <w:t>5</w:t>
            </w:r>
            <w:r w:rsidRPr="0069289C">
              <w:rPr>
                <w:sz w:val="28"/>
                <w:szCs w:val="28"/>
              </w:rPr>
              <w:t xml:space="preserve"> Порядку здійснення моніторингу, проводиться моніторинг дотримання вимог щодо надійності та безперебійності виробництва, транспортування, постачання теплової енергії.</w:t>
            </w:r>
          </w:p>
        </w:tc>
      </w:tr>
      <w:tr w:rsidR="00BC1396" w:rsidRPr="00755E8A" w:rsidTr="002D4683">
        <w:trPr>
          <w:trHeight w:val="409"/>
        </w:trPr>
        <w:tc>
          <w:tcPr>
            <w:tcW w:w="14843" w:type="dxa"/>
            <w:gridSpan w:val="2"/>
          </w:tcPr>
          <w:p w:rsidR="00BC1396" w:rsidRPr="004A6446" w:rsidRDefault="00BC1396" w:rsidP="00BC1396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4A6446">
              <w:rPr>
                <w:rStyle w:val="rvts15"/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Моніторинг </w:t>
            </w:r>
            <w:bookmarkStart w:id="3" w:name="_Hlk144115933"/>
            <w:r w:rsidRPr="004A6446">
              <w:rPr>
                <w:rStyle w:val="rvts15"/>
                <w:rFonts w:ascii="Times New Roman" w:hAnsi="Times New Roman" w:cs="Times New Roman"/>
                <w:b/>
                <w:bCs/>
                <w:sz w:val="28"/>
                <w:szCs w:val="28"/>
              </w:rPr>
              <w:t>ефективності функціонування сфери теплопостачання та рівня конкуренції на ринку теплової енергії</w:t>
            </w:r>
            <w:bookmarkEnd w:id="3"/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35024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15"/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lastRenderedPageBreak/>
              <w:t xml:space="preserve">6.2. За результатами опрацювання даних (інформації), наданих суб’єктами господарювання відповідно до форми, </w:t>
            </w:r>
            <w:r>
              <w:rPr>
                <w:sz w:val="28"/>
                <w:szCs w:val="28"/>
              </w:rPr>
              <w:t>передбаченої</w:t>
            </w:r>
            <w:r w:rsidRPr="00C2241C">
              <w:rPr>
                <w:sz w:val="28"/>
                <w:szCs w:val="28"/>
              </w:rPr>
              <w:t xml:space="preserve"> пунктом 1.13 глави 1 цього Порядку, та інших джерел даних (інформації), визначених главою 5 Порядку </w:t>
            </w:r>
            <w:r w:rsidRPr="00C2241C">
              <w:rPr>
                <w:rStyle w:val="rvts15"/>
                <w:sz w:val="28"/>
                <w:szCs w:val="28"/>
              </w:rPr>
              <w:t>здійснення моніторингу</w:t>
            </w:r>
            <w:r w:rsidRPr="00C2241C">
              <w:rPr>
                <w:sz w:val="28"/>
                <w:szCs w:val="28"/>
              </w:rPr>
              <w:t>, проводиться моніторинг ефективності  функціонування сфери теплопостачання та рівня конкуренції на ринку теплової енергії.</w:t>
            </w:r>
          </w:p>
        </w:tc>
        <w:tc>
          <w:tcPr>
            <w:tcW w:w="7393" w:type="dxa"/>
          </w:tcPr>
          <w:p w:rsidR="00BC1396" w:rsidRPr="00353633" w:rsidRDefault="00BC1396" w:rsidP="00BC1396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 xml:space="preserve">6.2.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353633">
              <w:rPr>
                <w:rFonts w:ascii="Times New Roman" w:hAnsi="Times New Roman" w:cs="Times New Roman"/>
                <w:b/>
                <w:sz w:val="28"/>
                <w:szCs w:val="28"/>
              </w:rPr>
              <w:t>пунктом 5.1</w:t>
            </w: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 xml:space="preserve"> глави 5 Порядку </w:t>
            </w:r>
            <w:r w:rsidRPr="00353633">
              <w:rPr>
                <w:rStyle w:val="rvts15"/>
                <w:rFonts w:ascii="Times New Roman" w:hAnsi="Times New Roman" w:cs="Times New Roman"/>
                <w:sz w:val="28"/>
                <w:szCs w:val="28"/>
              </w:rPr>
              <w:t>здійснення моніторингу</w:t>
            </w: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>, проводиться моніторинг ефективності  функціонування сфери теплопостачання та рівня конкуренції на ринку теплової енергії.</w:t>
            </w:r>
          </w:p>
        </w:tc>
      </w:tr>
      <w:tr w:rsidR="00BC1396" w:rsidRPr="00755E8A" w:rsidTr="00EE743E">
        <w:trPr>
          <w:trHeight w:val="409"/>
        </w:trPr>
        <w:tc>
          <w:tcPr>
            <w:tcW w:w="14843" w:type="dxa"/>
            <w:gridSpan w:val="2"/>
          </w:tcPr>
          <w:p w:rsidR="00BC1396" w:rsidRPr="00353633" w:rsidRDefault="00BC1396" w:rsidP="00BC1396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353633">
              <w:rPr>
                <w:rStyle w:val="rvts15"/>
                <w:rFonts w:ascii="Times New Roman" w:hAnsi="Times New Roman" w:cs="Times New Roman"/>
                <w:b/>
                <w:bCs/>
                <w:sz w:val="28"/>
                <w:szCs w:val="28"/>
              </w:rPr>
              <w:t>7. Моніторинг з питань захисту прав споживачів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35024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rStyle w:val="rvts15"/>
                <w:sz w:val="28"/>
                <w:szCs w:val="28"/>
              </w:rPr>
            </w:pPr>
            <w:r w:rsidRPr="00C2241C">
              <w:rPr>
                <w:sz w:val="28"/>
                <w:szCs w:val="28"/>
              </w:rPr>
              <w:t xml:space="preserve">7.2. За результатами опрацювання даних (інформації), наданих суб’єктами господарювання відповідно до форми, </w:t>
            </w:r>
            <w:r>
              <w:rPr>
                <w:sz w:val="28"/>
                <w:szCs w:val="28"/>
              </w:rPr>
              <w:t>передбаченої</w:t>
            </w:r>
            <w:r w:rsidRPr="00C2241C">
              <w:rPr>
                <w:sz w:val="28"/>
                <w:szCs w:val="28"/>
              </w:rPr>
              <w:t xml:space="preserve"> пунктом 1.13 глави 1 цього Порядку, та інших джерел даних (інформації), визначених главою 5 Порядку</w:t>
            </w:r>
            <w:r w:rsidRPr="00C2241C">
              <w:rPr>
                <w:rStyle w:val="rvts15"/>
                <w:sz w:val="28"/>
                <w:szCs w:val="28"/>
              </w:rPr>
              <w:t xml:space="preserve"> здійснення моніторингу</w:t>
            </w:r>
            <w:r w:rsidRPr="00C2241C">
              <w:rPr>
                <w:sz w:val="28"/>
                <w:szCs w:val="28"/>
              </w:rPr>
              <w:t>, проводиться моніторинг з питань захисту прав споживачів.</w:t>
            </w:r>
          </w:p>
        </w:tc>
        <w:tc>
          <w:tcPr>
            <w:tcW w:w="7393" w:type="dxa"/>
          </w:tcPr>
          <w:p w:rsidR="00BC1396" w:rsidRPr="00353633" w:rsidRDefault="00BC1396" w:rsidP="00BC1396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 xml:space="preserve">7.2. За результатами опрацювання даних (інформації), наданих суб’єктами господарювання відповідно до форми, передбаченої пунктом 1.13 глави 1 цього Порядку, та інших джерел даних (інформації), визначених </w:t>
            </w:r>
            <w:r w:rsidRPr="00353633">
              <w:rPr>
                <w:rFonts w:ascii="Times New Roman" w:hAnsi="Times New Roman" w:cs="Times New Roman"/>
                <w:b/>
                <w:sz w:val="28"/>
                <w:szCs w:val="28"/>
              </w:rPr>
              <w:t>пунктом 5.1</w:t>
            </w: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 xml:space="preserve"> глави 5 Порядку</w:t>
            </w:r>
            <w:r w:rsidRPr="00353633">
              <w:rPr>
                <w:rStyle w:val="rvts15"/>
                <w:rFonts w:ascii="Times New Roman" w:hAnsi="Times New Roman" w:cs="Times New Roman"/>
                <w:sz w:val="28"/>
                <w:szCs w:val="28"/>
              </w:rPr>
              <w:t xml:space="preserve"> здійснення моніторингу</w:t>
            </w:r>
            <w:r w:rsidRPr="00353633">
              <w:rPr>
                <w:rFonts w:ascii="Times New Roman" w:hAnsi="Times New Roman" w:cs="Times New Roman"/>
                <w:sz w:val="28"/>
                <w:szCs w:val="28"/>
              </w:rPr>
              <w:t>, проводиться моніторинг з питань захисту прав споживачів.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C1396" w:rsidRDefault="00BC1396" w:rsidP="00BC1396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cyan"/>
                <w:lang w:eastAsia="uk-UA"/>
              </w:rPr>
            </w:pPr>
          </w:p>
        </w:tc>
      </w:tr>
      <w:tr w:rsidR="00DD5075" w:rsidRPr="00755E8A" w:rsidTr="006A66BE">
        <w:trPr>
          <w:trHeight w:val="1100"/>
        </w:trPr>
        <w:tc>
          <w:tcPr>
            <w:tcW w:w="7450" w:type="dxa"/>
          </w:tcPr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8"/>
                <w:szCs w:val="28"/>
              </w:rPr>
            </w:pPr>
            <w:r w:rsidRPr="000C1C99">
              <w:rPr>
                <w:b/>
                <w:sz w:val="28"/>
                <w:szCs w:val="28"/>
              </w:rPr>
              <w:t>Додаток 1</w:t>
            </w:r>
          </w:p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8"/>
                <w:szCs w:val="28"/>
              </w:rPr>
            </w:pPr>
            <w:r w:rsidRPr="000C1C99">
              <w:rPr>
                <w:b/>
                <w:sz w:val="28"/>
                <w:szCs w:val="28"/>
              </w:rPr>
              <w:t xml:space="preserve">до Порядку моніторингу ринку </w:t>
            </w:r>
          </w:p>
          <w:p w:rsidR="00BC1396" w:rsidRPr="00C2241C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8"/>
                <w:szCs w:val="28"/>
              </w:rPr>
            </w:pPr>
            <w:r w:rsidRPr="000C1C99">
              <w:rPr>
                <w:b/>
                <w:sz w:val="28"/>
                <w:szCs w:val="28"/>
              </w:rPr>
              <w:t>теплової енергії</w:t>
            </w:r>
          </w:p>
        </w:tc>
        <w:tc>
          <w:tcPr>
            <w:tcW w:w="7393" w:type="dxa"/>
          </w:tcPr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8"/>
                <w:szCs w:val="28"/>
              </w:rPr>
            </w:pPr>
            <w:r w:rsidRPr="000C1C99">
              <w:rPr>
                <w:b/>
                <w:sz w:val="28"/>
                <w:szCs w:val="28"/>
              </w:rPr>
              <w:t>Додаток 1</w:t>
            </w:r>
          </w:p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8"/>
                <w:szCs w:val="28"/>
              </w:rPr>
            </w:pPr>
            <w:r w:rsidRPr="000C1C99">
              <w:rPr>
                <w:b/>
                <w:sz w:val="28"/>
                <w:szCs w:val="28"/>
              </w:rPr>
              <w:t xml:space="preserve">до Порядку моніторингу ринку </w:t>
            </w:r>
          </w:p>
          <w:p w:rsidR="00BC1396" w:rsidRPr="004D1F9E" w:rsidRDefault="00BC1396" w:rsidP="00BC1396">
            <w:pPr>
              <w:ind w:firstLine="41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0C1C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теплової енергії</w:t>
            </w:r>
          </w:p>
        </w:tc>
      </w:tr>
      <w:tr w:rsidR="00DD5075" w:rsidRPr="00755E8A" w:rsidTr="006A66BE">
        <w:trPr>
          <w:trHeight w:val="409"/>
        </w:trPr>
        <w:tc>
          <w:tcPr>
            <w:tcW w:w="7450" w:type="dxa"/>
          </w:tcPr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FA7353">
              <w:rPr>
                <w:rStyle w:val="rvts15"/>
                <w:b/>
                <w:bCs/>
                <w:sz w:val="28"/>
                <w:szCs w:val="28"/>
                <w:shd w:val="clear" w:color="auto" w:fill="FFFFFF"/>
              </w:rPr>
              <w:t>ІНДИКАТОРИ/ПОКАЗНИКИ</w:t>
            </w:r>
            <w:r w:rsidRPr="00FA7353">
              <w:br/>
            </w:r>
            <w:r w:rsidRPr="00FA7353">
              <w:rPr>
                <w:rStyle w:val="rvts15"/>
                <w:b/>
                <w:bCs/>
                <w:sz w:val="28"/>
                <w:szCs w:val="28"/>
                <w:shd w:val="clear" w:color="auto" w:fill="FFFFFF"/>
              </w:rPr>
              <w:t>моніторингу ринку теплової енергії</w:t>
            </w:r>
          </w:p>
        </w:tc>
        <w:tc>
          <w:tcPr>
            <w:tcW w:w="7393" w:type="dxa"/>
          </w:tcPr>
          <w:p w:rsidR="00BC1396" w:rsidRPr="000C1C99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center"/>
              <w:rPr>
                <w:b/>
                <w:sz w:val="28"/>
                <w:szCs w:val="28"/>
              </w:rPr>
            </w:pPr>
            <w:r w:rsidRPr="00FA7353">
              <w:rPr>
                <w:rStyle w:val="rvts15"/>
                <w:b/>
                <w:bCs/>
                <w:sz w:val="28"/>
                <w:szCs w:val="28"/>
                <w:shd w:val="clear" w:color="auto" w:fill="FFFFFF"/>
              </w:rPr>
              <w:t>ІНДИКАТОРИ/ПОКАЗНИКИ</w:t>
            </w:r>
            <w:r w:rsidRPr="00FA7353">
              <w:br/>
            </w:r>
            <w:r w:rsidRPr="00FA7353">
              <w:rPr>
                <w:rStyle w:val="rvts15"/>
                <w:b/>
                <w:bCs/>
                <w:sz w:val="28"/>
                <w:szCs w:val="28"/>
                <w:shd w:val="clear" w:color="auto" w:fill="FFFFFF"/>
              </w:rPr>
              <w:t>моніторингу ринку теплової енергії</w:t>
            </w:r>
          </w:p>
        </w:tc>
      </w:tr>
      <w:tr w:rsidR="00DD5075" w:rsidRPr="00755E8A" w:rsidTr="00444546">
        <w:trPr>
          <w:trHeight w:val="70"/>
        </w:trPr>
        <w:tc>
          <w:tcPr>
            <w:tcW w:w="7450" w:type="dxa"/>
          </w:tcPr>
          <w:p w:rsidR="00BC1396" w:rsidRPr="00E22AF2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5"/>
              <w:gridCol w:w="1656"/>
              <w:gridCol w:w="1504"/>
              <w:gridCol w:w="2409"/>
            </w:tblGrid>
            <w:tr w:rsidR="00BC1396" w:rsidRPr="00E22AF2" w:rsidTr="00444546">
              <w:tc>
                <w:tcPr>
                  <w:tcW w:w="1655" w:type="dxa"/>
                  <w:vAlign w:val="center"/>
                </w:tcPr>
                <w:p w:rsidR="00BC1396" w:rsidRPr="00E22AF2" w:rsidRDefault="00BC1396" w:rsidP="00BC1396">
                  <w:pPr>
                    <w:spacing w:before="120"/>
                    <w:ind w:left="57" w:right="93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Предмет моніторингу</w:t>
                  </w:r>
                </w:p>
              </w:tc>
              <w:tc>
                <w:tcPr>
                  <w:tcW w:w="1656" w:type="dxa"/>
                  <w:vAlign w:val="center"/>
                </w:tcPr>
                <w:p w:rsidR="00BC1396" w:rsidRPr="00E22AF2" w:rsidRDefault="00BC1396" w:rsidP="00BC1396">
                  <w:pPr>
                    <w:spacing w:before="120"/>
                    <w:ind w:left="57" w:right="1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Індикатори/ показники</w:t>
                  </w:r>
                </w:p>
              </w:tc>
              <w:tc>
                <w:tcPr>
                  <w:tcW w:w="1504" w:type="dxa"/>
                  <w:vAlign w:val="center"/>
                </w:tcPr>
                <w:p w:rsidR="00BC1396" w:rsidRPr="00E22AF2" w:rsidRDefault="00BC1396" w:rsidP="00BC139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Період моніторингу</w:t>
                  </w:r>
                </w:p>
                <w:p w:rsidR="00BC1396" w:rsidRPr="00E22AF2" w:rsidRDefault="00BC1396" w:rsidP="00BC1396">
                  <w:pPr>
                    <w:spacing w:before="120"/>
                    <w:ind w:left="57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BC1396" w:rsidRPr="00E22AF2" w:rsidRDefault="00BC1396" w:rsidP="00BC1396">
                  <w:pPr>
                    <w:tabs>
                      <w:tab w:val="left" w:pos="1544"/>
                      <w:tab w:val="left" w:pos="1828"/>
                    </w:tabs>
                    <w:spacing w:before="120"/>
                    <w:ind w:left="127" w:right="126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Джерело інформації</w:t>
                  </w:r>
                </w:p>
              </w:tc>
            </w:tr>
            <w:tr w:rsidR="00BC1396" w:rsidRPr="00E22AF2" w:rsidTr="0083573C">
              <w:trPr>
                <w:trHeight w:val="6653"/>
              </w:trPr>
              <w:tc>
                <w:tcPr>
                  <w:tcW w:w="1655" w:type="dxa"/>
                </w:tcPr>
                <w:p w:rsidR="00BC1396" w:rsidRPr="00E22AF2" w:rsidRDefault="00BC1396" w:rsidP="00BC1396">
                  <w:pPr>
                    <w:spacing w:before="120"/>
                    <w:ind w:left="57" w:right="93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…</w:t>
                  </w:r>
                </w:p>
              </w:tc>
              <w:tc>
                <w:tcPr>
                  <w:tcW w:w="1656" w:type="dxa"/>
                </w:tcPr>
                <w:p w:rsidR="00BC1396" w:rsidRPr="00E22AF2" w:rsidRDefault="00BC1396" w:rsidP="00BC1396">
                  <w:pPr>
                    <w:spacing w:before="120"/>
                    <w:ind w:left="57" w:right="1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…</w:t>
                  </w:r>
                </w:p>
              </w:tc>
              <w:tc>
                <w:tcPr>
                  <w:tcW w:w="1504" w:type="dxa"/>
                </w:tcPr>
                <w:p w:rsidR="00BC1396" w:rsidRPr="00E22AF2" w:rsidRDefault="00BC1396" w:rsidP="00BC139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…</w:t>
                  </w:r>
                </w:p>
              </w:tc>
              <w:tc>
                <w:tcPr>
                  <w:tcW w:w="2409" w:type="dxa"/>
                  <w:vAlign w:val="center"/>
                </w:tcPr>
                <w:p w:rsidR="00BC1396" w:rsidRPr="00E22AF2" w:rsidRDefault="00353633" w:rsidP="00BC1396">
                  <w:pPr>
                    <w:tabs>
                      <w:tab w:val="left" w:pos="1544"/>
                      <w:tab w:val="left" w:pos="1828"/>
                    </w:tabs>
                    <w:spacing w:before="120"/>
                    <w:ind w:left="127" w:right="126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536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Дані (інформація), надані суб’єктами господарювання відповідно до форми (додаток 2 до цього Порядку) та отримані з інших джерел, </w:t>
                  </w:r>
                  <w:r w:rsidRPr="003536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визначені пунктом 5</w:t>
                  </w:r>
                  <w:r w:rsidRPr="003536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послуг, затвердженого постановою НКРЕКП від 14.09.2017 № 1120</w:t>
                  </w:r>
                </w:p>
              </w:tc>
            </w:tr>
          </w:tbl>
          <w:p w:rsidR="00BC1396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  <w:p w:rsidR="0034219B" w:rsidRDefault="0034219B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  <w:p w:rsidR="0034219B" w:rsidRDefault="0034219B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  <w:p w:rsidR="0034219B" w:rsidRPr="00E22AF2" w:rsidRDefault="0034219B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</w:tc>
        <w:tc>
          <w:tcPr>
            <w:tcW w:w="7393" w:type="dxa"/>
          </w:tcPr>
          <w:p w:rsidR="00BC1396" w:rsidRPr="00E22AF2" w:rsidRDefault="00BC1396" w:rsidP="00BC13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4"/>
              <w:gridCol w:w="1656"/>
              <w:gridCol w:w="1504"/>
              <w:gridCol w:w="2353"/>
            </w:tblGrid>
            <w:tr w:rsidR="00BC1396" w:rsidRPr="00E22AF2" w:rsidTr="00444546">
              <w:tc>
                <w:tcPr>
                  <w:tcW w:w="1654" w:type="dxa"/>
                  <w:vAlign w:val="center"/>
                </w:tcPr>
                <w:p w:rsidR="00BC1396" w:rsidRPr="00E22AF2" w:rsidRDefault="00BC1396" w:rsidP="00BC1396">
                  <w:pPr>
                    <w:spacing w:before="120"/>
                    <w:ind w:left="57" w:right="93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Предмет моніторингу</w:t>
                  </w:r>
                </w:p>
              </w:tc>
              <w:tc>
                <w:tcPr>
                  <w:tcW w:w="1656" w:type="dxa"/>
                  <w:vAlign w:val="center"/>
                </w:tcPr>
                <w:p w:rsidR="00BC1396" w:rsidRPr="00E22AF2" w:rsidRDefault="00BC1396" w:rsidP="00BC1396">
                  <w:pPr>
                    <w:spacing w:before="120"/>
                    <w:ind w:left="57" w:right="1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Індикатори/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показники</w:t>
                  </w:r>
                </w:p>
              </w:tc>
              <w:tc>
                <w:tcPr>
                  <w:tcW w:w="1504" w:type="dxa"/>
                  <w:vAlign w:val="center"/>
                </w:tcPr>
                <w:p w:rsidR="00BC1396" w:rsidRPr="00E22AF2" w:rsidRDefault="00BC1396" w:rsidP="00BC139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Період моніторингу</w:t>
                  </w:r>
                </w:p>
                <w:p w:rsidR="00BC1396" w:rsidRPr="00E22AF2" w:rsidRDefault="00BC1396" w:rsidP="00BC1396">
                  <w:pPr>
                    <w:spacing w:before="120"/>
                    <w:ind w:left="57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353" w:type="dxa"/>
                  <w:vAlign w:val="center"/>
                </w:tcPr>
                <w:p w:rsidR="00BC1396" w:rsidRPr="00E22AF2" w:rsidRDefault="00BC1396" w:rsidP="00BC1396">
                  <w:pPr>
                    <w:tabs>
                      <w:tab w:val="left" w:pos="1544"/>
                      <w:tab w:val="left" w:pos="1828"/>
                    </w:tabs>
                    <w:spacing w:before="120"/>
                    <w:ind w:left="127" w:right="126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Джерело інформації</w:t>
                  </w:r>
                </w:p>
              </w:tc>
            </w:tr>
            <w:tr w:rsidR="00BC1396" w:rsidRPr="00E22AF2" w:rsidTr="00444546">
              <w:trPr>
                <w:trHeight w:val="7675"/>
              </w:trPr>
              <w:tc>
                <w:tcPr>
                  <w:tcW w:w="1654" w:type="dxa"/>
                </w:tcPr>
                <w:p w:rsidR="00BC1396" w:rsidRPr="00E22AF2" w:rsidRDefault="00BC1396" w:rsidP="00BC1396">
                  <w:pPr>
                    <w:spacing w:before="120"/>
                    <w:ind w:left="57" w:right="93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2A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…</w:t>
                  </w:r>
                </w:p>
              </w:tc>
              <w:tc>
                <w:tcPr>
                  <w:tcW w:w="1656" w:type="dxa"/>
                </w:tcPr>
                <w:p w:rsidR="00BC1396" w:rsidRPr="00E22AF2" w:rsidRDefault="00BC1396" w:rsidP="00BC1396">
                  <w:pPr>
                    <w:spacing w:before="120"/>
                    <w:ind w:left="57" w:right="1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…</w:t>
                  </w:r>
                </w:p>
              </w:tc>
              <w:tc>
                <w:tcPr>
                  <w:tcW w:w="1504" w:type="dxa"/>
                </w:tcPr>
                <w:p w:rsidR="00BC1396" w:rsidRPr="00E22AF2" w:rsidRDefault="00BC1396" w:rsidP="00BC139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…</w:t>
                  </w:r>
                </w:p>
              </w:tc>
              <w:tc>
                <w:tcPr>
                  <w:tcW w:w="2353" w:type="dxa"/>
                  <w:vAlign w:val="center"/>
                </w:tcPr>
                <w:p w:rsidR="00BC1396" w:rsidRPr="00E22AF2" w:rsidRDefault="00353633" w:rsidP="00BC1396">
                  <w:pPr>
                    <w:tabs>
                      <w:tab w:val="left" w:pos="1544"/>
                      <w:tab w:val="left" w:pos="1828"/>
                    </w:tabs>
                    <w:spacing w:before="120"/>
                    <w:ind w:right="126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536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Дані (інформація), надані суб’єктами господарювання відповідно до форми (додаток 2 до цього Порядку) та отримані з інших джерел, </w:t>
                  </w:r>
                  <w:r w:rsidRPr="0035363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визначених пунктом 5.1 глави 5</w:t>
                  </w:r>
                  <w:r w:rsidRPr="003536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послуг, затвердженого постановою НКРЕКП від 14.09.2017 № 1120</w:t>
                  </w:r>
                </w:p>
              </w:tc>
            </w:tr>
          </w:tbl>
          <w:p w:rsidR="00BC1396" w:rsidRPr="00E22AF2" w:rsidRDefault="00BC1396" w:rsidP="00BC1396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</w:pPr>
          </w:p>
        </w:tc>
      </w:tr>
      <w:tr w:rsidR="00DD5075" w:rsidRPr="00755E8A" w:rsidTr="00444546">
        <w:trPr>
          <w:trHeight w:val="70"/>
        </w:trPr>
        <w:tc>
          <w:tcPr>
            <w:tcW w:w="7450" w:type="dxa"/>
          </w:tcPr>
          <w:p w:rsidR="0034219B" w:rsidRPr="00DD5075" w:rsidRDefault="0034219B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Cs w:val="28"/>
              </w:rPr>
            </w:pPr>
            <w:r w:rsidRPr="00DD5075">
              <w:rPr>
                <w:b/>
                <w:szCs w:val="28"/>
              </w:rPr>
              <w:lastRenderedPageBreak/>
              <w:t>Додаток 2</w:t>
            </w:r>
          </w:p>
          <w:p w:rsidR="0034219B" w:rsidRPr="00DD5075" w:rsidRDefault="0034219B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Cs w:val="28"/>
              </w:rPr>
            </w:pPr>
            <w:r w:rsidRPr="00DD5075">
              <w:rPr>
                <w:b/>
                <w:szCs w:val="28"/>
              </w:rPr>
              <w:t xml:space="preserve">до Порядку моніторингу ринку </w:t>
            </w:r>
          </w:p>
          <w:p w:rsidR="0034219B" w:rsidRPr="00DD5075" w:rsidRDefault="0034219B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Cs w:val="28"/>
              </w:rPr>
            </w:pPr>
            <w:r w:rsidRPr="00DD5075">
              <w:rPr>
                <w:b/>
                <w:szCs w:val="28"/>
              </w:rPr>
              <w:t>теплової енергії</w:t>
            </w:r>
          </w:p>
        </w:tc>
        <w:tc>
          <w:tcPr>
            <w:tcW w:w="7393" w:type="dxa"/>
          </w:tcPr>
          <w:p w:rsidR="0034219B" w:rsidRPr="00DD5075" w:rsidRDefault="0034219B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Cs w:val="28"/>
              </w:rPr>
            </w:pPr>
            <w:r w:rsidRPr="00DD5075">
              <w:rPr>
                <w:b/>
                <w:szCs w:val="28"/>
              </w:rPr>
              <w:t>Додаток 2</w:t>
            </w:r>
          </w:p>
          <w:p w:rsidR="0034219B" w:rsidRPr="00DD5075" w:rsidRDefault="0034219B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Cs w:val="28"/>
              </w:rPr>
            </w:pPr>
            <w:r w:rsidRPr="00DD5075">
              <w:rPr>
                <w:b/>
                <w:szCs w:val="28"/>
              </w:rPr>
              <w:t xml:space="preserve">до Порядку моніторингу ринку </w:t>
            </w:r>
          </w:p>
          <w:p w:rsidR="0034219B" w:rsidRPr="00DD5075" w:rsidRDefault="0034219B" w:rsidP="0034219B">
            <w:pPr>
              <w:ind w:firstLine="4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uk-UA"/>
              </w:rPr>
            </w:pPr>
            <w:r w:rsidRPr="00DD507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uk-UA"/>
              </w:rPr>
              <w:t>теплової енергії</w:t>
            </w:r>
          </w:p>
        </w:tc>
      </w:tr>
      <w:tr w:rsidR="00DD5075" w:rsidRPr="00755E8A" w:rsidTr="00444546">
        <w:trPr>
          <w:trHeight w:val="70"/>
        </w:trPr>
        <w:tc>
          <w:tcPr>
            <w:tcW w:w="7450" w:type="dxa"/>
          </w:tcPr>
          <w:p w:rsidR="0034219B" w:rsidRDefault="0034219B" w:rsidP="00DD5075">
            <w:pPr>
              <w:pStyle w:val="rvps2"/>
              <w:shd w:val="clear" w:color="auto" w:fill="FFFFFF"/>
              <w:spacing w:before="0" w:beforeAutospacing="0" w:after="0" w:afterAutospacing="0"/>
              <w:ind w:firstLine="22"/>
              <w:jc w:val="both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EC5855" wp14:editId="6692D700">
                  <wp:extent cx="3400425" cy="2418158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7596" cy="2444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5075" w:rsidRPr="000C1C99" w:rsidRDefault="00DD5075" w:rsidP="00DD507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BBFFF8" wp14:editId="6CC7E0C7">
                  <wp:extent cx="3476625" cy="189455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911" cy="191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34219B" w:rsidRPr="000C1C99" w:rsidRDefault="004C5B7A" w:rsidP="0034219B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8"/>
                <w:szCs w:val="28"/>
              </w:rPr>
            </w:pPr>
            <w:r w:rsidRPr="00695BAC">
              <w:rPr>
                <w:noProof/>
              </w:rPr>
              <w:drawing>
                <wp:inline distT="0" distB="0" distL="0" distR="0" wp14:anchorId="6C81B5CD" wp14:editId="47286837">
                  <wp:extent cx="2908935" cy="4377217"/>
                  <wp:effectExtent l="0" t="0" r="5715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028" cy="4384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6773" w:rsidRPr="003C378A" w:rsidRDefault="001B6773" w:rsidP="0083573C">
      <w:pPr>
        <w:pStyle w:val="3"/>
        <w:spacing w:before="12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Директор Департаменту із регулювання</w:t>
      </w:r>
    </w:p>
    <w:p w:rsidR="001B6773" w:rsidRPr="003C378A" w:rsidRDefault="001B6773" w:rsidP="0083573C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відносин у сферах теплопостачання</w:t>
      </w:r>
      <w:r w:rsidRPr="003C378A">
        <w:rPr>
          <w:rFonts w:eastAsia="Courier New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3C378A">
        <w:rPr>
          <w:b w:val="0"/>
          <w:sz w:val="28"/>
          <w:szCs w:val="28"/>
          <w:lang w:val="uk-UA"/>
        </w:rPr>
        <w:t>та</w:t>
      </w:r>
    </w:p>
    <w:p w:rsidR="001B6773" w:rsidRPr="003C378A" w:rsidRDefault="001B6773" w:rsidP="0083573C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 xml:space="preserve">забезпечення енергетичної ефективності </w:t>
      </w:r>
    </w:p>
    <w:p w:rsidR="001B6773" w:rsidRPr="003C378A" w:rsidRDefault="001B6773" w:rsidP="0083573C">
      <w:pPr>
        <w:spacing w:line="240" w:lineRule="auto"/>
        <w:rPr>
          <w:rFonts w:ascii="Times New Roman" w:hAnsi="Times New Roman" w:cs="Times New Roman"/>
        </w:rPr>
      </w:pPr>
      <w:r w:rsidRPr="003C378A">
        <w:rPr>
          <w:rFonts w:ascii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="003C378A">
        <w:rPr>
          <w:rFonts w:ascii="Times New Roman" w:hAnsi="Times New Roman" w:cs="Times New Roman"/>
          <w:sz w:val="28"/>
          <w:szCs w:val="28"/>
        </w:rPr>
        <w:tab/>
      </w:r>
      <w:r w:rsidR="0083573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C378A">
        <w:rPr>
          <w:rFonts w:ascii="Times New Roman" w:hAnsi="Times New Roman" w:cs="Times New Roman"/>
          <w:sz w:val="28"/>
          <w:szCs w:val="28"/>
        </w:rPr>
        <w:t>Р</w:t>
      </w:r>
      <w:r w:rsidR="0063070D">
        <w:rPr>
          <w:rFonts w:ascii="Times New Roman" w:hAnsi="Times New Roman" w:cs="Times New Roman"/>
          <w:sz w:val="28"/>
          <w:szCs w:val="28"/>
        </w:rPr>
        <w:t>услан ОВЧАРЕНКО</w:t>
      </w:r>
    </w:p>
    <w:sectPr w:rsidR="001B6773" w:rsidRPr="003C378A" w:rsidSect="00630059">
      <w:headerReference w:type="default" r:id="rId11"/>
      <w:footerReference w:type="default" r:id="rId12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AE9" w:rsidRDefault="00187AE9" w:rsidP="00DA308A">
      <w:pPr>
        <w:spacing w:after="0" w:line="240" w:lineRule="auto"/>
      </w:pPr>
      <w:r>
        <w:separator/>
      </w:r>
    </w:p>
  </w:endnote>
  <w:endnote w:type="continuationSeparator" w:id="0">
    <w:p w:rsidR="00187AE9" w:rsidRDefault="00187AE9" w:rsidP="00DA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08A" w:rsidRDefault="00DA308A">
    <w:pPr>
      <w:pStyle w:val="a7"/>
      <w:jc w:val="right"/>
    </w:pPr>
  </w:p>
  <w:p w:rsidR="00DA308A" w:rsidRDefault="00DA30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AE9" w:rsidRDefault="00187AE9" w:rsidP="00DA308A">
      <w:pPr>
        <w:spacing w:after="0" w:line="240" w:lineRule="auto"/>
      </w:pPr>
      <w:r>
        <w:separator/>
      </w:r>
    </w:p>
  </w:footnote>
  <w:footnote w:type="continuationSeparator" w:id="0">
    <w:p w:rsidR="00187AE9" w:rsidRDefault="00187AE9" w:rsidP="00DA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537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7847" w:rsidRPr="00B17847" w:rsidRDefault="00B1784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7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7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54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7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7847" w:rsidRPr="00B17847" w:rsidRDefault="00B1784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34EC0"/>
    <w:multiLevelType w:val="multilevel"/>
    <w:tmpl w:val="A5D0CF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278"/>
    <w:rsid w:val="00004DB6"/>
    <w:rsid w:val="00012EA3"/>
    <w:rsid w:val="0002410C"/>
    <w:rsid w:val="00050D6C"/>
    <w:rsid w:val="000567F6"/>
    <w:rsid w:val="00065619"/>
    <w:rsid w:val="00081034"/>
    <w:rsid w:val="00085925"/>
    <w:rsid w:val="000B4EB2"/>
    <w:rsid w:val="000C1C99"/>
    <w:rsid w:val="000C280B"/>
    <w:rsid w:val="000D15FA"/>
    <w:rsid w:val="000E3B12"/>
    <w:rsid w:val="000F16AF"/>
    <w:rsid w:val="000F4071"/>
    <w:rsid w:val="000F61A1"/>
    <w:rsid w:val="000F61D1"/>
    <w:rsid w:val="0010036E"/>
    <w:rsid w:val="001074B7"/>
    <w:rsid w:val="00125ED4"/>
    <w:rsid w:val="00133692"/>
    <w:rsid w:val="001379B7"/>
    <w:rsid w:val="001456F0"/>
    <w:rsid w:val="001459C7"/>
    <w:rsid w:val="0014609F"/>
    <w:rsid w:val="00156E86"/>
    <w:rsid w:val="00166946"/>
    <w:rsid w:val="00186530"/>
    <w:rsid w:val="00187AE9"/>
    <w:rsid w:val="00191459"/>
    <w:rsid w:val="0019681D"/>
    <w:rsid w:val="001B6773"/>
    <w:rsid w:val="001C5876"/>
    <w:rsid w:val="001C67E3"/>
    <w:rsid w:val="001D6218"/>
    <w:rsid w:val="00207698"/>
    <w:rsid w:val="00220454"/>
    <w:rsid w:val="00223697"/>
    <w:rsid w:val="00241A42"/>
    <w:rsid w:val="002447CD"/>
    <w:rsid w:val="00244823"/>
    <w:rsid w:val="00252C23"/>
    <w:rsid w:val="00260DEC"/>
    <w:rsid w:val="002645D8"/>
    <w:rsid w:val="002731CF"/>
    <w:rsid w:val="00276278"/>
    <w:rsid w:val="002835A5"/>
    <w:rsid w:val="0028485B"/>
    <w:rsid w:val="00293136"/>
    <w:rsid w:val="002A773F"/>
    <w:rsid w:val="002B2402"/>
    <w:rsid w:val="002D11DB"/>
    <w:rsid w:val="002D58E5"/>
    <w:rsid w:val="002E260D"/>
    <w:rsid w:val="002F6181"/>
    <w:rsid w:val="00302FF7"/>
    <w:rsid w:val="003127E9"/>
    <w:rsid w:val="00312CB3"/>
    <w:rsid w:val="00314C28"/>
    <w:rsid w:val="00321C19"/>
    <w:rsid w:val="0034219B"/>
    <w:rsid w:val="00350246"/>
    <w:rsid w:val="00353633"/>
    <w:rsid w:val="00356D1F"/>
    <w:rsid w:val="003833EA"/>
    <w:rsid w:val="003872AF"/>
    <w:rsid w:val="003928DF"/>
    <w:rsid w:val="00392B48"/>
    <w:rsid w:val="003A4203"/>
    <w:rsid w:val="003B79AF"/>
    <w:rsid w:val="003C1D6A"/>
    <w:rsid w:val="003C378A"/>
    <w:rsid w:val="003E74D8"/>
    <w:rsid w:val="003F47A8"/>
    <w:rsid w:val="004069AC"/>
    <w:rsid w:val="004207DB"/>
    <w:rsid w:val="004319A3"/>
    <w:rsid w:val="00444546"/>
    <w:rsid w:val="00446BCE"/>
    <w:rsid w:val="00474766"/>
    <w:rsid w:val="00474ABF"/>
    <w:rsid w:val="00480C5D"/>
    <w:rsid w:val="004829B5"/>
    <w:rsid w:val="004877B4"/>
    <w:rsid w:val="004A6446"/>
    <w:rsid w:val="004C5B7A"/>
    <w:rsid w:val="004C5F0A"/>
    <w:rsid w:val="004D1F9E"/>
    <w:rsid w:val="004E7491"/>
    <w:rsid w:val="004E78C7"/>
    <w:rsid w:val="00500459"/>
    <w:rsid w:val="0051714C"/>
    <w:rsid w:val="00536297"/>
    <w:rsid w:val="00536E6E"/>
    <w:rsid w:val="00552606"/>
    <w:rsid w:val="0057325C"/>
    <w:rsid w:val="0057422B"/>
    <w:rsid w:val="00581956"/>
    <w:rsid w:val="00592DDF"/>
    <w:rsid w:val="005A40C8"/>
    <w:rsid w:val="005B0C62"/>
    <w:rsid w:val="005B12E4"/>
    <w:rsid w:val="005B46EC"/>
    <w:rsid w:val="005D7EA0"/>
    <w:rsid w:val="0060713A"/>
    <w:rsid w:val="00615C62"/>
    <w:rsid w:val="006226DB"/>
    <w:rsid w:val="00630059"/>
    <w:rsid w:val="0063070D"/>
    <w:rsid w:val="00636B99"/>
    <w:rsid w:val="0064077A"/>
    <w:rsid w:val="00644B99"/>
    <w:rsid w:val="0065346C"/>
    <w:rsid w:val="00656D79"/>
    <w:rsid w:val="0065786C"/>
    <w:rsid w:val="00673467"/>
    <w:rsid w:val="0067489E"/>
    <w:rsid w:val="0067521C"/>
    <w:rsid w:val="00677D47"/>
    <w:rsid w:val="00690B79"/>
    <w:rsid w:val="0069246D"/>
    <w:rsid w:val="0069289C"/>
    <w:rsid w:val="006A66BE"/>
    <w:rsid w:val="006A7045"/>
    <w:rsid w:val="006B2AC4"/>
    <w:rsid w:val="006C534E"/>
    <w:rsid w:val="006C69D4"/>
    <w:rsid w:val="006C74AD"/>
    <w:rsid w:val="006C7A27"/>
    <w:rsid w:val="006F3992"/>
    <w:rsid w:val="00702332"/>
    <w:rsid w:val="00702E33"/>
    <w:rsid w:val="00703723"/>
    <w:rsid w:val="0070624A"/>
    <w:rsid w:val="00710D82"/>
    <w:rsid w:val="00711E3E"/>
    <w:rsid w:val="007155FC"/>
    <w:rsid w:val="0072375F"/>
    <w:rsid w:val="00724D87"/>
    <w:rsid w:val="00745E5E"/>
    <w:rsid w:val="007469BC"/>
    <w:rsid w:val="00755E8A"/>
    <w:rsid w:val="00757DD7"/>
    <w:rsid w:val="00781F87"/>
    <w:rsid w:val="007A13F9"/>
    <w:rsid w:val="007A411E"/>
    <w:rsid w:val="007B0096"/>
    <w:rsid w:val="007E3A7F"/>
    <w:rsid w:val="007E49CB"/>
    <w:rsid w:val="007F35C2"/>
    <w:rsid w:val="00802988"/>
    <w:rsid w:val="0081493C"/>
    <w:rsid w:val="00825AFF"/>
    <w:rsid w:val="00832500"/>
    <w:rsid w:val="0083573C"/>
    <w:rsid w:val="00843194"/>
    <w:rsid w:val="008466D7"/>
    <w:rsid w:val="0086239F"/>
    <w:rsid w:val="00874137"/>
    <w:rsid w:val="008859E5"/>
    <w:rsid w:val="00885D44"/>
    <w:rsid w:val="00887E4A"/>
    <w:rsid w:val="008A0271"/>
    <w:rsid w:val="008A07EB"/>
    <w:rsid w:val="008C21EF"/>
    <w:rsid w:val="008C555E"/>
    <w:rsid w:val="008C7B43"/>
    <w:rsid w:val="00903413"/>
    <w:rsid w:val="0090495C"/>
    <w:rsid w:val="0093740C"/>
    <w:rsid w:val="00937D83"/>
    <w:rsid w:val="00960438"/>
    <w:rsid w:val="00966F6C"/>
    <w:rsid w:val="009675AA"/>
    <w:rsid w:val="00983CAB"/>
    <w:rsid w:val="00986D37"/>
    <w:rsid w:val="00987898"/>
    <w:rsid w:val="00990DCB"/>
    <w:rsid w:val="009A1B40"/>
    <w:rsid w:val="009B0734"/>
    <w:rsid w:val="009B0EDB"/>
    <w:rsid w:val="009D4B68"/>
    <w:rsid w:val="009D4F0A"/>
    <w:rsid w:val="009F504D"/>
    <w:rsid w:val="00A106DC"/>
    <w:rsid w:val="00A125B7"/>
    <w:rsid w:val="00A33483"/>
    <w:rsid w:val="00A46138"/>
    <w:rsid w:val="00A63F6E"/>
    <w:rsid w:val="00A657E8"/>
    <w:rsid w:val="00A87238"/>
    <w:rsid w:val="00AA3517"/>
    <w:rsid w:val="00AB2334"/>
    <w:rsid w:val="00AE0214"/>
    <w:rsid w:val="00AF0848"/>
    <w:rsid w:val="00B05F15"/>
    <w:rsid w:val="00B17847"/>
    <w:rsid w:val="00B2031C"/>
    <w:rsid w:val="00B26A5E"/>
    <w:rsid w:val="00B33D02"/>
    <w:rsid w:val="00B35935"/>
    <w:rsid w:val="00B569CD"/>
    <w:rsid w:val="00B57F4F"/>
    <w:rsid w:val="00B8348E"/>
    <w:rsid w:val="00B9588F"/>
    <w:rsid w:val="00BA21AF"/>
    <w:rsid w:val="00BA34ED"/>
    <w:rsid w:val="00BB0CD3"/>
    <w:rsid w:val="00BC0D3C"/>
    <w:rsid w:val="00BC1396"/>
    <w:rsid w:val="00BC40FA"/>
    <w:rsid w:val="00BD29CC"/>
    <w:rsid w:val="00BD3737"/>
    <w:rsid w:val="00BF70A4"/>
    <w:rsid w:val="00C13411"/>
    <w:rsid w:val="00C13666"/>
    <w:rsid w:val="00C140AD"/>
    <w:rsid w:val="00C16DAA"/>
    <w:rsid w:val="00C2083D"/>
    <w:rsid w:val="00C23448"/>
    <w:rsid w:val="00C25453"/>
    <w:rsid w:val="00C3659A"/>
    <w:rsid w:val="00C527E8"/>
    <w:rsid w:val="00C57E6F"/>
    <w:rsid w:val="00C70B63"/>
    <w:rsid w:val="00C74F66"/>
    <w:rsid w:val="00C815E1"/>
    <w:rsid w:val="00C93253"/>
    <w:rsid w:val="00C951BB"/>
    <w:rsid w:val="00CA69B5"/>
    <w:rsid w:val="00CB2F60"/>
    <w:rsid w:val="00CC0D5B"/>
    <w:rsid w:val="00CC5CAB"/>
    <w:rsid w:val="00CD4358"/>
    <w:rsid w:val="00D02A5E"/>
    <w:rsid w:val="00D0611E"/>
    <w:rsid w:val="00D1191A"/>
    <w:rsid w:val="00D139DE"/>
    <w:rsid w:val="00D14519"/>
    <w:rsid w:val="00D42560"/>
    <w:rsid w:val="00D52CDD"/>
    <w:rsid w:val="00D5468A"/>
    <w:rsid w:val="00DA0081"/>
    <w:rsid w:val="00DA18C4"/>
    <w:rsid w:val="00DA308A"/>
    <w:rsid w:val="00DB4A9F"/>
    <w:rsid w:val="00DC3761"/>
    <w:rsid w:val="00DC4BF0"/>
    <w:rsid w:val="00DD5075"/>
    <w:rsid w:val="00DE19B4"/>
    <w:rsid w:val="00DF171F"/>
    <w:rsid w:val="00DF495A"/>
    <w:rsid w:val="00DF74CB"/>
    <w:rsid w:val="00E1148C"/>
    <w:rsid w:val="00E12E20"/>
    <w:rsid w:val="00E22AF2"/>
    <w:rsid w:val="00E3776F"/>
    <w:rsid w:val="00E40747"/>
    <w:rsid w:val="00E41E39"/>
    <w:rsid w:val="00E465DA"/>
    <w:rsid w:val="00E53515"/>
    <w:rsid w:val="00E5351F"/>
    <w:rsid w:val="00E57D50"/>
    <w:rsid w:val="00E60640"/>
    <w:rsid w:val="00E712C8"/>
    <w:rsid w:val="00E73213"/>
    <w:rsid w:val="00E97343"/>
    <w:rsid w:val="00EB3741"/>
    <w:rsid w:val="00ED1ACD"/>
    <w:rsid w:val="00EE7610"/>
    <w:rsid w:val="00EE7E63"/>
    <w:rsid w:val="00EF3CD5"/>
    <w:rsid w:val="00EF4334"/>
    <w:rsid w:val="00F05E37"/>
    <w:rsid w:val="00F307F5"/>
    <w:rsid w:val="00F3350B"/>
    <w:rsid w:val="00F4057F"/>
    <w:rsid w:val="00F557FD"/>
    <w:rsid w:val="00F6026F"/>
    <w:rsid w:val="00F67BB2"/>
    <w:rsid w:val="00F7423B"/>
    <w:rsid w:val="00F74D9D"/>
    <w:rsid w:val="00F92415"/>
    <w:rsid w:val="00F940A6"/>
    <w:rsid w:val="00F945D7"/>
    <w:rsid w:val="00FA3E99"/>
    <w:rsid w:val="00FB0651"/>
    <w:rsid w:val="00FB2B29"/>
    <w:rsid w:val="00FD4687"/>
    <w:rsid w:val="00FD6662"/>
    <w:rsid w:val="00FE0E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D406"/>
  <w15:chartTrackingRefBased/>
  <w15:docId w15:val="{B706B07D-5D01-47E1-AD5A-B8E5A48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B6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276278"/>
  </w:style>
  <w:style w:type="character" w:styleId="a4">
    <w:name w:val="Hyperlink"/>
    <w:basedOn w:val="a0"/>
    <w:uiPriority w:val="99"/>
    <w:semiHidden/>
    <w:unhideWhenUsed/>
    <w:rsid w:val="002645D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308A"/>
  </w:style>
  <w:style w:type="paragraph" w:styleId="a7">
    <w:name w:val="footer"/>
    <w:basedOn w:val="a"/>
    <w:link w:val="a8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308A"/>
  </w:style>
  <w:style w:type="paragraph" w:customStyle="1" w:styleId="rvps2">
    <w:name w:val="rvps2"/>
    <w:basedOn w:val="a"/>
    <w:rsid w:val="0070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166946"/>
    <w:pPr>
      <w:ind w:left="720"/>
      <w:contextualSpacing/>
    </w:pPr>
  </w:style>
  <w:style w:type="paragraph" w:customStyle="1" w:styleId="rvps6">
    <w:name w:val="rvps6"/>
    <w:basedOn w:val="a"/>
    <w:rsid w:val="001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B677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63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070D"/>
    <w:rPr>
      <w:rFonts w:ascii="Segoe UI" w:hAnsi="Segoe UI" w:cs="Segoe UI"/>
      <w:sz w:val="18"/>
      <w:szCs w:val="18"/>
    </w:rPr>
  </w:style>
  <w:style w:type="character" w:customStyle="1" w:styleId="rvts15">
    <w:name w:val="rvts15"/>
    <w:rsid w:val="004207DB"/>
  </w:style>
  <w:style w:type="paragraph" w:customStyle="1" w:styleId="rvps7">
    <w:name w:val="rvps7"/>
    <w:basedOn w:val="a"/>
    <w:rsid w:val="0035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8D757-71B3-4843-B98B-3A8C92A0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6253</Words>
  <Characters>3565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Ірина Ходаковська</cp:lastModifiedBy>
  <cp:revision>12</cp:revision>
  <cp:lastPrinted>2021-11-23T12:42:00Z</cp:lastPrinted>
  <dcterms:created xsi:type="dcterms:W3CDTF">2024-07-18T06:54:00Z</dcterms:created>
  <dcterms:modified xsi:type="dcterms:W3CDTF">2024-07-24T07:55:00Z</dcterms:modified>
</cp:coreProperties>
</file>