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661F9" w14:textId="77777777" w:rsidR="002C1C79" w:rsidRPr="00424484" w:rsidRDefault="002C1C79" w:rsidP="002C1C79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424484">
        <w:rPr>
          <w:sz w:val="28"/>
          <w:szCs w:val="28"/>
        </w:rPr>
        <w:t>НАЦІОНАЛЬНА КОМІСІЯ, ЩО ЗДІЙСНЮЄ ДЕРЖАВНЕ РЕГУЛЮВАННЯ У СФЕРАХ ЕНЕРГЕТИКИ ТА КОМУНАЛЬНИХ ПОСЛУГ</w:t>
      </w:r>
    </w:p>
    <w:p w14:paraId="56297C33" w14:textId="77777777" w:rsidR="002C1C79" w:rsidRPr="002C1C79" w:rsidRDefault="002C1C79" w:rsidP="002C1C79">
      <w:pPr>
        <w:jc w:val="center"/>
        <w:rPr>
          <w:b/>
          <w:sz w:val="20"/>
          <w:szCs w:val="20"/>
        </w:rPr>
      </w:pPr>
    </w:p>
    <w:p w14:paraId="108E9C5A" w14:textId="77777777" w:rsidR="002C1C79" w:rsidRPr="002C1C79" w:rsidRDefault="002C1C79" w:rsidP="002C1C79">
      <w:pPr>
        <w:jc w:val="center"/>
        <w:rPr>
          <w:b/>
          <w:sz w:val="28"/>
          <w:szCs w:val="28"/>
        </w:rPr>
      </w:pPr>
      <w:r w:rsidRPr="00AA0509">
        <w:rPr>
          <w:b/>
          <w:sz w:val="28"/>
          <w:szCs w:val="28"/>
          <w:lang w:val="uk-UA"/>
        </w:rPr>
        <w:t xml:space="preserve">Аналіз </w:t>
      </w:r>
      <w:r>
        <w:rPr>
          <w:b/>
          <w:sz w:val="28"/>
          <w:szCs w:val="28"/>
          <w:lang w:val="uk-UA"/>
        </w:rPr>
        <w:t>впливу</w:t>
      </w:r>
      <w:r w:rsidRPr="00CF43C1">
        <w:rPr>
          <w:b/>
          <w:sz w:val="28"/>
          <w:szCs w:val="28"/>
          <w:lang w:val="uk-UA"/>
        </w:rPr>
        <w:t xml:space="preserve"> </w:t>
      </w:r>
      <w:r w:rsidRPr="00AA0509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>є</w:t>
      </w:r>
      <w:r w:rsidRPr="00AA0509">
        <w:rPr>
          <w:b/>
          <w:sz w:val="28"/>
          <w:szCs w:val="28"/>
          <w:lang w:val="uk-UA"/>
        </w:rPr>
        <w:t>кту постанови Національної комісії, що здійснює державне регулювання у сферах енергетики та комунальних послуг</w:t>
      </w:r>
      <w:r>
        <w:rPr>
          <w:b/>
          <w:sz w:val="28"/>
          <w:szCs w:val="28"/>
          <w:lang w:val="uk-UA"/>
        </w:rPr>
        <w:t xml:space="preserve"> </w:t>
      </w:r>
      <w:r w:rsidR="00BD2FE5" w:rsidRPr="00BD2FE5">
        <w:rPr>
          <w:b/>
          <w:sz w:val="28"/>
          <w:szCs w:val="28"/>
          <w:lang w:val="uk-UA"/>
        </w:rPr>
        <w:t>«</w:t>
      </w:r>
      <w:r w:rsidR="00B5214F" w:rsidRPr="00B5214F">
        <w:rPr>
          <w:b/>
          <w:sz w:val="28"/>
          <w:szCs w:val="28"/>
          <w:lang w:val="uk-UA"/>
        </w:rPr>
        <w:t>Про затвердження Змін до Порядку розслідування зловживань на оптовому енергетичному ринку</w:t>
      </w:r>
      <w:r w:rsidR="00BD2FE5" w:rsidRPr="00BD2FE5">
        <w:rPr>
          <w:b/>
          <w:sz w:val="28"/>
          <w:szCs w:val="28"/>
          <w:lang w:val="uk-UA"/>
        </w:rPr>
        <w:t>»</w:t>
      </w:r>
      <w:r>
        <w:rPr>
          <w:b/>
          <w:sz w:val="28"/>
          <w:szCs w:val="28"/>
          <w:lang w:val="uk-UA"/>
        </w:rPr>
        <w:t>, що має ознаки регуляторного акта</w:t>
      </w:r>
    </w:p>
    <w:p w14:paraId="4A10EAC8" w14:textId="77777777" w:rsidR="002C1C79" w:rsidRPr="007126F2" w:rsidRDefault="002C1C79" w:rsidP="002C1C79">
      <w:pPr>
        <w:jc w:val="center"/>
        <w:rPr>
          <w:b/>
          <w:sz w:val="20"/>
          <w:szCs w:val="20"/>
          <w:lang w:val="uk-UA"/>
        </w:rPr>
      </w:pPr>
    </w:p>
    <w:p w14:paraId="060BDC71" w14:textId="77777777" w:rsidR="002C1C79" w:rsidRDefault="002C1C79" w:rsidP="002C1C79">
      <w:pPr>
        <w:numPr>
          <w:ilvl w:val="0"/>
          <w:numId w:val="2"/>
        </w:numPr>
        <w:jc w:val="center"/>
        <w:rPr>
          <w:b/>
          <w:sz w:val="28"/>
          <w:szCs w:val="28"/>
          <w:lang w:val="uk-UA"/>
        </w:rPr>
      </w:pPr>
      <w:r w:rsidRPr="00AA0509">
        <w:rPr>
          <w:b/>
          <w:sz w:val="28"/>
          <w:szCs w:val="28"/>
          <w:lang w:val="uk-UA"/>
        </w:rPr>
        <w:t>Визначення проблеми</w:t>
      </w:r>
    </w:p>
    <w:p w14:paraId="1014901A" w14:textId="77777777" w:rsidR="002C1C79" w:rsidRPr="00D073EA" w:rsidRDefault="002C1C79" w:rsidP="002C1C79">
      <w:pPr>
        <w:ind w:left="1077"/>
        <w:jc w:val="both"/>
        <w:rPr>
          <w:b/>
          <w:sz w:val="20"/>
          <w:szCs w:val="20"/>
          <w:lang w:val="uk-UA"/>
        </w:rPr>
      </w:pPr>
    </w:p>
    <w:p w14:paraId="7FE8FFFF" w14:textId="325156C9" w:rsidR="00BD2FE5" w:rsidRDefault="00BD2FE5" w:rsidP="00BD2FE5">
      <w:pPr>
        <w:ind w:firstLine="567"/>
        <w:jc w:val="both"/>
        <w:rPr>
          <w:sz w:val="28"/>
          <w:szCs w:val="28"/>
          <w:lang w:val="uk-UA"/>
        </w:rPr>
      </w:pPr>
      <w:r w:rsidRPr="00D073EA">
        <w:rPr>
          <w:sz w:val="28"/>
          <w:szCs w:val="28"/>
          <w:lang w:val="uk-UA"/>
        </w:rPr>
        <w:t>Відповідно до пункту 22</w:t>
      </w:r>
      <w:r w:rsidRPr="00D073EA">
        <w:rPr>
          <w:sz w:val="28"/>
          <w:szCs w:val="28"/>
          <w:vertAlign w:val="superscript"/>
          <w:lang w:val="uk-UA"/>
        </w:rPr>
        <w:t>1</w:t>
      </w:r>
      <w:r w:rsidRPr="00D073EA">
        <w:rPr>
          <w:sz w:val="28"/>
          <w:szCs w:val="28"/>
          <w:lang w:val="uk-UA"/>
        </w:rPr>
        <w:t xml:space="preserve"> частини першої стат</w:t>
      </w:r>
      <w:r w:rsidR="00335D73">
        <w:rPr>
          <w:sz w:val="28"/>
          <w:szCs w:val="28"/>
          <w:lang w:val="uk-UA"/>
        </w:rPr>
        <w:t>т</w:t>
      </w:r>
      <w:r w:rsidRPr="00D073EA">
        <w:rPr>
          <w:sz w:val="28"/>
          <w:szCs w:val="28"/>
          <w:lang w:val="uk-UA"/>
        </w:rPr>
        <w:t>і 17 Закону України «Про Національну комісію, що здійснює державне регулювання у сферах енергетики та комунальних послуг» (далі – Закон про НКРЕКП), пункту 3 частини п’ятої  статті 4 Закону України «Про ринок природного газу» та пункту 14</w:t>
      </w:r>
      <w:r w:rsidRPr="00D073EA">
        <w:rPr>
          <w:sz w:val="28"/>
          <w:szCs w:val="28"/>
          <w:vertAlign w:val="superscript"/>
          <w:lang w:val="uk-UA"/>
        </w:rPr>
        <w:t>1</w:t>
      </w:r>
      <w:r w:rsidRPr="00D073EA">
        <w:rPr>
          <w:sz w:val="28"/>
          <w:szCs w:val="28"/>
          <w:lang w:val="uk-UA"/>
        </w:rPr>
        <w:t xml:space="preserve"> частини третьої статті 6 Закону України «Про ринок електричної енергії» до повноважень Національної комісії, що здійснює державне регулювання у сферах енергетики та комунальних послуг (далі – НКРЕКП, Регулятор) належить проведення розслідування зловживань на оптовому енергетичному ринку відповідно до порядку, затвердженого Регулятором.</w:t>
      </w:r>
      <w:r w:rsidR="00982DFD">
        <w:rPr>
          <w:sz w:val="28"/>
          <w:szCs w:val="28"/>
          <w:lang w:val="uk-UA"/>
        </w:rPr>
        <w:t xml:space="preserve"> </w:t>
      </w:r>
    </w:p>
    <w:p w14:paraId="28B1CF93" w14:textId="77777777" w:rsidR="00982DFD" w:rsidRDefault="00982DFD" w:rsidP="00BD2FE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Порядок розслідування зловживань на оптовому енергетичному ринку (далі – Порядо</w:t>
      </w:r>
      <w:r w:rsidR="003D7015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) затверджено постановою НКРЕКП від 26.09.2023 </w:t>
      </w:r>
      <w:r>
        <w:rPr>
          <w:sz w:val="28"/>
          <w:szCs w:val="28"/>
          <w:lang w:val="uk-UA"/>
        </w:rPr>
        <w:br/>
        <w:t>№ 1756.</w:t>
      </w:r>
      <w:r w:rsidR="007C518E">
        <w:rPr>
          <w:sz w:val="28"/>
          <w:szCs w:val="28"/>
          <w:lang w:val="uk-UA"/>
        </w:rPr>
        <w:t xml:space="preserve"> </w:t>
      </w:r>
    </w:p>
    <w:p w14:paraId="487510A5" w14:textId="757B3043" w:rsidR="00230F4C" w:rsidRDefault="00230F4C" w:rsidP="00BD2FE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НКРЕКП надходять численні повідомлення від осіб, </w:t>
      </w:r>
      <w:r w:rsidRPr="00230F4C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і</w:t>
      </w:r>
      <w:r w:rsidRPr="00230F4C">
        <w:rPr>
          <w:sz w:val="28"/>
          <w:szCs w:val="28"/>
          <w:lang w:val="uk-UA"/>
        </w:rPr>
        <w:t xml:space="preserve"> професійно організову</w:t>
      </w:r>
      <w:r>
        <w:rPr>
          <w:sz w:val="28"/>
          <w:szCs w:val="28"/>
          <w:lang w:val="uk-UA"/>
        </w:rPr>
        <w:t>ють</w:t>
      </w:r>
      <w:r w:rsidRPr="00230F4C">
        <w:rPr>
          <w:sz w:val="28"/>
          <w:szCs w:val="28"/>
          <w:lang w:val="uk-UA"/>
        </w:rPr>
        <w:t xml:space="preserve"> операції з оптовими енергетичними продуктами</w:t>
      </w:r>
      <w:r>
        <w:rPr>
          <w:sz w:val="28"/>
          <w:szCs w:val="28"/>
          <w:lang w:val="uk-UA"/>
        </w:rPr>
        <w:t xml:space="preserve">, щодо здійснення </w:t>
      </w:r>
      <w:r w:rsidRPr="00230F4C">
        <w:rPr>
          <w:sz w:val="28"/>
          <w:szCs w:val="28"/>
          <w:lang w:val="uk-UA"/>
        </w:rPr>
        <w:t xml:space="preserve">операцій з оптовими енергетичними продуктами </w:t>
      </w:r>
      <w:r>
        <w:rPr>
          <w:sz w:val="28"/>
          <w:szCs w:val="28"/>
          <w:lang w:val="uk-UA"/>
        </w:rPr>
        <w:t xml:space="preserve">учасниками оптового енергетичного ринку, які, будучи нерезидентами України, не зареєстровані як учасники оптового енергетичного ринку. У цьому зв’язку постало питання направлення </w:t>
      </w:r>
      <w:r w:rsidR="00C42488">
        <w:rPr>
          <w:sz w:val="28"/>
          <w:szCs w:val="28"/>
          <w:lang w:val="uk-UA"/>
        </w:rPr>
        <w:t xml:space="preserve">таким не зареєстрованим учасникам оптового енергетичного ринку </w:t>
      </w:r>
      <w:r>
        <w:rPr>
          <w:sz w:val="28"/>
          <w:szCs w:val="28"/>
          <w:lang w:val="uk-UA"/>
        </w:rPr>
        <w:t>повідомлень про початок розслідування разом з копією відповідного рішення НКРЕКП</w:t>
      </w:r>
      <w:r w:rsidR="003D7015">
        <w:rPr>
          <w:sz w:val="28"/>
          <w:szCs w:val="28"/>
          <w:lang w:val="uk-UA"/>
        </w:rPr>
        <w:t>, висновків про розслідування та висновків про результати розслідування</w:t>
      </w:r>
      <w:r>
        <w:rPr>
          <w:sz w:val="28"/>
          <w:szCs w:val="28"/>
          <w:lang w:val="uk-UA"/>
        </w:rPr>
        <w:t xml:space="preserve">. Запропоновані зміни покликані врегулювати питання </w:t>
      </w:r>
      <w:r w:rsidR="003D7015">
        <w:rPr>
          <w:sz w:val="28"/>
          <w:szCs w:val="28"/>
          <w:lang w:val="uk-UA"/>
        </w:rPr>
        <w:t xml:space="preserve">направлення </w:t>
      </w:r>
      <w:r>
        <w:rPr>
          <w:sz w:val="28"/>
          <w:szCs w:val="28"/>
          <w:lang w:val="uk-UA"/>
        </w:rPr>
        <w:t>суб’єкт</w:t>
      </w:r>
      <w:r w:rsidR="003D7015">
        <w:rPr>
          <w:sz w:val="28"/>
          <w:szCs w:val="28"/>
          <w:lang w:val="uk-UA"/>
        </w:rPr>
        <w:t>ам</w:t>
      </w:r>
      <w:r>
        <w:rPr>
          <w:sz w:val="28"/>
          <w:szCs w:val="28"/>
          <w:lang w:val="uk-UA"/>
        </w:rPr>
        <w:t xml:space="preserve"> розслідування, які не зареєстровані </w:t>
      </w:r>
      <w:r w:rsidR="00EB7A73">
        <w:rPr>
          <w:sz w:val="28"/>
          <w:szCs w:val="28"/>
          <w:lang w:val="uk-UA"/>
        </w:rPr>
        <w:t xml:space="preserve">як </w:t>
      </w:r>
      <w:r w:rsidR="00BE6D79">
        <w:rPr>
          <w:sz w:val="28"/>
          <w:szCs w:val="28"/>
          <w:lang w:val="uk-UA"/>
        </w:rPr>
        <w:t>суб’єкти господарювання за українським законодавством</w:t>
      </w:r>
      <w:r w:rsidR="003D7015">
        <w:rPr>
          <w:sz w:val="28"/>
          <w:szCs w:val="28"/>
          <w:lang w:val="uk-UA"/>
        </w:rPr>
        <w:t>, повідомлень про початок розслідування разом з копією відповідного рішення НКРЕКП, висновків про розслідування та висновків про результати розслідування.</w:t>
      </w:r>
    </w:p>
    <w:p w14:paraId="4E0C6667" w14:textId="77777777" w:rsidR="0019206D" w:rsidRDefault="003D7015" w:rsidP="002C1C79">
      <w:pPr>
        <w:pStyle w:val="50"/>
        <w:shd w:val="clear" w:color="auto" w:fill="auto"/>
        <w:spacing w:before="0" w:after="0" w:line="240" w:lineRule="auto"/>
        <w:ind w:right="2" w:firstLine="567"/>
        <w:jc w:val="both"/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Для</w:t>
      </w:r>
      <w:r w:rsidR="00F52BB5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у</w:t>
      </w:r>
      <w:r w:rsidR="00982DFD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досконалення положень</w:t>
      </w:r>
      <w:r w:rsidR="00DF3438" w:rsidRPr="00DF3438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 </w:t>
      </w:r>
      <w:r w:rsidR="00DF3438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щодо</w:t>
      </w:r>
      <w:r w:rsidR="00982DFD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 попереднього дослідження, уникнення різночитань підстав, шляхів та інформації, яка використовується під час попереднього дослідження, а також </w:t>
      </w:r>
      <w:r w:rsidR="00DF3438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щодо</w:t>
      </w:r>
      <w:r w:rsidR="00982DFD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 результатів попереднього дослідження розроблено зміни до пунктів 3.3, 3.4, 3.5 та 3.7 глави 3 Порядку.</w:t>
      </w:r>
    </w:p>
    <w:p w14:paraId="4CC15CCD" w14:textId="77777777" w:rsidR="003D7015" w:rsidRDefault="003D7015" w:rsidP="002C1C79">
      <w:pPr>
        <w:pStyle w:val="50"/>
        <w:shd w:val="clear" w:color="auto" w:fill="auto"/>
        <w:spacing w:before="0" w:after="0" w:line="240" w:lineRule="auto"/>
        <w:ind w:right="2" w:firstLine="567"/>
        <w:jc w:val="both"/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Пункт 4.1 глави 4 Порядку пропонується уточнити з метою його відповідності Закону про НКРЕКП, відповідно до статті 20</w:t>
      </w: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 якого </w:t>
      </w:r>
      <w:r w:rsidRPr="003D7015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Рад</w:t>
      </w: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а</w:t>
      </w:r>
      <w:r w:rsidRPr="003D7015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 органів регулювання Енергетичного Співтовариства та Секретаріат Енергетичного Співтовариства</w:t>
      </w: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 повідомляються</w:t>
      </w:r>
      <w:r w:rsidR="007C518E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 про</w:t>
      </w: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 </w:t>
      </w:r>
      <w:r w:rsidRPr="003D7015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зловживання на оптовому енергетичному ринку, пов’язані  із встановленими законами обмеженнями щодо поводження з </w:t>
      </w:r>
      <w:proofErr w:type="spellStart"/>
      <w:r w:rsidRPr="003D7015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інсайдерською</w:t>
      </w:r>
      <w:proofErr w:type="spellEnd"/>
      <w:r w:rsidRPr="003D7015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 інформацією, ознаками маніпулювання чи спробою маніпулювання на оптовому енергетичному ринку</w:t>
      </w: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.</w:t>
      </w:r>
    </w:p>
    <w:p w14:paraId="31120714" w14:textId="5D02A561" w:rsidR="003D7015" w:rsidRDefault="003D7015" w:rsidP="002C1C79">
      <w:pPr>
        <w:pStyle w:val="50"/>
        <w:shd w:val="clear" w:color="auto" w:fill="auto"/>
        <w:spacing w:before="0" w:after="0" w:line="240" w:lineRule="auto"/>
        <w:ind w:right="2" w:firstLine="567"/>
        <w:jc w:val="both"/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Для спрощення проведення розслідування пропонується внести зміни </w:t>
      </w:r>
      <w:r w:rsidR="00147F42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до</w:t>
      </w: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 кількісн</w:t>
      </w:r>
      <w:r w:rsidR="00147F42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 склад</w:t>
      </w:r>
      <w:r w:rsidR="00147F42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 комісії з розслідування, скоротивши її чисельність з п’ятьох </w:t>
      </w: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lastRenderedPageBreak/>
        <w:t>членів до трьох.</w:t>
      </w:r>
    </w:p>
    <w:p w14:paraId="1BA6659B" w14:textId="77777777" w:rsidR="00883A1E" w:rsidRDefault="00883A1E" w:rsidP="002C1C79">
      <w:pPr>
        <w:pStyle w:val="50"/>
        <w:shd w:val="clear" w:color="auto" w:fill="auto"/>
        <w:spacing w:before="0" w:after="0" w:line="240" w:lineRule="auto"/>
        <w:ind w:right="2" w:firstLine="567"/>
        <w:jc w:val="both"/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Змінами передбачена формалізація висновку про розслідування та журналу реєстрації висновків про результати розслідування, для чого розроблені два нові додат</w:t>
      </w:r>
      <w:r w:rsidR="00DB642F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ки</w:t>
      </w: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.</w:t>
      </w:r>
    </w:p>
    <w:p w14:paraId="5994AEE5" w14:textId="65B0EF50" w:rsidR="00883A1E" w:rsidRDefault="00883A1E" w:rsidP="002C1C79">
      <w:pPr>
        <w:pStyle w:val="50"/>
        <w:shd w:val="clear" w:color="auto" w:fill="auto"/>
        <w:spacing w:before="0" w:after="0" w:line="240" w:lineRule="auto"/>
        <w:ind w:right="2" w:firstLine="567"/>
        <w:jc w:val="both"/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Також пропонується нова редакція форми висновку про результати розслідування, </w:t>
      </w:r>
      <w:r w:rsidR="00B34E09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до</w:t>
      </w: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 як</w:t>
      </w:r>
      <w:r w:rsidR="00B34E09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ої</w:t>
      </w:r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внесен</w:t>
      </w:r>
      <w:r w:rsidR="00B34E09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о</w:t>
      </w:r>
      <w:proofErr w:type="spellEnd"/>
      <w:r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 xml:space="preserve"> деякі доповнення, зокрема, щодо необхідності надання пояснень НКРЕКП у разі неврахування заперечень суб’єкта розслідування до висновку про розслідування.</w:t>
      </w:r>
    </w:p>
    <w:p w14:paraId="38065AE3" w14:textId="77777777" w:rsidR="00DF3438" w:rsidRDefault="00883A1E" w:rsidP="002C1C79">
      <w:pPr>
        <w:pStyle w:val="50"/>
        <w:shd w:val="clear" w:color="auto" w:fill="auto"/>
        <w:spacing w:before="0" w:after="0" w:line="240" w:lineRule="auto"/>
        <w:ind w:right="2" w:firstLine="567"/>
        <w:jc w:val="both"/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</w:pPr>
      <w:r w:rsidRPr="00883A1E">
        <w:rPr>
          <w:rFonts w:ascii="Times New Roman" w:eastAsia="Times New Roman" w:hAnsi="Times New Roman" w:cs="Times New Roman"/>
          <w:b w:val="0"/>
          <w:bCs w:val="0"/>
          <w:spacing w:val="0"/>
          <w:sz w:val="28"/>
          <w:szCs w:val="28"/>
          <w:lang w:eastAsia="ru-RU"/>
        </w:rPr>
        <w:t>З метою вдосконалення Порядку НКРЕКП розроблено проєкт постанови «Про затвердження Змін до Порядку розслідування зловживань на оптовому енергетичному ринку»  (далі – проєкт Постанови).</w:t>
      </w:r>
    </w:p>
    <w:p w14:paraId="66D98C2E" w14:textId="77777777" w:rsidR="00BE6D79" w:rsidRPr="00690B9A" w:rsidRDefault="00BE6D79" w:rsidP="002C1C79">
      <w:pPr>
        <w:pStyle w:val="50"/>
        <w:shd w:val="clear" w:color="auto" w:fill="auto"/>
        <w:spacing w:before="0" w:after="0" w:line="240" w:lineRule="auto"/>
        <w:ind w:right="2" w:firstLine="567"/>
        <w:jc w:val="both"/>
        <w:rPr>
          <w:sz w:val="28"/>
          <w:szCs w:val="28"/>
        </w:rPr>
      </w:pPr>
    </w:p>
    <w:p w14:paraId="42E3B91F" w14:textId="77777777" w:rsidR="002C1C79" w:rsidRPr="00690B9A" w:rsidRDefault="002C1C79" w:rsidP="002C1C79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  <w:r w:rsidRPr="00690B9A">
        <w:rPr>
          <w:bCs/>
          <w:sz w:val="28"/>
          <w:szCs w:val="28"/>
          <w:lang w:val="uk-UA"/>
        </w:rPr>
        <w:t>Визначення основних груп (підгруп), на які проблема справляє вплив:</w:t>
      </w:r>
    </w:p>
    <w:p w14:paraId="3541B021" w14:textId="77777777" w:rsidR="002C1C79" w:rsidRPr="00690B9A" w:rsidRDefault="002C1C79" w:rsidP="002C1C79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3685"/>
        <w:gridCol w:w="1277"/>
      </w:tblGrid>
      <w:tr w:rsidR="002C1C79" w:rsidRPr="00690B9A" w14:paraId="2B62375F" w14:textId="77777777" w:rsidTr="00C03ED3">
        <w:tc>
          <w:tcPr>
            <w:tcW w:w="4361" w:type="dxa"/>
            <w:shd w:val="clear" w:color="auto" w:fill="auto"/>
          </w:tcPr>
          <w:p w14:paraId="340EC1F9" w14:textId="77777777" w:rsidR="002C1C79" w:rsidRPr="00690B9A" w:rsidRDefault="002C1C79" w:rsidP="00C03ED3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690B9A">
              <w:rPr>
                <w:b/>
                <w:sz w:val="28"/>
                <w:szCs w:val="28"/>
                <w:lang w:val="uk-UA"/>
              </w:rPr>
              <w:t>Групи (підгрупи)</w:t>
            </w:r>
          </w:p>
        </w:tc>
        <w:tc>
          <w:tcPr>
            <w:tcW w:w="3685" w:type="dxa"/>
            <w:shd w:val="clear" w:color="auto" w:fill="auto"/>
          </w:tcPr>
          <w:p w14:paraId="35343B15" w14:textId="77777777" w:rsidR="002C1C79" w:rsidRPr="00690B9A" w:rsidRDefault="002C1C79" w:rsidP="00C03ED3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690B9A">
              <w:rPr>
                <w:b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277" w:type="dxa"/>
            <w:shd w:val="clear" w:color="auto" w:fill="auto"/>
          </w:tcPr>
          <w:p w14:paraId="2FCB755D" w14:textId="77777777" w:rsidR="002C1C79" w:rsidRPr="00690B9A" w:rsidRDefault="002C1C79" w:rsidP="00C03ED3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690B9A">
              <w:rPr>
                <w:b/>
                <w:sz w:val="28"/>
                <w:szCs w:val="28"/>
                <w:lang w:val="uk-UA"/>
              </w:rPr>
              <w:t>Ні</w:t>
            </w:r>
          </w:p>
        </w:tc>
      </w:tr>
      <w:tr w:rsidR="002C1C79" w:rsidRPr="00690B9A" w14:paraId="1421657E" w14:textId="77777777" w:rsidTr="00C03ED3">
        <w:tc>
          <w:tcPr>
            <w:tcW w:w="4361" w:type="dxa"/>
            <w:shd w:val="clear" w:color="auto" w:fill="auto"/>
          </w:tcPr>
          <w:p w14:paraId="71F2EF08" w14:textId="77777777" w:rsidR="002C1C79" w:rsidRPr="00690B9A" w:rsidRDefault="002C1C79" w:rsidP="00C03ED3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690B9A">
              <w:rPr>
                <w:sz w:val="28"/>
                <w:szCs w:val="28"/>
                <w:lang w:val="uk-UA"/>
              </w:rPr>
              <w:t>Громадяни</w:t>
            </w:r>
          </w:p>
        </w:tc>
        <w:tc>
          <w:tcPr>
            <w:tcW w:w="3685" w:type="dxa"/>
            <w:shd w:val="clear" w:color="auto" w:fill="auto"/>
          </w:tcPr>
          <w:p w14:paraId="0FC8F69A" w14:textId="77777777" w:rsidR="002C1C79" w:rsidRPr="00690B9A" w:rsidRDefault="002C1C79" w:rsidP="00C03ED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7" w:type="dxa"/>
            <w:shd w:val="clear" w:color="auto" w:fill="auto"/>
          </w:tcPr>
          <w:p w14:paraId="2BA92C9E" w14:textId="77777777" w:rsidR="002C1C79" w:rsidRPr="00690B9A" w:rsidRDefault="00690B9A" w:rsidP="00690B9A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Ні</w:t>
            </w:r>
          </w:p>
        </w:tc>
      </w:tr>
      <w:tr w:rsidR="002C1C79" w:rsidRPr="00690B9A" w14:paraId="02300116" w14:textId="77777777" w:rsidTr="00C03ED3">
        <w:tc>
          <w:tcPr>
            <w:tcW w:w="4361" w:type="dxa"/>
            <w:shd w:val="clear" w:color="auto" w:fill="auto"/>
          </w:tcPr>
          <w:p w14:paraId="603F602C" w14:textId="77777777" w:rsidR="002C1C79" w:rsidRPr="00690B9A" w:rsidRDefault="002C1C79" w:rsidP="00C03ED3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690B9A">
              <w:rPr>
                <w:sz w:val="28"/>
                <w:szCs w:val="28"/>
                <w:lang w:val="uk-UA"/>
              </w:rPr>
              <w:t>Держава</w:t>
            </w:r>
          </w:p>
        </w:tc>
        <w:tc>
          <w:tcPr>
            <w:tcW w:w="3685" w:type="dxa"/>
            <w:shd w:val="clear" w:color="auto" w:fill="auto"/>
          </w:tcPr>
          <w:p w14:paraId="7A596A2C" w14:textId="77777777" w:rsidR="002C1C79" w:rsidRPr="00690B9A" w:rsidRDefault="002C1C79" w:rsidP="00C03ED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690B9A">
              <w:rPr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277" w:type="dxa"/>
            <w:shd w:val="clear" w:color="auto" w:fill="auto"/>
          </w:tcPr>
          <w:p w14:paraId="534B134B" w14:textId="77777777" w:rsidR="002C1C79" w:rsidRPr="00690B9A" w:rsidRDefault="002C1C79" w:rsidP="00C03ED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C1C79" w:rsidRPr="00690B9A" w14:paraId="23115BB5" w14:textId="77777777" w:rsidTr="00C03ED3">
        <w:tc>
          <w:tcPr>
            <w:tcW w:w="4361" w:type="dxa"/>
            <w:shd w:val="clear" w:color="auto" w:fill="auto"/>
          </w:tcPr>
          <w:p w14:paraId="06A65E7F" w14:textId="77777777" w:rsidR="002C1C79" w:rsidRPr="00690B9A" w:rsidRDefault="002C1C79" w:rsidP="00C03ED3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690B9A">
              <w:rPr>
                <w:sz w:val="28"/>
                <w:szCs w:val="28"/>
                <w:lang w:val="uk-UA"/>
              </w:rPr>
              <w:t xml:space="preserve">Суб’єкти господарювання </w:t>
            </w:r>
          </w:p>
        </w:tc>
        <w:tc>
          <w:tcPr>
            <w:tcW w:w="3685" w:type="dxa"/>
            <w:shd w:val="clear" w:color="auto" w:fill="auto"/>
          </w:tcPr>
          <w:p w14:paraId="3783D5C7" w14:textId="77777777" w:rsidR="002C1C79" w:rsidRPr="00690B9A" w:rsidRDefault="002C1C79" w:rsidP="00C03ED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690B9A">
              <w:rPr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277" w:type="dxa"/>
            <w:shd w:val="clear" w:color="auto" w:fill="auto"/>
          </w:tcPr>
          <w:p w14:paraId="57AD0122" w14:textId="77777777" w:rsidR="002C1C79" w:rsidRPr="00690B9A" w:rsidRDefault="002C1C79" w:rsidP="00C03ED3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14:paraId="6BF7E6DF" w14:textId="77777777" w:rsidR="002C1C79" w:rsidRPr="00B5214F" w:rsidRDefault="002C1C79" w:rsidP="002C1C79">
      <w:pPr>
        <w:ind w:left="720"/>
        <w:jc w:val="both"/>
        <w:rPr>
          <w:sz w:val="20"/>
          <w:szCs w:val="20"/>
          <w:highlight w:val="yellow"/>
          <w:lang w:val="uk-UA"/>
        </w:rPr>
      </w:pPr>
    </w:p>
    <w:p w14:paraId="2060FB17" w14:textId="77777777" w:rsidR="002C1C79" w:rsidRPr="0000205F" w:rsidRDefault="002C1C79" w:rsidP="002C1C79">
      <w:pPr>
        <w:numPr>
          <w:ilvl w:val="0"/>
          <w:numId w:val="2"/>
        </w:numPr>
        <w:jc w:val="center"/>
        <w:rPr>
          <w:b/>
          <w:sz w:val="28"/>
          <w:szCs w:val="28"/>
          <w:lang w:val="uk-UA"/>
        </w:rPr>
      </w:pPr>
      <w:r w:rsidRPr="0000205F">
        <w:rPr>
          <w:b/>
          <w:sz w:val="28"/>
          <w:szCs w:val="28"/>
          <w:lang w:val="uk-UA"/>
        </w:rPr>
        <w:t>Цілі державного регулювання</w:t>
      </w:r>
    </w:p>
    <w:p w14:paraId="438D616B" w14:textId="77777777" w:rsidR="002C1C79" w:rsidRPr="00B5214F" w:rsidRDefault="002C1C79" w:rsidP="002C1C79">
      <w:pPr>
        <w:ind w:left="1077"/>
        <w:jc w:val="both"/>
        <w:rPr>
          <w:b/>
          <w:sz w:val="20"/>
          <w:szCs w:val="20"/>
          <w:highlight w:val="yellow"/>
          <w:lang w:val="uk-UA"/>
        </w:rPr>
      </w:pPr>
    </w:p>
    <w:p w14:paraId="21DF2B53" w14:textId="138866E3" w:rsidR="00BD2FE5" w:rsidRPr="0000205F" w:rsidRDefault="00DB642F" w:rsidP="00BD2FE5">
      <w:pPr>
        <w:ind w:firstLine="35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bCs/>
          <w:sz w:val="28"/>
          <w:szCs w:val="28"/>
          <w:lang w:val="uk-UA"/>
        </w:rPr>
        <w:t>Метою прийняття проєкту Постанови є удосконалення положень Порядку в частині термінів, взаємодії Регулятора та нерезидентів України щодо направлення повідомлень про початок розслідування з копією відповідного рішення, висновків про розслідування та висновків про результати розслідування, а також формалізацію їх отримання, функціонування комісії з розслідування,</w:t>
      </w:r>
      <w:r w:rsidRPr="00DB642F">
        <w:rPr>
          <w:bCs/>
          <w:sz w:val="28"/>
          <w:szCs w:val="28"/>
          <w:lang w:val="uk-UA"/>
        </w:rPr>
        <w:t xml:space="preserve"> висновку про розслідування та журналу реєстрації висновків про результати розслідування</w:t>
      </w:r>
      <w:r>
        <w:rPr>
          <w:bCs/>
          <w:sz w:val="28"/>
          <w:szCs w:val="28"/>
          <w:lang w:val="uk-UA"/>
        </w:rPr>
        <w:t>.</w:t>
      </w:r>
    </w:p>
    <w:p w14:paraId="098DE6BF" w14:textId="77777777" w:rsidR="002C1C79" w:rsidRPr="00B5214F" w:rsidRDefault="002C1C79" w:rsidP="002C1C79">
      <w:pPr>
        <w:ind w:firstLine="709"/>
        <w:jc w:val="both"/>
        <w:rPr>
          <w:bCs/>
          <w:sz w:val="20"/>
          <w:szCs w:val="20"/>
          <w:highlight w:val="yellow"/>
          <w:lang w:val="uk-UA"/>
        </w:rPr>
      </w:pPr>
    </w:p>
    <w:p w14:paraId="23D9EDD4" w14:textId="77777777" w:rsidR="002C1C79" w:rsidRPr="00DB642F" w:rsidRDefault="002C1C79" w:rsidP="002C1C79">
      <w:pPr>
        <w:pStyle w:val="2"/>
        <w:numPr>
          <w:ilvl w:val="0"/>
          <w:numId w:val="2"/>
        </w:numPr>
        <w:spacing w:after="0" w:line="240" w:lineRule="auto"/>
        <w:ind w:left="0" w:firstLine="709"/>
        <w:jc w:val="center"/>
        <w:rPr>
          <w:b/>
          <w:sz w:val="28"/>
          <w:szCs w:val="28"/>
          <w:lang w:val="uk-UA"/>
        </w:rPr>
      </w:pPr>
      <w:r w:rsidRPr="00DB642F">
        <w:rPr>
          <w:b/>
          <w:sz w:val="28"/>
          <w:szCs w:val="28"/>
          <w:lang w:val="uk-UA"/>
        </w:rPr>
        <w:t>Визначення та оцінка альтернативних способів досягнення визначених цілей</w:t>
      </w:r>
    </w:p>
    <w:p w14:paraId="7A859995" w14:textId="77777777" w:rsidR="002C1C79" w:rsidRPr="00B5214F" w:rsidRDefault="002C1C79" w:rsidP="002C1C79">
      <w:pPr>
        <w:pStyle w:val="2"/>
        <w:spacing w:after="0" w:line="240" w:lineRule="auto"/>
        <w:ind w:left="709"/>
        <w:jc w:val="both"/>
        <w:rPr>
          <w:b/>
          <w:sz w:val="20"/>
          <w:szCs w:val="20"/>
          <w:highlight w:val="yellow"/>
          <w:lang w:val="uk-UA"/>
        </w:rPr>
      </w:pPr>
    </w:p>
    <w:p w14:paraId="7261D27A" w14:textId="77777777" w:rsidR="002C1C79" w:rsidRPr="00DB642F" w:rsidRDefault="002C1C79" w:rsidP="002C1C79">
      <w:pPr>
        <w:pStyle w:val="2"/>
        <w:numPr>
          <w:ilvl w:val="0"/>
          <w:numId w:val="1"/>
        </w:numPr>
        <w:spacing w:after="0" w:line="240" w:lineRule="auto"/>
        <w:jc w:val="both"/>
        <w:rPr>
          <w:sz w:val="28"/>
          <w:szCs w:val="28"/>
          <w:lang w:val="uk-UA"/>
        </w:rPr>
      </w:pPr>
      <w:r w:rsidRPr="00DB642F">
        <w:rPr>
          <w:sz w:val="28"/>
          <w:szCs w:val="28"/>
          <w:lang w:val="uk-UA"/>
        </w:rPr>
        <w:t>Визначення альтернативних способів:</w:t>
      </w:r>
    </w:p>
    <w:p w14:paraId="2DD47B25" w14:textId="77777777" w:rsidR="002C1C79" w:rsidRPr="00DB642F" w:rsidRDefault="002C1C79" w:rsidP="002C1C79">
      <w:pPr>
        <w:pStyle w:val="2"/>
        <w:spacing w:after="0" w:line="240" w:lineRule="auto"/>
        <w:jc w:val="both"/>
        <w:rPr>
          <w:b/>
          <w:sz w:val="20"/>
          <w:szCs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656"/>
      </w:tblGrid>
      <w:tr w:rsidR="002C1C79" w:rsidRPr="00DB642F" w14:paraId="438372D8" w14:textId="77777777" w:rsidTr="00BD2FE5">
        <w:tc>
          <w:tcPr>
            <w:tcW w:w="2972" w:type="dxa"/>
            <w:shd w:val="clear" w:color="auto" w:fill="auto"/>
          </w:tcPr>
          <w:p w14:paraId="4B8518C7" w14:textId="77777777" w:rsidR="002C1C79" w:rsidRPr="00DB642F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DB642F">
              <w:rPr>
                <w:sz w:val="26"/>
                <w:szCs w:val="26"/>
                <w:lang w:val="uk-UA"/>
              </w:rPr>
              <w:t>Вид альтернативи</w:t>
            </w:r>
          </w:p>
        </w:tc>
        <w:tc>
          <w:tcPr>
            <w:tcW w:w="6656" w:type="dxa"/>
            <w:shd w:val="clear" w:color="auto" w:fill="auto"/>
          </w:tcPr>
          <w:p w14:paraId="4C145811" w14:textId="77777777" w:rsidR="002C1C79" w:rsidRPr="00DB642F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DB642F">
              <w:rPr>
                <w:sz w:val="26"/>
                <w:szCs w:val="26"/>
                <w:lang w:val="uk-UA"/>
              </w:rPr>
              <w:t>Опис альтернативи</w:t>
            </w:r>
          </w:p>
        </w:tc>
      </w:tr>
      <w:tr w:rsidR="002C1C79" w:rsidRPr="00DB642F" w14:paraId="6E918C8B" w14:textId="77777777" w:rsidTr="00BD2FE5">
        <w:tc>
          <w:tcPr>
            <w:tcW w:w="2972" w:type="dxa"/>
            <w:shd w:val="clear" w:color="auto" w:fill="auto"/>
          </w:tcPr>
          <w:p w14:paraId="24D9AD2D" w14:textId="77777777" w:rsidR="002C1C79" w:rsidRPr="00DB642F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B642F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14:paraId="4DD54F9E" w14:textId="77777777" w:rsidR="002C1C79" w:rsidRPr="00DB642F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642F">
              <w:rPr>
                <w:sz w:val="26"/>
                <w:szCs w:val="26"/>
                <w:lang w:val="uk-UA"/>
              </w:rPr>
              <w:t>Збереження чинного регулювання</w:t>
            </w:r>
          </w:p>
        </w:tc>
        <w:tc>
          <w:tcPr>
            <w:tcW w:w="6656" w:type="dxa"/>
            <w:shd w:val="clear" w:color="auto" w:fill="auto"/>
          </w:tcPr>
          <w:p w14:paraId="0B5C4A0D" w14:textId="77777777" w:rsidR="002C1C79" w:rsidRPr="00DB642F" w:rsidRDefault="00DB642F" w:rsidP="00BD2FE5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642F">
              <w:rPr>
                <w:sz w:val="26"/>
                <w:szCs w:val="26"/>
                <w:lang w:val="uk-UA"/>
              </w:rPr>
              <w:t>Залишення окремих положень Порядку у чинній редакції не досягає мети державного регулювання</w:t>
            </w:r>
            <w:r w:rsidR="00A00759" w:rsidRPr="00DB642F">
              <w:rPr>
                <w:sz w:val="26"/>
                <w:szCs w:val="26"/>
                <w:lang w:val="uk-UA"/>
              </w:rPr>
              <w:t xml:space="preserve">.  </w:t>
            </w:r>
          </w:p>
        </w:tc>
      </w:tr>
      <w:tr w:rsidR="002C1C79" w:rsidRPr="00B5214F" w14:paraId="5B41D0BC" w14:textId="77777777" w:rsidTr="00BD2FE5">
        <w:tc>
          <w:tcPr>
            <w:tcW w:w="2972" w:type="dxa"/>
            <w:shd w:val="clear" w:color="auto" w:fill="auto"/>
          </w:tcPr>
          <w:p w14:paraId="60C996B2" w14:textId="77777777" w:rsidR="002C1C79" w:rsidRPr="00DB642F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B642F">
              <w:rPr>
                <w:b/>
                <w:sz w:val="26"/>
                <w:szCs w:val="26"/>
                <w:lang w:val="uk-UA"/>
              </w:rPr>
              <w:t>Альтернатива 2</w:t>
            </w:r>
          </w:p>
          <w:p w14:paraId="30A72194" w14:textId="77777777" w:rsidR="002C1C79" w:rsidRPr="00DB642F" w:rsidRDefault="00726340" w:rsidP="00BD2FE5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>
              <w:rPr>
                <w:bCs/>
                <w:sz w:val="27"/>
                <w:szCs w:val="27"/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6656" w:type="dxa"/>
            <w:shd w:val="clear" w:color="auto" w:fill="auto"/>
          </w:tcPr>
          <w:p w14:paraId="16BFE85C" w14:textId="77777777" w:rsidR="002C1C79" w:rsidRPr="00DB642F" w:rsidRDefault="00DB642F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642F">
              <w:rPr>
                <w:sz w:val="26"/>
                <w:szCs w:val="26"/>
                <w:lang w:val="uk-UA"/>
              </w:rPr>
              <w:t>Внесення запропонованих змін до Порядку дозволить досягти мети державного регулювання</w:t>
            </w:r>
          </w:p>
        </w:tc>
      </w:tr>
    </w:tbl>
    <w:p w14:paraId="06F1A8CC" w14:textId="77777777" w:rsidR="002C1C79" w:rsidRPr="00B5214F" w:rsidRDefault="002C1C79" w:rsidP="002C1C79">
      <w:pPr>
        <w:pStyle w:val="2"/>
        <w:spacing w:after="0" w:line="240" w:lineRule="auto"/>
        <w:jc w:val="both"/>
        <w:rPr>
          <w:b/>
          <w:sz w:val="20"/>
          <w:highlight w:val="yellow"/>
          <w:lang w:val="uk-UA"/>
        </w:rPr>
      </w:pPr>
    </w:p>
    <w:p w14:paraId="7FE54E2E" w14:textId="77777777" w:rsidR="002C1C79" w:rsidRPr="00DB642F" w:rsidRDefault="002C1C79" w:rsidP="002C1C79">
      <w:pPr>
        <w:pStyle w:val="2"/>
        <w:numPr>
          <w:ilvl w:val="0"/>
          <w:numId w:val="1"/>
        </w:numPr>
        <w:spacing w:after="0" w:line="240" w:lineRule="auto"/>
        <w:jc w:val="both"/>
        <w:rPr>
          <w:sz w:val="28"/>
          <w:szCs w:val="28"/>
          <w:lang w:val="uk-UA"/>
        </w:rPr>
      </w:pPr>
      <w:r w:rsidRPr="00DB642F">
        <w:rPr>
          <w:sz w:val="28"/>
          <w:szCs w:val="28"/>
          <w:lang w:val="uk-UA"/>
        </w:rPr>
        <w:t>Оцінка вибраних альтернативних способів досягнення цілей</w:t>
      </w:r>
    </w:p>
    <w:p w14:paraId="1AF54422" w14:textId="77777777" w:rsidR="002C1C79" w:rsidRPr="00B5214F" w:rsidRDefault="002C1C79" w:rsidP="002C1C79">
      <w:pPr>
        <w:pStyle w:val="2"/>
        <w:spacing w:after="0" w:line="240" w:lineRule="auto"/>
        <w:ind w:left="720"/>
        <w:jc w:val="both"/>
        <w:rPr>
          <w:i/>
          <w:sz w:val="18"/>
          <w:szCs w:val="20"/>
          <w:highlight w:val="yellow"/>
          <w:lang w:val="uk-UA"/>
        </w:rPr>
      </w:pPr>
    </w:p>
    <w:p w14:paraId="4E4384EC" w14:textId="77777777" w:rsidR="002C1C79" w:rsidRPr="00DB642F" w:rsidRDefault="002C1C79" w:rsidP="002C1C79">
      <w:pPr>
        <w:pStyle w:val="2"/>
        <w:spacing w:after="0" w:line="240" w:lineRule="auto"/>
        <w:ind w:left="720"/>
        <w:jc w:val="both"/>
        <w:rPr>
          <w:sz w:val="28"/>
          <w:szCs w:val="28"/>
          <w:lang w:val="uk-UA"/>
        </w:rPr>
      </w:pPr>
      <w:r w:rsidRPr="00DB642F">
        <w:rPr>
          <w:sz w:val="28"/>
          <w:szCs w:val="28"/>
          <w:lang w:val="uk-UA"/>
        </w:rPr>
        <w:t>1) Оцінка впливу на сферу інтересів держави</w:t>
      </w:r>
    </w:p>
    <w:p w14:paraId="0F4F30E6" w14:textId="77777777" w:rsidR="002C1C79" w:rsidRPr="00B5214F" w:rsidRDefault="002C1C79" w:rsidP="002C1C79">
      <w:pPr>
        <w:pStyle w:val="2"/>
        <w:spacing w:after="0" w:line="240" w:lineRule="auto"/>
        <w:ind w:left="720"/>
        <w:jc w:val="both"/>
        <w:rPr>
          <w:sz w:val="22"/>
          <w:szCs w:val="28"/>
          <w:highlight w:val="yellow"/>
          <w:lang w:val="uk-UA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7"/>
        <w:gridCol w:w="3066"/>
        <w:gridCol w:w="3399"/>
      </w:tblGrid>
      <w:tr w:rsidR="002C1C79" w:rsidRPr="00B5214F" w14:paraId="54FAC1E8" w14:textId="77777777" w:rsidTr="00C03ED3">
        <w:tc>
          <w:tcPr>
            <w:tcW w:w="3261" w:type="dxa"/>
            <w:shd w:val="clear" w:color="auto" w:fill="auto"/>
          </w:tcPr>
          <w:p w14:paraId="6C138EE4" w14:textId="77777777" w:rsidR="002C1C79" w:rsidRPr="0091124E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91124E">
              <w:rPr>
                <w:sz w:val="26"/>
                <w:szCs w:val="26"/>
                <w:lang w:val="uk-UA"/>
              </w:rPr>
              <w:t>Вид альтернативи</w:t>
            </w:r>
          </w:p>
        </w:tc>
        <w:tc>
          <w:tcPr>
            <w:tcW w:w="3118" w:type="dxa"/>
            <w:shd w:val="clear" w:color="auto" w:fill="auto"/>
          </w:tcPr>
          <w:p w14:paraId="455DA887" w14:textId="77777777" w:rsidR="002C1C79" w:rsidRPr="0091124E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91124E">
              <w:rPr>
                <w:sz w:val="26"/>
                <w:szCs w:val="26"/>
                <w:lang w:val="uk-UA"/>
              </w:rPr>
              <w:t>Вигоди</w:t>
            </w:r>
          </w:p>
        </w:tc>
        <w:tc>
          <w:tcPr>
            <w:tcW w:w="3509" w:type="dxa"/>
            <w:shd w:val="clear" w:color="auto" w:fill="auto"/>
          </w:tcPr>
          <w:p w14:paraId="35172BDE" w14:textId="77777777" w:rsidR="002C1C79" w:rsidRPr="0091124E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91124E">
              <w:rPr>
                <w:sz w:val="26"/>
                <w:szCs w:val="26"/>
                <w:lang w:val="uk-UA"/>
              </w:rPr>
              <w:t>Витрати</w:t>
            </w:r>
          </w:p>
        </w:tc>
      </w:tr>
      <w:tr w:rsidR="002C1C79" w:rsidRPr="00B5214F" w14:paraId="642C9935" w14:textId="77777777" w:rsidTr="00C03ED3">
        <w:tc>
          <w:tcPr>
            <w:tcW w:w="3261" w:type="dxa"/>
            <w:shd w:val="clear" w:color="auto" w:fill="auto"/>
          </w:tcPr>
          <w:p w14:paraId="32EDCE74" w14:textId="77777777" w:rsidR="002C1C79" w:rsidRPr="0091124E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91124E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14:paraId="68160491" w14:textId="77777777" w:rsidR="002C1C79" w:rsidRPr="0091124E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91124E">
              <w:rPr>
                <w:sz w:val="26"/>
                <w:szCs w:val="26"/>
                <w:lang w:val="uk-UA"/>
              </w:rPr>
              <w:lastRenderedPageBreak/>
              <w:t>Збереження чинного регулювання</w:t>
            </w:r>
          </w:p>
        </w:tc>
        <w:tc>
          <w:tcPr>
            <w:tcW w:w="3118" w:type="dxa"/>
            <w:shd w:val="clear" w:color="auto" w:fill="auto"/>
          </w:tcPr>
          <w:p w14:paraId="2FBA1302" w14:textId="77777777" w:rsidR="002C1C79" w:rsidRPr="0091124E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91124E">
              <w:rPr>
                <w:sz w:val="26"/>
                <w:szCs w:val="26"/>
                <w:lang w:val="uk-UA"/>
              </w:rPr>
              <w:lastRenderedPageBreak/>
              <w:t xml:space="preserve">Відсутні </w:t>
            </w:r>
          </w:p>
        </w:tc>
        <w:tc>
          <w:tcPr>
            <w:tcW w:w="3509" w:type="dxa"/>
            <w:shd w:val="clear" w:color="auto" w:fill="auto"/>
          </w:tcPr>
          <w:p w14:paraId="1077EF86" w14:textId="77777777" w:rsidR="002C1C79" w:rsidRPr="0091124E" w:rsidRDefault="0091124E" w:rsidP="00BD2FE5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91124E">
              <w:rPr>
                <w:sz w:val="26"/>
                <w:szCs w:val="26"/>
                <w:lang w:val="uk-UA"/>
              </w:rPr>
              <w:t>Відсутні</w:t>
            </w:r>
          </w:p>
        </w:tc>
      </w:tr>
      <w:tr w:rsidR="002C1C79" w:rsidRPr="00726340" w14:paraId="1F662D79" w14:textId="77777777" w:rsidTr="00C03ED3">
        <w:tc>
          <w:tcPr>
            <w:tcW w:w="3261" w:type="dxa"/>
            <w:shd w:val="clear" w:color="auto" w:fill="auto"/>
          </w:tcPr>
          <w:p w14:paraId="1DFE6291" w14:textId="77777777" w:rsidR="002C1C79" w:rsidRPr="00726340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726340">
              <w:rPr>
                <w:b/>
                <w:sz w:val="26"/>
                <w:szCs w:val="26"/>
                <w:lang w:val="uk-UA"/>
              </w:rPr>
              <w:t>Альтернатива 2</w:t>
            </w:r>
          </w:p>
          <w:p w14:paraId="4318261F" w14:textId="77777777" w:rsidR="002C1C79" w:rsidRPr="00726340" w:rsidRDefault="00726340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>
              <w:rPr>
                <w:bCs/>
                <w:sz w:val="27"/>
                <w:szCs w:val="27"/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3118" w:type="dxa"/>
            <w:shd w:val="clear" w:color="auto" w:fill="auto"/>
          </w:tcPr>
          <w:p w14:paraId="107B5E1D" w14:textId="77777777" w:rsidR="002C1C79" w:rsidRPr="00726340" w:rsidRDefault="00726340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726340">
              <w:rPr>
                <w:sz w:val="26"/>
                <w:szCs w:val="26"/>
                <w:lang w:val="uk-UA"/>
              </w:rPr>
              <w:t>Внесення запропонованих змін до Порядку дозволить удосконалити його положення та досягти мети державного регулювання</w:t>
            </w:r>
          </w:p>
        </w:tc>
        <w:tc>
          <w:tcPr>
            <w:tcW w:w="3509" w:type="dxa"/>
            <w:shd w:val="clear" w:color="auto" w:fill="auto"/>
          </w:tcPr>
          <w:p w14:paraId="67D632C2" w14:textId="77777777" w:rsidR="002C1C79" w:rsidRPr="00726340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726340">
              <w:rPr>
                <w:sz w:val="26"/>
                <w:szCs w:val="26"/>
                <w:lang w:val="uk-UA"/>
              </w:rPr>
              <w:t>Відсутні</w:t>
            </w:r>
          </w:p>
        </w:tc>
      </w:tr>
    </w:tbl>
    <w:p w14:paraId="2DEB2B23" w14:textId="77777777" w:rsidR="00BD2FE5" w:rsidRPr="00B5214F" w:rsidRDefault="00BD2FE5" w:rsidP="002C1C79">
      <w:pPr>
        <w:pStyle w:val="2"/>
        <w:spacing w:after="0" w:line="240" w:lineRule="auto"/>
        <w:ind w:firstLine="720"/>
        <w:jc w:val="both"/>
        <w:rPr>
          <w:sz w:val="28"/>
          <w:szCs w:val="28"/>
          <w:highlight w:val="yellow"/>
          <w:lang w:val="uk-UA"/>
        </w:rPr>
      </w:pPr>
    </w:p>
    <w:p w14:paraId="31E2AFB0" w14:textId="77777777" w:rsidR="002C1C79" w:rsidRPr="00726340" w:rsidRDefault="002C1C79" w:rsidP="002C1C79">
      <w:pPr>
        <w:pStyle w:val="2"/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 w:rsidRPr="00726340">
        <w:rPr>
          <w:sz w:val="28"/>
          <w:szCs w:val="28"/>
          <w:lang w:val="uk-UA"/>
        </w:rPr>
        <w:t>2) Оцінка впливу на сферу інтересів громадян</w:t>
      </w:r>
    </w:p>
    <w:p w14:paraId="607AC1D6" w14:textId="77777777" w:rsidR="002C1C79" w:rsidRPr="00B5214F" w:rsidRDefault="002C1C79" w:rsidP="002C1C79">
      <w:pPr>
        <w:pStyle w:val="2"/>
        <w:spacing w:after="0" w:line="240" w:lineRule="auto"/>
        <w:jc w:val="both"/>
        <w:rPr>
          <w:sz w:val="16"/>
          <w:szCs w:val="28"/>
          <w:highlight w:val="yellow"/>
          <w:lang w:val="uk-UA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118"/>
        <w:gridCol w:w="3508"/>
      </w:tblGrid>
      <w:tr w:rsidR="002C1C79" w:rsidRPr="00B5214F" w14:paraId="299EBA4A" w14:textId="77777777" w:rsidTr="00C03ED3">
        <w:tc>
          <w:tcPr>
            <w:tcW w:w="3227" w:type="dxa"/>
            <w:shd w:val="clear" w:color="auto" w:fill="auto"/>
          </w:tcPr>
          <w:p w14:paraId="606B12D8" w14:textId="77777777" w:rsidR="002C1C79" w:rsidRPr="00726340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726340">
              <w:rPr>
                <w:sz w:val="26"/>
                <w:szCs w:val="26"/>
                <w:lang w:val="uk-UA"/>
              </w:rPr>
              <w:t>Вид альтернативи</w:t>
            </w:r>
          </w:p>
        </w:tc>
        <w:tc>
          <w:tcPr>
            <w:tcW w:w="3118" w:type="dxa"/>
            <w:shd w:val="clear" w:color="auto" w:fill="auto"/>
          </w:tcPr>
          <w:p w14:paraId="06BEDC16" w14:textId="77777777" w:rsidR="002C1C79" w:rsidRPr="00726340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726340">
              <w:rPr>
                <w:sz w:val="26"/>
                <w:szCs w:val="26"/>
                <w:lang w:val="uk-UA"/>
              </w:rPr>
              <w:t>Вигоди</w:t>
            </w:r>
          </w:p>
        </w:tc>
        <w:tc>
          <w:tcPr>
            <w:tcW w:w="3508" w:type="dxa"/>
            <w:shd w:val="clear" w:color="auto" w:fill="auto"/>
          </w:tcPr>
          <w:p w14:paraId="630DF5E2" w14:textId="77777777" w:rsidR="002C1C79" w:rsidRPr="00B5214F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highlight w:val="yellow"/>
                <w:lang w:val="uk-UA"/>
              </w:rPr>
            </w:pPr>
            <w:r w:rsidRPr="00726340">
              <w:rPr>
                <w:sz w:val="26"/>
                <w:szCs w:val="26"/>
                <w:lang w:val="uk-UA"/>
              </w:rPr>
              <w:t>Витрати</w:t>
            </w:r>
          </w:p>
        </w:tc>
      </w:tr>
      <w:tr w:rsidR="00726340" w:rsidRPr="00B5214F" w14:paraId="711CDC6E" w14:textId="77777777" w:rsidTr="00C03ED3">
        <w:tc>
          <w:tcPr>
            <w:tcW w:w="3227" w:type="dxa"/>
            <w:shd w:val="clear" w:color="auto" w:fill="auto"/>
          </w:tcPr>
          <w:p w14:paraId="495D84E5" w14:textId="77777777" w:rsidR="00726340" w:rsidRPr="00726340" w:rsidRDefault="00726340" w:rsidP="00726340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726340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14:paraId="23C02121" w14:textId="77777777" w:rsidR="00726340" w:rsidRPr="00726340" w:rsidRDefault="00726340" w:rsidP="00726340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726340">
              <w:rPr>
                <w:sz w:val="26"/>
                <w:szCs w:val="26"/>
                <w:lang w:val="uk-UA"/>
              </w:rPr>
              <w:t>Збереження чинного регулювання</w:t>
            </w:r>
          </w:p>
        </w:tc>
        <w:tc>
          <w:tcPr>
            <w:tcW w:w="3118" w:type="dxa"/>
            <w:shd w:val="clear" w:color="auto" w:fill="auto"/>
          </w:tcPr>
          <w:p w14:paraId="1CC3C3F6" w14:textId="77777777" w:rsidR="00726340" w:rsidRPr="00726340" w:rsidRDefault="00726340" w:rsidP="00726340">
            <w:r w:rsidRPr="00726340">
              <w:rPr>
                <w:bCs/>
                <w:sz w:val="27"/>
                <w:szCs w:val="27"/>
                <w:lang w:val="uk-UA"/>
              </w:rPr>
              <w:t>Відсутні</w:t>
            </w:r>
          </w:p>
        </w:tc>
        <w:tc>
          <w:tcPr>
            <w:tcW w:w="3508" w:type="dxa"/>
            <w:shd w:val="clear" w:color="auto" w:fill="auto"/>
          </w:tcPr>
          <w:p w14:paraId="1D416719" w14:textId="77777777" w:rsidR="00726340" w:rsidRDefault="00726340" w:rsidP="00726340">
            <w:r w:rsidRPr="00AB05F6">
              <w:rPr>
                <w:bCs/>
                <w:sz w:val="27"/>
                <w:szCs w:val="27"/>
                <w:lang w:val="uk-UA"/>
              </w:rPr>
              <w:t>Відсутні</w:t>
            </w:r>
          </w:p>
        </w:tc>
      </w:tr>
      <w:tr w:rsidR="00726340" w:rsidRPr="00B5214F" w14:paraId="6190E4E3" w14:textId="77777777" w:rsidTr="00C03ED3">
        <w:trPr>
          <w:trHeight w:val="825"/>
        </w:trPr>
        <w:tc>
          <w:tcPr>
            <w:tcW w:w="3227" w:type="dxa"/>
            <w:shd w:val="clear" w:color="auto" w:fill="auto"/>
          </w:tcPr>
          <w:p w14:paraId="7B416A8F" w14:textId="77777777" w:rsidR="00726340" w:rsidRPr="00726340" w:rsidRDefault="00726340" w:rsidP="00726340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726340">
              <w:rPr>
                <w:b/>
                <w:sz w:val="26"/>
                <w:szCs w:val="26"/>
                <w:lang w:val="uk-UA"/>
              </w:rPr>
              <w:t>Альтернатива 2</w:t>
            </w:r>
          </w:p>
          <w:p w14:paraId="17A1E0DE" w14:textId="77777777" w:rsidR="00726340" w:rsidRPr="00726340" w:rsidRDefault="00726340" w:rsidP="00726340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>
              <w:rPr>
                <w:bCs/>
                <w:sz w:val="27"/>
                <w:szCs w:val="27"/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3118" w:type="dxa"/>
            <w:shd w:val="clear" w:color="auto" w:fill="auto"/>
          </w:tcPr>
          <w:p w14:paraId="383C744C" w14:textId="77777777" w:rsidR="00726340" w:rsidRPr="00726340" w:rsidRDefault="00726340" w:rsidP="00726340">
            <w:r w:rsidRPr="00726340">
              <w:rPr>
                <w:bCs/>
                <w:sz w:val="27"/>
                <w:szCs w:val="27"/>
                <w:lang w:val="uk-UA"/>
              </w:rPr>
              <w:t>Відсутні</w:t>
            </w:r>
          </w:p>
        </w:tc>
        <w:tc>
          <w:tcPr>
            <w:tcW w:w="3508" w:type="dxa"/>
            <w:shd w:val="clear" w:color="auto" w:fill="auto"/>
          </w:tcPr>
          <w:p w14:paraId="024664AD" w14:textId="77777777" w:rsidR="00726340" w:rsidRDefault="00726340" w:rsidP="00726340">
            <w:r w:rsidRPr="00AB05F6">
              <w:rPr>
                <w:bCs/>
                <w:sz w:val="27"/>
                <w:szCs w:val="27"/>
                <w:lang w:val="uk-UA"/>
              </w:rPr>
              <w:t>Відсутні</w:t>
            </w:r>
          </w:p>
        </w:tc>
      </w:tr>
    </w:tbl>
    <w:p w14:paraId="0EA9C079" w14:textId="77777777" w:rsidR="00D073EA" w:rsidRPr="00B5214F" w:rsidRDefault="00D073EA" w:rsidP="002C1C79">
      <w:pPr>
        <w:pStyle w:val="2"/>
        <w:spacing w:after="0" w:line="240" w:lineRule="auto"/>
        <w:ind w:firstLine="720"/>
        <w:jc w:val="both"/>
        <w:rPr>
          <w:sz w:val="28"/>
          <w:szCs w:val="28"/>
          <w:highlight w:val="yellow"/>
          <w:lang w:val="uk-UA"/>
        </w:rPr>
      </w:pPr>
    </w:p>
    <w:p w14:paraId="21498A92" w14:textId="77777777" w:rsidR="002C1C79" w:rsidRPr="00726340" w:rsidRDefault="002C1C79" w:rsidP="002C1C79">
      <w:pPr>
        <w:pStyle w:val="2"/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 w:rsidRPr="00726340">
        <w:rPr>
          <w:sz w:val="28"/>
          <w:szCs w:val="28"/>
          <w:lang w:val="uk-UA"/>
        </w:rPr>
        <w:t>3) Оцінка впливу на сферу інтересів суб’єктів господарювання</w:t>
      </w:r>
    </w:p>
    <w:p w14:paraId="1D55C7C0" w14:textId="77777777" w:rsidR="002C1C79" w:rsidRPr="00B5214F" w:rsidRDefault="002C1C79" w:rsidP="002C1C79">
      <w:pPr>
        <w:pStyle w:val="2"/>
        <w:spacing w:after="0" w:line="240" w:lineRule="auto"/>
        <w:jc w:val="both"/>
        <w:rPr>
          <w:sz w:val="16"/>
          <w:szCs w:val="28"/>
          <w:highlight w:val="yellow"/>
          <w:lang w:val="uk-UA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2948"/>
        <w:gridCol w:w="3508"/>
      </w:tblGrid>
      <w:tr w:rsidR="002C1C79" w:rsidRPr="00B5214F" w14:paraId="76C1CB46" w14:textId="77777777" w:rsidTr="00BD2FE5">
        <w:tc>
          <w:tcPr>
            <w:tcW w:w="3397" w:type="dxa"/>
            <w:shd w:val="clear" w:color="auto" w:fill="auto"/>
          </w:tcPr>
          <w:p w14:paraId="7EDCD9E0" w14:textId="77777777" w:rsidR="002C1C79" w:rsidRPr="00726340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726340">
              <w:rPr>
                <w:sz w:val="26"/>
                <w:szCs w:val="26"/>
                <w:lang w:val="uk-UA"/>
              </w:rPr>
              <w:t>Вид альтернативи</w:t>
            </w:r>
          </w:p>
        </w:tc>
        <w:tc>
          <w:tcPr>
            <w:tcW w:w="2948" w:type="dxa"/>
            <w:shd w:val="clear" w:color="auto" w:fill="auto"/>
          </w:tcPr>
          <w:p w14:paraId="799F715D" w14:textId="77777777" w:rsidR="002C1C79" w:rsidRPr="00726340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726340">
              <w:rPr>
                <w:sz w:val="26"/>
                <w:szCs w:val="26"/>
                <w:lang w:val="uk-UA"/>
              </w:rPr>
              <w:t>Вигоди</w:t>
            </w:r>
          </w:p>
        </w:tc>
        <w:tc>
          <w:tcPr>
            <w:tcW w:w="3508" w:type="dxa"/>
            <w:shd w:val="clear" w:color="auto" w:fill="auto"/>
          </w:tcPr>
          <w:p w14:paraId="74CCFAE3" w14:textId="77777777" w:rsidR="002C1C79" w:rsidRPr="00726340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726340">
              <w:rPr>
                <w:sz w:val="26"/>
                <w:szCs w:val="26"/>
                <w:lang w:val="uk-UA"/>
              </w:rPr>
              <w:t>Витрати</w:t>
            </w:r>
          </w:p>
        </w:tc>
      </w:tr>
      <w:tr w:rsidR="002C1C79" w:rsidRPr="00B5214F" w14:paraId="08E4B31C" w14:textId="77777777" w:rsidTr="00BD2FE5">
        <w:tc>
          <w:tcPr>
            <w:tcW w:w="3397" w:type="dxa"/>
            <w:shd w:val="clear" w:color="auto" w:fill="auto"/>
          </w:tcPr>
          <w:p w14:paraId="03A04388" w14:textId="77777777" w:rsidR="002C1C79" w:rsidRPr="00726340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726340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14:paraId="364B58B4" w14:textId="77777777" w:rsidR="002C1C79" w:rsidRPr="00726340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726340">
              <w:rPr>
                <w:sz w:val="26"/>
                <w:szCs w:val="26"/>
                <w:lang w:val="uk-UA"/>
              </w:rPr>
              <w:t>Збереження чинного регулювання</w:t>
            </w:r>
          </w:p>
        </w:tc>
        <w:tc>
          <w:tcPr>
            <w:tcW w:w="2948" w:type="dxa"/>
            <w:shd w:val="clear" w:color="auto" w:fill="auto"/>
          </w:tcPr>
          <w:p w14:paraId="0396AFE3" w14:textId="77777777" w:rsidR="002C1C79" w:rsidRPr="00726340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726340">
              <w:rPr>
                <w:sz w:val="26"/>
                <w:szCs w:val="26"/>
                <w:lang w:val="uk-UA"/>
              </w:rPr>
              <w:t>Відсутні</w:t>
            </w:r>
          </w:p>
        </w:tc>
        <w:tc>
          <w:tcPr>
            <w:tcW w:w="3508" w:type="dxa"/>
            <w:shd w:val="clear" w:color="auto" w:fill="auto"/>
          </w:tcPr>
          <w:p w14:paraId="46E6374F" w14:textId="77777777" w:rsidR="002C1C79" w:rsidRPr="00726340" w:rsidRDefault="00726340" w:rsidP="00BD2FE5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>
              <w:rPr>
                <w:bCs/>
                <w:sz w:val="27"/>
                <w:szCs w:val="27"/>
                <w:lang w:val="uk-UA"/>
              </w:rPr>
              <w:t>Відсутні</w:t>
            </w:r>
          </w:p>
        </w:tc>
      </w:tr>
      <w:tr w:rsidR="002C1C79" w:rsidRPr="000B3681" w14:paraId="392C8150" w14:textId="77777777" w:rsidTr="00BD2FE5">
        <w:tc>
          <w:tcPr>
            <w:tcW w:w="3397" w:type="dxa"/>
            <w:shd w:val="clear" w:color="auto" w:fill="auto"/>
          </w:tcPr>
          <w:p w14:paraId="48B7F1BE" w14:textId="77777777" w:rsidR="002C1C79" w:rsidRPr="00726340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726340">
              <w:rPr>
                <w:b/>
                <w:sz w:val="26"/>
                <w:szCs w:val="26"/>
                <w:lang w:val="uk-UA"/>
              </w:rPr>
              <w:t>Альтернатива 2</w:t>
            </w:r>
          </w:p>
          <w:p w14:paraId="53C1E52E" w14:textId="77777777" w:rsidR="002C1C79" w:rsidRPr="00726340" w:rsidRDefault="00726340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726340">
              <w:rPr>
                <w:bCs/>
                <w:sz w:val="27"/>
                <w:szCs w:val="27"/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2948" w:type="dxa"/>
            <w:shd w:val="clear" w:color="auto" w:fill="auto"/>
          </w:tcPr>
          <w:p w14:paraId="508209C6" w14:textId="77777777" w:rsidR="002C1C79" w:rsidRPr="00726340" w:rsidRDefault="00A80BA3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Прийняття змін до Порядку </w:t>
            </w:r>
            <w:r w:rsidR="000B3681">
              <w:rPr>
                <w:sz w:val="26"/>
                <w:szCs w:val="26"/>
                <w:lang w:val="uk-UA"/>
              </w:rPr>
              <w:t xml:space="preserve">дозволить направляти повідомлення про початок розслідування з копією відповідного рішення, висновки про розслідування та висновки про результати розслідування суб’єктів розслідування, які відсутні в Реєстрі учасників оптового енергетичного ринку та не зареєстровані як суб’єкти господарювання за українським законодавством, формалізує питання висновків про розслідування, сприятиме розумінню </w:t>
            </w:r>
            <w:r w:rsidR="000B3681">
              <w:rPr>
                <w:sz w:val="26"/>
                <w:szCs w:val="26"/>
                <w:lang w:val="uk-UA"/>
              </w:rPr>
              <w:lastRenderedPageBreak/>
              <w:t>суб’єкта розслідування у разі неврахування його заперечень до висновку про результати розслідування.</w:t>
            </w:r>
          </w:p>
        </w:tc>
        <w:tc>
          <w:tcPr>
            <w:tcW w:w="3508" w:type="dxa"/>
            <w:shd w:val="clear" w:color="auto" w:fill="auto"/>
          </w:tcPr>
          <w:p w14:paraId="27BDD8A2" w14:textId="77777777" w:rsidR="002C1C79" w:rsidRPr="00726340" w:rsidRDefault="000B3681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Відсутні</w:t>
            </w:r>
          </w:p>
        </w:tc>
      </w:tr>
    </w:tbl>
    <w:p w14:paraId="7B69B852" w14:textId="77777777" w:rsidR="002C1C79" w:rsidRPr="00B5214F" w:rsidRDefault="002C1C79" w:rsidP="002C1C79">
      <w:pPr>
        <w:pStyle w:val="2"/>
        <w:spacing w:after="0" w:line="240" w:lineRule="auto"/>
        <w:jc w:val="both"/>
        <w:rPr>
          <w:sz w:val="16"/>
          <w:szCs w:val="28"/>
          <w:highlight w:val="yellow"/>
          <w:lang w:val="uk-UA"/>
        </w:rPr>
      </w:pPr>
    </w:p>
    <w:p w14:paraId="21D10EF6" w14:textId="77777777" w:rsidR="002C1C79" w:rsidRPr="000B3681" w:rsidRDefault="002C1C79" w:rsidP="002C1C79">
      <w:pPr>
        <w:pStyle w:val="2"/>
        <w:numPr>
          <w:ilvl w:val="0"/>
          <w:numId w:val="2"/>
        </w:numPr>
        <w:spacing w:after="0" w:line="240" w:lineRule="auto"/>
        <w:jc w:val="both"/>
        <w:rPr>
          <w:b/>
          <w:sz w:val="28"/>
          <w:szCs w:val="28"/>
          <w:lang w:val="uk-UA"/>
        </w:rPr>
      </w:pPr>
      <w:r w:rsidRPr="000B3681">
        <w:rPr>
          <w:b/>
          <w:sz w:val="28"/>
          <w:szCs w:val="28"/>
          <w:lang w:val="uk-UA"/>
        </w:rPr>
        <w:t>Вибір найбільш оптимального альтернативного способу досягнення цілей</w:t>
      </w:r>
    </w:p>
    <w:p w14:paraId="6C37BFDE" w14:textId="77777777" w:rsidR="00862DA9" w:rsidRPr="00B5214F" w:rsidRDefault="00862DA9" w:rsidP="00862DA9">
      <w:pPr>
        <w:pStyle w:val="2"/>
        <w:spacing w:after="0" w:line="240" w:lineRule="auto"/>
        <w:ind w:left="1077"/>
        <w:jc w:val="both"/>
        <w:rPr>
          <w:b/>
          <w:sz w:val="28"/>
          <w:szCs w:val="28"/>
          <w:highlight w:val="yellow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9"/>
        <w:gridCol w:w="3000"/>
        <w:gridCol w:w="3413"/>
      </w:tblGrid>
      <w:tr w:rsidR="002C1C79" w:rsidRPr="00B5214F" w14:paraId="0ABD6A71" w14:textId="77777777" w:rsidTr="00C03ED3">
        <w:tc>
          <w:tcPr>
            <w:tcW w:w="3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1C892F2" w14:textId="77777777" w:rsidR="002C1C79" w:rsidRPr="000B3681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3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6BA2BF2" w14:textId="77777777" w:rsidR="002C1C79" w:rsidRPr="000B3681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Бал результативності (за чотирибальною системою оцінки)</w:t>
            </w:r>
          </w:p>
        </w:tc>
        <w:tc>
          <w:tcPr>
            <w:tcW w:w="3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F34E18B" w14:textId="77777777" w:rsidR="002C1C79" w:rsidRPr="000B3681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 xml:space="preserve">Коментарі щодо присвоєння відповідного </w:t>
            </w:r>
            <w:proofErr w:type="spellStart"/>
            <w:r w:rsidRPr="000B3681">
              <w:rPr>
                <w:sz w:val="26"/>
                <w:szCs w:val="26"/>
                <w:lang w:val="uk-UA"/>
              </w:rPr>
              <w:t>бала</w:t>
            </w:r>
            <w:proofErr w:type="spellEnd"/>
          </w:p>
        </w:tc>
      </w:tr>
      <w:tr w:rsidR="002C1C79" w:rsidRPr="00B5214F" w14:paraId="4F3458BE" w14:textId="77777777" w:rsidTr="00C03ED3">
        <w:tc>
          <w:tcPr>
            <w:tcW w:w="3284" w:type="dxa"/>
            <w:shd w:val="clear" w:color="auto" w:fill="auto"/>
          </w:tcPr>
          <w:p w14:paraId="1FA91578" w14:textId="77777777" w:rsidR="002C1C79" w:rsidRPr="000B3681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0B3681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14:paraId="34A95AB6" w14:textId="77777777" w:rsidR="002C1C79" w:rsidRPr="000B3681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 xml:space="preserve"> Збереження чинного регулювання</w:t>
            </w:r>
          </w:p>
        </w:tc>
        <w:tc>
          <w:tcPr>
            <w:tcW w:w="3061" w:type="dxa"/>
            <w:shd w:val="clear" w:color="auto" w:fill="auto"/>
          </w:tcPr>
          <w:p w14:paraId="6009C1D8" w14:textId="77777777" w:rsidR="002C1C79" w:rsidRPr="000B3681" w:rsidRDefault="002C1C79" w:rsidP="00C03ED3">
            <w:pPr>
              <w:jc w:val="center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3509" w:type="dxa"/>
            <w:shd w:val="clear" w:color="auto" w:fill="auto"/>
          </w:tcPr>
          <w:p w14:paraId="715E717A" w14:textId="77777777" w:rsidR="002C1C79" w:rsidRPr="000B3681" w:rsidRDefault="000B3681" w:rsidP="00580D24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Не вирішує проблему</w:t>
            </w:r>
          </w:p>
        </w:tc>
      </w:tr>
      <w:tr w:rsidR="002C1C79" w:rsidRPr="00B5214F" w14:paraId="61530EDC" w14:textId="77777777" w:rsidTr="00C03ED3">
        <w:tc>
          <w:tcPr>
            <w:tcW w:w="3284" w:type="dxa"/>
            <w:shd w:val="clear" w:color="auto" w:fill="auto"/>
          </w:tcPr>
          <w:p w14:paraId="263D61F1" w14:textId="77777777" w:rsidR="002C1C79" w:rsidRPr="000B3681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0B3681">
              <w:rPr>
                <w:b/>
                <w:sz w:val="26"/>
                <w:szCs w:val="26"/>
                <w:lang w:val="uk-UA"/>
              </w:rPr>
              <w:t>Альтернатива 2</w:t>
            </w:r>
          </w:p>
          <w:p w14:paraId="1BE32A21" w14:textId="77777777" w:rsidR="002C1C79" w:rsidRPr="000B3681" w:rsidRDefault="00726340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0B3681">
              <w:rPr>
                <w:bCs/>
                <w:sz w:val="27"/>
                <w:szCs w:val="27"/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3061" w:type="dxa"/>
            <w:shd w:val="clear" w:color="auto" w:fill="auto"/>
          </w:tcPr>
          <w:p w14:paraId="74D3E3B7" w14:textId="77777777" w:rsidR="002C1C79" w:rsidRPr="000B3681" w:rsidRDefault="002C1C79" w:rsidP="00C03ED3">
            <w:pPr>
              <w:jc w:val="center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3509" w:type="dxa"/>
            <w:shd w:val="clear" w:color="auto" w:fill="auto"/>
          </w:tcPr>
          <w:p w14:paraId="7FD3D85D" w14:textId="77777777" w:rsidR="002C1C79" w:rsidRPr="000B3681" w:rsidRDefault="000B3681" w:rsidP="00C03ED3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Сприятиме удосконаленню Порядку</w:t>
            </w:r>
          </w:p>
          <w:p w14:paraId="7D2075C5" w14:textId="77777777" w:rsidR="002C1C79" w:rsidRPr="000B3681" w:rsidRDefault="002C1C79" w:rsidP="00C03ED3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</w:tbl>
    <w:p w14:paraId="4A6DF758" w14:textId="77777777" w:rsidR="002C1C79" w:rsidRPr="00B5214F" w:rsidRDefault="002C1C79" w:rsidP="002C1C79">
      <w:pPr>
        <w:rPr>
          <w:sz w:val="12"/>
          <w:szCs w:val="12"/>
          <w:highlight w:val="yellow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9"/>
        <w:gridCol w:w="2203"/>
        <w:gridCol w:w="2104"/>
        <w:gridCol w:w="3072"/>
      </w:tblGrid>
      <w:tr w:rsidR="002C1C79" w:rsidRPr="00B5214F" w14:paraId="46357EF6" w14:textId="77777777" w:rsidTr="00C03ED3">
        <w:tc>
          <w:tcPr>
            <w:tcW w:w="2261" w:type="dxa"/>
            <w:shd w:val="clear" w:color="auto" w:fill="auto"/>
          </w:tcPr>
          <w:p w14:paraId="77B6DA9C" w14:textId="77777777" w:rsidR="002C1C79" w:rsidRPr="000B3681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Рейтинг результативності</w:t>
            </w:r>
          </w:p>
        </w:tc>
        <w:tc>
          <w:tcPr>
            <w:tcW w:w="2237" w:type="dxa"/>
            <w:shd w:val="clear" w:color="auto" w:fill="auto"/>
          </w:tcPr>
          <w:p w14:paraId="3CED853D" w14:textId="77777777" w:rsidR="002C1C79" w:rsidRPr="000B3681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Вигоди (підсумок)</w:t>
            </w:r>
          </w:p>
        </w:tc>
        <w:tc>
          <w:tcPr>
            <w:tcW w:w="2172" w:type="dxa"/>
            <w:shd w:val="clear" w:color="auto" w:fill="auto"/>
          </w:tcPr>
          <w:p w14:paraId="7F1D44A8" w14:textId="77777777" w:rsidR="002C1C79" w:rsidRPr="000B3681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Витрати (підсумок)</w:t>
            </w:r>
          </w:p>
        </w:tc>
        <w:tc>
          <w:tcPr>
            <w:tcW w:w="3184" w:type="dxa"/>
            <w:shd w:val="clear" w:color="auto" w:fill="auto"/>
          </w:tcPr>
          <w:p w14:paraId="20DFD685" w14:textId="77777777" w:rsidR="002C1C79" w:rsidRPr="000B3681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Обґрунтування відповідного місця альтернативи у рейтингу</w:t>
            </w:r>
          </w:p>
        </w:tc>
      </w:tr>
      <w:tr w:rsidR="002C1C79" w:rsidRPr="00B5214F" w14:paraId="6F0D9352" w14:textId="77777777" w:rsidTr="00C03ED3">
        <w:tc>
          <w:tcPr>
            <w:tcW w:w="2261" w:type="dxa"/>
            <w:shd w:val="clear" w:color="auto" w:fill="auto"/>
          </w:tcPr>
          <w:p w14:paraId="0D548A9F" w14:textId="77777777" w:rsidR="002C1C79" w:rsidRPr="000B3681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0B3681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14:paraId="7F56B4C6" w14:textId="77777777" w:rsidR="002C1C79" w:rsidRPr="000B3681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Збереження чинного регулювання</w:t>
            </w:r>
          </w:p>
        </w:tc>
        <w:tc>
          <w:tcPr>
            <w:tcW w:w="2237" w:type="dxa"/>
            <w:shd w:val="clear" w:color="auto" w:fill="auto"/>
          </w:tcPr>
          <w:p w14:paraId="3C6206EB" w14:textId="77777777" w:rsidR="002C1C79" w:rsidRPr="000B3681" w:rsidRDefault="002C1C79" w:rsidP="00C03ED3">
            <w:pPr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Відсутні</w:t>
            </w:r>
          </w:p>
        </w:tc>
        <w:tc>
          <w:tcPr>
            <w:tcW w:w="2172" w:type="dxa"/>
            <w:shd w:val="clear" w:color="auto" w:fill="auto"/>
          </w:tcPr>
          <w:p w14:paraId="17B029EF" w14:textId="77777777" w:rsidR="002C1C79" w:rsidRPr="000B3681" w:rsidRDefault="000B3681" w:rsidP="00C03ED3">
            <w:pPr>
              <w:jc w:val="both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Відсутні</w:t>
            </w:r>
          </w:p>
        </w:tc>
        <w:tc>
          <w:tcPr>
            <w:tcW w:w="3184" w:type="dxa"/>
            <w:shd w:val="clear" w:color="auto" w:fill="auto"/>
          </w:tcPr>
          <w:p w14:paraId="5C457104" w14:textId="77777777" w:rsidR="002C1C79" w:rsidRPr="000B3681" w:rsidRDefault="000B3681" w:rsidP="00C03ED3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Альтернатива 1 не дозволяє вирішити поставлену задачу</w:t>
            </w:r>
          </w:p>
        </w:tc>
      </w:tr>
      <w:tr w:rsidR="002C1C79" w:rsidRPr="00B5214F" w14:paraId="49514265" w14:textId="77777777" w:rsidTr="00C03ED3">
        <w:tc>
          <w:tcPr>
            <w:tcW w:w="2261" w:type="dxa"/>
            <w:shd w:val="clear" w:color="auto" w:fill="auto"/>
          </w:tcPr>
          <w:p w14:paraId="76D9AE11" w14:textId="77777777" w:rsidR="002C1C79" w:rsidRPr="000B3681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0B3681">
              <w:rPr>
                <w:b/>
                <w:sz w:val="26"/>
                <w:szCs w:val="26"/>
                <w:lang w:val="uk-UA"/>
              </w:rPr>
              <w:t>Альтернатива 2</w:t>
            </w:r>
          </w:p>
          <w:p w14:paraId="17F7B6FE" w14:textId="77777777" w:rsidR="002C1C79" w:rsidRPr="000B3681" w:rsidRDefault="00726340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0B3681">
              <w:rPr>
                <w:bCs/>
                <w:sz w:val="27"/>
                <w:szCs w:val="27"/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2237" w:type="dxa"/>
            <w:shd w:val="clear" w:color="auto" w:fill="auto"/>
          </w:tcPr>
          <w:p w14:paraId="1533E8A5" w14:textId="77777777" w:rsidR="002C1C79" w:rsidRPr="000B3681" w:rsidRDefault="000B3681" w:rsidP="00C03ED3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Удосконалить Порядок</w:t>
            </w:r>
          </w:p>
        </w:tc>
        <w:tc>
          <w:tcPr>
            <w:tcW w:w="2172" w:type="dxa"/>
            <w:shd w:val="clear" w:color="auto" w:fill="auto"/>
          </w:tcPr>
          <w:p w14:paraId="0370C887" w14:textId="77777777" w:rsidR="002C1C79" w:rsidRPr="000B3681" w:rsidRDefault="002C1C79" w:rsidP="00C03ED3">
            <w:pPr>
              <w:jc w:val="both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Відсутні</w:t>
            </w:r>
          </w:p>
        </w:tc>
        <w:tc>
          <w:tcPr>
            <w:tcW w:w="3184" w:type="dxa"/>
            <w:shd w:val="clear" w:color="auto" w:fill="auto"/>
          </w:tcPr>
          <w:p w14:paraId="18C99A91" w14:textId="77777777" w:rsidR="000B3681" w:rsidRDefault="000B3681" w:rsidP="000B3681">
            <w:pPr>
              <w:pStyle w:val="af1"/>
              <w:widowControl w:val="0"/>
              <w:spacing w:after="0"/>
              <w:jc w:val="both"/>
              <w:rPr>
                <w:bCs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Альтернатива 2 дозволить досягнути цілей повною мірою</w:t>
            </w:r>
          </w:p>
          <w:p w14:paraId="093B7702" w14:textId="77777777" w:rsidR="002C1C79" w:rsidRPr="000B3681" w:rsidRDefault="002C1C79" w:rsidP="00C03ED3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</w:tbl>
    <w:p w14:paraId="4D6CFF26" w14:textId="77777777" w:rsidR="002C1C79" w:rsidRPr="00B5214F" w:rsidRDefault="002C1C79" w:rsidP="002C1C79">
      <w:pPr>
        <w:jc w:val="both"/>
        <w:rPr>
          <w:sz w:val="26"/>
          <w:szCs w:val="26"/>
          <w:highlight w:val="yellow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9"/>
        <w:gridCol w:w="3863"/>
        <w:gridCol w:w="2756"/>
      </w:tblGrid>
      <w:tr w:rsidR="002C1C79" w:rsidRPr="00B5214F" w14:paraId="7CBB0B29" w14:textId="77777777" w:rsidTr="001D390B">
        <w:tc>
          <w:tcPr>
            <w:tcW w:w="3009" w:type="dxa"/>
            <w:shd w:val="clear" w:color="auto" w:fill="auto"/>
          </w:tcPr>
          <w:p w14:paraId="69852234" w14:textId="77777777" w:rsidR="002C1C79" w:rsidRPr="000B3681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Рейтинг</w:t>
            </w:r>
          </w:p>
        </w:tc>
        <w:tc>
          <w:tcPr>
            <w:tcW w:w="3863" w:type="dxa"/>
            <w:shd w:val="clear" w:color="auto" w:fill="auto"/>
          </w:tcPr>
          <w:p w14:paraId="337E1715" w14:textId="77777777" w:rsidR="002C1C79" w:rsidRPr="000B3681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756" w:type="dxa"/>
            <w:shd w:val="clear" w:color="auto" w:fill="auto"/>
          </w:tcPr>
          <w:p w14:paraId="07485394" w14:textId="77777777" w:rsidR="002C1C79" w:rsidRPr="000B3681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0B3681" w:rsidRPr="00B5214F" w14:paraId="1394B6F7" w14:textId="77777777" w:rsidTr="001D390B">
        <w:tc>
          <w:tcPr>
            <w:tcW w:w="3009" w:type="dxa"/>
            <w:shd w:val="clear" w:color="auto" w:fill="auto"/>
          </w:tcPr>
          <w:p w14:paraId="2EA81F27" w14:textId="77777777" w:rsidR="000B3681" w:rsidRPr="000B3681" w:rsidRDefault="000B3681" w:rsidP="000B3681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0B3681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14:paraId="02BFED5E" w14:textId="77777777" w:rsidR="000B3681" w:rsidRPr="000B3681" w:rsidRDefault="000B3681" w:rsidP="000B3681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0B3681">
              <w:rPr>
                <w:sz w:val="26"/>
                <w:szCs w:val="26"/>
                <w:lang w:val="uk-UA"/>
              </w:rPr>
              <w:t xml:space="preserve"> Збереження чинного регулювання</w:t>
            </w:r>
          </w:p>
        </w:tc>
        <w:tc>
          <w:tcPr>
            <w:tcW w:w="3863" w:type="dxa"/>
            <w:shd w:val="clear" w:color="auto" w:fill="auto"/>
          </w:tcPr>
          <w:p w14:paraId="1801EC98" w14:textId="77777777" w:rsidR="000B3681" w:rsidRDefault="000B3681" w:rsidP="000B3681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Не вирішує визначену проблему </w:t>
            </w:r>
          </w:p>
        </w:tc>
        <w:tc>
          <w:tcPr>
            <w:tcW w:w="2756" w:type="dxa"/>
            <w:shd w:val="clear" w:color="auto" w:fill="auto"/>
          </w:tcPr>
          <w:p w14:paraId="1CDE349A" w14:textId="77777777" w:rsidR="000B3681" w:rsidRDefault="000B3681" w:rsidP="000B3681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Відсутній</w:t>
            </w:r>
          </w:p>
        </w:tc>
      </w:tr>
      <w:tr w:rsidR="000B3681" w:rsidRPr="00B5214F" w14:paraId="0A371D95" w14:textId="77777777" w:rsidTr="001D390B">
        <w:tc>
          <w:tcPr>
            <w:tcW w:w="3009" w:type="dxa"/>
            <w:shd w:val="clear" w:color="auto" w:fill="auto"/>
          </w:tcPr>
          <w:p w14:paraId="4B3BCBFD" w14:textId="77777777" w:rsidR="000B3681" w:rsidRPr="000B3681" w:rsidRDefault="000B3681" w:rsidP="000B3681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0B3681">
              <w:rPr>
                <w:b/>
                <w:sz w:val="26"/>
                <w:szCs w:val="26"/>
                <w:lang w:val="uk-UA"/>
              </w:rPr>
              <w:t>Обрана альтернатива 2</w:t>
            </w:r>
          </w:p>
          <w:p w14:paraId="500D93D5" w14:textId="77777777" w:rsidR="000B3681" w:rsidRPr="000B3681" w:rsidRDefault="000B3681" w:rsidP="000B3681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0B3681">
              <w:rPr>
                <w:bCs/>
                <w:sz w:val="27"/>
                <w:szCs w:val="27"/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3863" w:type="dxa"/>
            <w:shd w:val="clear" w:color="auto" w:fill="auto"/>
          </w:tcPr>
          <w:p w14:paraId="33ED33F0" w14:textId="77777777" w:rsidR="000B3681" w:rsidRDefault="000B3681" w:rsidP="000B3681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Обрана альтернатива дозволить досягти цілей державного регулювання </w:t>
            </w:r>
          </w:p>
          <w:p w14:paraId="2DEE44B2" w14:textId="77777777" w:rsidR="000B3681" w:rsidRDefault="000B3681" w:rsidP="000B3681">
            <w:pPr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2756" w:type="dxa"/>
            <w:shd w:val="clear" w:color="auto" w:fill="auto"/>
          </w:tcPr>
          <w:p w14:paraId="28CE3795" w14:textId="77777777" w:rsidR="000B3681" w:rsidRDefault="000B3681" w:rsidP="000B3681">
            <w:pPr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Відсутній</w:t>
            </w:r>
          </w:p>
        </w:tc>
      </w:tr>
    </w:tbl>
    <w:p w14:paraId="7F76976B" w14:textId="77777777" w:rsidR="004B6E90" w:rsidRPr="00B5214F" w:rsidRDefault="004B6E90" w:rsidP="002C1C79">
      <w:pPr>
        <w:ind w:left="1077"/>
        <w:jc w:val="both"/>
        <w:rPr>
          <w:b/>
          <w:sz w:val="20"/>
          <w:szCs w:val="20"/>
          <w:highlight w:val="yellow"/>
          <w:lang w:val="uk-UA"/>
        </w:rPr>
      </w:pPr>
    </w:p>
    <w:p w14:paraId="039BF037" w14:textId="77777777" w:rsidR="002C1C79" w:rsidRPr="004B6E90" w:rsidRDefault="002C1C79" w:rsidP="002C1C79">
      <w:pPr>
        <w:numPr>
          <w:ilvl w:val="0"/>
          <w:numId w:val="2"/>
        </w:numPr>
        <w:ind w:left="0" w:firstLine="0"/>
        <w:jc w:val="center"/>
        <w:rPr>
          <w:b/>
          <w:sz w:val="28"/>
          <w:szCs w:val="28"/>
          <w:lang w:val="uk-UA"/>
        </w:rPr>
      </w:pPr>
      <w:r w:rsidRPr="004B6E90">
        <w:rPr>
          <w:b/>
          <w:sz w:val="28"/>
          <w:szCs w:val="28"/>
          <w:lang w:val="uk-UA"/>
        </w:rPr>
        <w:t>Механізми та заходи, які забезпечать розв’язання визначеної проблеми</w:t>
      </w:r>
    </w:p>
    <w:p w14:paraId="105B29B4" w14:textId="77777777" w:rsidR="000421A0" w:rsidRPr="004B6E90" w:rsidRDefault="000421A0" w:rsidP="000421A0">
      <w:pPr>
        <w:rPr>
          <w:b/>
          <w:sz w:val="28"/>
          <w:szCs w:val="28"/>
          <w:lang w:val="uk-UA"/>
        </w:rPr>
      </w:pPr>
    </w:p>
    <w:p w14:paraId="145B88F4" w14:textId="0EF5B200" w:rsidR="002C1C79" w:rsidRPr="004B6E90" w:rsidRDefault="002C1C79" w:rsidP="002C1C79">
      <w:pPr>
        <w:ind w:firstLine="709"/>
        <w:jc w:val="both"/>
        <w:rPr>
          <w:sz w:val="28"/>
          <w:szCs w:val="28"/>
          <w:lang w:val="uk-UA"/>
        </w:rPr>
      </w:pPr>
      <w:r w:rsidRPr="004B6E90">
        <w:rPr>
          <w:sz w:val="28"/>
          <w:szCs w:val="28"/>
          <w:lang w:val="uk-UA"/>
        </w:rPr>
        <w:t xml:space="preserve">Для досягнення поставленої мети пропонується прийняти </w:t>
      </w:r>
      <w:r w:rsidR="007429F4" w:rsidRPr="004B6E90">
        <w:rPr>
          <w:sz w:val="28"/>
          <w:szCs w:val="28"/>
          <w:lang w:val="uk-UA"/>
        </w:rPr>
        <w:t xml:space="preserve">постанову </w:t>
      </w:r>
      <w:r w:rsidR="00BD2FE5" w:rsidRPr="004B6E90">
        <w:rPr>
          <w:sz w:val="28"/>
          <w:szCs w:val="28"/>
          <w:lang w:val="uk-UA"/>
        </w:rPr>
        <w:t xml:space="preserve">НКРЕКП «Про затвердження </w:t>
      </w:r>
      <w:r w:rsidR="004B6E90" w:rsidRPr="004B6E90">
        <w:rPr>
          <w:sz w:val="28"/>
          <w:szCs w:val="28"/>
          <w:lang w:val="uk-UA"/>
        </w:rPr>
        <w:t xml:space="preserve">змін до </w:t>
      </w:r>
      <w:r w:rsidR="00BD2FE5" w:rsidRPr="004B6E90">
        <w:rPr>
          <w:sz w:val="28"/>
          <w:szCs w:val="28"/>
          <w:lang w:val="uk-UA"/>
        </w:rPr>
        <w:t xml:space="preserve">Порядку розслідування зловживань на </w:t>
      </w:r>
      <w:r w:rsidR="00BD2FE5" w:rsidRPr="004B6E90">
        <w:rPr>
          <w:sz w:val="28"/>
          <w:szCs w:val="28"/>
          <w:lang w:val="uk-UA"/>
        </w:rPr>
        <w:lastRenderedPageBreak/>
        <w:t>оптовому енергетичному ринку»</w:t>
      </w:r>
      <w:r w:rsidR="007429F4" w:rsidRPr="004B6E90">
        <w:rPr>
          <w:sz w:val="28"/>
          <w:szCs w:val="28"/>
          <w:lang w:val="uk-UA"/>
        </w:rPr>
        <w:t xml:space="preserve">, що забезпечить виконання вимог Закону </w:t>
      </w:r>
      <w:r w:rsidR="00A446D3">
        <w:rPr>
          <w:sz w:val="28"/>
          <w:szCs w:val="28"/>
          <w:lang w:val="uk-UA"/>
        </w:rPr>
        <w:t>про НКРЕКП</w:t>
      </w:r>
      <w:r w:rsidR="006670A1" w:rsidRPr="004B6E90">
        <w:rPr>
          <w:sz w:val="28"/>
          <w:szCs w:val="28"/>
          <w:lang w:val="uk-UA"/>
        </w:rPr>
        <w:t>.</w:t>
      </w:r>
    </w:p>
    <w:p w14:paraId="16A1B2B7" w14:textId="77777777" w:rsidR="002C1C79" w:rsidRPr="004B6E90" w:rsidRDefault="002C1C79" w:rsidP="002C1C79">
      <w:pPr>
        <w:ind w:firstLine="709"/>
        <w:jc w:val="both"/>
        <w:rPr>
          <w:sz w:val="28"/>
          <w:szCs w:val="28"/>
          <w:lang w:val="uk-UA"/>
        </w:rPr>
      </w:pPr>
      <w:r w:rsidRPr="004B6E90">
        <w:rPr>
          <w:sz w:val="28"/>
          <w:szCs w:val="28"/>
          <w:lang w:val="uk-UA"/>
        </w:rPr>
        <w:t>Впливу зовнішніх факторів, що можуть мати негативний вплив на виконання вимог регуляторного акта, не очікується.</w:t>
      </w:r>
    </w:p>
    <w:p w14:paraId="5451C130" w14:textId="77777777" w:rsidR="002C1C79" w:rsidRPr="00B5214F" w:rsidRDefault="002C1C79" w:rsidP="006331DB">
      <w:pPr>
        <w:pStyle w:val="a3"/>
        <w:spacing w:before="0" w:beforeAutospacing="0" w:after="0" w:afterAutospacing="0"/>
        <w:jc w:val="both"/>
        <w:rPr>
          <w:i/>
          <w:sz w:val="20"/>
          <w:szCs w:val="20"/>
          <w:highlight w:val="yellow"/>
          <w:lang w:val="uk-UA"/>
        </w:rPr>
      </w:pPr>
    </w:p>
    <w:p w14:paraId="5F6D3CCE" w14:textId="77777777" w:rsidR="002C1C79" w:rsidRPr="004B6E90" w:rsidRDefault="002C1C79" w:rsidP="002C1C79">
      <w:pPr>
        <w:ind w:firstLine="709"/>
        <w:jc w:val="both"/>
        <w:rPr>
          <w:b/>
          <w:sz w:val="28"/>
          <w:szCs w:val="28"/>
          <w:lang w:val="uk-UA"/>
        </w:rPr>
      </w:pPr>
      <w:r w:rsidRPr="004B6E90">
        <w:rPr>
          <w:b/>
          <w:sz w:val="28"/>
          <w:szCs w:val="28"/>
          <w:lang w:val="uk-UA"/>
        </w:rPr>
        <w:t>VI. Обґрунтування запропонованого строку дії регуляторного акта</w:t>
      </w:r>
    </w:p>
    <w:p w14:paraId="7CC29A07" w14:textId="77777777" w:rsidR="002C1C79" w:rsidRPr="004B6E90" w:rsidRDefault="002C1C79" w:rsidP="002C1C79">
      <w:pPr>
        <w:ind w:firstLine="709"/>
        <w:jc w:val="both"/>
        <w:rPr>
          <w:sz w:val="20"/>
          <w:szCs w:val="20"/>
          <w:lang w:val="uk-UA"/>
        </w:rPr>
      </w:pPr>
    </w:p>
    <w:p w14:paraId="509BEDA9" w14:textId="77777777" w:rsidR="00BD2FE5" w:rsidRPr="004B6E90" w:rsidRDefault="002C1C79" w:rsidP="002C1C79">
      <w:pPr>
        <w:ind w:firstLine="709"/>
        <w:jc w:val="both"/>
        <w:rPr>
          <w:sz w:val="28"/>
          <w:szCs w:val="28"/>
          <w:lang w:val="uk-UA"/>
        </w:rPr>
      </w:pPr>
      <w:r w:rsidRPr="004B6E90">
        <w:rPr>
          <w:sz w:val="28"/>
          <w:szCs w:val="28"/>
          <w:lang w:val="uk-UA"/>
        </w:rPr>
        <w:t>Строк дії акта необмежений та може бути змінений у  разі внесення відповідних змін до чинного законодавства.</w:t>
      </w:r>
    </w:p>
    <w:p w14:paraId="08F954A0" w14:textId="77777777" w:rsidR="00122D12" w:rsidRPr="00B5214F" w:rsidRDefault="00122D12" w:rsidP="002C1C79">
      <w:pPr>
        <w:ind w:firstLine="709"/>
        <w:jc w:val="both"/>
        <w:rPr>
          <w:b/>
          <w:sz w:val="28"/>
          <w:szCs w:val="28"/>
          <w:highlight w:val="yellow"/>
          <w:lang w:val="uk-UA"/>
        </w:rPr>
      </w:pPr>
    </w:p>
    <w:p w14:paraId="603024A3" w14:textId="77777777" w:rsidR="002C1C79" w:rsidRPr="004B6E90" w:rsidRDefault="002C1C79" w:rsidP="002C1C79">
      <w:pPr>
        <w:ind w:firstLine="709"/>
        <w:jc w:val="both"/>
        <w:rPr>
          <w:b/>
          <w:sz w:val="28"/>
          <w:szCs w:val="28"/>
          <w:lang w:val="uk-UA"/>
        </w:rPr>
      </w:pPr>
      <w:r w:rsidRPr="004B6E90">
        <w:rPr>
          <w:b/>
          <w:sz w:val="28"/>
          <w:szCs w:val="28"/>
          <w:lang w:val="uk-UA"/>
        </w:rPr>
        <w:t>VII. Визначення показників результативності дії регуляторного акта</w:t>
      </w:r>
    </w:p>
    <w:p w14:paraId="31FA68FE" w14:textId="77777777" w:rsidR="002C1C79" w:rsidRPr="00B5214F" w:rsidRDefault="002C1C79" w:rsidP="002C1C79">
      <w:pPr>
        <w:ind w:firstLine="709"/>
        <w:jc w:val="both"/>
        <w:rPr>
          <w:sz w:val="18"/>
          <w:szCs w:val="18"/>
          <w:highlight w:val="yellow"/>
          <w:lang w:val="uk-UA"/>
        </w:rPr>
      </w:pPr>
    </w:p>
    <w:p w14:paraId="6E9AA1B3" w14:textId="77777777" w:rsidR="002C1C79" w:rsidRPr="004B6E90" w:rsidRDefault="002C1C79" w:rsidP="002C1C79">
      <w:pPr>
        <w:ind w:firstLine="709"/>
        <w:jc w:val="both"/>
        <w:rPr>
          <w:sz w:val="28"/>
          <w:szCs w:val="28"/>
          <w:lang w:val="uk-UA"/>
        </w:rPr>
      </w:pPr>
      <w:r w:rsidRPr="004B6E90">
        <w:rPr>
          <w:sz w:val="28"/>
          <w:szCs w:val="28"/>
          <w:lang w:val="uk-UA"/>
        </w:rPr>
        <w:t>Після набрання чинності постановою Національної комісії, що здійснює державне регулювання у сферах енергетики та комунальних послуг «</w:t>
      </w:r>
      <w:r w:rsidR="00BD2FE5" w:rsidRPr="004B6E90">
        <w:rPr>
          <w:sz w:val="28"/>
          <w:szCs w:val="28"/>
          <w:lang w:val="uk-UA"/>
        </w:rPr>
        <w:t xml:space="preserve">Про затвердження </w:t>
      </w:r>
      <w:r w:rsidR="004B6E90" w:rsidRPr="004B6E90">
        <w:rPr>
          <w:sz w:val="28"/>
          <w:szCs w:val="28"/>
          <w:lang w:val="uk-UA"/>
        </w:rPr>
        <w:t xml:space="preserve">змін до </w:t>
      </w:r>
      <w:r w:rsidR="00BD2FE5" w:rsidRPr="004B6E90">
        <w:rPr>
          <w:sz w:val="28"/>
          <w:szCs w:val="28"/>
          <w:lang w:val="uk-UA"/>
        </w:rPr>
        <w:t>Порядку розслідування зловживань на оптовому енергетичному ринку</w:t>
      </w:r>
      <w:r w:rsidRPr="004B6E90">
        <w:rPr>
          <w:sz w:val="28"/>
          <w:szCs w:val="28"/>
          <w:lang w:val="uk-UA"/>
        </w:rPr>
        <w:t>», її результативність визначатиметься такими показниками:</w:t>
      </w:r>
    </w:p>
    <w:p w14:paraId="3D3A5088" w14:textId="77777777" w:rsidR="002C1C79" w:rsidRPr="004B6E90" w:rsidRDefault="002C1C79" w:rsidP="002C1C79">
      <w:pPr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4B6E90">
        <w:rPr>
          <w:sz w:val="28"/>
          <w:szCs w:val="28"/>
          <w:lang w:val="uk-UA"/>
        </w:rPr>
        <w:t>реалізація проекту регуляторного акта не потребує додаткових витрат із Державного бюджету України</w:t>
      </w:r>
      <w:r w:rsidR="00862DA9" w:rsidRPr="004B6E90">
        <w:rPr>
          <w:sz w:val="28"/>
          <w:szCs w:val="28"/>
          <w:lang w:val="uk-UA"/>
        </w:rPr>
        <w:t>;</w:t>
      </w:r>
      <w:r w:rsidRPr="004B6E90" w:rsidDel="00D77F58">
        <w:rPr>
          <w:sz w:val="28"/>
          <w:szCs w:val="28"/>
          <w:lang w:val="uk-UA"/>
        </w:rPr>
        <w:t xml:space="preserve"> </w:t>
      </w:r>
    </w:p>
    <w:p w14:paraId="013038AB" w14:textId="77777777" w:rsidR="002C1C79" w:rsidRPr="004B6E90" w:rsidRDefault="007429F4" w:rsidP="002C1C79">
      <w:pPr>
        <w:ind w:firstLine="709"/>
        <w:jc w:val="both"/>
        <w:rPr>
          <w:sz w:val="28"/>
          <w:szCs w:val="28"/>
          <w:lang w:val="uk-UA"/>
        </w:rPr>
      </w:pPr>
      <w:r w:rsidRPr="004B6E90">
        <w:rPr>
          <w:sz w:val="28"/>
          <w:szCs w:val="28"/>
          <w:lang w:val="uk-UA"/>
        </w:rPr>
        <w:t>2</w:t>
      </w:r>
      <w:r w:rsidR="002C1C79" w:rsidRPr="004B6E90">
        <w:rPr>
          <w:sz w:val="28"/>
          <w:szCs w:val="28"/>
          <w:lang w:val="uk-UA"/>
        </w:rPr>
        <w:t>) рівень поінформованості суб’єктів господарювання та фізичних осіб з основних положень акта – середній.</w:t>
      </w:r>
    </w:p>
    <w:p w14:paraId="31FAA1A2" w14:textId="77777777" w:rsidR="008E64F2" w:rsidRPr="004B6E90" w:rsidRDefault="008E64F2" w:rsidP="002C1C79">
      <w:pPr>
        <w:ind w:firstLine="709"/>
        <w:jc w:val="both"/>
        <w:rPr>
          <w:sz w:val="28"/>
          <w:szCs w:val="28"/>
          <w:lang w:val="uk-UA"/>
        </w:rPr>
      </w:pPr>
      <w:r w:rsidRPr="004B6E90">
        <w:rPr>
          <w:sz w:val="28"/>
          <w:szCs w:val="28"/>
          <w:lang w:val="uk-UA"/>
        </w:rPr>
        <w:t xml:space="preserve">3) кількість суб’єктів господарювання та/або фізичних осіб на яких поширюватиметься дія акта – </w:t>
      </w:r>
      <w:r w:rsidR="004B6E90">
        <w:rPr>
          <w:sz w:val="28"/>
          <w:szCs w:val="28"/>
          <w:lang w:val="uk-UA"/>
        </w:rPr>
        <w:t>учасники оптового енергетичного ринку</w:t>
      </w:r>
      <w:r w:rsidR="00862DA9" w:rsidRPr="004B6E90">
        <w:rPr>
          <w:sz w:val="28"/>
          <w:szCs w:val="28"/>
          <w:lang w:val="uk-UA"/>
        </w:rPr>
        <w:t xml:space="preserve">, на яких поширюється дія законів України </w:t>
      </w:r>
      <w:r w:rsidR="004B6E90">
        <w:rPr>
          <w:sz w:val="28"/>
          <w:szCs w:val="28"/>
          <w:lang w:val="uk-UA"/>
        </w:rPr>
        <w:t xml:space="preserve">«Про Національну комісію, що здійснює державне регулювання у сферах енергетики та комунальних послуг», </w:t>
      </w:r>
      <w:r w:rsidR="00862DA9" w:rsidRPr="004B6E90">
        <w:rPr>
          <w:sz w:val="28"/>
          <w:szCs w:val="28"/>
          <w:lang w:val="uk-UA"/>
        </w:rPr>
        <w:t>«Про ринок електричної енергії», «Про ринок природного газу».</w:t>
      </w:r>
      <w:r w:rsidRPr="004B6E90">
        <w:rPr>
          <w:sz w:val="28"/>
          <w:szCs w:val="28"/>
          <w:lang w:val="uk-UA"/>
        </w:rPr>
        <w:t xml:space="preserve">  </w:t>
      </w:r>
    </w:p>
    <w:p w14:paraId="77178F74" w14:textId="77777777" w:rsidR="002C1C79" w:rsidRPr="004B6E90" w:rsidRDefault="002C1C79" w:rsidP="002C1C79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4B6E90">
        <w:rPr>
          <w:sz w:val="28"/>
          <w:szCs w:val="28"/>
          <w:lang w:val="uk-UA"/>
        </w:rPr>
        <w:t xml:space="preserve"> Відповідно до вимог статті 15 Закону України «Про Національну комісію, що здійснює державне регулювання у сферах енергетики та комунальних послуг» проєкт постанови НКРЕКП </w:t>
      </w:r>
      <w:r w:rsidR="00BD2FE5" w:rsidRPr="004B6E90">
        <w:rPr>
          <w:sz w:val="28"/>
          <w:szCs w:val="28"/>
          <w:lang w:val="uk-UA"/>
        </w:rPr>
        <w:t xml:space="preserve">«Про затвердження </w:t>
      </w:r>
      <w:r w:rsidR="004B6E90">
        <w:rPr>
          <w:sz w:val="28"/>
          <w:szCs w:val="28"/>
          <w:lang w:val="uk-UA"/>
        </w:rPr>
        <w:t xml:space="preserve">змін </w:t>
      </w:r>
      <w:r w:rsidR="004B6E90" w:rsidRPr="004B6E90">
        <w:rPr>
          <w:sz w:val="28"/>
          <w:szCs w:val="28"/>
          <w:lang w:val="uk-UA"/>
        </w:rPr>
        <w:t>до Порядку розслідування зловживань на оптовому енергетичному ринку</w:t>
      </w:r>
      <w:r w:rsidR="00BD2FE5" w:rsidRPr="004B6E90">
        <w:rPr>
          <w:sz w:val="28"/>
          <w:szCs w:val="28"/>
          <w:lang w:val="uk-UA"/>
        </w:rPr>
        <w:t>»</w:t>
      </w:r>
      <w:r w:rsidRPr="004B6E90">
        <w:rPr>
          <w:sz w:val="28"/>
          <w:szCs w:val="28"/>
          <w:lang w:val="uk-UA"/>
        </w:rPr>
        <w:t xml:space="preserve">, що має ознаки регуляторного акта, разом з матеріалами, що обґрунтовують необхідність його прийняття та аналізом його впливу оприлюднено на офіційному вебсайті НКРЕКП в мережі Інтернет </w:t>
      </w:r>
      <w:hyperlink r:id="rId8" w:history="1">
        <w:r w:rsidRPr="004B6E90">
          <w:rPr>
            <w:rStyle w:val="a8"/>
            <w:sz w:val="28"/>
            <w:szCs w:val="28"/>
            <w:lang w:val="uk-UA"/>
          </w:rPr>
          <w:t>www.nerc.gov.ua</w:t>
        </w:r>
      </w:hyperlink>
      <w:r w:rsidRPr="004B6E90">
        <w:rPr>
          <w:sz w:val="28"/>
          <w:szCs w:val="28"/>
          <w:lang w:val="uk-UA"/>
        </w:rPr>
        <w:t xml:space="preserve"> з метою одержання зауважень та пропозицій. </w:t>
      </w:r>
    </w:p>
    <w:p w14:paraId="5DE7450B" w14:textId="77777777" w:rsidR="002C1C79" w:rsidRPr="004B6E90" w:rsidRDefault="002C1C79" w:rsidP="002C1C79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4B6E90">
        <w:rPr>
          <w:sz w:val="28"/>
          <w:szCs w:val="28"/>
          <w:lang w:val="uk-UA"/>
        </w:rPr>
        <w:t>НКРЕКП у межах компетенції надає необхідні роз’яснення щодо норм проекту регуляторного акта і надаватиме роз’яснення щодо застосування акта, який буде оприлюднено на офіційному вебсайті НКРЕКП після його прийняття.</w:t>
      </w:r>
    </w:p>
    <w:p w14:paraId="0C50AECF" w14:textId="77777777" w:rsidR="002C1C79" w:rsidRPr="00B5214F" w:rsidRDefault="002C1C79" w:rsidP="002C1C79">
      <w:pPr>
        <w:ind w:firstLine="709"/>
        <w:jc w:val="both"/>
        <w:rPr>
          <w:sz w:val="20"/>
          <w:szCs w:val="20"/>
          <w:highlight w:val="yellow"/>
          <w:lang w:val="uk-UA"/>
        </w:rPr>
      </w:pPr>
    </w:p>
    <w:p w14:paraId="0E4EFFB0" w14:textId="77777777" w:rsidR="002C1C79" w:rsidRPr="000B3681" w:rsidRDefault="002C1C79" w:rsidP="002C1C79">
      <w:pPr>
        <w:ind w:firstLine="709"/>
        <w:jc w:val="both"/>
        <w:rPr>
          <w:b/>
          <w:sz w:val="28"/>
          <w:szCs w:val="28"/>
          <w:lang w:val="uk-UA"/>
        </w:rPr>
      </w:pPr>
      <w:r w:rsidRPr="000B3681">
        <w:rPr>
          <w:b/>
          <w:sz w:val="28"/>
          <w:szCs w:val="28"/>
          <w:lang w:val="uk-UA"/>
        </w:rPr>
        <w:t>VIII. Очікувані результати прийняття регуляторного акта</w:t>
      </w:r>
    </w:p>
    <w:p w14:paraId="07B3B72B" w14:textId="77777777" w:rsidR="002C1C79" w:rsidRPr="00B5214F" w:rsidRDefault="002C1C79" w:rsidP="002C1C79">
      <w:pPr>
        <w:ind w:firstLine="709"/>
        <w:jc w:val="both"/>
        <w:rPr>
          <w:b/>
          <w:sz w:val="20"/>
          <w:szCs w:val="20"/>
          <w:highlight w:val="yellow"/>
          <w:lang w:val="uk-UA"/>
        </w:rPr>
      </w:pPr>
    </w:p>
    <w:p w14:paraId="148690E4" w14:textId="02BA6413" w:rsidR="002C1C79" w:rsidRPr="00B5214F" w:rsidRDefault="000B3681" w:rsidP="00F069AC">
      <w:pPr>
        <w:ind w:firstLine="709"/>
        <w:jc w:val="both"/>
        <w:rPr>
          <w:sz w:val="27"/>
          <w:szCs w:val="27"/>
          <w:highlight w:val="yellow"/>
          <w:lang w:val="uk-UA"/>
        </w:rPr>
      </w:pPr>
      <w:r w:rsidRPr="000B3681">
        <w:rPr>
          <w:sz w:val="28"/>
          <w:szCs w:val="28"/>
          <w:lang w:val="uk-UA"/>
        </w:rPr>
        <w:t>Очікуваним результатом прийняття постанови НКРЕКП «Про затвердження Змін до Порядку розслідування порушень законодавства щодо функціонування ринків електричної енергії та природного газу» має стати удосконалення Порядку</w:t>
      </w:r>
      <w:r>
        <w:rPr>
          <w:sz w:val="28"/>
          <w:szCs w:val="28"/>
          <w:lang w:val="uk-UA"/>
        </w:rPr>
        <w:t>.</w:t>
      </w:r>
    </w:p>
    <w:p w14:paraId="09712B03" w14:textId="77777777" w:rsidR="00D8508B" w:rsidRPr="00B5214F" w:rsidRDefault="00D8508B" w:rsidP="002C1C79">
      <w:pPr>
        <w:suppressAutoHyphens/>
        <w:ind w:right="141"/>
        <w:jc w:val="both"/>
        <w:rPr>
          <w:sz w:val="28"/>
          <w:szCs w:val="28"/>
          <w:highlight w:val="yellow"/>
          <w:lang w:val="uk-UA"/>
        </w:rPr>
      </w:pPr>
    </w:p>
    <w:p w14:paraId="558BBDB2" w14:textId="77777777" w:rsidR="002C1C79" w:rsidRPr="00085C0C" w:rsidRDefault="00D8508B" w:rsidP="002C1C79">
      <w:pPr>
        <w:suppressAutoHyphens/>
        <w:ind w:right="141"/>
        <w:jc w:val="both"/>
        <w:rPr>
          <w:b/>
          <w:sz w:val="28"/>
          <w:szCs w:val="28"/>
          <w:lang w:val="uk-UA"/>
        </w:rPr>
      </w:pPr>
      <w:r w:rsidRPr="00085C0C">
        <w:rPr>
          <w:b/>
          <w:sz w:val="28"/>
          <w:szCs w:val="28"/>
          <w:lang w:val="uk-UA"/>
        </w:rPr>
        <w:t>Г</w:t>
      </w:r>
      <w:r w:rsidR="002C1C79" w:rsidRPr="00085C0C">
        <w:rPr>
          <w:b/>
          <w:sz w:val="28"/>
          <w:szCs w:val="28"/>
          <w:lang w:val="uk-UA"/>
        </w:rPr>
        <w:t>олова НКРЕКП</w:t>
      </w:r>
      <w:r w:rsidR="002C1C79" w:rsidRPr="00BB6D06">
        <w:rPr>
          <w:sz w:val="28"/>
          <w:szCs w:val="28"/>
          <w:lang w:val="uk-UA"/>
        </w:rPr>
        <w:tab/>
      </w:r>
      <w:r w:rsidR="00BB6D06">
        <w:rPr>
          <w:sz w:val="28"/>
          <w:szCs w:val="28"/>
          <w:lang w:val="uk-UA"/>
        </w:rPr>
        <w:tab/>
      </w:r>
      <w:r w:rsidR="00BB6D06">
        <w:rPr>
          <w:sz w:val="28"/>
          <w:szCs w:val="28"/>
          <w:lang w:val="uk-UA"/>
        </w:rPr>
        <w:tab/>
      </w:r>
      <w:r w:rsidR="00BB6D06">
        <w:rPr>
          <w:sz w:val="28"/>
          <w:szCs w:val="28"/>
          <w:lang w:val="uk-UA"/>
        </w:rPr>
        <w:tab/>
      </w:r>
      <w:r w:rsidR="00BB6D06">
        <w:rPr>
          <w:sz w:val="28"/>
          <w:szCs w:val="28"/>
          <w:lang w:val="uk-UA"/>
        </w:rPr>
        <w:tab/>
      </w:r>
      <w:r w:rsidR="00BB6D06">
        <w:rPr>
          <w:sz w:val="28"/>
          <w:szCs w:val="28"/>
          <w:lang w:val="uk-UA"/>
        </w:rPr>
        <w:tab/>
      </w:r>
      <w:r w:rsidR="00085C0C">
        <w:rPr>
          <w:sz w:val="28"/>
          <w:szCs w:val="28"/>
          <w:lang w:val="uk-UA"/>
        </w:rPr>
        <w:t xml:space="preserve">        </w:t>
      </w:r>
      <w:r w:rsidR="00BB6D06" w:rsidRPr="00085C0C">
        <w:rPr>
          <w:b/>
          <w:sz w:val="28"/>
          <w:szCs w:val="28"/>
          <w:lang w:val="uk-UA"/>
        </w:rPr>
        <w:t>Валерій</w:t>
      </w:r>
      <w:r w:rsidR="002C1C79" w:rsidRPr="00085C0C">
        <w:rPr>
          <w:b/>
          <w:sz w:val="28"/>
          <w:szCs w:val="28"/>
          <w:lang w:val="uk-UA"/>
        </w:rPr>
        <w:t xml:space="preserve"> </w:t>
      </w:r>
      <w:r w:rsidR="00BB6D06" w:rsidRPr="00085C0C">
        <w:rPr>
          <w:b/>
          <w:sz w:val="28"/>
          <w:szCs w:val="28"/>
          <w:lang w:val="uk-UA"/>
        </w:rPr>
        <w:t>ТАРАСЮК</w:t>
      </w:r>
    </w:p>
    <w:p w14:paraId="6CF94AED" w14:textId="77777777" w:rsidR="002C1C79" w:rsidRDefault="002C1C79"/>
    <w:sectPr w:rsidR="002C1C79" w:rsidSect="00122D12">
      <w:headerReference w:type="default" r:id="rId9"/>
      <w:pgSz w:w="11906" w:h="16838" w:code="9"/>
      <w:pgMar w:top="993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4E8EBF" w14:textId="77777777" w:rsidR="000D6800" w:rsidRDefault="000D6800">
      <w:r>
        <w:separator/>
      </w:r>
    </w:p>
  </w:endnote>
  <w:endnote w:type="continuationSeparator" w:id="0">
    <w:p w14:paraId="34FFAB07" w14:textId="77777777" w:rsidR="000D6800" w:rsidRDefault="000D6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5B15CD" w14:textId="77777777" w:rsidR="000D6800" w:rsidRDefault="000D6800">
      <w:r>
        <w:separator/>
      </w:r>
    </w:p>
  </w:footnote>
  <w:footnote w:type="continuationSeparator" w:id="0">
    <w:p w14:paraId="651972B4" w14:textId="77777777" w:rsidR="000D6800" w:rsidRDefault="000D68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CDA2E" w14:textId="77777777" w:rsidR="00C03ED3" w:rsidRDefault="00845AF6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122D12" w:rsidRPr="00122D12">
      <w:rPr>
        <w:noProof/>
        <w:lang w:val="uk-UA"/>
      </w:rPr>
      <w:t>2</w:t>
    </w:r>
    <w:r>
      <w:fldChar w:fldCharType="end"/>
    </w:r>
  </w:p>
  <w:p w14:paraId="61EAB9DA" w14:textId="77777777" w:rsidR="00C03ED3" w:rsidRDefault="00C03ED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FC7142"/>
    <w:multiLevelType w:val="hybridMultilevel"/>
    <w:tmpl w:val="C598CD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AF747C"/>
    <w:multiLevelType w:val="hybridMultilevel"/>
    <w:tmpl w:val="287EBE00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26B4FC9"/>
    <w:multiLevelType w:val="hybridMultilevel"/>
    <w:tmpl w:val="5BBA4B6C"/>
    <w:lvl w:ilvl="0" w:tplc="685625E6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37" w:hanging="360"/>
      </w:pPr>
    </w:lvl>
    <w:lvl w:ilvl="2" w:tplc="0422001B" w:tentative="1">
      <w:start w:val="1"/>
      <w:numFmt w:val="lowerRoman"/>
      <w:lvlText w:val="%3."/>
      <w:lvlJc w:val="right"/>
      <w:pPr>
        <w:ind w:left="2157" w:hanging="180"/>
      </w:pPr>
    </w:lvl>
    <w:lvl w:ilvl="3" w:tplc="0422000F" w:tentative="1">
      <w:start w:val="1"/>
      <w:numFmt w:val="decimal"/>
      <w:lvlText w:val="%4."/>
      <w:lvlJc w:val="left"/>
      <w:pPr>
        <w:ind w:left="2877" w:hanging="360"/>
      </w:pPr>
    </w:lvl>
    <w:lvl w:ilvl="4" w:tplc="04220019" w:tentative="1">
      <w:start w:val="1"/>
      <w:numFmt w:val="lowerLetter"/>
      <w:lvlText w:val="%5."/>
      <w:lvlJc w:val="left"/>
      <w:pPr>
        <w:ind w:left="3597" w:hanging="360"/>
      </w:pPr>
    </w:lvl>
    <w:lvl w:ilvl="5" w:tplc="0422001B" w:tentative="1">
      <w:start w:val="1"/>
      <w:numFmt w:val="lowerRoman"/>
      <w:lvlText w:val="%6."/>
      <w:lvlJc w:val="right"/>
      <w:pPr>
        <w:ind w:left="4317" w:hanging="180"/>
      </w:pPr>
    </w:lvl>
    <w:lvl w:ilvl="6" w:tplc="0422000F" w:tentative="1">
      <w:start w:val="1"/>
      <w:numFmt w:val="decimal"/>
      <w:lvlText w:val="%7."/>
      <w:lvlJc w:val="left"/>
      <w:pPr>
        <w:ind w:left="5037" w:hanging="360"/>
      </w:pPr>
    </w:lvl>
    <w:lvl w:ilvl="7" w:tplc="04220019" w:tentative="1">
      <w:start w:val="1"/>
      <w:numFmt w:val="lowerLetter"/>
      <w:lvlText w:val="%8."/>
      <w:lvlJc w:val="left"/>
      <w:pPr>
        <w:ind w:left="5757" w:hanging="360"/>
      </w:pPr>
    </w:lvl>
    <w:lvl w:ilvl="8" w:tplc="0422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C79"/>
    <w:rsid w:val="0000205F"/>
    <w:rsid w:val="000421A0"/>
    <w:rsid w:val="00085C0C"/>
    <w:rsid w:val="000868F7"/>
    <w:rsid w:val="000A3B21"/>
    <w:rsid w:val="000B3681"/>
    <w:rsid w:val="000D6800"/>
    <w:rsid w:val="00122D12"/>
    <w:rsid w:val="00147F42"/>
    <w:rsid w:val="0019206D"/>
    <w:rsid w:val="001D390B"/>
    <w:rsid w:val="00201353"/>
    <w:rsid w:val="00230F4C"/>
    <w:rsid w:val="00236888"/>
    <w:rsid w:val="002B1AB4"/>
    <w:rsid w:val="002C1C79"/>
    <w:rsid w:val="00335D73"/>
    <w:rsid w:val="003D7015"/>
    <w:rsid w:val="0047329E"/>
    <w:rsid w:val="004B6E90"/>
    <w:rsid w:val="00505FD6"/>
    <w:rsid w:val="00564764"/>
    <w:rsid w:val="00580D24"/>
    <w:rsid w:val="005A7210"/>
    <w:rsid w:val="005B710A"/>
    <w:rsid w:val="005E5EE5"/>
    <w:rsid w:val="005E78D5"/>
    <w:rsid w:val="005F7C09"/>
    <w:rsid w:val="006331DB"/>
    <w:rsid w:val="006670A1"/>
    <w:rsid w:val="00690B9A"/>
    <w:rsid w:val="006A1588"/>
    <w:rsid w:val="006A41A7"/>
    <w:rsid w:val="006E50D5"/>
    <w:rsid w:val="006F0E66"/>
    <w:rsid w:val="00726340"/>
    <w:rsid w:val="007429F4"/>
    <w:rsid w:val="007440D8"/>
    <w:rsid w:val="007575AF"/>
    <w:rsid w:val="00796170"/>
    <w:rsid w:val="007C518E"/>
    <w:rsid w:val="00845AF6"/>
    <w:rsid w:val="00862DA9"/>
    <w:rsid w:val="00883A1E"/>
    <w:rsid w:val="008A093A"/>
    <w:rsid w:val="008E64F2"/>
    <w:rsid w:val="0091124E"/>
    <w:rsid w:val="00932541"/>
    <w:rsid w:val="00982C47"/>
    <w:rsid w:val="00982DFD"/>
    <w:rsid w:val="00A00759"/>
    <w:rsid w:val="00A446D3"/>
    <w:rsid w:val="00A66861"/>
    <w:rsid w:val="00A80BA3"/>
    <w:rsid w:val="00AB5104"/>
    <w:rsid w:val="00B34E09"/>
    <w:rsid w:val="00B5214F"/>
    <w:rsid w:val="00BB6D06"/>
    <w:rsid w:val="00BD2FE5"/>
    <w:rsid w:val="00BE6D79"/>
    <w:rsid w:val="00C03ED3"/>
    <w:rsid w:val="00C27883"/>
    <w:rsid w:val="00C317D8"/>
    <w:rsid w:val="00C42488"/>
    <w:rsid w:val="00D073EA"/>
    <w:rsid w:val="00D078F8"/>
    <w:rsid w:val="00D40DDD"/>
    <w:rsid w:val="00D74274"/>
    <w:rsid w:val="00D8508B"/>
    <w:rsid w:val="00DB642F"/>
    <w:rsid w:val="00DD55EE"/>
    <w:rsid w:val="00DE77B0"/>
    <w:rsid w:val="00DF3438"/>
    <w:rsid w:val="00DF3BD9"/>
    <w:rsid w:val="00E27F3E"/>
    <w:rsid w:val="00EB7A73"/>
    <w:rsid w:val="00F069AC"/>
    <w:rsid w:val="00F52BB5"/>
    <w:rsid w:val="00F842CD"/>
    <w:rsid w:val="00FD1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54998"/>
  <w15:chartTrackingRefBased/>
  <w15:docId w15:val="{284ED410-098C-4DDF-A4D1-85A2AA140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C1C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C1C79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2C1C79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2C1C7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2C1C7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ій колонтитул Знак"/>
    <w:basedOn w:val="a0"/>
    <w:link w:val="a4"/>
    <w:uiPriority w:val="99"/>
    <w:rsid w:val="002C1C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footer"/>
    <w:basedOn w:val="a"/>
    <w:link w:val="a7"/>
    <w:uiPriority w:val="99"/>
    <w:unhideWhenUsed/>
    <w:rsid w:val="002C1C7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ій колонтитул Знак"/>
    <w:basedOn w:val="a0"/>
    <w:link w:val="a6"/>
    <w:uiPriority w:val="99"/>
    <w:rsid w:val="002C1C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8">
    <w:name w:val="Hyperlink"/>
    <w:rsid w:val="002C1C79"/>
    <w:rPr>
      <w:color w:val="0000FF"/>
      <w:u w:val="single"/>
    </w:rPr>
  </w:style>
  <w:style w:type="character" w:customStyle="1" w:styleId="5">
    <w:name w:val="Основной текст (5)_"/>
    <w:link w:val="50"/>
    <w:locked/>
    <w:rsid w:val="002C1C79"/>
    <w:rPr>
      <w:b/>
      <w:bCs/>
      <w:spacing w:val="-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C1C79"/>
    <w:pPr>
      <w:widowControl w:val="0"/>
      <w:shd w:val="clear" w:color="auto" w:fill="FFFFFF"/>
      <w:spacing w:before="180" w:after="180" w:line="326" w:lineRule="exact"/>
    </w:pPr>
    <w:rPr>
      <w:rFonts w:asciiTheme="minorHAnsi" w:eastAsiaTheme="minorHAnsi" w:hAnsiTheme="minorHAnsi" w:cstheme="minorBidi"/>
      <w:b/>
      <w:bCs/>
      <w:spacing w:val="-8"/>
      <w:sz w:val="22"/>
      <w:szCs w:val="22"/>
      <w:lang w:val="uk-UA" w:eastAsia="en-US"/>
    </w:rPr>
  </w:style>
  <w:style w:type="paragraph" w:customStyle="1" w:styleId="1">
    <w:name w:val="Абзац списку1"/>
    <w:basedOn w:val="a"/>
    <w:rsid w:val="002C1C79"/>
    <w:pPr>
      <w:ind w:left="708"/>
    </w:pPr>
    <w:rPr>
      <w:sz w:val="20"/>
      <w:szCs w:val="20"/>
      <w:lang w:val="uk-UA"/>
    </w:rPr>
  </w:style>
  <w:style w:type="character" w:styleId="a9">
    <w:name w:val="annotation reference"/>
    <w:basedOn w:val="a0"/>
    <w:uiPriority w:val="99"/>
    <w:semiHidden/>
    <w:unhideWhenUsed/>
    <w:rsid w:val="000868F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868F7"/>
    <w:rPr>
      <w:sz w:val="20"/>
      <w:szCs w:val="20"/>
    </w:rPr>
  </w:style>
  <w:style w:type="character" w:customStyle="1" w:styleId="ab">
    <w:name w:val="Текст примітки Знак"/>
    <w:basedOn w:val="a0"/>
    <w:link w:val="aa"/>
    <w:uiPriority w:val="99"/>
    <w:semiHidden/>
    <w:rsid w:val="000868F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868F7"/>
    <w:rPr>
      <w:b/>
      <w:bCs/>
    </w:rPr>
  </w:style>
  <w:style w:type="character" w:customStyle="1" w:styleId="ad">
    <w:name w:val="Тема примітки Знак"/>
    <w:basedOn w:val="ab"/>
    <w:link w:val="ac"/>
    <w:uiPriority w:val="99"/>
    <w:semiHidden/>
    <w:rsid w:val="000868F7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0868F7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0868F7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f0">
    <w:name w:val="List Paragraph"/>
    <w:basedOn w:val="a"/>
    <w:uiPriority w:val="34"/>
    <w:qFormat/>
    <w:rsid w:val="008E64F2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0B3681"/>
    <w:pPr>
      <w:spacing w:after="120"/>
    </w:pPr>
  </w:style>
  <w:style w:type="character" w:customStyle="1" w:styleId="af2">
    <w:name w:val="Основний текст Знак"/>
    <w:basedOn w:val="a0"/>
    <w:link w:val="af1"/>
    <w:uiPriority w:val="99"/>
    <w:semiHidden/>
    <w:rsid w:val="000B368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3">
    <w:name w:val="Revision"/>
    <w:hidden/>
    <w:uiPriority w:val="99"/>
    <w:semiHidden/>
    <w:rsid w:val="00EB7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6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rc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E6C3C7-D529-4D00-BA04-45159B33D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6192</Words>
  <Characters>3530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Nataliia Plakyda</dc:creator>
  <cp:keywords/>
  <dc:description/>
  <cp:lastModifiedBy>АКБ</cp:lastModifiedBy>
  <cp:revision>2</cp:revision>
  <dcterms:created xsi:type="dcterms:W3CDTF">2024-07-24T08:08:00Z</dcterms:created>
  <dcterms:modified xsi:type="dcterms:W3CDTF">2024-07-24T08:08:00Z</dcterms:modified>
</cp:coreProperties>
</file>