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7"/>
        <w:tblpPr w:leftFromText="180" w:rightFromText="180" w:vertAnchor="text" w:tblpY="1"/>
        <w:tblOverlap w:val="never"/>
        <w:tblW w:w="15309" w:type="dxa"/>
        <w:tblLayout w:type="fixed"/>
        <w:tblLook w:val="04A0" w:firstRow="1" w:lastRow="0" w:firstColumn="1" w:lastColumn="0" w:noHBand="0" w:noVBand="1"/>
      </w:tblPr>
      <w:tblGrid>
        <w:gridCol w:w="7655"/>
        <w:gridCol w:w="7654"/>
      </w:tblGrid>
      <w:tr w:rsidR="001C7762" w:rsidRPr="001C7762" w14:paraId="209BAEB7" w14:textId="77777777" w:rsidTr="00F549E8">
        <w:tc>
          <w:tcPr>
            <w:tcW w:w="15309" w:type="dxa"/>
            <w:gridSpan w:val="2"/>
            <w:tcBorders>
              <w:top w:val="nil"/>
              <w:left w:val="nil"/>
              <w:bottom w:val="single" w:sz="4" w:space="0" w:color="auto"/>
              <w:right w:val="nil"/>
            </w:tcBorders>
          </w:tcPr>
          <w:p w14:paraId="6D394D63" w14:textId="2CB11987" w:rsidR="003F78F6" w:rsidRPr="001C7762" w:rsidRDefault="003F78F6" w:rsidP="00BC5261">
            <w:pPr>
              <w:jc w:val="center"/>
              <w:rPr>
                <w:b/>
                <w:bCs/>
                <w:lang w:val="uk-UA"/>
              </w:rPr>
            </w:pPr>
            <w:bookmarkStart w:id="0" w:name="_Hlk168992315"/>
            <w:r w:rsidRPr="001C7762">
              <w:rPr>
                <w:b/>
                <w:lang w:val="uk-UA"/>
              </w:rPr>
              <w:t xml:space="preserve">Порівняльна таблиця до проєкту постанови </w:t>
            </w:r>
            <w:r w:rsidR="00617102" w:rsidRPr="001C7762">
              <w:rPr>
                <w:b/>
                <w:lang w:val="uk-UA"/>
              </w:rPr>
              <w:t xml:space="preserve">НКРЕКП </w:t>
            </w:r>
            <w:r w:rsidR="00617102" w:rsidRPr="001C7762">
              <w:rPr>
                <w:b/>
                <w:lang w:val="uk-UA"/>
              </w:rPr>
              <w:br/>
            </w:r>
            <w:r w:rsidRPr="001C7762">
              <w:rPr>
                <w:b/>
                <w:bCs/>
                <w:lang w:val="uk-UA"/>
              </w:rPr>
              <w:t>«Про затвердження Змін до деяких постанов НКРЕ та НКРЕКП»</w:t>
            </w:r>
            <w:bookmarkEnd w:id="0"/>
          </w:p>
          <w:p w14:paraId="44B9A27F" w14:textId="622CD6CC" w:rsidR="003F78F6" w:rsidRPr="001C7762" w:rsidRDefault="003F78F6" w:rsidP="00BC5261">
            <w:pPr>
              <w:jc w:val="center"/>
              <w:rPr>
                <w:lang w:val="uk-UA"/>
              </w:rPr>
            </w:pPr>
          </w:p>
        </w:tc>
      </w:tr>
      <w:tr w:rsidR="001C7762" w:rsidRPr="001C7762" w14:paraId="035DC399" w14:textId="77777777" w:rsidTr="00F549E8">
        <w:tc>
          <w:tcPr>
            <w:tcW w:w="7655" w:type="dxa"/>
            <w:tcBorders>
              <w:top w:val="single" w:sz="4" w:space="0" w:color="auto"/>
            </w:tcBorders>
          </w:tcPr>
          <w:p w14:paraId="0F8A6E63" w14:textId="1194A402" w:rsidR="003F78F6" w:rsidRPr="001C7762" w:rsidRDefault="003F78F6" w:rsidP="00BC5261">
            <w:pPr>
              <w:jc w:val="center"/>
              <w:rPr>
                <w:lang w:val="uk-UA"/>
              </w:rPr>
            </w:pPr>
            <w:r w:rsidRPr="001C7762">
              <w:rPr>
                <w:b/>
                <w:lang w:val="uk-UA"/>
              </w:rPr>
              <w:t>Чинна редакція</w:t>
            </w:r>
          </w:p>
        </w:tc>
        <w:tc>
          <w:tcPr>
            <w:tcW w:w="7654" w:type="dxa"/>
            <w:tcBorders>
              <w:top w:val="single" w:sz="4" w:space="0" w:color="auto"/>
            </w:tcBorders>
          </w:tcPr>
          <w:p w14:paraId="4CB97F84" w14:textId="0E64AD02" w:rsidR="003F78F6" w:rsidRPr="001C7762" w:rsidRDefault="003F78F6" w:rsidP="00BC5261">
            <w:pPr>
              <w:jc w:val="center"/>
              <w:rPr>
                <w:lang w:val="uk-UA"/>
              </w:rPr>
            </w:pPr>
            <w:r w:rsidRPr="001C7762">
              <w:rPr>
                <w:b/>
                <w:lang w:val="uk-UA"/>
              </w:rPr>
              <w:t>Запропоновані зміни</w:t>
            </w:r>
          </w:p>
        </w:tc>
      </w:tr>
      <w:tr w:rsidR="001C7762" w:rsidRPr="001C7762" w14:paraId="2B4CA853" w14:textId="77777777" w:rsidTr="00F549E8">
        <w:tc>
          <w:tcPr>
            <w:tcW w:w="15309" w:type="dxa"/>
            <w:gridSpan w:val="2"/>
          </w:tcPr>
          <w:p w14:paraId="1ACC5103" w14:textId="1B638699" w:rsidR="003F78F6" w:rsidRPr="001C7762" w:rsidRDefault="003F78F6" w:rsidP="00BC5261">
            <w:pPr>
              <w:jc w:val="center"/>
              <w:rPr>
                <w:lang w:val="uk-UA"/>
              </w:rPr>
            </w:pPr>
            <w:r w:rsidRPr="001C7762">
              <w:rPr>
                <w:b/>
                <w:i/>
                <w:lang w:val="uk-UA"/>
              </w:rPr>
              <w:t>постанова НКРЕ від 11.07.2013 № 899 «Про затвердження Порядку визначення регуляторної бази активів суб’єктів природних монополій у сфері електроенергетики»</w:t>
            </w:r>
          </w:p>
        </w:tc>
      </w:tr>
      <w:tr w:rsidR="001C7762" w:rsidRPr="001C7762" w14:paraId="136192DA" w14:textId="77777777" w:rsidTr="00F549E8">
        <w:tc>
          <w:tcPr>
            <w:tcW w:w="7655" w:type="dxa"/>
          </w:tcPr>
          <w:p w14:paraId="7BB6A3C5" w14:textId="77777777" w:rsidR="00BC194F" w:rsidRPr="001C7762" w:rsidRDefault="00BC194F" w:rsidP="00BC5261">
            <w:pPr>
              <w:ind w:firstLine="284"/>
              <w:jc w:val="both"/>
              <w:rPr>
                <w:b/>
                <w:bCs/>
                <w:shd w:val="clear" w:color="auto" w:fill="FFFFFF"/>
              </w:rPr>
            </w:pPr>
            <w:r w:rsidRPr="001C7762">
              <w:rPr>
                <w:b/>
                <w:bCs/>
                <w:shd w:val="clear" w:color="auto" w:fill="FFFFFF"/>
              </w:rPr>
              <w:t xml:space="preserve">І. </w:t>
            </w:r>
            <w:proofErr w:type="spellStart"/>
            <w:r w:rsidRPr="001C7762">
              <w:rPr>
                <w:b/>
                <w:bCs/>
                <w:shd w:val="clear" w:color="auto" w:fill="FFFFFF"/>
              </w:rPr>
              <w:t>Загальні</w:t>
            </w:r>
            <w:proofErr w:type="spellEnd"/>
            <w:r w:rsidRPr="001C7762">
              <w:rPr>
                <w:b/>
                <w:bCs/>
                <w:shd w:val="clear" w:color="auto" w:fill="FFFFFF"/>
              </w:rPr>
              <w:t xml:space="preserve"> </w:t>
            </w:r>
            <w:proofErr w:type="spellStart"/>
            <w:r w:rsidRPr="001C7762">
              <w:rPr>
                <w:b/>
                <w:bCs/>
                <w:shd w:val="clear" w:color="auto" w:fill="FFFFFF"/>
              </w:rPr>
              <w:t>положення</w:t>
            </w:r>
            <w:proofErr w:type="spellEnd"/>
          </w:p>
          <w:p w14:paraId="3147D586" w14:textId="77777777" w:rsidR="00BC194F" w:rsidRPr="001C7762" w:rsidRDefault="00BC194F" w:rsidP="00BC5261">
            <w:pPr>
              <w:ind w:firstLine="284"/>
              <w:jc w:val="both"/>
              <w:rPr>
                <w:shd w:val="clear" w:color="auto" w:fill="FFFFFF"/>
              </w:rPr>
            </w:pPr>
            <w:r w:rsidRPr="001C7762">
              <w:rPr>
                <w:shd w:val="clear" w:color="auto" w:fill="FFFFFF"/>
              </w:rPr>
              <w:t xml:space="preserve">1.5. У </w:t>
            </w:r>
            <w:proofErr w:type="spellStart"/>
            <w:r w:rsidRPr="001C7762">
              <w:rPr>
                <w:shd w:val="clear" w:color="auto" w:fill="FFFFFF"/>
              </w:rPr>
              <w:t>цьому</w:t>
            </w:r>
            <w:proofErr w:type="spellEnd"/>
            <w:r w:rsidRPr="001C7762">
              <w:rPr>
                <w:shd w:val="clear" w:color="auto" w:fill="FFFFFF"/>
              </w:rPr>
              <w:t xml:space="preserve"> Порядку </w:t>
            </w:r>
            <w:proofErr w:type="spellStart"/>
            <w:r w:rsidRPr="001C7762">
              <w:rPr>
                <w:shd w:val="clear" w:color="auto" w:fill="FFFFFF"/>
              </w:rPr>
              <w:t>терміни</w:t>
            </w:r>
            <w:proofErr w:type="spellEnd"/>
            <w:r w:rsidRPr="001C7762">
              <w:rPr>
                <w:shd w:val="clear" w:color="auto" w:fill="FFFFFF"/>
              </w:rPr>
              <w:t xml:space="preserve"> </w:t>
            </w:r>
            <w:proofErr w:type="spellStart"/>
            <w:r w:rsidRPr="001C7762">
              <w:rPr>
                <w:shd w:val="clear" w:color="auto" w:fill="FFFFFF"/>
              </w:rPr>
              <w:t>вживаються</w:t>
            </w:r>
            <w:proofErr w:type="spellEnd"/>
            <w:r w:rsidRPr="001C7762">
              <w:rPr>
                <w:shd w:val="clear" w:color="auto" w:fill="FFFFFF"/>
              </w:rPr>
              <w:t xml:space="preserve"> у таких </w:t>
            </w:r>
            <w:proofErr w:type="spellStart"/>
            <w:r w:rsidRPr="001C7762">
              <w:rPr>
                <w:shd w:val="clear" w:color="auto" w:fill="FFFFFF"/>
              </w:rPr>
              <w:t>значеннях</w:t>
            </w:r>
            <w:proofErr w:type="spellEnd"/>
            <w:r w:rsidRPr="001C7762">
              <w:rPr>
                <w:shd w:val="clear" w:color="auto" w:fill="FFFFFF"/>
              </w:rPr>
              <w:t>:</w:t>
            </w:r>
          </w:p>
          <w:p w14:paraId="2A06E027" w14:textId="77777777" w:rsidR="00BC194F" w:rsidRPr="001C7762" w:rsidRDefault="00BC194F" w:rsidP="00BC5261">
            <w:pPr>
              <w:ind w:firstLine="284"/>
              <w:jc w:val="both"/>
              <w:rPr>
                <w:lang w:val="uk-UA"/>
              </w:rPr>
            </w:pPr>
            <w:r w:rsidRPr="001C7762">
              <w:rPr>
                <w:lang w:val="uk-UA"/>
              </w:rPr>
              <w:t>…</w:t>
            </w:r>
          </w:p>
          <w:p w14:paraId="2C0F716D" w14:textId="2A76837D" w:rsidR="00BC194F" w:rsidRPr="001C7762" w:rsidRDefault="00BC194F" w:rsidP="00BC5261">
            <w:pPr>
              <w:ind w:firstLine="284"/>
              <w:jc w:val="both"/>
              <w:rPr>
                <w:lang w:val="uk-UA"/>
              </w:rPr>
            </w:pPr>
            <w:r w:rsidRPr="001C7762">
              <w:rPr>
                <w:shd w:val="clear" w:color="auto" w:fill="FFFFFF"/>
                <w:lang w:val="uk-UA"/>
              </w:rPr>
              <w:t xml:space="preserve">створення активів - придбання, безоплатне отримання, нове будівництво, реконструкція, модернізація, добудова, технічне переобладнання, технічне переоснащення, дообладнання активів, які безпосередньо використовуються для провадження ліцензованої діяльності з розподілу електричної енергії. </w:t>
            </w:r>
          </w:p>
        </w:tc>
        <w:tc>
          <w:tcPr>
            <w:tcW w:w="7654" w:type="dxa"/>
          </w:tcPr>
          <w:p w14:paraId="78A7C288" w14:textId="77777777" w:rsidR="00BC194F" w:rsidRPr="001C7762" w:rsidRDefault="00BC194F" w:rsidP="00BC5261">
            <w:pPr>
              <w:ind w:firstLine="284"/>
              <w:jc w:val="both"/>
              <w:rPr>
                <w:b/>
                <w:bCs/>
                <w:shd w:val="clear" w:color="auto" w:fill="FFFFFF"/>
              </w:rPr>
            </w:pPr>
            <w:r w:rsidRPr="001C7762">
              <w:rPr>
                <w:b/>
                <w:bCs/>
                <w:shd w:val="clear" w:color="auto" w:fill="FFFFFF"/>
              </w:rPr>
              <w:t xml:space="preserve">І. </w:t>
            </w:r>
            <w:proofErr w:type="spellStart"/>
            <w:r w:rsidRPr="001C7762">
              <w:rPr>
                <w:b/>
                <w:bCs/>
                <w:shd w:val="clear" w:color="auto" w:fill="FFFFFF"/>
              </w:rPr>
              <w:t>Загальні</w:t>
            </w:r>
            <w:proofErr w:type="spellEnd"/>
            <w:r w:rsidRPr="001C7762">
              <w:rPr>
                <w:b/>
                <w:bCs/>
                <w:shd w:val="clear" w:color="auto" w:fill="FFFFFF"/>
              </w:rPr>
              <w:t xml:space="preserve"> </w:t>
            </w:r>
            <w:proofErr w:type="spellStart"/>
            <w:r w:rsidRPr="001C7762">
              <w:rPr>
                <w:b/>
                <w:bCs/>
                <w:shd w:val="clear" w:color="auto" w:fill="FFFFFF"/>
              </w:rPr>
              <w:t>положення</w:t>
            </w:r>
            <w:proofErr w:type="spellEnd"/>
          </w:p>
          <w:p w14:paraId="56DED8E9" w14:textId="77777777" w:rsidR="00BC194F" w:rsidRPr="001C7762" w:rsidRDefault="00BC194F" w:rsidP="00BC5261">
            <w:pPr>
              <w:ind w:firstLine="284"/>
              <w:jc w:val="both"/>
              <w:rPr>
                <w:shd w:val="clear" w:color="auto" w:fill="FFFFFF"/>
              </w:rPr>
            </w:pPr>
            <w:r w:rsidRPr="001C7762">
              <w:rPr>
                <w:shd w:val="clear" w:color="auto" w:fill="FFFFFF"/>
              </w:rPr>
              <w:t xml:space="preserve">1.5. У </w:t>
            </w:r>
            <w:proofErr w:type="spellStart"/>
            <w:r w:rsidRPr="001C7762">
              <w:rPr>
                <w:shd w:val="clear" w:color="auto" w:fill="FFFFFF"/>
              </w:rPr>
              <w:t>цьому</w:t>
            </w:r>
            <w:proofErr w:type="spellEnd"/>
            <w:r w:rsidRPr="001C7762">
              <w:rPr>
                <w:shd w:val="clear" w:color="auto" w:fill="FFFFFF"/>
              </w:rPr>
              <w:t xml:space="preserve"> Порядку </w:t>
            </w:r>
            <w:proofErr w:type="spellStart"/>
            <w:r w:rsidRPr="001C7762">
              <w:rPr>
                <w:shd w:val="clear" w:color="auto" w:fill="FFFFFF"/>
              </w:rPr>
              <w:t>терміни</w:t>
            </w:r>
            <w:proofErr w:type="spellEnd"/>
            <w:r w:rsidRPr="001C7762">
              <w:rPr>
                <w:shd w:val="clear" w:color="auto" w:fill="FFFFFF"/>
              </w:rPr>
              <w:t xml:space="preserve"> </w:t>
            </w:r>
            <w:proofErr w:type="spellStart"/>
            <w:r w:rsidRPr="001C7762">
              <w:rPr>
                <w:shd w:val="clear" w:color="auto" w:fill="FFFFFF"/>
              </w:rPr>
              <w:t>вживаються</w:t>
            </w:r>
            <w:proofErr w:type="spellEnd"/>
            <w:r w:rsidRPr="001C7762">
              <w:rPr>
                <w:shd w:val="clear" w:color="auto" w:fill="FFFFFF"/>
              </w:rPr>
              <w:t xml:space="preserve"> у таких </w:t>
            </w:r>
            <w:proofErr w:type="spellStart"/>
            <w:r w:rsidRPr="001C7762">
              <w:rPr>
                <w:shd w:val="clear" w:color="auto" w:fill="FFFFFF"/>
              </w:rPr>
              <w:t>значеннях</w:t>
            </w:r>
            <w:proofErr w:type="spellEnd"/>
            <w:r w:rsidRPr="001C7762">
              <w:rPr>
                <w:shd w:val="clear" w:color="auto" w:fill="FFFFFF"/>
              </w:rPr>
              <w:t>:</w:t>
            </w:r>
          </w:p>
          <w:p w14:paraId="3E344613" w14:textId="77777777" w:rsidR="00BC194F" w:rsidRPr="001C7762" w:rsidRDefault="00BC194F" w:rsidP="00BC5261">
            <w:pPr>
              <w:ind w:firstLine="284"/>
              <w:jc w:val="both"/>
              <w:rPr>
                <w:lang w:val="uk-UA"/>
              </w:rPr>
            </w:pPr>
            <w:r w:rsidRPr="001C7762">
              <w:rPr>
                <w:lang w:val="uk-UA"/>
              </w:rPr>
              <w:t>…</w:t>
            </w:r>
          </w:p>
          <w:p w14:paraId="677F22A9" w14:textId="228F02C7" w:rsidR="00BC194F" w:rsidRPr="001C7762" w:rsidRDefault="00BC194F" w:rsidP="00BC5261">
            <w:pPr>
              <w:ind w:firstLine="284"/>
              <w:jc w:val="both"/>
              <w:rPr>
                <w:lang w:val="uk-UA"/>
              </w:rPr>
            </w:pPr>
            <w:r w:rsidRPr="001C7762">
              <w:rPr>
                <w:shd w:val="clear" w:color="auto" w:fill="FFFFFF"/>
                <w:lang w:val="uk-UA"/>
              </w:rPr>
              <w:t>створення активів - придбання, безоплатне отримання, нове будівництво, реконструкція, модернізація, добудова, технічне переобладнання, технічне переоснащення, дообладнання активів, які безпосередньо використовуються для провадження ліцензованої діяльності з розподілу електричної енергії</w:t>
            </w:r>
            <w:r w:rsidR="00BA2AB1" w:rsidRPr="001C7762">
              <w:rPr>
                <w:shd w:val="clear" w:color="auto" w:fill="FFFFFF"/>
                <w:lang w:val="uk-UA"/>
              </w:rPr>
              <w:t xml:space="preserve">, </w:t>
            </w:r>
            <w:r w:rsidR="00BA2AB1" w:rsidRPr="001C7762">
              <w:rPr>
                <w:b/>
                <w:shd w:val="clear" w:color="auto" w:fill="FFFFFF"/>
                <w:lang w:val="uk-UA"/>
              </w:rPr>
              <w:t>в</w:t>
            </w:r>
            <w:r w:rsidRPr="001C7762">
              <w:rPr>
                <w:b/>
                <w:shd w:val="clear" w:color="auto" w:fill="FFFFFF"/>
                <w:lang w:val="uk-UA"/>
              </w:rPr>
              <w:t>веденн</w:t>
            </w:r>
            <w:r w:rsidR="00BA2AB1" w:rsidRPr="001C7762">
              <w:rPr>
                <w:b/>
                <w:shd w:val="clear" w:color="auto" w:fill="FFFFFF"/>
                <w:lang w:val="uk-UA"/>
              </w:rPr>
              <w:t>і</w:t>
            </w:r>
            <w:r w:rsidRPr="001C7762">
              <w:rPr>
                <w:b/>
                <w:shd w:val="clear" w:color="auto" w:fill="FFFFFF"/>
                <w:lang w:val="uk-UA"/>
              </w:rPr>
              <w:t xml:space="preserve"> </w:t>
            </w:r>
            <w:r w:rsidRPr="001C7762">
              <w:rPr>
                <w:b/>
                <w:lang w:val="uk-UA"/>
              </w:rPr>
              <w:t xml:space="preserve">в експлуатацію </w:t>
            </w:r>
            <w:r w:rsidRPr="001C7762">
              <w:rPr>
                <w:b/>
                <w:bCs/>
                <w:lang w:val="uk-UA"/>
              </w:rPr>
              <w:t>на підставі документів, що підтверджують факт та дату прийняття (встановлення) на баланс</w:t>
            </w:r>
            <w:r w:rsidR="00BA2AB1" w:rsidRPr="001C7762">
              <w:rPr>
                <w:b/>
                <w:bCs/>
                <w:lang w:val="uk-UA"/>
              </w:rPr>
              <w:t>;</w:t>
            </w:r>
          </w:p>
        </w:tc>
      </w:tr>
      <w:tr w:rsidR="001C7762" w:rsidRPr="001C7762" w14:paraId="47E2C6D9" w14:textId="77777777" w:rsidTr="00F549E8">
        <w:tc>
          <w:tcPr>
            <w:tcW w:w="7655" w:type="dxa"/>
          </w:tcPr>
          <w:p w14:paraId="43C3DB5B" w14:textId="77777777" w:rsidR="008511CD" w:rsidRPr="001C7762" w:rsidRDefault="008511CD" w:rsidP="00BC5261">
            <w:pPr>
              <w:ind w:firstLine="284"/>
              <w:jc w:val="both"/>
              <w:rPr>
                <w:lang w:val="uk-UA"/>
              </w:rPr>
            </w:pPr>
            <w:r w:rsidRPr="001C7762">
              <w:rPr>
                <w:lang w:val="uk-UA"/>
              </w:rPr>
              <w:t>II. Визначення регуляторної бази активів, яка створена на дату переходу до стимулюючого регулювання</w:t>
            </w:r>
          </w:p>
          <w:p w14:paraId="4BC30A19" w14:textId="77777777" w:rsidR="008511CD" w:rsidRPr="001C7762" w:rsidRDefault="008511CD" w:rsidP="00BC5261">
            <w:pPr>
              <w:ind w:firstLine="284"/>
              <w:jc w:val="both"/>
              <w:rPr>
                <w:lang w:val="uk-UA"/>
              </w:rPr>
            </w:pPr>
            <w:r w:rsidRPr="001C7762">
              <w:rPr>
                <w:lang w:val="uk-UA"/>
              </w:rPr>
              <w:t>………………………………..</w:t>
            </w:r>
          </w:p>
          <w:p w14:paraId="51FB89C9" w14:textId="217D6CDB" w:rsidR="008511CD" w:rsidRPr="001C7762" w:rsidRDefault="008511CD" w:rsidP="00BC5261">
            <w:pPr>
              <w:shd w:val="clear" w:color="auto" w:fill="FFFFFF"/>
              <w:spacing w:after="150"/>
              <w:ind w:firstLine="450"/>
              <w:jc w:val="both"/>
              <w:rPr>
                <w:lang w:val="uk-UA" w:eastAsia="uk-UA"/>
              </w:rPr>
            </w:pPr>
            <w:r w:rsidRPr="001C7762">
              <w:rPr>
                <w:lang w:val="uk-UA" w:eastAsia="uk-UA"/>
              </w:rPr>
              <w:t xml:space="preserve">2.2. У разі якщо перехід до стимулюючого регулювання відбувся пізніше, ніж через квартал після проведення незалежної оцінки активів ліцензіата, регуляторна база активів, яка створена на дату переходу до стимулюючого регулювання, визначається з урахуванням вартості активів, створених згідно із затвердженою, погодженою та схваленою відповідно </w:t>
            </w:r>
            <w:r w:rsidRPr="000D7C1D">
              <w:rPr>
                <w:lang w:val="uk-UA" w:eastAsia="uk-UA"/>
              </w:rPr>
              <w:t>до Порядку розроблення та подання на затвердження планів розвитку систем розподілу та інвестиційних програм операторів систем розподілу, затвердженого постановою НКРЕКП від 04 вересня 2018 року № 955, (далі - Порядок формування інвестиційних</w:t>
            </w:r>
            <w:r w:rsidRPr="001C7762">
              <w:rPr>
                <w:lang w:val="uk-UA" w:eastAsia="uk-UA"/>
              </w:rPr>
              <w:t xml:space="preserve"> програм), інвестиційною програмою та прийнятих на баланс, вибуття активів та амортизації за формулою</w:t>
            </w:r>
          </w:p>
          <w:tbl>
            <w:tblPr>
              <w:tblW w:w="5000" w:type="pct"/>
              <w:jc w:val="center"/>
              <w:tblLayout w:type="fixed"/>
              <w:tblCellMar>
                <w:top w:w="15" w:type="dxa"/>
                <w:left w:w="15" w:type="dxa"/>
                <w:bottom w:w="15" w:type="dxa"/>
                <w:right w:w="15" w:type="dxa"/>
              </w:tblCellMar>
              <w:tblLook w:val="04A0" w:firstRow="1" w:lastRow="0" w:firstColumn="1" w:lastColumn="0" w:noHBand="0" w:noVBand="1"/>
            </w:tblPr>
            <w:tblGrid>
              <w:gridCol w:w="425"/>
              <w:gridCol w:w="880"/>
              <w:gridCol w:w="167"/>
              <w:gridCol w:w="3807"/>
              <w:gridCol w:w="1724"/>
              <w:gridCol w:w="430"/>
            </w:tblGrid>
            <w:tr w:rsidR="001C7762" w:rsidRPr="001C7762" w14:paraId="6CB93D77" w14:textId="77777777" w:rsidTr="00EE264F">
              <w:trPr>
                <w:jc w:val="center"/>
              </w:trPr>
              <w:tc>
                <w:tcPr>
                  <w:tcW w:w="5218" w:type="dxa"/>
                  <w:gridSpan w:val="4"/>
                  <w:tcBorders>
                    <w:top w:val="single" w:sz="2" w:space="0" w:color="auto"/>
                    <w:left w:val="single" w:sz="2" w:space="0" w:color="auto"/>
                    <w:bottom w:val="single" w:sz="2" w:space="0" w:color="auto"/>
                    <w:right w:val="single" w:sz="2" w:space="0" w:color="auto"/>
                  </w:tcBorders>
                  <w:hideMark/>
                </w:tcPr>
                <w:p w14:paraId="39E1C281" w14:textId="77777777" w:rsidR="008511CD" w:rsidRPr="001C7762" w:rsidRDefault="008511CD" w:rsidP="000D7C1D">
                  <w:pPr>
                    <w:framePr w:hSpace="180" w:wrap="around" w:vAnchor="text" w:hAnchor="text" w:y="1"/>
                    <w:spacing w:after="150"/>
                    <w:ind w:firstLine="450"/>
                    <w:suppressOverlap/>
                    <w:jc w:val="both"/>
                    <w:rPr>
                      <w:lang w:val="uk-UA" w:eastAsia="uk-UA"/>
                    </w:rPr>
                  </w:pPr>
                  <w:bookmarkStart w:id="1" w:name="n116"/>
                  <w:bookmarkEnd w:id="1"/>
                  <w:r w:rsidRPr="001C7762">
                    <w:rPr>
                      <w:noProof/>
                      <w:lang w:val="uk-UA" w:eastAsia="uk-UA"/>
                    </w:rPr>
                    <w:drawing>
                      <wp:inline distT="0" distB="0" distL="0" distR="0" wp14:anchorId="326BCFB8" wp14:editId="6D0C969D">
                        <wp:extent cx="2679479" cy="469244"/>
                        <wp:effectExtent l="0" t="0" r="0" b="7620"/>
                        <wp:docPr id="7" name="Рисунок 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7764" cy="472446"/>
                                </a:xfrm>
                                <a:prstGeom prst="rect">
                                  <a:avLst/>
                                </a:prstGeom>
                                <a:noFill/>
                                <a:ln>
                                  <a:noFill/>
                                </a:ln>
                              </pic:spPr>
                            </pic:pic>
                          </a:graphicData>
                        </a:graphic>
                      </wp:inline>
                    </w:drawing>
                  </w:r>
                </w:p>
              </w:tc>
              <w:tc>
                <w:tcPr>
                  <w:tcW w:w="1704" w:type="dxa"/>
                  <w:tcBorders>
                    <w:top w:val="single" w:sz="2" w:space="0" w:color="auto"/>
                    <w:left w:val="single" w:sz="2" w:space="0" w:color="auto"/>
                    <w:bottom w:val="single" w:sz="2" w:space="0" w:color="auto"/>
                    <w:right w:val="single" w:sz="2" w:space="0" w:color="auto"/>
                  </w:tcBorders>
                  <w:hideMark/>
                </w:tcPr>
                <w:p w14:paraId="24EFAA94"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 тис. грн,</w:t>
                  </w:r>
                </w:p>
              </w:tc>
              <w:tc>
                <w:tcPr>
                  <w:tcW w:w="425" w:type="dxa"/>
                  <w:tcBorders>
                    <w:top w:val="single" w:sz="2" w:space="0" w:color="auto"/>
                    <w:left w:val="single" w:sz="2" w:space="0" w:color="auto"/>
                    <w:bottom w:val="single" w:sz="2" w:space="0" w:color="auto"/>
                    <w:right w:val="single" w:sz="2" w:space="0" w:color="auto"/>
                  </w:tcBorders>
                  <w:hideMark/>
                </w:tcPr>
                <w:p w14:paraId="196FAFD5" w14:textId="77777777" w:rsidR="008511CD" w:rsidRPr="001C7762" w:rsidRDefault="008511CD" w:rsidP="000D7C1D">
                  <w:pPr>
                    <w:framePr w:hSpace="180" w:wrap="around" w:vAnchor="text" w:hAnchor="text" w:y="1"/>
                    <w:spacing w:after="100" w:afterAutospacing="1"/>
                    <w:suppressOverlap/>
                    <w:rPr>
                      <w:lang w:val="uk-UA" w:eastAsia="uk-UA"/>
                    </w:rPr>
                  </w:pPr>
                  <w:r w:rsidRPr="001C7762">
                    <w:rPr>
                      <w:lang w:val="uk-UA" w:eastAsia="uk-UA"/>
                    </w:rPr>
                    <w:t>(1)</w:t>
                  </w:r>
                </w:p>
              </w:tc>
            </w:tr>
            <w:tr w:rsidR="001C7762" w:rsidRPr="001C7762" w14:paraId="5C7CC386" w14:textId="77777777" w:rsidTr="00EE264F">
              <w:tblPrEx>
                <w:jc w:val="left"/>
              </w:tblPrEx>
              <w:tc>
                <w:tcPr>
                  <w:tcW w:w="420" w:type="dxa"/>
                  <w:tcBorders>
                    <w:top w:val="single" w:sz="2" w:space="0" w:color="auto"/>
                    <w:left w:val="single" w:sz="2" w:space="0" w:color="auto"/>
                    <w:bottom w:val="single" w:sz="2" w:space="0" w:color="auto"/>
                    <w:right w:val="single" w:sz="2" w:space="0" w:color="auto"/>
                  </w:tcBorders>
                  <w:hideMark/>
                </w:tcPr>
                <w:p w14:paraId="1977FC30" w14:textId="77777777" w:rsidR="008511CD" w:rsidRPr="001C7762" w:rsidRDefault="008511CD" w:rsidP="000D7C1D">
                  <w:pPr>
                    <w:framePr w:hSpace="180" w:wrap="around" w:vAnchor="text" w:hAnchor="text" w:y="1"/>
                    <w:spacing w:before="150" w:after="150"/>
                    <w:suppressOverlap/>
                    <w:rPr>
                      <w:lang w:val="uk-UA" w:eastAsia="uk-UA"/>
                    </w:rPr>
                  </w:pPr>
                  <w:bookmarkStart w:id="2" w:name="n117"/>
                  <w:bookmarkEnd w:id="2"/>
                  <w:r w:rsidRPr="001C7762">
                    <w:rPr>
                      <w:lang w:val="uk-UA" w:eastAsia="uk-UA"/>
                    </w:rPr>
                    <w:lastRenderedPageBreak/>
                    <w:t>де</w:t>
                  </w:r>
                </w:p>
              </w:tc>
              <w:tc>
                <w:tcPr>
                  <w:tcW w:w="870" w:type="dxa"/>
                  <w:tcBorders>
                    <w:top w:val="single" w:sz="2" w:space="0" w:color="auto"/>
                    <w:left w:val="single" w:sz="2" w:space="0" w:color="auto"/>
                    <w:bottom w:val="single" w:sz="2" w:space="0" w:color="auto"/>
                    <w:right w:val="single" w:sz="2" w:space="0" w:color="auto"/>
                  </w:tcBorders>
                  <w:hideMark/>
                </w:tcPr>
                <w:p w14:paraId="2B127DF4"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РБА</w:t>
                  </w:r>
                  <w:r w:rsidRPr="001C7762">
                    <w:rPr>
                      <w:b/>
                      <w:bCs/>
                      <w:vertAlign w:val="superscript"/>
                      <w:lang w:val="uk-UA" w:eastAsia="uk-UA"/>
                    </w:rPr>
                    <w:t>-0</w:t>
                  </w:r>
                </w:p>
              </w:tc>
              <w:tc>
                <w:tcPr>
                  <w:tcW w:w="165" w:type="dxa"/>
                  <w:tcBorders>
                    <w:top w:val="single" w:sz="2" w:space="0" w:color="auto"/>
                    <w:left w:val="single" w:sz="2" w:space="0" w:color="auto"/>
                    <w:bottom w:val="single" w:sz="2" w:space="0" w:color="auto"/>
                    <w:right w:val="single" w:sz="2" w:space="0" w:color="auto"/>
                  </w:tcBorders>
                  <w:hideMark/>
                </w:tcPr>
                <w:p w14:paraId="7F76BC2C"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892" w:type="dxa"/>
                  <w:gridSpan w:val="3"/>
                  <w:tcBorders>
                    <w:top w:val="single" w:sz="2" w:space="0" w:color="auto"/>
                    <w:left w:val="single" w:sz="2" w:space="0" w:color="auto"/>
                    <w:bottom w:val="single" w:sz="2" w:space="0" w:color="auto"/>
                    <w:right w:val="single" w:sz="2" w:space="0" w:color="auto"/>
                  </w:tcBorders>
                  <w:hideMark/>
                </w:tcPr>
                <w:p w14:paraId="091DEF94"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регуляторна база активів, яка створена на дату переходу до стимулюючого регулювання, тис. грн;</w:t>
                  </w:r>
                </w:p>
              </w:tc>
            </w:tr>
            <w:tr w:rsidR="001C7762" w:rsidRPr="000D7C1D" w14:paraId="02CDAB52" w14:textId="77777777" w:rsidTr="00EE264F">
              <w:tblPrEx>
                <w:jc w:val="left"/>
              </w:tblPrEx>
              <w:tc>
                <w:tcPr>
                  <w:tcW w:w="420" w:type="dxa"/>
                  <w:tcBorders>
                    <w:top w:val="single" w:sz="2" w:space="0" w:color="auto"/>
                    <w:left w:val="single" w:sz="2" w:space="0" w:color="auto"/>
                    <w:bottom w:val="single" w:sz="2" w:space="0" w:color="auto"/>
                    <w:right w:val="single" w:sz="2" w:space="0" w:color="auto"/>
                  </w:tcBorders>
                  <w:hideMark/>
                </w:tcPr>
                <w:p w14:paraId="3965E5D0" w14:textId="77777777" w:rsidR="008511CD" w:rsidRPr="001C7762" w:rsidRDefault="008511CD" w:rsidP="000D7C1D">
                  <w:pPr>
                    <w:framePr w:hSpace="180" w:wrap="around" w:vAnchor="text" w:hAnchor="text" w:y="1"/>
                    <w:spacing w:before="150" w:after="150"/>
                    <w:suppressOverlap/>
                    <w:rPr>
                      <w:lang w:val="uk-UA" w:eastAsia="uk-UA"/>
                    </w:rPr>
                  </w:pPr>
                </w:p>
              </w:tc>
              <w:tc>
                <w:tcPr>
                  <w:tcW w:w="870" w:type="dxa"/>
                  <w:tcBorders>
                    <w:top w:val="single" w:sz="2" w:space="0" w:color="auto"/>
                    <w:left w:val="single" w:sz="2" w:space="0" w:color="auto"/>
                    <w:bottom w:val="single" w:sz="2" w:space="0" w:color="auto"/>
                    <w:right w:val="single" w:sz="2" w:space="0" w:color="auto"/>
                  </w:tcBorders>
                  <w:hideMark/>
                </w:tcPr>
                <w:p w14:paraId="152E3940"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РБА</w:t>
                  </w:r>
                </w:p>
              </w:tc>
              <w:tc>
                <w:tcPr>
                  <w:tcW w:w="165" w:type="dxa"/>
                  <w:tcBorders>
                    <w:top w:val="single" w:sz="2" w:space="0" w:color="auto"/>
                    <w:left w:val="single" w:sz="2" w:space="0" w:color="auto"/>
                    <w:bottom w:val="single" w:sz="2" w:space="0" w:color="auto"/>
                    <w:right w:val="single" w:sz="2" w:space="0" w:color="auto"/>
                  </w:tcBorders>
                  <w:hideMark/>
                </w:tcPr>
                <w:p w14:paraId="29571A2D"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892" w:type="dxa"/>
                  <w:gridSpan w:val="3"/>
                  <w:tcBorders>
                    <w:top w:val="single" w:sz="2" w:space="0" w:color="auto"/>
                    <w:left w:val="single" w:sz="2" w:space="0" w:color="auto"/>
                    <w:bottom w:val="single" w:sz="2" w:space="0" w:color="auto"/>
                    <w:right w:val="single" w:sz="2" w:space="0" w:color="auto"/>
                  </w:tcBorders>
                  <w:hideMark/>
                </w:tcPr>
                <w:p w14:paraId="0D940698"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регуляторна база активів, визначена на підставі переоціненої вартості активів за результатами незалежної оцінки, проведеної згідно з </w:t>
                  </w:r>
                  <w:hyperlink r:id="rId9" w:anchor="n14" w:tgtFrame="_blank" w:history="1">
                    <w:r w:rsidRPr="001C7762">
                      <w:rPr>
                        <w:u w:val="single"/>
                        <w:lang w:val="uk-UA" w:eastAsia="uk-UA"/>
                      </w:rPr>
                      <w:t>Методикою оцінки</w:t>
                    </w:r>
                  </w:hyperlink>
                  <w:r w:rsidRPr="001C7762">
                    <w:rPr>
                      <w:lang w:val="uk-UA" w:eastAsia="uk-UA"/>
                    </w:rPr>
                    <w:t>, з урахуванням пункту 2.3 цього розділу, тис. грн;</w:t>
                  </w:r>
                </w:p>
              </w:tc>
            </w:tr>
            <w:tr w:rsidR="001C7762" w:rsidRPr="001C7762" w14:paraId="7D0BFBF3" w14:textId="77777777" w:rsidTr="00EE264F">
              <w:tblPrEx>
                <w:jc w:val="left"/>
              </w:tblPrEx>
              <w:tc>
                <w:tcPr>
                  <w:tcW w:w="420" w:type="dxa"/>
                  <w:tcBorders>
                    <w:top w:val="single" w:sz="2" w:space="0" w:color="auto"/>
                    <w:left w:val="single" w:sz="2" w:space="0" w:color="auto"/>
                    <w:bottom w:val="single" w:sz="2" w:space="0" w:color="auto"/>
                    <w:right w:val="single" w:sz="2" w:space="0" w:color="auto"/>
                  </w:tcBorders>
                  <w:hideMark/>
                </w:tcPr>
                <w:p w14:paraId="273221D0" w14:textId="77777777" w:rsidR="008511CD" w:rsidRPr="001C7762" w:rsidRDefault="008511CD" w:rsidP="000D7C1D">
                  <w:pPr>
                    <w:framePr w:hSpace="180" w:wrap="around" w:vAnchor="text" w:hAnchor="text" w:y="1"/>
                    <w:spacing w:before="150" w:after="150"/>
                    <w:suppressOverlap/>
                    <w:rPr>
                      <w:lang w:val="uk-UA" w:eastAsia="uk-UA"/>
                    </w:rPr>
                  </w:pPr>
                </w:p>
              </w:tc>
              <w:tc>
                <w:tcPr>
                  <w:tcW w:w="870" w:type="dxa"/>
                  <w:tcBorders>
                    <w:top w:val="single" w:sz="2" w:space="0" w:color="auto"/>
                    <w:left w:val="single" w:sz="2" w:space="0" w:color="auto"/>
                    <w:bottom w:val="single" w:sz="2" w:space="0" w:color="auto"/>
                    <w:right w:val="single" w:sz="2" w:space="0" w:color="auto"/>
                  </w:tcBorders>
                  <w:hideMark/>
                </w:tcPr>
                <w:p w14:paraId="4947E4CF"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І</w:t>
                  </w:r>
                </w:p>
              </w:tc>
              <w:tc>
                <w:tcPr>
                  <w:tcW w:w="165" w:type="dxa"/>
                  <w:tcBorders>
                    <w:top w:val="single" w:sz="2" w:space="0" w:color="auto"/>
                    <w:left w:val="single" w:sz="2" w:space="0" w:color="auto"/>
                    <w:bottom w:val="single" w:sz="2" w:space="0" w:color="auto"/>
                    <w:right w:val="single" w:sz="2" w:space="0" w:color="auto"/>
                  </w:tcBorders>
                  <w:hideMark/>
                </w:tcPr>
                <w:p w14:paraId="6621A52D"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892" w:type="dxa"/>
                  <w:gridSpan w:val="3"/>
                  <w:tcBorders>
                    <w:top w:val="single" w:sz="2" w:space="0" w:color="auto"/>
                    <w:left w:val="single" w:sz="2" w:space="0" w:color="auto"/>
                    <w:bottom w:val="single" w:sz="2" w:space="0" w:color="auto"/>
                    <w:right w:val="single" w:sz="2" w:space="0" w:color="auto"/>
                  </w:tcBorders>
                  <w:hideMark/>
                </w:tcPr>
                <w:p w14:paraId="33CA903B" w14:textId="080ACB49"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 xml:space="preserve">балансова первісна вартість активів, створених за період від дати проведення незалежної оцінки активів до дати переходу до стимулюючого регулювання відповідно до інвестиційної програми, затвердженої, погодженої та схваленої відповідно </w:t>
                  </w:r>
                  <w:r w:rsidRPr="000D7C1D">
                    <w:rPr>
                      <w:lang w:val="uk-UA" w:eastAsia="uk-UA"/>
                    </w:rPr>
                    <w:t>до Порядку формування інвестиційних програм, а також</w:t>
                  </w:r>
                  <w:r w:rsidRPr="001C7762">
                    <w:rPr>
                      <w:lang w:val="uk-UA" w:eastAsia="uk-UA"/>
                    </w:rPr>
                    <w:t xml:space="preserve"> за рахунок надання послуг з приєднання електроустановок замовників поза заходами інвестиційної програми, та активів, безоплатно отриманих ліцензіатами, </w:t>
                  </w:r>
                  <w:proofErr w:type="spellStart"/>
                  <w:r w:rsidRPr="001C7762">
                    <w:rPr>
                      <w:lang w:val="uk-UA" w:eastAsia="uk-UA"/>
                    </w:rPr>
                    <w:t>тис.грн</w:t>
                  </w:r>
                  <w:proofErr w:type="spellEnd"/>
                  <w:r w:rsidRPr="001C7762">
                    <w:rPr>
                      <w:lang w:val="uk-UA" w:eastAsia="uk-UA"/>
                    </w:rPr>
                    <w:t>;</w:t>
                  </w:r>
                </w:p>
              </w:tc>
            </w:tr>
            <w:tr w:rsidR="001C7762" w:rsidRPr="001C7762" w14:paraId="04EC4CA9" w14:textId="77777777" w:rsidTr="00EE264F">
              <w:tblPrEx>
                <w:jc w:val="left"/>
              </w:tblPrEx>
              <w:tc>
                <w:tcPr>
                  <w:tcW w:w="420" w:type="dxa"/>
                  <w:tcBorders>
                    <w:top w:val="single" w:sz="2" w:space="0" w:color="auto"/>
                    <w:left w:val="single" w:sz="2" w:space="0" w:color="auto"/>
                    <w:bottom w:val="single" w:sz="2" w:space="0" w:color="auto"/>
                    <w:right w:val="single" w:sz="2" w:space="0" w:color="auto"/>
                  </w:tcBorders>
                  <w:hideMark/>
                </w:tcPr>
                <w:p w14:paraId="4FCD9548" w14:textId="77777777" w:rsidR="008511CD" w:rsidRPr="001C7762" w:rsidRDefault="008511CD" w:rsidP="000D7C1D">
                  <w:pPr>
                    <w:framePr w:hSpace="180" w:wrap="around" w:vAnchor="text" w:hAnchor="text" w:y="1"/>
                    <w:spacing w:before="150" w:after="150"/>
                    <w:suppressOverlap/>
                    <w:rPr>
                      <w:lang w:val="uk-UA" w:eastAsia="uk-UA"/>
                    </w:rPr>
                  </w:pPr>
                </w:p>
              </w:tc>
              <w:tc>
                <w:tcPr>
                  <w:tcW w:w="870" w:type="dxa"/>
                  <w:tcBorders>
                    <w:top w:val="single" w:sz="2" w:space="0" w:color="auto"/>
                    <w:left w:val="single" w:sz="2" w:space="0" w:color="auto"/>
                    <w:bottom w:val="single" w:sz="2" w:space="0" w:color="auto"/>
                    <w:right w:val="single" w:sz="2" w:space="0" w:color="auto"/>
                  </w:tcBorders>
                  <w:hideMark/>
                </w:tcPr>
                <w:p w14:paraId="1CE4DCAD"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ВА</w:t>
                  </w:r>
                </w:p>
              </w:tc>
              <w:tc>
                <w:tcPr>
                  <w:tcW w:w="165" w:type="dxa"/>
                  <w:tcBorders>
                    <w:top w:val="single" w:sz="2" w:space="0" w:color="auto"/>
                    <w:left w:val="single" w:sz="2" w:space="0" w:color="auto"/>
                    <w:bottom w:val="single" w:sz="2" w:space="0" w:color="auto"/>
                    <w:right w:val="single" w:sz="2" w:space="0" w:color="auto"/>
                  </w:tcBorders>
                  <w:hideMark/>
                </w:tcPr>
                <w:p w14:paraId="12F29372"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892" w:type="dxa"/>
                  <w:gridSpan w:val="3"/>
                  <w:tcBorders>
                    <w:top w:val="single" w:sz="2" w:space="0" w:color="auto"/>
                    <w:left w:val="single" w:sz="2" w:space="0" w:color="auto"/>
                    <w:bottom w:val="single" w:sz="2" w:space="0" w:color="auto"/>
                    <w:right w:val="single" w:sz="2" w:space="0" w:color="auto"/>
                  </w:tcBorders>
                  <w:hideMark/>
                </w:tcPr>
                <w:p w14:paraId="7F0F3189"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 xml:space="preserve">залишкова переоцінена вартість активів, що </w:t>
                  </w:r>
                  <w:r w:rsidRPr="001C7762">
                    <w:rPr>
                      <w:b/>
                      <w:lang w:val="uk-UA" w:eastAsia="uk-UA"/>
                    </w:rPr>
                    <w:t>вибули</w:t>
                  </w:r>
                  <w:r w:rsidRPr="001C7762">
                    <w:rPr>
                      <w:lang w:val="uk-UA" w:eastAsia="uk-UA"/>
                    </w:rPr>
                    <w:t xml:space="preserve"> за період від дати проведення незалежної оцінки активів до дати переходу до стимулюючого регулювання, тис. грн;</w:t>
                  </w:r>
                </w:p>
              </w:tc>
            </w:tr>
            <w:tr w:rsidR="001C7762" w:rsidRPr="001C7762" w14:paraId="6D014CB0" w14:textId="77777777" w:rsidTr="00EE264F">
              <w:tblPrEx>
                <w:jc w:val="left"/>
              </w:tblPrEx>
              <w:tc>
                <w:tcPr>
                  <w:tcW w:w="420" w:type="dxa"/>
                  <w:tcBorders>
                    <w:top w:val="single" w:sz="2" w:space="0" w:color="auto"/>
                    <w:left w:val="single" w:sz="2" w:space="0" w:color="auto"/>
                    <w:bottom w:val="single" w:sz="2" w:space="0" w:color="auto"/>
                    <w:right w:val="single" w:sz="2" w:space="0" w:color="auto"/>
                  </w:tcBorders>
                  <w:hideMark/>
                </w:tcPr>
                <w:p w14:paraId="7845947B" w14:textId="77777777" w:rsidR="008511CD" w:rsidRPr="001C7762" w:rsidRDefault="008511CD" w:rsidP="000D7C1D">
                  <w:pPr>
                    <w:framePr w:hSpace="180" w:wrap="around" w:vAnchor="text" w:hAnchor="text" w:y="1"/>
                    <w:spacing w:before="150" w:after="150"/>
                    <w:suppressOverlap/>
                    <w:rPr>
                      <w:lang w:val="uk-UA" w:eastAsia="uk-UA"/>
                    </w:rPr>
                  </w:pPr>
                </w:p>
              </w:tc>
              <w:tc>
                <w:tcPr>
                  <w:tcW w:w="870" w:type="dxa"/>
                  <w:tcBorders>
                    <w:top w:val="single" w:sz="2" w:space="0" w:color="auto"/>
                    <w:left w:val="single" w:sz="2" w:space="0" w:color="auto"/>
                    <w:bottom w:val="single" w:sz="2" w:space="0" w:color="auto"/>
                    <w:right w:val="single" w:sz="2" w:space="0" w:color="auto"/>
                  </w:tcBorders>
                  <w:hideMark/>
                </w:tcPr>
                <w:p w14:paraId="205E2F84"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noProof/>
                      <w:lang w:val="uk-UA" w:eastAsia="uk-UA"/>
                    </w:rPr>
                    <w:drawing>
                      <wp:inline distT="0" distB="0" distL="0" distR="0" wp14:anchorId="16FAFDE6" wp14:editId="35EB1395">
                        <wp:extent cx="397510" cy="174625"/>
                        <wp:effectExtent l="0" t="0" r="2540" b="0"/>
                        <wp:docPr id="8" name="Рисунок 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7510" cy="174625"/>
                                </a:xfrm>
                                <a:prstGeom prst="rect">
                                  <a:avLst/>
                                </a:prstGeom>
                                <a:noFill/>
                                <a:ln>
                                  <a:noFill/>
                                </a:ln>
                              </pic:spPr>
                            </pic:pic>
                          </a:graphicData>
                        </a:graphic>
                      </wp:inline>
                    </w:drawing>
                  </w:r>
                </w:p>
              </w:tc>
              <w:tc>
                <w:tcPr>
                  <w:tcW w:w="165" w:type="dxa"/>
                  <w:tcBorders>
                    <w:top w:val="single" w:sz="2" w:space="0" w:color="auto"/>
                    <w:left w:val="single" w:sz="2" w:space="0" w:color="auto"/>
                    <w:bottom w:val="single" w:sz="2" w:space="0" w:color="auto"/>
                    <w:right w:val="single" w:sz="2" w:space="0" w:color="auto"/>
                  </w:tcBorders>
                  <w:hideMark/>
                </w:tcPr>
                <w:p w14:paraId="5851A61B"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892" w:type="dxa"/>
                  <w:gridSpan w:val="3"/>
                  <w:tcBorders>
                    <w:top w:val="single" w:sz="2" w:space="0" w:color="auto"/>
                    <w:left w:val="single" w:sz="2" w:space="0" w:color="auto"/>
                    <w:bottom w:val="single" w:sz="2" w:space="0" w:color="auto"/>
                    <w:right w:val="single" w:sz="2" w:space="0" w:color="auto"/>
                  </w:tcBorders>
                  <w:hideMark/>
                </w:tcPr>
                <w:p w14:paraId="4F5E3AC4"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кількість повних кварталів від дати проведення незалежної оцінки активів до дати переходу до стимулюючого регулювання;</w:t>
                  </w:r>
                </w:p>
              </w:tc>
            </w:tr>
            <w:tr w:rsidR="001C7762" w:rsidRPr="001C7762" w14:paraId="3FEE4221" w14:textId="77777777" w:rsidTr="00EE264F">
              <w:tblPrEx>
                <w:jc w:val="left"/>
              </w:tblPrEx>
              <w:tc>
                <w:tcPr>
                  <w:tcW w:w="420" w:type="dxa"/>
                  <w:tcBorders>
                    <w:top w:val="single" w:sz="2" w:space="0" w:color="auto"/>
                    <w:left w:val="single" w:sz="2" w:space="0" w:color="auto"/>
                    <w:bottom w:val="single" w:sz="2" w:space="0" w:color="auto"/>
                    <w:right w:val="single" w:sz="2" w:space="0" w:color="auto"/>
                  </w:tcBorders>
                  <w:hideMark/>
                </w:tcPr>
                <w:p w14:paraId="65E7F3D2" w14:textId="77777777" w:rsidR="008511CD" w:rsidRPr="001C7762" w:rsidRDefault="008511CD" w:rsidP="000D7C1D">
                  <w:pPr>
                    <w:framePr w:hSpace="180" w:wrap="around" w:vAnchor="text" w:hAnchor="text" w:y="1"/>
                    <w:spacing w:before="150" w:after="150"/>
                    <w:suppressOverlap/>
                    <w:rPr>
                      <w:lang w:val="uk-UA" w:eastAsia="uk-UA"/>
                    </w:rPr>
                  </w:pPr>
                </w:p>
              </w:tc>
              <w:tc>
                <w:tcPr>
                  <w:tcW w:w="870" w:type="dxa"/>
                  <w:tcBorders>
                    <w:top w:val="single" w:sz="2" w:space="0" w:color="auto"/>
                    <w:left w:val="single" w:sz="2" w:space="0" w:color="auto"/>
                    <w:bottom w:val="single" w:sz="2" w:space="0" w:color="auto"/>
                    <w:right w:val="single" w:sz="2" w:space="0" w:color="auto"/>
                  </w:tcBorders>
                  <w:hideMark/>
                </w:tcPr>
                <w:p w14:paraId="0E81B11C" w14:textId="77777777" w:rsidR="008511CD" w:rsidRPr="001C7762" w:rsidRDefault="008511CD" w:rsidP="000D7C1D">
                  <w:pPr>
                    <w:framePr w:hSpace="180" w:wrap="around" w:vAnchor="text" w:hAnchor="text" w:y="1"/>
                    <w:spacing w:before="150" w:after="150"/>
                    <w:suppressOverlap/>
                    <w:jc w:val="center"/>
                    <w:rPr>
                      <w:lang w:val="uk-UA" w:eastAsia="uk-UA"/>
                    </w:rPr>
                  </w:pPr>
                  <w:proofErr w:type="spellStart"/>
                  <w:r w:rsidRPr="001C7762">
                    <w:rPr>
                      <w:lang w:val="uk-UA" w:eastAsia="uk-UA"/>
                    </w:rPr>
                    <w:t>А</w:t>
                  </w:r>
                  <w:r w:rsidRPr="001C7762">
                    <w:rPr>
                      <w:b/>
                      <w:bCs/>
                      <w:vertAlign w:val="superscript"/>
                      <w:lang w:val="uk-UA" w:eastAsia="uk-UA"/>
                    </w:rPr>
                    <w:t>нов</w:t>
                  </w:r>
                  <w:proofErr w:type="spellEnd"/>
                </w:p>
              </w:tc>
              <w:tc>
                <w:tcPr>
                  <w:tcW w:w="165" w:type="dxa"/>
                  <w:tcBorders>
                    <w:top w:val="single" w:sz="2" w:space="0" w:color="auto"/>
                    <w:left w:val="single" w:sz="2" w:space="0" w:color="auto"/>
                    <w:bottom w:val="single" w:sz="2" w:space="0" w:color="auto"/>
                    <w:right w:val="single" w:sz="2" w:space="0" w:color="auto"/>
                  </w:tcBorders>
                  <w:hideMark/>
                </w:tcPr>
                <w:p w14:paraId="20742F47"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892" w:type="dxa"/>
                  <w:gridSpan w:val="3"/>
                  <w:tcBorders>
                    <w:top w:val="single" w:sz="2" w:space="0" w:color="auto"/>
                    <w:left w:val="single" w:sz="2" w:space="0" w:color="auto"/>
                    <w:bottom w:val="single" w:sz="2" w:space="0" w:color="auto"/>
                    <w:right w:val="single" w:sz="2" w:space="0" w:color="auto"/>
                  </w:tcBorders>
                  <w:hideMark/>
                </w:tcPr>
                <w:p w14:paraId="244681CC"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амортизація на активи, що були створені за період від дати проведення незалежної оцінки активів до дати переходу до стимулюючого регулювання, розрахована відповідно до </w:t>
                  </w:r>
                  <w:hyperlink r:id="rId12" w:anchor="n144" w:history="1">
                    <w:r w:rsidRPr="001C7762">
                      <w:rPr>
                        <w:u w:val="single"/>
                        <w:lang w:val="uk-UA" w:eastAsia="uk-UA"/>
                      </w:rPr>
                      <w:t>пунктів 3.4</w:t>
                    </w:r>
                  </w:hyperlink>
                  <w:r w:rsidRPr="001C7762">
                    <w:rPr>
                      <w:lang w:val="uk-UA" w:eastAsia="uk-UA"/>
                    </w:rPr>
                    <w:t>, </w:t>
                  </w:r>
                  <w:hyperlink r:id="rId13" w:anchor="n145" w:history="1">
                    <w:r w:rsidRPr="001C7762">
                      <w:rPr>
                        <w:u w:val="single"/>
                        <w:lang w:val="uk-UA" w:eastAsia="uk-UA"/>
                      </w:rPr>
                      <w:t>3.5 розділу ІІІ</w:t>
                    </w:r>
                  </w:hyperlink>
                  <w:r w:rsidRPr="001C7762">
                    <w:rPr>
                      <w:lang w:val="uk-UA" w:eastAsia="uk-UA"/>
                    </w:rPr>
                    <w:t> цього Порядку, тис. грн.</w:t>
                  </w:r>
                </w:p>
              </w:tc>
            </w:tr>
          </w:tbl>
          <w:p w14:paraId="633AE082" w14:textId="77777777" w:rsidR="008511CD" w:rsidRPr="001C7762" w:rsidRDefault="008511CD" w:rsidP="00BC5261">
            <w:pPr>
              <w:ind w:firstLine="284"/>
              <w:jc w:val="both"/>
              <w:rPr>
                <w:b/>
                <w:bCs/>
                <w:shd w:val="clear" w:color="auto" w:fill="FFFFFF"/>
              </w:rPr>
            </w:pPr>
          </w:p>
        </w:tc>
        <w:tc>
          <w:tcPr>
            <w:tcW w:w="7654" w:type="dxa"/>
          </w:tcPr>
          <w:p w14:paraId="14674B55" w14:textId="77777777" w:rsidR="008511CD" w:rsidRPr="001C7762" w:rsidRDefault="008511CD" w:rsidP="00BC5261">
            <w:pPr>
              <w:ind w:firstLine="284"/>
              <w:jc w:val="both"/>
              <w:rPr>
                <w:lang w:val="uk-UA"/>
              </w:rPr>
            </w:pPr>
            <w:r w:rsidRPr="001C7762">
              <w:rPr>
                <w:lang w:val="uk-UA"/>
              </w:rPr>
              <w:lastRenderedPageBreak/>
              <w:t>II. Визначення регуляторної бази активів, яка створена на дату переходу до стимулюючого регулювання</w:t>
            </w:r>
          </w:p>
          <w:p w14:paraId="59C1C515" w14:textId="77777777" w:rsidR="008511CD" w:rsidRPr="001C7762" w:rsidRDefault="008511CD" w:rsidP="00BC5261">
            <w:pPr>
              <w:ind w:firstLine="284"/>
              <w:jc w:val="both"/>
              <w:rPr>
                <w:lang w:val="uk-UA"/>
              </w:rPr>
            </w:pPr>
            <w:r w:rsidRPr="001C7762">
              <w:rPr>
                <w:lang w:val="uk-UA"/>
              </w:rPr>
              <w:t>………………………………..</w:t>
            </w:r>
          </w:p>
          <w:p w14:paraId="165B095B" w14:textId="383A1D86" w:rsidR="008511CD" w:rsidRPr="001C7762" w:rsidRDefault="008511CD" w:rsidP="00BC5261">
            <w:pPr>
              <w:jc w:val="both"/>
              <w:rPr>
                <w:lang w:val="uk-UA" w:eastAsia="uk-UA"/>
              </w:rPr>
            </w:pPr>
            <w:r w:rsidRPr="001C7762">
              <w:rPr>
                <w:lang w:val="uk-UA" w:eastAsia="uk-UA"/>
              </w:rPr>
              <w:t xml:space="preserve">2.2. У разі якщо перехід до стимулюючого регулювання відбувся пізніше, ніж через квартал після проведення незалежної оцінки активів ліцензіата, регуляторна база активів, яка створена на дату переходу до стимулюючого регулювання, </w:t>
            </w:r>
            <w:r w:rsidRPr="001C7762">
              <w:rPr>
                <w:b/>
                <w:lang w:val="uk-UA" w:eastAsia="uk-UA"/>
              </w:rPr>
              <w:t>на перший рік першого регуляторного періоду визначається</w:t>
            </w:r>
            <w:r w:rsidRPr="001C7762">
              <w:rPr>
                <w:lang w:val="uk-UA" w:eastAsia="uk-UA"/>
              </w:rPr>
              <w:t xml:space="preserve"> з урахуванням вартості активів, створених згідно із затвердженою, погодженою та схваленою відповідно </w:t>
            </w:r>
            <w:r w:rsidRPr="000D7C1D">
              <w:rPr>
                <w:lang w:val="uk-UA" w:eastAsia="uk-UA"/>
              </w:rPr>
              <w:t>до Порядку розроблення та подання на затвердження планів розвитку систем розподілу та інвестиційних програм операторів систем розподілу</w:t>
            </w:r>
            <w:r w:rsidRPr="001C7762">
              <w:rPr>
                <w:lang w:val="uk-UA" w:eastAsia="uk-UA"/>
              </w:rPr>
              <w:t>, затвердженого постановою НКРЕКП від 04 вересня 2018 року № 955, (далі - Порядок формування інвестиційних програм), інвестиційною програмою та прийнятих на баланс, вибуття активів та амортизації за формулою</w:t>
            </w:r>
          </w:p>
          <w:p w14:paraId="3D82B3D0" w14:textId="77777777" w:rsidR="008511CD" w:rsidRPr="001C7762" w:rsidRDefault="008511CD" w:rsidP="00BC5261">
            <w:pPr>
              <w:rPr>
                <w:lang w:val="uk-UA" w:eastAsia="uk-UA"/>
              </w:rPr>
            </w:pPr>
          </w:p>
          <w:tbl>
            <w:tblPr>
              <w:tblW w:w="5000" w:type="pct"/>
              <w:jc w:val="center"/>
              <w:tblLayout w:type="fixed"/>
              <w:tblCellMar>
                <w:top w:w="15" w:type="dxa"/>
                <w:left w:w="15" w:type="dxa"/>
                <w:bottom w:w="15" w:type="dxa"/>
                <w:right w:w="15" w:type="dxa"/>
              </w:tblCellMar>
              <w:tblLook w:val="04A0" w:firstRow="1" w:lastRow="0" w:firstColumn="1" w:lastColumn="0" w:noHBand="0" w:noVBand="1"/>
            </w:tblPr>
            <w:tblGrid>
              <w:gridCol w:w="424"/>
              <w:gridCol w:w="880"/>
              <w:gridCol w:w="167"/>
              <w:gridCol w:w="3807"/>
              <w:gridCol w:w="1724"/>
              <w:gridCol w:w="430"/>
            </w:tblGrid>
            <w:tr w:rsidR="001C7762" w:rsidRPr="001C7762" w14:paraId="55B9FC19" w14:textId="77777777" w:rsidTr="00EE264F">
              <w:trPr>
                <w:jc w:val="center"/>
              </w:trPr>
              <w:tc>
                <w:tcPr>
                  <w:tcW w:w="5218" w:type="dxa"/>
                  <w:gridSpan w:val="4"/>
                  <w:tcBorders>
                    <w:top w:val="single" w:sz="2" w:space="0" w:color="auto"/>
                    <w:left w:val="single" w:sz="2" w:space="0" w:color="auto"/>
                    <w:bottom w:val="single" w:sz="2" w:space="0" w:color="auto"/>
                    <w:right w:val="single" w:sz="2" w:space="0" w:color="auto"/>
                  </w:tcBorders>
                  <w:hideMark/>
                </w:tcPr>
                <w:p w14:paraId="5A38FE8A" w14:textId="77777777" w:rsidR="008511CD" w:rsidRPr="001C7762" w:rsidRDefault="000D7C1D" w:rsidP="000D7C1D">
                  <w:pPr>
                    <w:framePr w:hSpace="180" w:wrap="around" w:vAnchor="text" w:hAnchor="text" w:y="1"/>
                    <w:spacing w:after="150"/>
                    <w:ind w:firstLine="450"/>
                    <w:suppressOverlap/>
                    <w:jc w:val="both"/>
                    <w:rPr>
                      <w:lang w:val="uk-UA" w:eastAsia="uk-UA"/>
                    </w:rPr>
                  </w:pPr>
                  <m:oMathPara>
                    <m:oMath>
                      <m:sSup>
                        <m:sSupPr>
                          <m:ctrlPr>
                            <w:rPr>
                              <w:rFonts w:ascii="Cambria Math" w:hAnsi="Cambria Math"/>
                              <w:i/>
                              <w:lang w:val="uk-UA" w:eastAsia="uk-UA"/>
                            </w:rPr>
                          </m:ctrlPr>
                        </m:sSupPr>
                        <m:e>
                          <m:r>
                            <w:rPr>
                              <w:rFonts w:ascii="Cambria Math" w:hAnsi="Cambria Math"/>
                              <w:lang w:val="uk-UA" w:eastAsia="uk-UA"/>
                            </w:rPr>
                            <m:t>РБА</m:t>
                          </m:r>
                        </m:e>
                        <m:sup>
                          <m:r>
                            <w:rPr>
                              <w:rFonts w:ascii="Cambria Math" w:hAnsi="Cambria Math"/>
                              <w:lang w:val="uk-UA" w:eastAsia="uk-UA"/>
                            </w:rPr>
                            <m:t>0</m:t>
                          </m:r>
                        </m:sup>
                      </m:sSup>
                      <m:r>
                        <w:rPr>
                          <w:rFonts w:ascii="Cambria Math" w:hAnsi="Cambria Math"/>
                          <w:lang w:val="uk-UA" w:eastAsia="uk-UA"/>
                        </w:rPr>
                        <m:t>=РБА+</m:t>
                      </m:r>
                      <m:sSub>
                        <m:sSubPr>
                          <m:ctrlPr>
                            <w:rPr>
                              <w:rFonts w:ascii="Cambria Math" w:hAnsi="Cambria Math"/>
                              <w:i/>
                              <w:lang w:val="uk-UA" w:eastAsia="uk-UA"/>
                            </w:rPr>
                          </m:ctrlPr>
                        </m:sSubPr>
                        <m:e>
                          <m:r>
                            <w:rPr>
                              <w:rFonts w:ascii="Cambria Math" w:hAnsi="Cambria Math"/>
                              <w:lang w:val="uk-UA" w:eastAsia="uk-UA"/>
                            </w:rPr>
                            <m:t>І</m:t>
                          </m:r>
                        </m:e>
                        <m:sub>
                          <m:r>
                            <w:rPr>
                              <w:rFonts w:ascii="Cambria Math" w:hAnsi="Cambria Math"/>
                              <w:lang w:val="uk-UA" w:eastAsia="uk-UA"/>
                            </w:rPr>
                            <m:t>0</m:t>
                          </m:r>
                        </m:sub>
                      </m:sSub>
                      <m:r>
                        <w:rPr>
                          <w:rFonts w:ascii="Cambria Math" w:hAnsi="Cambria Math"/>
                          <w:lang w:val="uk-UA" w:eastAsia="uk-UA"/>
                        </w:rPr>
                        <m:t>-</m:t>
                      </m:r>
                      <m:sSub>
                        <m:sSubPr>
                          <m:ctrlPr>
                            <w:rPr>
                              <w:rFonts w:ascii="Cambria Math" w:hAnsi="Cambria Math"/>
                              <w:i/>
                              <w:lang w:val="uk-UA" w:eastAsia="uk-UA"/>
                            </w:rPr>
                          </m:ctrlPr>
                        </m:sSubPr>
                        <m:e>
                          <m:r>
                            <w:rPr>
                              <w:rFonts w:ascii="Cambria Math" w:hAnsi="Cambria Math"/>
                              <w:lang w:val="uk-UA" w:eastAsia="uk-UA"/>
                            </w:rPr>
                            <m:t>ВА</m:t>
                          </m:r>
                        </m:e>
                        <m:sub>
                          <m:r>
                            <w:rPr>
                              <w:rFonts w:ascii="Cambria Math" w:hAnsi="Cambria Math"/>
                              <w:lang w:val="uk-UA" w:eastAsia="uk-UA"/>
                            </w:rPr>
                            <m:t>0</m:t>
                          </m:r>
                        </m:sub>
                      </m:sSub>
                      <m:r>
                        <w:rPr>
                          <w:rFonts w:ascii="Cambria Math" w:hAnsi="Cambria Math"/>
                          <w:lang w:val="uk-UA" w:eastAsia="uk-UA"/>
                        </w:rPr>
                        <m:t>-РБА×</m:t>
                      </m:r>
                      <m:f>
                        <m:fPr>
                          <m:ctrlPr>
                            <w:rPr>
                              <w:rFonts w:ascii="Cambria Math" w:hAnsi="Cambria Math"/>
                              <w:i/>
                              <w:lang w:val="uk-UA" w:eastAsia="uk-UA"/>
                            </w:rPr>
                          </m:ctrlPr>
                        </m:fPr>
                        <m:num>
                          <m:r>
                            <w:rPr>
                              <w:rFonts w:ascii="Cambria Math" w:hAnsi="Cambria Math"/>
                              <w:lang w:val="uk-UA" w:eastAsia="uk-UA"/>
                            </w:rPr>
                            <m:t>КПК</m:t>
                          </m:r>
                        </m:num>
                        <m:den>
                          <m:r>
                            <w:rPr>
                              <w:rFonts w:ascii="Cambria Math" w:hAnsi="Cambria Math"/>
                              <w:lang w:val="uk-UA" w:eastAsia="uk-UA"/>
                            </w:rPr>
                            <m:t>120</m:t>
                          </m:r>
                        </m:den>
                      </m:f>
                      <m:r>
                        <w:rPr>
                          <w:rFonts w:ascii="Cambria Math" w:hAnsi="Cambria Math"/>
                          <w:lang w:val="uk-UA" w:eastAsia="uk-UA"/>
                        </w:rPr>
                        <m:t>-</m:t>
                      </m:r>
                      <m:sSup>
                        <m:sSupPr>
                          <m:ctrlPr>
                            <w:rPr>
                              <w:rFonts w:ascii="Cambria Math" w:hAnsi="Cambria Math"/>
                              <w:i/>
                              <w:lang w:val="uk-UA" w:eastAsia="uk-UA"/>
                            </w:rPr>
                          </m:ctrlPr>
                        </m:sSupPr>
                        <m:e>
                          <m:r>
                            <w:rPr>
                              <w:rFonts w:ascii="Cambria Math" w:hAnsi="Cambria Math"/>
                              <w:lang w:val="uk-UA" w:eastAsia="uk-UA"/>
                            </w:rPr>
                            <m:t>А</m:t>
                          </m:r>
                        </m:e>
                        <m:sup>
                          <m:r>
                            <w:rPr>
                              <w:rFonts w:ascii="Cambria Math" w:hAnsi="Cambria Math"/>
                              <w:lang w:val="uk-UA" w:eastAsia="uk-UA"/>
                            </w:rPr>
                            <m:t>нов</m:t>
                          </m:r>
                        </m:sup>
                      </m:sSup>
                    </m:oMath>
                  </m:oMathPara>
                </w:p>
              </w:tc>
              <w:tc>
                <w:tcPr>
                  <w:tcW w:w="1704" w:type="dxa"/>
                  <w:tcBorders>
                    <w:top w:val="single" w:sz="2" w:space="0" w:color="auto"/>
                    <w:left w:val="single" w:sz="2" w:space="0" w:color="auto"/>
                    <w:bottom w:val="single" w:sz="2" w:space="0" w:color="auto"/>
                    <w:right w:val="single" w:sz="2" w:space="0" w:color="auto"/>
                  </w:tcBorders>
                  <w:hideMark/>
                </w:tcPr>
                <w:p w14:paraId="5789D504"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 тис. грн,</w:t>
                  </w:r>
                </w:p>
              </w:tc>
              <w:tc>
                <w:tcPr>
                  <w:tcW w:w="425" w:type="dxa"/>
                  <w:tcBorders>
                    <w:top w:val="single" w:sz="2" w:space="0" w:color="auto"/>
                    <w:left w:val="single" w:sz="2" w:space="0" w:color="auto"/>
                    <w:bottom w:val="single" w:sz="2" w:space="0" w:color="auto"/>
                    <w:right w:val="single" w:sz="2" w:space="0" w:color="auto"/>
                  </w:tcBorders>
                  <w:hideMark/>
                </w:tcPr>
                <w:p w14:paraId="5DBDCEF9" w14:textId="77777777" w:rsidR="008511CD" w:rsidRPr="001C7762" w:rsidRDefault="008511CD" w:rsidP="000D7C1D">
                  <w:pPr>
                    <w:framePr w:hSpace="180" w:wrap="around" w:vAnchor="text" w:hAnchor="text" w:y="1"/>
                    <w:spacing w:after="100" w:afterAutospacing="1"/>
                    <w:suppressOverlap/>
                    <w:rPr>
                      <w:lang w:val="uk-UA" w:eastAsia="uk-UA"/>
                    </w:rPr>
                  </w:pPr>
                  <w:r w:rsidRPr="001C7762">
                    <w:rPr>
                      <w:lang w:val="uk-UA" w:eastAsia="uk-UA"/>
                    </w:rPr>
                    <w:t>(1)</w:t>
                  </w:r>
                </w:p>
              </w:tc>
            </w:tr>
            <w:tr w:rsidR="001C7762" w:rsidRPr="001C7762" w14:paraId="7C0F689A" w14:textId="77777777" w:rsidTr="00EE264F">
              <w:tblPrEx>
                <w:jc w:val="left"/>
              </w:tblPrEx>
              <w:tc>
                <w:tcPr>
                  <w:tcW w:w="420" w:type="dxa"/>
                  <w:tcBorders>
                    <w:top w:val="single" w:sz="2" w:space="0" w:color="auto"/>
                    <w:left w:val="single" w:sz="2" w:space="0" w:color="auto"/>
                    <w:bottom w:val="single" w:sz="2" w:space="0" w:color="auto"/>
                    <w:right w:val="single" w:sz="2" w:space="0" w:color="auto"/>
                  </w:tcBorders>
                  <w:hideMark/>
                </w:tcPr>
                <w:p w14:paraId="5B093C86"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lastRenderedPageBreak/>
                    <w:t>де</w:t>
                  </w:r>
                </w:p>
              </w:tc>
              <w:tc>
                <w:tcPr>
                  <w:tcW w:w="870" w:type="dxa"/>
                  <w:tcBorders>
                    <w:top w:val="single" w:sz="2" w:space="0" w:color="auto"/>
                    <w:left w:val="single" w:sz="2" w:space="0" w:color="auto"/>
                    <w:bottom w:val="single" w:sz="2" w:space="0" w:color="auto"/>
                    <w:right w:val="single" w:sz="2" w:space="0" w:color="auto"/>
                  </w:tcBorders>
                  <w:hideMark/>
                </w:tcPr>
                <w:p w14:paraId="0C63BAAC"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РБА</w:t>
                  </w:r>
                  <w:r w:rsidRPr="001C7762">
                    <w:rPr>
                      <w:b/>
                      <w:bCs/>
                      <w:vertAlign w:val="superscript"/>
                      <w:lang w:val="uk-UA" w:eastAsia="uk-UA"/>
                    </w:rPr>
                    <w:t>-0</w:t>
                  </w:r>
                </w:p>
              </w:tc>
              <w:tc>
                <w:tcPr>
                  <w:tcW w:w="165" w:type="dxa"/>
                  <w:tcBorders>
                    <w:top w:val="single" w:sz="2" w:space="0" w:color="auto"/>
                    <w:left w:val="single" w:sz="2" w:space="0" w:color="auto"/>
                    <w:bottom w:val="single" w:sz="2" w:space="0" w:color="auto"/>
                    <w:right w:val="single" w:sz="2" w:space="0" w:color="auto"/>
                  </w:tcBorders>
                  <w:hideMark/>
                </w:tcPr>
                <w:p w14:paraId="68FD11BA"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892" w:type="dxa"/>
                  <w:gridSpan w:val="3"/>
                  <w:tcBorders>
                    <w:top w:val="single" w:sz="2" w:space="0" w:color="auto"/>
                    <w:left w:val="single" w:sz="2" w:space="0" w:color="auto"/>
                    <w:bottom w:val="single" w:sz="2" w:space="0" w:color="auto"/>
                    <w:right w:val="single" w:sz="2" w:space="0" w:color="auto"/>
                  </w:tcBorders>
                  <w:hideMark/>
                </w:tcPr>
                <w:p w14:paraId="4F9E0415" w14:textId="77777777" w:rsidR="008511CD" w:rsidRPr="001C7762" w:rsidRDefault="008511CD" w:rsidP="000D7C1D">
                  <w:pPr>
                    <w:framePr w:hSpace="180" w:wrap="around" w:vAnchor="text" w:hAnchor="text" w:y="1"/>
                    <w:spacing w:before="150" w:after="150"/>
                    <w:suppressOverlap/>
                    <w:jc w:val="both"/>
                    <w:rPr>
                      <w:lang w:val="uk-UA" w:eastAsia="uk-UA"/>
                    </w:rPr>
                  </w:pPr>
                  <w:r w:rsidRPr="001C7762">
                    <w:rPr>
                      <w:lang w:val="uk-UA" w:eastAsia="uk-UA"/>
                    </w:rPr>
                    <w:t>регуляторна база активів, яка створена на дату переходу до стимулюючого регулювання, тис. грн;</w:t>
                  </w:r>
                </w:p>
              </w:tc>
            </w:tr>
            <w:tr w:rsidR="001C7762" w:rsidRPr="000D7C1D" w14:paraId="73ACCFC1" w14:textId="77777777" w:rsidTr="00EE264F">
              <w:tblPrEx>
                <w:jc w:val="left"/>
              </w:tblPrEx>
              <w:tc>
                <w:tcPr>
                  <w:tcW w:w="420" w:type="dxa"/>
                  <w:tcBorders>
                    <w:top w:val="single" w:sz="2" w:space="0" w:color="auto"/>
                    <w:left w:val="single" w:sz="2" w:space="0" w:color="auto"/>
                    <w:bottom w:val="single" w:sz="2" w:space="0" w:color="auto"/>
                    <w:right w:val="single" w:sz="2" w:space="0" w:color="auto"/>
                  </w:tcBorders>
                  <w:hideMark/>
                </w:tcPr>
                <w:p w14:paraId="762CC704" w14:textId="77777777" w:rsidR="008511CD" w:rsidRPr="001C7762" w:rsidRDefault="008511CD" w:rsidP="000D7C1D">
                  <w:pPr>
                    <w:framePr w:hSpace="180" w:wrap="around" w:vAnchor="text" w:hAnchor="text" w:y="1"/>
                    <w:spacing w:before="150" w:after="150"/>
                    <w:suppressOverlap/>
                    <w:rPr>
                      <w:lang w:val="uk-UA" w:eastAsia="uk-UA"/>
                    </w:rPr>
                  </w:pPr>
                </w:p>
              </w:tc>
              <w:tc>
                <w:tcPr>
                  <w:tcW w:w="870" w:type="dxa"/>
                  <w:tcBorders>
                    <w:top w:val="single" w:sz="2" w:space="0" w:color="auto"/>
                    <w:left w:val="single" w:sz="2" w:space="0" w:color="auto"/>
                    <w:bottom w:val="single" w:sz="2" w:space="0" w:color="auto"/>
                    <w:right w:val="single" w:sz="2" w:space="0" w:color="auto"/>
                  </w:tcBorders>
                  <w:hideMark/>
                </w:tcPr>
                <w:p w14:paraId="2EDBD406"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РБА</w:t>
                  </w:r>
                </w:p>
              </w:tc>
              <w:tc>
                <w:tcPr>
                  <w:tcW w:w="165" w:type="dxa"/>
                  <w:tcBorders>
                    <w:top w:val="single" w:sz="2" w:space="0" w:color="auto"/>
                    <w:left w:val="single" w:sz="2" w:space="0" w:color="auto"/>
                    <w:bottom w:val="single" w:sz="2" w:space="0" w:color="auto"/>
                    <w:right w:val="single" w:sz="2" w:space="0" w:color="auto"/>
                  </w:tcBorders>
                  <w:hideMark/>
                </w:tcPr>
                <w:p w14:paraId="4261AF7D"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892" w:type="dxa"/>
                  <w:gridSpan w:val="3"/>
                  <w:tcBorders>
                    <w:top w:val="single" w:sz="2" w:space="0" w:color="auto"/>
                    <w:left w:val="single" w:sz="2" w:space="0" w:color="auto"/>
                    <w:bottom w:val="single" w:sz="2" w:space="0" w:color="auto"/>
                    <w:right w:val="single" w:sz="2" w:space="0" w:color="auto"/>
                  </w:tcBorders>
                  <w:hideMark/>
                </w:tcPr>
                <w:p w14:paraId="389628ED" w14:textId="77777777" w:rsidR="008511CD" w:rsidRPr="001C7762" w:rsidRDefault="008511CD" w:rsidP="000D7C1D">
                  <w:pPr>
                    <w:framePr w:hSpace="180" w:wrap="around" w:vAnchor="text" w:hAnchor="text" w:y="1"/>
                    <w:spacing w:before="150" w:after="150"/>
                    <w:suppressOverlap/>
                    <w:jc w:val="both"/>
                    <w:rPr>
                      <w:lang w:val="uk-UA" w:eastAsia="uk-UA"/>
                    </w:rPr>
                  </w:pPr>
                  <w:r w:rsidRPr="001C7762">
                    <w:rPr>
                      <w:lang w:val="uk-UA" w:eastAsia="uk-UA"/>
                    </w:rPr>
                    <w:t>регуляторна база активів, визначена на підставі переоціненої вартості активів за результатами незалежної оцінки, проведеної згідно з </w:t>
                  </w:r>
                  <w:hyperlink r:id="rId14" w:anchor="n14" w:tgtFrame="_blank" w:history="1">
                    <w:r w:rsidRPr="001C7762">
                      <w:rPr>
                        <w:u w:val="single"/>
                        <w:lang w:val="uk-UA" w:eastAsia="uk-UA"/>
                      </w:rPr>
                      <w:t>Методикою оцінки</w:t>
                    </w:r>
                  </w:hyperlink>
                  <w:r w:rsidRPr="001C7762">
                    <w:rPr>
                      <w:lang w:val="uk-UA" w:eastAsia="uk-UA"/>
                    </w:rPr>
                    <w:t>, з урахуванням пункту 2.3 цього розділу, тис. грн;</w:t>
                  </w:r>
                </w:p>
              </w:tc>
            </w:tr>
            <w:tr w:rsidR="001C7762" w:rsidRPr="001C7762" w14:paraId="76C4584A" w14:textId="77777777" w:rsidTr="00EE264F">
              <w:tblPrEx>
                <w:jc w:val="left"/>
              </w:tblPrEx>
              <w:tc>
                <w:tcPr>
                  <w:tcW w:w="420" w:type="dxa"/>
                  <w:tcBorders>
                    <w:top w:val="single" w:sz="2" w:space="0" w:color="auto"/>
                    <w:left w:val="single" w:sz="2" w:space="0" w:color="auto"/>
                    <w:bottom w:val="single" w:sz="2" w:space="0" w:color="auto"/>
                    <w:right w:val="single" w:sz="2" w:space="0" w:color="auto"/>
                  </w:tcBorders>
                  <w:hideMark/>
                </w:tcPr>
                <w:p w14:paraId="47AB2024" w14:textId="77777777" w:rsidR="008511CD" w:rsidRPr="001C7762" w:rsidRDefault="008511CD" w:rsidP="000D7C1D">
                  <w:pPr>
                    <w:framePr w:hSpace="180" w:wrap="around" w:vAnchor="text" w:hAnchor="text" w:y="1"/>
                    <w:spacing w:before="150" w:after="150"/>
                    <w:suppressOverlap/>
                    <w:rPr>
                      <w:lang w:val="uk-UA" w:eastAsia="uk-UA"/>
                    </w:rPr>
                  </w:pPr>
                </w:p>
              </w:tc>
              <w:tc>
                <w:tcPr>
                  <w:tcW w:w="870" w:type="dxa"/>
                  <w:tcBorders>
                    <w:top w:val="single" w:sz="2" w:space="0" w:color="auto"/>
                    <w:left w:val="single" w:sz="2" w:space="0" w:color="auto"/>
                    <w:bottom w:val="single" w:sz="2" w:space="0" w:color="auto"/>
                    <w:right w:val="single" w:sz="2" w:space="0" w:color="auto"/>
                  </w:tcBorders>
                  <w:hideMark/>
                </w:tcPr>
                <w:p w14:paraId="0AFCD6D4" w14:textId="77777777" w:rsidR="008511CD" w:rsidRPr="001C7762" w:rsidRDefault="008511CD" w:rsidP="000D7C1D">
                  <w:pPr>
                    <w:framePr w:hSpace="180" w:wrap="around" w:vAnchor="text" w:hAnchor="text" w:y="1"/>
                    <w:spacing w:before="150" w:after="150"/>
                    <w:suppressOverlap/>
                    <w:jc w:val="center"/>
                    <w:rPr>
                      <w:vertAlign w:val="subscript"/>
                      <w:lang w:val="uk-UA" w:eastAsia="uk-UA"/>
                    </w:rPr>
                  </w:pPr>
                  <w:r w:rsidRPr="001C7762">
                    <w:rPr>
                      <w:lang w:val="uk-UA" w:eastAsia="uk-UA"/>
                    </w:rPr>
                    <w:t>І</w:t>
                  </w:r>
                  <w:r w:rsidRPr="000D7C1D">
                    <w:rPr>
                      <w:b/>
                      <w:vertAlign w:val="subscript"/>
                      <w:lang w:val="uk-UA" w:eastAsia="uk-UA"/>
                    </w:rPr>
                    <w:t>0</w:t>
                  </w:r>
                </w:p>
              </w:tc>
              <w:tc>
                <w:tcPr>
                  <w:tcW w:w="165" w:type="dxa"/>
                  <w:tcBorders>
                    <w:top w:val="single" w:sz="2" w:space="0" w:color="auto"/>
                    <w:left w:val="single" w:sz="2" w:space="0" w:color="auto"/>
                    <w:bottom w:val="single" w:sz="2" w:space="0" w:color="auto"/>
                    <w:right w:val="single" w:sz="2" w:space="0" w:color="auto"/>
                  </w:tcBorders>
                  <w:hideMark/>
                </w:tcPr>
                <w:p w14:paraId="20CA3D03"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892" w:type="dxa"/>
                  <w:gridSpan w:val="3"/>
                  <w:tcBorders>
                    <w:top w:val="single" w:sz="2" w:space="0" w:color="auto"/>
                    <w:left w:val="single" w:sz="2" w:space="0" w:color="auto"/>
                    <w:bottom w:val="single" w:sz="2" w:space="0" w:color="auto"/>
                    <w:right w:val="single" w:sz="2" w:space="0" w:color="auto"/>
                  </w:tcBorders>
                  <w:hideMark/>
                </w:tcPr>
                <w:p w14:paraId="09936633" w14:textId="3555FFA6" w:rsidR="008511CD" w:rsidRPr="001C7762" w:rsidRDefault="008511CD" w:rsidP="000D7C1D">
                  <w:pPr>
                    <w:framePr w:hSpace="180" w:wrap="around" w:vAnchor="text" w:hAnchor="text" w:y="1"/>
                    <w:spacing w:before="150" w:after="150"/>
                    <w:suppressOverlap/>
                    <w:jc w:val="both"/>
                    <w:rPr>
                      <w:lang w:val="uk-UA" w:eastAsia="uk-UA"/>
                    </w:rPr>
                  </w:pPr>
                  <w:r w:rsidRPr="001C7762">
                    <w:rPr>
                      <w:lang w:val="uk-UA" w:eastAsia="uk-UA"/>
                    </w:rPr>
                    <w:t xml:space="preserve">балансова первісна вартість активів, створених за період від дати проведення незалежної оцінки активів до дати переходу до стимулюючого регулювання відповідно до інвестиційної програми, затвердженої, погодженої та схваленої відповідно </w:t>
                  </w:r>
                  <w:r w:rsidRPr="000D7C1D">
                    <w:rPr>
                      <w:lang w:val="uk-UA" w:eastAsia="uk-UA"/>
                    </w:rPr>
                    <w:t xml:space="preserve">до Порядку формування інвестиційних програм, </w:t>
                  </w:r>
                  <w:r w:rsidRPr="001C7762">
                    <w:rPr>
                      <w:lang w:val="uk-UA" w:eastAsia="uk-UA"/>
                    </w:rPr>
                    <w:t xml:space="preserve">а також за рахунок надання послуг з приєднання електроустановок замовників поза заходами інвестиційної програми, та активів, безоплатно отриманих ліцензіатами, </w:t>
                  </w:r>
                  <w:proofErr w:type="spellStart"/>
                  <w:r w:rsidRPr="001C7762">
                    <w:rPr>
                      <w:lang w:val="uk-UA" w:eastAsia="uk-UA"/>
                    </w:rPr>
                    <w:t>тис.грн</w:t>
                  </w:r>
                  <w:proofErr w:type="spellEnd"/>
                  <w:r w:rsidRPr="001C7762">
                    <w:rPr>
                      <w:lang w:val="uk-UA" w:eastAsia="uk-UA"/>
                    </w:rPr>
                    <w:t>;</w:t>
                  </w:r>
                </w:p>
              </w:tc>
            </w:tr>
            <w:tr w:rsidR="001C7762" w:rsidRPr="001C7762" w14:paraId="63F79C41" w14:textId="77777777" w:rsidTr="00EE264F">
              <w:tblPrEx>
                <w:jc w:val="left"/>
              </w:tblPrEx>
              <w:tc>
                <w:tcPr>
                  <w:tcW w:w="420" w:type="dxa"/>
                  <w:tcBorders>
                    <w:top w:val="single" w:sz="2" w:space="0" w:color="auto"/>
                    <w:left w:val="single" w:sz="2" w:space="0" w:color="auto"/>
                    <w:bottom w:val="single" w:sz="2" w:space="0" w:color="auto"/>
                    <w:right w:val="single" w:sz="2" w:space="0" w:color="auto"/>
                  </w:tcBorders>
                  <w:hideMark/>
                </w:tcPr>
                <w:p w14:paraId="657BFDB3" w14:textId="77777777" w:rsidR="008511CD" w:rsidRPr="001C7762" w:rsidRDefault="008511CD" w:rsidP="000D7C1D">
                  <w:pPr>
                    <w:framePr w:hSpace="180" w:wrap="around" w:vAnchor="text" w:hAnchor="text" w:y="1"/>
                    <w:spacing w:before="150" w:after="150"/>
                    <w:suppressOverlap/>
                    <w:rPr>
                      <w:lang w:val="uk-UA" w:eastAsia="uk-UA"/>
                    </w:rPr>
                  </w:pPr>
                </w:p>
              </w:tc>
              <w:tc>
                <w:tcPr>
                  <w:tcW w:w="870" w:type="dxa"/>
                  <w:tcBorders>
                    <w:top w:val="single" w:sz="2" w:space="0" w:color="auto"/>
                    <w:left w:val="single" w:sz="2" w:space="0" w:color="auto"/>
                    <w:bottom w:val="single" w:sz="2" w:space="0" w:color="auto"/>
                    <w:right w:val="single" w:sz="2" w:space="0" w:color="auto"/>
                  </w:tcBorders>
                  <w:hideMark/>
                </w:tcPr>
                <w:p w14:paraId="60C0AEBE" w14:textId="77777777" w:rsidR="008511CD" w:rsidRPr="001C7762" w:rsidRDefault="008511CD" w:rsidP="000D7C1D">
                  <w:pPr>
                    <w:framePr w:hSpace="180" w:wrap="around" w:vAnchor="text" w:hAnchor="text" w:y="1"/>
                    <w:spacing w:before="150" w:after="150"/>
                    <w:suppressOverlap/>
                    <w:jc w:val="center"/>
                    <w:rPr>
                      <w:vertAlign w:val="subscript"/>
                      <w:lang w:val="uk-UA" w:eastAsia="uk-UA"/>
                    </w:rPr>
                  </w:pPr>
                  <w:r w:rsidRPr="001C7762">
                    <w:rPr>
                      <w:lang w:val="uk-UA" w:eastAsia="uk-UA"/>
                    </w:rPr>
                    <w:t>ВА</w:t>
                  </w:r>
                  <w:r w:rsidRPr="000D7C1D">
                    <w:rPr>
                      <w:b/>
                      <w:vertAlign w:val="subscript"/>
                      <w:lang w:val="uk-UA" w:eastAsia="uk-UA"/>
                    </w:rPr>
                    <w:t>0</w:t>
                  </w:r>
                </w:p>
              </w:tc>
              <w:tc>
                <w:tcPr>
                  <w:tcW w:w="165" w:type="dxa"/>
                  <w:tcBorders>
                    <w:top w:val="single" w:sz="2" w:space="0" w:color="auto"/>
                    <w:left w:val="single" w:sz="2" w:space="0" w:color="auto"/>
                    <w:bottom w:val="single" w:sz="2" w:space="0" w:color="auto"/>
                    <w:right w:val="single" w:sz="2" w:space="0" w:color="auto"/>
                  </w:tcBorders>
                  <w:hideMark/>
                </w:tcPr>
                <w:p w14:paraId="5AFC8C62"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892" w:type="dxa"/>
                  <w:gridSpan w:val="3"/>
                  <w:tcBorders>
                    <w:top w:val="single" w:sz="2" w:space="0" w:color="auto"/>
                    <w:left w:val="single" w:sz="2" w:space="0" w:color="auto"/>
                    <w:bottom w:val="single" w:sz="2" w:space="0" w:color="auto"/>
                    <w:right w:val="single" w:sz="2" w:space="0" w:color="auto"/>
                  </w:tcBorders>
                  <w:hideMark/>
                </w:tcPr>
                <w:p w14:paraId="25A271E1" w14:textId="77777777" w:rsidR="008511CD" w:rsidRPr="001C7762" w:rsidRDefault="008511CD" w:rsidP="000D7C1D">
                  <w:pPr>
                    <w:framePr w:hSpace="180" w:wrap="around" w:vAnchor="text" w:hAnchor="text" w:y="1"/>
                    <w:spacing w:before="150" w:after="150"/>
                    <w:suppressOverlap/>
                    <w:jc w:val="both"/>
                    <w:rPr>
                      <w:lang w:val="uk-UA" w:eastAsia="uk-UA"/>
                    </w:rPr>
                  </w:pPr>
                  <w:r w:rsidRPr="001C7762">
                    <w:rPr>
                      <w:lang w:val="uk-UA" w:eastAsia="uk-UA"/>
                    </w:rPr>
                    <w:t xml:space="preserve">залишкова переоцінена вартість активів </w:t>
                  </w:r>
                  <w:r w:rsidRPr="001C7762">
                    <w:rPr>
                      <w:b/>
                      <w:lang w:val="uk-UA" w:eastAsia="uk-UA"/>
                    </w:rPr>
                    <w:t>(елементів активу), що виведені з експлуатації</w:t>
                  </w:r>
                  <w:r w:rsidRPr="001C7762">
                    <w:rPr>
                      <w:lang w:val="uk-UA" w:eastAsia="uk-UA"/>
                    </w:rPr>
                    <w:t xml:space="preserve"> за період від дати проведення незалежної оцінки активів до дати переходу до стимулюючого регулювання, тис. грн;</w:t>
                  </w:r>
                </w:p>
              </w:tc>
            </w:tr>
            <w:tr w:rsidR="001C7762" w:rsidRPr="001C7762" w14:paraId="5A4739DD" w14:textId="77777777" w:rsidTr="00EE264F">
              <w:tblPrEx>
                <w:jc w:val="left"/>
              </w:tblPrEx>
              <w:tc>
                <w:tcPr>
                  <w:tcW w:w="420" w:type="dxa"/>
                  <w:tcBorders>
                    <w:top w:val="single" w:sz="2" w:space="0" w:color="auto"/>
                    <w:left w:val="single" w:sz="2" w:space="0" w:color="auto"/>
                    <w:bottom w:val="single" w:sz="2" w:space="0" w:color="auto"/>
                    <w:right w:val="single" w:sz="2" w:space="0" w:color="auto"/>
                  </w:tcBorders>
                  <w:hideMark/>
                </w:tcPr>
                <w:p w14:paraId="2D324973" w14:textId="77777777" w:rsidR="008511CD" w:rsidRPr="001C7762" w:rsidRDefault="008511CD" w:rsidP="000D7C1D">
                  <w:pPr>
                    <w:framePr w:hSpace="180" w:wrap="around" w:vAnchor="text" w:hAnchor="text" w:y="1"/>
                    <w:spacing w:before="150" w:after="150"/>
                    <w:suppressOverlap/>
                    <w:rPr>
                      <w:lang w:val="uk-UA" w:eastAsia="uk-UA"/>
                    </w:rPr>
                  </w:pPr>
                </w:p>
              </w:tc>
              <w:tc>
                <w:tcPr>
                  <w:tcW w:w="870" w:type="dxa"/>
                  <w:tcBorders>
                    <w:top w:val="single" w:sz="2" w:space="0" w:color="auto"/>
                    <w:left w:val="single" w:sz="2" w:space="0" w:color="auto"/>
                    <w:bottom w:val="single" w:sz="2" w:space="0" w:color="auto"/>
                    <w:right w:val="single" w:sz="2" w:space="0" w:color="auto"/>
                  </w:tcBorders>
                  <w:hideMark/>
                </w:tcPr>
                <w:p w14:paraId="7D388077"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noProof/>
                      <w:lang w:val="uk-UA" w:eastAsia="uk-UA"/>
                    </w:rPr>
                    <w:drawing>
                      <wp:inline distT="0" distB="0" distL="0" distR="0" wp14:anchorId="1EA49F30" wp14:editId="2C7BC297">
                        <wp:extent cx="397510" cy="174625"/>
                        <wp:effectExtent l="0" t="0" r="2540" b="0"/>
                        <wp:docPr id="30" name="Рисунок 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7510" cy="174625"/>
                                </a:xfrm>
                                <a:prstGeom prst="rect">
                                  <a:avLst/>
                                </a:prstGeom>
                                <a:noFill/>
                                <a:ln>
                                  <a:noFill/>
                                </a:ln>
                              </pic:spPr>
                            </pic:pic>
                          </a:graphicData>
                        </a:graphic>
                      </wp:inline>
                    </w:drawing>
                  </w:r>
                </w:p>
              </w:tc>
              <w:tc>
                <w:tcPr>
                  <w:tcW w:w="165" w:type="dxa"/>
                  <w:tcBorders>
                    <w:top w:val="single" w:sz="2" w:space="0" w:color="auto"/>
                    <w:left w:val="single" w:sz="2" w:space="0" w:color="auto"/>
                    <w:bottom w:val="single" w:sz="2" w:space="0" w:color="auto"/>
                    <w:right w:val="single" w:sz="2" w:space="0" w:color="auto"/>
                  </w:tcBorders>
                  <w:hideMark/>
                </w:tcPr>
                <w:p w14:paraId="7BA53E34"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892" w:type="dxa"/>
                  <w:gridSpan w:val="3"/>
                  <w:tcBorders>
                    <w:top w:val="single" w:sz="2" w:space="0" w:color="auto"/>
                    <w:left w:val="single" w:sz="2" w:space="0" w:color="auto"/>
                    <w:bottom w:val="single" w:sz="2" w:space="0" w:color="auto"/>
                    <w:right w:val="single" w:sz="2" w:space="0" w:color="auto"/>
                  </w:tcBorders>
                  <w:hideMark/>
                </w:tcPr>
                <w:p w14:paraId="0D503D2A" w14:textId="77777777" w:rsidR="008511CD" w:rsidRPr="001C7762" w:rsidRDefault="008511CD" w:rsidP="000D7C1D">
                  <w:pPr>
                    <w:framePr w:hSpace="180" w:wrap="around" w:vAnchor="text" w:hAnchor="text" w:y="1"/>
                    <w:spacing w:before="150" w:after="150"/>
                    <w:suppressOverlap/>
                    <w:jc w:val="both"/>
                    <w:rPr>
                      <w:lang w:val="uk-UA" w:eastAsia="uk-UA"/>
                    </w:rPr>
                  </w:pPr>
                  <w:r w:rsidRPr="001C7762">
                    <w:rPr>
                      <w:lang w:val="uk-UA" w:eastAsia="uk-UA"/>
                    </w:rPr>
                    <w:t>кількість повних кварталів від дати проведення незалежної оцінки активів до дати переходу до стимулюючого регулювання;</w:t>
                  </w:r>
                </w:p>
              </w:tc>
            </w:tr>
            <w:tr w:rsidR="001C7762" w:rsidRPr="001C7762" w14:paraId="4F23774D" w14:textId="77777777" w:rsidTr="00EE264F">
              <w:tblPrEx>
                <w:jc w:val="left"/>
              </w:tblPrEx>
              <w:tc>
                <w:tcPr>
                  <w:tcW w:w="420" w:type="dxa"/>
                  <w:tcBorders>
                    <w:top w:val="single" w:sz="2" w:space="0" w:color="auto"/>
                    <w:left w:val="single" w:sz="2" w:space="0" w:color="auto"/>
                    <w:bottom w:val="single" w:sz="2" w:space="0" w:color="auto"/>
                    <w:right w:val="single" w:sz="2" w:space="0" w:color="auto"/>
                  </w:tcBorders>
                  <w:hideMark/>
                </w:tcPr>
                <w:p w14:paraId="7983C9AB" w14:textId="77777777" w:rsidR="008511CD" w:rsidRPr="001C7762" w:rsidRDefault="008511CD" w:rsidP="000D7C1D">
                  <w:pPr>
                    <w:framePr w:hSpace="180" w:wrap="around" w:vAnchor="text" w:hAnchor="text" w:y="1"/>
                    <w:spacing w:before="150" w:after="150"/>
                    <w:suppressOverlap/>
                    <w:rPr>
                      <w:lang w:val="uk-UA" w:eastAsia="uk-UA"/>
                    </w:rPr>
                  </w:pPr>
                </w:p>
              </w:tc>
              <w:tc>
                <w:tcPr>
                  <w:tcW w:w="870" w:type="dxa"/>
                  <w:tcBorders>
                    <w:top w:val="single" w:sz="2" w:space="0" w:color="auto"/>
                    <w:left w:val="single" w:sz="2" w:space="0" w:color="auto"/>
                    <w:bottom w:val="single" w:sz="2" w:space="0" w:color="auto"/>
                    <w:right w:val="single" w:sz="2" w:space="0" w:color="auto"/>
                  </w:tcBorders>
                  <w:hideMark/>
                </w:tcPr>
                <w:p w14:paraId="4FDCA506" w14:textId="77777777" w:rsidR="008511CD" w:rsidRPr="001C7762" w:rsidRDefault="008511CD" w:rsidP="000D7C1D">
                  <w:pPr>
                    <w:framePr w:hSpace="180" w:wrap="around" w:vAnchor="text" w:hAnchor="text" w:y="1"/>
                    <w:spacing w:before="150" w:after="150"/>
                    <w:suppressOverlap/>
                    <w:jc w:val="center"/>
                    <w:rPr>
                      <w:lang w:val="uk-UA" w:eastAsia="uk-UA"/>
                    </w:rPr>
                  </w:pPr>
                  <w:proofErr w:type="spellStart"/>
                  <w:r w:rsidRPr="001C7762">
                    <w:rPr>
                      <w:lang w:val="uk-UA" w:eastAsia="uk-UA"/>
                    </w:rPr>
                    <w:t>А</w:t>
                  </w:r>
                  <w:r w:rsidRPr="001C7762">
                    <w:rPr>
                      <w:b/>
                      <w:bCs/>
                      <w:vertAlign w:val="superscript"/>
                      <w:lang w:val="uk-UA" w:eastAsia="uk-UA"/>
                    </w:rPr>
                    <w:t>нов</w:t>
                  </w:r>
                  <w:proofErr w:type="spellEnd"/>
                </w:p>
              </w:tc>
              <w:tc>
                <w:tcPr>
                  <w:tcW w:w="165" w:type="dxa"/>
                  <w:tcBorders>
                    <w:top w:val="single" w:sz="2" w:space="0" w:color="auto"/>
                    <w:left w:val="single" w:sz="2" w:space="0" w:color="auto"/>
                    <w:bottom w:val="single" w:sz="2" w:space="0" w:color="auto"/>
                    <w:right w:val="single" w:sz="2" w:space="0" w:color="auto"/>
                  </w:tcBorders>
                  <w:hideMark/>
                </w:tcPr>
                <w:p w14:paraId="5EB3B36A"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892" w:type="dxa"/>
                  <w:gridSpan w:val="3"/>
                  <w:tcBorders>
                    <w:top w:val="single" w:sz="2" w:space="0" w:color="auto"/>
                    <w:left w:val="single" w:sz="2" w:space="0" w:color="auto"/>
                    <w:bottom w:val="single" w:sz="2" w:space="0" w:color="auto"/>
                    <w:right w:val="single" w:sz="2" w:space="0" w:color="auto"/>
                  </w:tcBorders>
                  <w:hideMark/>
                </w:tcPr>
                <w:p w14:paraId="2EF6DA5A" w14:textId="315058EC"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 xml:space="preserve">амортизація на активи, що були створені за період від дати проведення незалежної оцінки активів до дати переходу до стимулюючого регулювання, розрахована </w:t>
                  </w:r>
                  <w:r w:rsidRPr="001C7762">
                    <w:rPr>
                      <w:lang w:val="uk-UA" w:eastAsia="uk-UA"/>
                    </w:rPr>
                    <w:lastRenderedPageBreak/>
                    <w:t>відповідно до </w:t>
                  </w:r>
                  <w:r w:rsidRPr="000D7C1D">
                    <w:rPr>
                      <w:lang w:val="uk-UA" w:eastAsia="uk-UA"/>
                    </w:rPr>
                    <w:t>пунктів 3.4, </w:t>
                  </w:r>
                  <w:hyperlink r:id="rId15" w:anchor="n145" w:history="1">
                    <w:r w:rsidRPr="000D7C1D">
                      <w:rPr>
                        <w:lang w:val="uk-UA" w:eastAsia="uk-UA"/>
                      </w:rPr>
                      <w:t>3.5 розділу ІІІ</w:t>
                    </w:r>
                  </w:hyperlink>
                  <w:r w:rsidRPr="000D7C1D">
                    <w:rPr>
                      <w:lang w:val="uk-UA" w:eastAsia="uk-UA"/>
                    </w:rPr>
                    <w:t> цього П</w:t>
                  </w:r>
                  <w:r w:rsidRPr="001C7762">
                    <w:rPr>
                      <w:lang w:val="uk-UA" w:eastAsia="uk-UA"/>
                    </w:rPr>
                    <w:t>орядку, тис. грн.</w:t>
                  </w:r>
                </w:p>
              </w:tc>
            </w:tr>
          </w:tbl>
          <w:p w14:paraId="64C3D582" w14:textId="77777777" w:rsidR="008511CD" w:rsidRPr="001C7762" w:rsidRDefault="008511CD" w:rsidP="00BC5261">
            <w:pPr>
              <w:ind w:firstLine="284"/>
              <w:jc w:val="both"/>
              <w:rPr>
                <w:b/>
                <w:bCs/>
                <w:shd w:val="clear" w:color="auto" w:fill="FFFFFF"/>
              </w:rPr>
            </w:pPr>
          </w:p>
        </w:tc>
      </w:tr>
      <w:tr w:rsidR="001C7762" w:rsidRPr="000D7C1D" w14:paraId="000B2D9A" w14:textId="77777777" w:rsidTr="00F549E8">
        <w:tc>
          <w:tcPr>
            <w:tcW w:w="7655" w:type="dxa"/>
          </w:tcPr>
          <w:p w14:paraId="0C6FF540" w14:textId="77777777" w:rsidR="008511CD" w:rsidRPr="001C7762" w:rsidRDefault="008511CD" w:rsidP="00BC5261">
            <w:pPr>
              <w:ind w:firstLine="284"/>
              <w:jc w:val="both"/>
              <w:rPr>
                <w:lang w:val="uk-UA"/>
              </w:rPr>
            </w:pPr>
            <w:r w:rsidRPr="001C7762">
              <w:rPr>
                <w:lang w:val="uk-UA"/>
              </w:rPr>
              <w:lastRenderedPageBreak/>
              <w:t>2.5. Об'єкти незавершених капітальних інвестицій, вартість виконання робіт за якими була оплачена в межах виконання затвердженої, погодженої та схваленої відповідно до Порядку формування інвестиційних програм інвестиційної програми, у році, що передував року впровадження стимулюючого регулювання, але при цьому не були включені в цьому самому році до складу регуляторної бази активів, яка створена на дату переходу до стимулюючого регулювання, можуть бути включені до неї у році, наступному після року їх введення в експлуатацію.</w:t>
            </w:r>
          </w:p>
          <w:p w14:paraId="36E22F86" w14:textId="77777777" w:rsidR="008511CD" w:rsidRPr="001C7762" w:rsidRDefault="008511CD" w:rsidP="00BC5261">
            <w:pPr>
              <w:rPr>
                <w:lang w:val="uk-UA"/>
              </w:rPr>
            </w:pPr>
          </w:p>
        </w:tc>
        <w:tc>
          <w:tcPr>
            <w:tcW w:w="7654" w:type="dxa"/>
          </w:tcPr>
          <w:p w14:paraId="1E460A70" w14:textId="70689B41" w:rsidR="008511CD" w:rsidRPr="001C7762" w:rsidRDefault="008511CD" w:rsidP="00BC5261">
            <w:pPr>
              <w:ind w:firstLine="284"/>
              <w:jc w:val="both"/>
              <w:rPr>
                <w:lang w:val="uk-UA"/>
              </w:rPr>
            </w:pPr>
            <w:r w:rsidRPr="001C7762">
              <w:rPr>
                <w:lang w:val="uk-UA"/>
              </w:rPr>
              <w:t xml:space="preserve">2.5. Об'єкти незавершених капітальних </w:t>
            </w:r>
            <w:r w:rsidRPr="001C7762">
              <w:rPr>
                <w:b/>
                <w:lang w:val="uk-UA"/>
              </w:rPr>
              <w:t>інвестицій</w:t>
            </w:r>
            <w:r w:rsidRPr="001C7762">
              <w:rPr>
                <w:b/>
                <w:bCs/>
                <w:lang w:val="uk-UA"/>
              </w:rPr>
              <w:t xml:space="preserve"> (що враховують зокрема </w:t>
            </w:r>
            <w:proofErr w:type="spellStart"/>
            <w:r w:rsidRPr="001C7762">
              <w:rPr>
                <w:b/>
                <w:bCs/>
                <w:lang w:val="uk-UA"/>
              </w:rPr>
              <w:t>проєктно</w:t>
            </w:r>
            <w:proofErr w:type="spellEnd"/>
            <w:r w:rsidRPr="001C7762">
              <w:rPr>
                <w:b/>
                <w:bCs/>
                <w:lang w:val="uk-UA"/>
              </w:rPr>
              <w:t xml:space="preserve">-кошторисну документацію з виконання відповідних робіт та </w:t>
            </w:r>
            <w:proofErr w:type="spellStart"/>
            <w:r w:rsidRPr="001C7762">
              <w:rPr>
                <w:b/>
                <w:bCs/>
                <w:lang w:val="uk-UA"/>
              </w:rPr>
              <w:t>проєктно</w:t>
            </w:r>
            <w:proofErr w:type="spellEnd"/>
            <w:r w:rsidRPr="001C7762">
              <w:rPr>
                <w:b/>
                <w:bCs/>
                <w:lang w:val="uk-UA"/>
              </w:rPr>
              <w:t xml:space="preserve">-вишукувальні роботи), вартість </w:t>
            </w:r>
            <w:r w:rsidRPr="001C7762">
              <w:rPr>
                <w:lang w:val="uk-UA"/>
              </w:rPr>
              <w:t xml:space="preserve">виконання робіт за якими була оплачена в межах виконання затвердженої, погодженої та схваленої відповідно до  Порядку формування інвестиційних програм інвестиційної програми, </w:t>
            </w:r>
            <w:r w:rsidRPr="001C7762">
              <w:rPr>
                <w:b/>
                <w:lang w:val="uk-UA"/>
              </w:rPr>
              <w:t>у</w:t>
            </w:r>
            <w:r w:rsidRPr="001C7762">
              <w:rPr>
                <w:lang w:val="uk-UA"/>
              </w:rPr>
              <w:t xml:space="preserve"> році, що передував року впровадження стимулюючого регулювання, але при цьому не були включені в цьому самому році до складу регуляторної бази активів, яка створена на дату переходу до стимулюючого регулювання, можуть бути включені до неї (</w:t>
            </w:r>
            <w:r w:rsidRPr="001C7762">
              <w:rPr>
                <w:b/>
                <w:lang w:val="uk-UA"/>
              </w:rPr>
              <w:t>у рамках</w:t>
            </w:r>
            <w:r w:rsidRPr="001C7762">
              <w:rPr>
                <w:lang w:val="uk-UA"/>
              </w:rPr>
              <w:t xml:space="preserve"> </w:t>
            </w:r>
            <w:r w:rsidRPr="001C7762">
              <w:rPr>
                <w:b/>
                <w:lang w:val="uk-UA"/>
              </w:rPr>
              <w:t xml:space="preserve">створення активів) </w:t>
            </w:r>
            <w:r w:rsidRPr="001C7762">
              <w:rPr>
                <w:lang w:val="uk-UA"/>
              </w:rPr>
              <w:t xml:space="preserve">у році, наступному після року їх введення в експлуатацію. </w:t>
            </w:r>
          </w:p>
        </w:tc>
      </w:tr>
      <w:tr w:rsidR="001C7762" w:rsidRPr="000D7C1D" w14:paraId="01FC39D5" w14:textId="77777777" w:rsidTr="00F549E8">
        <w:tc>
          <w:tcPr>
            <w:tcW w:w="7655" w:type="dxa"/>
          </w:tcPr>
          <w:p w14:paraId="00ABC61A" w14:textId="77777777" w:rsidR="008511CD" w:rsidRPr="001C7762" w:rsidRDefault="008511CD" w:rsidP="00BC5261">
            <w:pPr>
              <w:pStyle w:val="tj"/>
              <w:spacing w:before="0" w:beforeAutospacing="0" w:after="0" w:afterAutospacing="0"/>
              <w:jc w:val="both"/>
              <w:rPr>
                <w:lang w:eastAsia="ru-RU"/>
              </w:rPr>
            </w:pPr>
            <w:r w:rsidRPr="001C7762">
              <w:rPr>
                <w:lang w:eastAsia="ru-RU"/>
              </w:rPr>
              <w:t>2.6. Об'єкти незавершених капітальних інвестицій, вартість виконання робіт за якими була оплачена в межах виконання затвердженої, погодженої та схваленої відповідно до Порядку формування інвестиційних програм інвестиційної програми, у роках, що передували року впровадження стимулюючого регулювання, можуть бути включені до складу регуляторної бази активів, яка створена на дату переходу до стимулюючого регулювання, у році, наступному після року їх введення в експлуатацію, з урахуванням висновку про вартість активів, що є невід'ємною частиною звіту про оцінку таких активів, проведену відповідно до Методики оцінки.</w:t>
            </w:r>
          </w:p>
          <w:p w14:paraId="47E1284A" w14:textId="77777777" w:rsidR="008511CD" w:rsidRPr="001C7762" w:rsidRDefault="008511CD" w:rsidP="00BC5261">
            <w:pPr>
              <w:rPr>
                <w:lang w:val="uk-UA"/>
              </w:rPr>
            </w:pPr>
          </w:p>
        </w:tc>
        <w:tc>
          <w:tcPr>
            <w:tcW w:w="7654" w:type="dxa"/>
          </w:tcPr>
          <w:p w14:paraId="58DB8B6A" w14:textId="4CFA1184" w:rsidR="008511CD" w:rsidRPr="001C7762" w:rsidRDefault="008511CD" w:rsidP="00BC5261">
            <w:pPr>
              <w:ind w:firstLine="284"/>
              <w:jc w:val="both"/>
              <w:rPr>
                <w:b/>
                <w:bCs/>
                <w:lang w:val="uk-UA"/>
              </w:rPr>
            </w:pPr>
            <w:r w:rsidRPr="001C7762">
              <w:rPr>
                <w:lang w:val="uk-UA"/>
              </w:rPr>
              <w:t xml:space="preserve">2.6. Об'єкти незавершених капітальних інвестицій </w:t>
            </w:r>
            <w:r w:rsidRPr="001C7762">
              <w:rPr>
                <w:b/>
                <w:bCs/>
                <w:lang w:val="uk-UA"/>
              </w:rPr>
              <w:t xml:space="preserve">(що враховують зокрема </w:t>
            </w:r>
            <w:proofErr w:type="spellStart"/>
            <w:r w:rsidRPr="001C7762">
              <w:rPr>
                <w:b/>
                <w:bCs/>
                <w:lang w:val="uk-UA"/>
              </w:rPr>
              <w:t>проєктно</w:t>
            </w:r>
            <w:proofErr w:type="spellEnd"/>
            <w:r w:rsidRPr="001C7762">
              <w:rPr>
                <w:b/>
                <w:bCs/>
                <w:lang w:val="uk-UA"/>
              </w:rPr>
              <w:t xml:space="preserve">-кошторисну документацію з виконання відповідних робіт та </w:t>
            </w:r>
            <w:proofErr w:type="spellStart"/>
            <w:r w:rsidRPr="001C7762">
              <w:rPr>
                <w:b/>
                <w:bCs/>
                <w:lang w:val="uk-UA"/>
              </w:rPr>
              <w:t>проєктно</w:t>
            </w:r>
            <w:proofErr w:type="spellEnd"/>
            <w:r w:rsidRPr="001C7762">
              <w:rPr>
                <w:b/>
                <w:bCs/>
                <w:lang w:val="uk-UA"/>
              </w:rPr>
              <w:t xml:space="preserve">-вишукувальні роботи), </w:t>
            </w:r>
            <w:r w:rsidRPr="001C7762">
              <w:rPr>
                <w:lang w:val="uk-UA"/>
              </w:rPr>
              <w:t>вартість виконання робіт за якими була оплачена в межах виконання затвердженої, погодженої та схваленої відповідно до Порядку формування інвестиційних програм інвестиційної програми, у роках, що передували року впровадження стимулюючого регулювання, можуть бути включені до складу регуляторної бази активів, яка створена на дату переходу до стимулюючого регулювання (</w:t>
            </w:r>
            <w:r w:rsidRPr="001C7762">
              <w:rPr>
                <w:b/>
                <w:lang w:val="uk-UA"/>
              </w:rPr>
              <w:t>у рамках</w:t>
            </w:r>
            <w:r w:rsidRPr="001C7762">
              <w:rPr>
                <w:lang w:val="uk-UA"/>
              </w:rPr>
              <w:t xml:space="preserve"> </w:t>
            </w:r>
            <w:r w:rsidRPr="001C7762">
              <w:rPr>
                <w:b/>
                <w:lang w:val="uk-UA"/>
              </w:rPr>
              <w:t>створення активів)</w:t>
            </w:r>
            <w:r w:rsidRPr="001C7762">
              <w:rPr>
                <w:lang w:val="uk-UA"/>
              </w:rPr>
              <w:t>, у році, наступному після року їх введення в експлуатацію, з урахуванням висновку про вартість активів, що є невід'ємною частиною звіту про оцінку таких активів, проведену відповідно до Методики оцінки.</w:t>
            </w:r>
            <w:r w:rsidRPr="001C7762">
              <w:rPr>
                <w:b/>
                <w:bCs/>
                <w:lang w:val="uk-UA"/>
              </w:rPr>
              <w:t xml:space="preserve"> </w:t>
            </w:r>
          </w:p>
          <w:p w14:paraId="23D37355" w14:textId="77777777" w:rsidR="008511CD" w:rsidRPr="001C7762" w:rsidRDefault="008511CD" w:rsidP="00BC5261">
            <w:pPr>
              <w:rPr>
                <w:lang w:val="uk-UA"/>
              </w:rPr>
            </w:pPr>
          </w:p>
        </w:tc>
      </w:tr>
      <w:tr w:rsidR="001C7762" w:rsidRPr="001C7762" w14:paraId="1EF6531A" w14:textId="77777777" w:rsidTr="00F549E8">
        <w:tc>
          <w:tcPr>
            <w:tcW w:w="7655" w:type="dxa"/>
          </w:tcPr>
          <w:p w14:paraId="69655ABC" w14:textId="77777777" w:rsidR="008511CD" w:rsidRPr="001C7762" w:rsidRDefault="008511CD" w:rsidP="00BC5261">
            <w:pPr>
              <w:shd w:val="clear" w:color="auto" w:fill="FFFFFF"/>
              <w:spacing w:after="150"/>
              <w:ind w:firstLine="450"/>
              <w:jc w:val="both"/>
              <w:rPr>
                <w:lang w:val="uk-UA" w:eastAsia="uk-UA"/>
              </w:rPr>
            </w:pPr>
            <w:r w:rsidRPr="001C7762">
              <w:rPr>
                <w:lang w:val="uk-UA" w:eastAsia="uk-UA"/>
              </w:rPr>
              <w:t>2.8. Строк корисного використання активів, які створені на дату переходу до стимулюючого регулювання, для нарахування амортизації становить 30 років.</w:t>
            </w:r>
          </w:p>
          <w:p w14:paraId="7056D308" w14:textId="76557829" w:rsidR="008511CD" w:rsidRPr="001C7762" w:rsidRDefault="008511CD" w:rsidP="00BC5261">
            <w:pPr>
              <w:shd w:val="clear" w:color="auto" w:fill="FFFFFF"/>
              <w:spacing w:after="150"/>
              <w:ind w:firstLine="450"/>
              <w:jc w:val="both"/>
              <w:rPr>
                <w:lang w:val="uk-UA" w:eastAsia="uk-UA"/>
              </w:rPr>
            </w:pPr>
            <w:bookmarkStart w:id="3" w:name="n165"/>
            <w:bookmarkStart w:id="4" w:name="n136"/>
            <w:bookmarkEnd w:id="3"/>
            <w:bookmarkEnd w:id="4"/>
            <w:r w:rsidRPr="001C7762">
              <w:rPr>
                <w:lang w:val="uk-UA" w:eastAsia="uk-UA"/>
              </w:rPr>
              <w:lastRenderedPageBreak/>
              <w:t>Річна амортизація на активи, які створені на дату переходу до стимулюючого регулювання, розраховується за формулою</w:t>
            </w:r>
          </w:p>
          <w:p w14:paraId="525323F8" w14:textId="77777777" w:rsidR="008511CD" w:rsidRPr="001C7762" w:rsidRDefault="000D7C1D" w:rsidP="00BC5261">
            <w:pPr>
              <w:ind w:right="28" w:firstLine="567"/>
              <w:jc w:val="center"/>
              <w:rPr>
                <w:b/>
                <w:i/>
                <w:lang w:val="uk-UA"/>
              </w:rPr>
            </w:pPr>
            <m:oMath>
              <m:sSup>
                <m:sSupPr>
                  <m:ctrlPr>
                    <w:rPr>
                      <w:rFonts w:ascii="Cambria Math" w:hAnsi="Cambria Math"/>
                      <w:b/>
                      <w:bCs/>
                      <w:i/>
                      <w:lang w:val="uk-UA" w:eastAsia="uk-UA"/>
                    </w:rPr>
                  </m:ctrlPr>
                </m:sSupPr>
                <m:e>
                  <m:r>
                    <m:rPr>
                      <m:sty m:val="bi"/>
                    </m:rPr>
                    <w:rPr>
                      <w:rFonts w:ascii="Cambria Math" w:hAnsi="Cambria Math"/>
                      <w:lang w:val="uk-UA" w:eastAsia="uk-UA"/>
                    </w:rPr>
                    <m:t>А</m:t>
                  </m:r>
                </m:e>
                <m:sup>
                  <m:r>
                    <m:rPr>
                      <m:sty m:val="bi"/>
                    </m:rPr>
                    <w:rPr>
                      <w:rFonts w:ascii="Cambria Math" w:hAnsi="Cambria Math"/>
                      <w:lang w:val="uk-UA" w:eastAsia="uk-UA"/>
                    </w:rPr>
                    <m:t>0</m:t>
                  </m:r>
                </m:sup>
              </m:sSup>
              <m:r>
                <m:rPr>
                  <m:sty m:val="bi"/>
                </m:rPr>
                <w:rPr>
                  <w:rFonts w:ascii="Cambria Math" w:hAnsi="Cambria Math"/>
                  <w:lang w:val="uk-UA" w:eastAsia="uk-UA"/>
                </w:rPr>
                <m:t>=</m:t>
              </m:r>
              <m:f>
                <m:fPr>
                  <m:ctrlPr>
                    <w:rPr>
                      <w:rFonts w:ascii="Cambria Math" w:hAnsi="Cambria Math"/>
                      <w:b/>
                      <w:bCs/>
                      <w:i/>
                      <w:lang w:val="uk-UA" w:eastAsia="uk-UA"/>
                    </w:rPr>
                  </m:ctrlPr>
                </m:fPr>
                <m:num>
                  <m:sSup>
                    <m:sSupPr>
                      <m:ctrlPr>
                        <w:rPr>
                          <w:rFonts w:ascii="Cambria Math" w:hAnsi="Cambria Math"/>
                          <w:b/>
                          <w:bCs/>
                          <w:i/>
                          <w:lang w:val="uk-UA" w:eastAsia="uk-UA"/>
                        </w:rPr>
                      </m:ctrlPr>
                    </m:sSupPr>
                    <m:e>
                      <m:r>
                        <m:rPr>
                          <m:sty m:val="bi"/>
                        </m:rPr>
                        <w:rPr>
                          <w:rFonts w:ascii="Cambria Math" w:hAnsi="Cambria Math"/>
                          <w:lang w:val="uk-UA" w:eastAsia="uk-UA"/>
                        </w:rPr>
                        <m:t>РБА</m:t>
                      </m:r>
                    </m:e>
                    <m:sup>
                      <m:r>
                        <m:rPr>
                          <m:sty m:val="bi"/>
                        </m:rPr>
                        <w:rPr>
                          <w:rFonts w:ascii="Cambria Math" w:hAnsi="Cambria Math"/>
                          <w:lang w:val="uk-UA" w:eastAsia="uk-UA"/>
                        </w:rPr>
                        <m:t>0</m:t>
                      </m:r>
                    </m:sup>
                  </m:sSup>
                </m:num>
                <m:den>
                  <m:r>
                    <m:rPr>
                      <m:sty m:val="bi"/>
                    </m:rPr>
                    <w:rPr>
                      <w:rFonts w:ascii="Cambria Math" w:hAnsi="Cambria Math"/>
                      <w:lang w:val="uk-UA" w:eastAsia="uk-UA"/>
                    </w:rPr>
                    <m:t>30</m:t>
                  </m:r>
                </m:den>
              </m:f>
              <m:r>
                <m:rPr>
                  <m:sty m:val="bi"/>
                </m:rPr>
                <w:rPr>
                  <w:rFonts w:ascii="Cambria Math" w:hAnsi="Cambria Math"/>
                  <w:lang w:val="uk-UA" w:eastAsia="uk-UA"/>
                </w:rPr>
                <m:t>, тис грн;</m:t>
              </m:r>
            </m:oMath>
            <w:r w:rsidR="008511CD" w:rsidRPr="001C7762">
              <w:rPr>
                <w:b/>
                <w:lang w:val="uk-UA" w:eastAsia="uk-UA"/>
              </w:rPr>
              <w:t xml:space="preserve"> </w:t>
            </w:r>
            <w:r w:rsidR="008511CD" w:rsidRPr="001C7762">
              <w:rPr>
                <w:b/>
                <w:lang w:val="uk-UA"/>
              </w:rPr>
              <w:tab/>
              <w:t>(2)</w:t>
            </w:r>
          </w:p>
          <w:p w14:paraId="47EFB72D" w14:textId="77777777" w:rsidR="008511CD" w:rsidRPr="001C7762" w:rsidRDefault="008511CD" w:rsidP="00BC5261">
            <w:pPr>
              <w:shd w:val="clear" w:color="auto" w:fill="FFFFFF"/>
              <w:spacing w:after="150"/>
              <w:ind w:firstLine="450"/>
              <w:jc w:val="both"/>
              <w:rPr>
                <w:lang w:val="uk-UA" w:eastAsia="uk-UA"/>
              </w:rPr>
            </w:pPr>
          </w:p>
          <w:p w14:paraId="5D51D4F1" w14:textId="77777777" w:rsidR="008511CD" w:rsidRPr="001C7762" w:rsidRDefault="008511CD" w:rsidP="00BC5261">
            <w:pPr>
              <w:pStyle w:val="tj"/>
              <w:spacing w:before="0" w:beforeAutospacing="0" w:after="0" w:afterAutospacing="0"/>
              <w:jc w:val="both"/>
              <w:rPr>
                <w:lang w:eastAsia="ru-RU"/>
              </w:rPr>
            </w:pPr>
            <w:bookmarkStart w:id="5" w:name="n137"/>
            <w:bookmarkEnd w:id="5"/>
          </w:p>
        </w:tc>
        <w:tc>
          <w:tcPr>
            <w:tcW w:w="7654" w:type="dxa"/>
          </w:tcPr>
          <w:p w14:paraId="0BC1D795" w14:textId="77777777" w:rsidR="008511CD" w:rsidRPr="001C7762" w:rsidRDefault="008511CD" w:rsidP="00BC5261">
            <w:pPr>
              <w:shd w:val="clear" w:color="auto" w:fill="FFFFFF"/>
              <w:spacing w:after="150"/>
              <w:ind w:firstLine="450"/>
              <w:jc w:val="both"/>
              <w:rPr>
                <w:lang w:val="uk-UA" w:eastAsia="uk-UA"/>
              </w:rPr>
            </w:pPr>
            <w:r w:rsidRPr="001C7762">
              <w:rPr>
                <w:lang w:val="uk-UA" w:eastAsia="uk-UA"/>
              </w:rPr>
              <w:lastRenderedPageBreak/>
              <w:t>2.8. Строк корисного використання активів, які створені на дату переходу до стимулюючого регулювання, для нарахування амортизації становить 30 років.</w:t>
            </w:r>
          </w:p>
          <w:p w14:paraId="26781C03" w14:textId="77777777" w:rsidR="008511CD" w:rsidRPr="001C7762" w:rsidRDefault="008511CD" w:rsidP="00BC5261">
            <w:pPr>
              <w:shd w:val="clear" w:color="auto" w:fill="FFFFFF"/>
              <w:spacing w:after="150"/>
              <w:ind w:firstLine="450"/>
              <w:jc w:val="both"/>
              <w:rPr>
                <w:lang w:val="uk-UA" w:eastAsia="uk-UA"/>
              </w:rPr>
            </w:pPr>
            <w:r w:rsidRPr="001C7762">
              <w:rPr>
                <w:lang w:val="uk-UA" w:eastAsia="uk-UA"/>
              </w:rPr>
              <w:lastRenderedPageBreak/>
              <w:t>Річна амортизація на активи, які створені на дату переходу до стимулюючого регулювання, розраховується за формулою:</w:t>
            </w:r>
          </w:p>
          <w:p w14:paraId="68D7715C" w14:textId="4624FE13" w:rsidR="008511CD" w:rsidRPr="001C7762" w:rsidRDefault="008511CD" w:rsidP="00BC5261">
            <w:pPr>
              <w:shd w:val="clear" w:color="auto" w:fill="FFFFFF"/>
              <w:spacing w:after="150"/>
              <w:ind w:firstLine="450"/>
              <w:jc w:val="both"/>
              <w:rPr>
                <w:b/>
                <w:lang w:val="uk-UA" w:eastAsia="uk-UA"/>
              </w:rPr>
            </w:pPr>
            <w:r w:rsidRPr="001C7762">
              <w:rPr>
                <w:b/>
                <w:lang w:val="uk-UA" w:eastAsia="uk-UA"/>
              </w:rPr>
              <w:t xml:space="preserve">для першого </w:t>
            </w:r>
            <w:r w:rsidRPr="000D7C1D">
              <w:rPr>
                <w:b/>
                <w:lang w:val="uk-UA" w:eastAsia="uk-UA"/>
              </w:rPr>
              <w:t>року</w:t>
            </w:r>
            <w:r w:rsidR="00F706D8" w:rsidRPr="000D7C1D">
              <w:rPr>
                <w:b/>
                <w:lang w:val="uk-UA" w:eastAsia="uk-UA"/>
              </w:rPr>
              <w:t xml:space="preserve"> першого регуляторного періоду</w:t>
            </w:r>
            <w:r w:rsidRPr="000D7C1D">
              <w:rPr>
                <w:b/>
                <w:lang w:val="uk-UA" w:eastAsia="uk-UA"/>
              </w:rPr>
              <w:t>:</w:t>
            </w:r>
          </w:p>
          <w:p w14:paraId="2C24C132" w14:textId="77777777" w:rsidR="008511CD" w:rsidRPr="001C7762" w:rsidRDefault="000D7C1D" w:rsidP="00BC5261">
            <w:pPr>
              <w:ind w:right="28" w:firstLine="567"/>
              <w:jc w:val="center"/>
              <w:rPr>
                <w:b/>
                <w:i/>
                <w:lang w:val="uk-UA"/>
              </w:rPr>
            </w:pPr>
            <m:oMath>
              <m:sSup>
                <m:sSupPr>
                  <m:ctrlPr>
                    <w:rPr>
                      <w:rFonts w:ascii="Cambria Math" w:hAnsi="Cambria Math"/>
                      <w:b/>
                      <w:bCs/>
                      <w:i/>
                      <w:lang w:val="uk-UA" w:eastAsia="uk-UA"/>
                    </w:rPr>
                  </m:ctrlPr>
                </m:sSupPr>
                <m:e>
                  <m:r>
                    <m:rPr>
                      <m:sty m:val="bi"/>
                    </m:rPr>
                    <w:rPr>
                      <w:rFonts w:ascii="Cambria Math" w:hAnsi="Cambria Math"/>
                      <w:lang w:val="uk-UA" w:eastAsia="uk-UA"/>
                    </w:rPr>
                    <m:t>А</m:t>
                  </m:r>
                </m:e>
                <m:sup>
                  <m:r>
                    <m:rPr>
                      <m:sty m:val="bi"/>
                    </m:rPr>
                    <w:rPr>
                      <w:rFonts w:ascii="Cambria Math" w:hAnsi="Cambria Math"/>
                      <w:lang w:val="uk-UA" w:eastAsia="uk-UA"/>
                    </w:rPr>
                    <m:t>0</m:t>
                  </m:r>
                </m:sup>
              </m:sSup>
              <m:r>
                <m:rPr>
                  <m:sty m:val="bi"/>
                </m:rPr>
                <w:rPr>
                  <w:rFonts w:ascii="Cambria Math" w:hAnsi="Cambria Math"/>
                  <w:lang w:val="uk-UA" w:eastAsia="uk-UA"/>
                </w:rPr>
                <m:t>=</m:t>
              </m:r>
              <m:f>
                <m:fPr>
                  <m:ctrlPr>
                    <w:rPr>
                      <w:rFonts w:ascii="Cambria Math" w:hAnsi="Cambria Math"/>
                      <w:b/>
                      <w:bCs/>
                      <w:i/>
                      <w:lang w:val="uk-UA" w:eastAsia="uk-UA"/>
                    </w:rPr>
                  </m:ctrlPr>
                </m:fPr>
                <m:num>
                  <m:sSup>
                    <m:sSupPr>
                      <m:ctrlPr>
                        <w:rPr>
                          <w:rFonts w:ascii="Cambria Math" w:hAnsi="Cambria Math"/>
                          <w:b/>
                          <w:bCs/>
                          <w:i/>
                          <w:lang w:val="uk-UA" w:eastAsia="uk-UA"/>
                        </w:rPr>
                      </m:ctrlPr>
                    </m:sSupPr>
                    <m:e>
                      <m:r>
                        <m:rPr>
                          <m:sty m:val="bi"/>
                        </m:rPr>
                        <w:rPr>
                          <w:rFonts w:ascii="Cambria Math" w:hAnsi="Cambria Math"/>
                          <w:lang w:val="uk-UA" w:eastAsia="uk-UA"/>
                        </w:rPr>
                        <m:t>РБА</m:t>
                      </m:r>
                    </m:e>
                    <m:sup>
                      <m:r>
                        <m:rPr>
                          <m:sty m:val="bi"/>
                        </m:rPr>
                        <w:rPr>
                          <w:rFonts w:ascii="Cambria Math" w:hAnsi="Cambria Math"/>
                          <w:lang w:val="uk-UA" w:eastAsia="uk-UA"/>
                        </w:rPr>
                        <m:t>0</m:t>
                      </m:r>
                    </m:sup>
                  </m:sSup>
                </m:num>
                <m:den>
                  <m:r>
                    <m:rPr>
                      <m:sty m:val="bi"/>
                    </m:rPr>
                    <w:rPr>
                      <w:rFonts w:ascii="Cambria Math" w:hAnsi="Cambria Math"/>
                      <w:lang w:val="uk-UA" w:eastAsia="uk-UA"/>
                    </w:rPr>
                    <m:t>30</m:t>
                  </m:r>
                </m:den>
              </m:f>
              <m:r>
                <m:rPr>
                  <m:sty m:val="bi"/>
                </m:rPr>
                <w:rPr>
                  <w:rFonts w:ascii="Cambria Math" w:hAnsi="Cambria Math"/>
                  <w:lang w:val="uk-UA" w:eastAsia="uk-UA"/>
                </w:rPr>
                <m:t>, тис грн;</m:t>
              </m:r>
            </m:oMath>
            <w:r w:rsidR="008511CD" w:rsidRPr="001C7762">
              <w:rPr>
                <w:b/>
                <w:lang w:val="uk-UA" w:eastAsia="uk-UA"/>
              </w:rPr>
              <w:t xml:space="preserve"> </w:t>
            </w:r>
            <w:r w:rsidR="008511CD" w:rsidRPr="001C7762">
              <w:rPr>
                <w:b/>
                <w:lang w:val="uk-UA"/>
              </w:rPr>
              <w:tab/>
              <w:t>(2)</w:t>
            </w:r>
          </w:p>
          <w:p w14:paraId="19146EC9" w14:textId="77777777" w:rsidR="008511CD" w:rsidRPr="001C7762" w:rsidRDefault="008511CD" w:rsidP="00BC5261">
            <w:pPr>
              <w:shd w:val="clear" w:color="auto" w:fill="FFFFFF"/>
              <w:spacing w:after="150"/>
              <w:jc w:val="both"/>
              <w:rPr>
                <w:b/>
                <w:lang w:val="uk-UA" w:eastAsia="uk-UA"/>
              </w:rPr>
            </w:pPr>
          </w:p>
          <w:p w14:paraId="3FEAE3C5" w14:textId="77777777" w:rsidR="008511CD" w:rsidRPr="001C7762" w:rsidRDefault="008511CD" w:rsidP="00BC5261">
            <w:pPr>
              <w:shd w:val="clear" w:color="auto" w:fill="FFFFFF"/>
              <w:spacing w:after="150"/>
              <w:ind w:firstLine="450"/>
              <w:jc w:val="both"/>
              <w:rPr>
                <w:b/>
                <w:bCs/>
                <w:lang w:val="uk-UA" w:eastAsia="uk-UA"/>
              </w:rPr>
            </w:pPr>
            <w:r w:rsidRPr="001C7762">
              <w:rPr>
                <w:b/>
                <w:bCs/>
                <w:lang w:val="uk-UA" w:eastAsia="uk-UA"/>
              </w:rPr>
              <w:t xml:space="preserve">для наступних років:  </w:t>
            </w:r>
          </w:p>
          <w:p w14:paraId="3130D2BC" w14:textId="77777777" w:rsidR="008511CD" w:rsidRPr="001C7762" w:rsidRDefault="008511CD" w:rsidP="00BC5261">
            <w:pPr>
              <w:ind w:right="28" w:firstLine="567"/>
              <w:jc w:val="center"/>
              <w:rPr>
                <w:b/>
                <w:i/>
                <w:lang w:val="uk-UA"/>
              </w:rPr>
            </w:pPr>
            <w:r w:rsidRPr="001C7762">
              <w:rPr>
                <w:noProof/>
                <w:lang w:val="uk-UA" w:eastAsia="uk-UA"/>
              </w:rPr>
              <w:drawing>
                <wp:inline distT="0" distB="0" distL="0" distR="0" wp14:anchorId="4D8ABFB5" wp14:editId="5EE96D13">
                  <wp:extent cx="136525" cy="259080"/>
                  <wp:effectExtent l="0" t="0" r="0" b="7620"/>
                  <wp:docPr id="2141187079" name="Рисунок 4">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6525" cy="259080"/>
                          </a:xfrm>
                          <a:prstGeom prst="rect">
                            <a:avLst/>
                          </a:prstGeom>
                          <a:noFill/>
                          <a:ln>
                            <a:noFill/>
                          </a:ln>
                        </pic:spPr>
                      </pic:pic>
                    </a:graphicData>
                  </a:graphic>
                </wp:inline>
              </w:drawing>
            </w:r>
            <m:oMath>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en-US"/>
                    </w:rPr>
                    <m:t>t</m:t>
                  </m:r>
                </m:sub>
                <m:sup>
                  <m:r>
                    <m:rPr>
                      <m:sty m:val="bi"/>
                    </m:rPr>
                    <w:rPr>
                      <w:rFonts w:ascii="Cambria Math" w:hAnsi="Cambria Math"/>
                      <w:lang w:val="uk-UA"/>
                    </w:rPr>
                    <m:t>0</m:t>
                  </m:r>
                </m:sup>
              </m:sSubSup>
              <m:r>
                <m:rPr>
                  <m:sty m:val="bi"/>
                </m:rPr>
                <w:rPr>
                  <w:rFonts w:ascii="Cambria Math" w:hAnsi="Cambria Math"/>
                  <w:lang w:val="uk-UA"/>
                </w:rPr>
                <m:t>=</m:t>
              </m:r>
              <m:f>
                <m:fPr>
                  <m:ctrlPr>
                    <w:rPr>
                      <w:rFonts w:ascii="Cambria Math" w:hAnsi="Cambria Math"/>
                      <w:b/>
                      <w:i/>
                      <w:lang w:val="uk-UA"/>
                    </w:rPr>
                  </m:ctrlPr>
                </m:fPr>
                <m:num>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m:t>
                      </m:r>
                    </m:sub>
                    <m:sup>
                      <m:r>
                        <m:rPr>
                          <m:sty m:val="bi"/>
                        </m:rPr>
                        <w:rPr>
                          <w:rFonts w:ascii="Cambria Math" w:hAnsi="Cambria Math"/>
                          <w:lang w:val="uk-UA"/>
                        </w:rPr>
                        <m:t>0пп</m:t>
                      </m:r>
                    </m:sup>
                  </m:sSubSup>
                </m:num>
                <m:den>
                  <m:r>
                    <m:rPr>
                      <m:sty m:val="bi"/>
                    </m:rPr>
                    <w:rPr>
                      <w:rFonts w:ascii="Cambria Math" w:hAnsi="Cambria Math"/>
                      <w:lang w:val="uk-UA"/>
                    </w:rPr>
                    <m:t>30</m:t>
                  </m:r>
                </m:den>
              </m:f>
              <m:r>
                <m:rPr>
                  <m:sty m:val="bi"/>
                </m:rPr>
                <w:rPr>
                  <w:rFonts w:ascii="Cambria Math" w:hAnsi="Cambria Math"/>
                  <w:lang w:val="uk-UA"/>
                </w:rPr>
                <m:t>, тис грн,</m:t>
              </m:r>
            </m:oMath>
            <w:r w:rsidRPr="001C7762">
              <w:rPr>
                <w:b/>
                <w:lang w:val="uk-UA"/>
              </w:rPr>
              <w:tab/>
              <w:t>(3)</w:t>
            </w:r>
          </w:p>
          <w:p w14:paraId="39114BCA" w14:textId="77777777" w:rsidR="008511CD" w:rsidRPr="001C7762" w:rsidRDefault="008511CD" w:rsidP="00BC5261">
            <w:pPr>
              <w:jc w:val="center"/>
              <w:rPr>
                <w:b/>
                <w:noProof/>
                <w:lang w:val="uk-UA"/>
              </w:rPr>
            </w:pPr>
          </w:p>
          <w:p w14:paraId="679567E3" w14:textId="77777777" w:rsidR="008511CD" w:rsidRPr="001C7762" w:rsidRDefault="008511CD" w:rsidP="00BC5261">
            <w:pPr>
              <w:jc w:val="both"/>
              <w:rPr>
                <w:b/>
                <w:bCs/>
                <w:lang w:val="uk-UA" w:eastAsia="uk-UA"/>
              </w:rPr>
            </w:pPr>
            <w:r w:rsidRPr="001C7762">
              <w:rPr>
                <w:b/>
                <w:lang w:val="uk-UA"/>
              </w:rPr>
              <w:t>де</w:t>
            </w:r>
            <w:r w:rsidRPr="001C7762">
              <w:rPr>
                <w:lang w:val="uk-UA"/>
              </w:rPr>
              <w:t xml:space="preserve"> </w:t>
            </w: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m:t>
                  </m:r>
                </m:sub>
                <m:sup>
                  <m:r>
                    <m:rPr>
                      <m:sty m:val="bi"/>
                    </m:rPr>
                    <w:rPr>
                      <w:rFonts w:ascii="Cambria Math" w:hAnsi="Cambria Math"/>
                      <w:lang w:val="uk-UA"/>
                    </w:rPr>
                    <m:t>0 пп</m:t>
                  </m:r>
                </m:sup>
              </m:sSubSup>
            </m:oMath>
            <w:r w:rsidRPr="001C7762">
              <w:t xml:space="preserve"> </w:t>
            </w:r>
            <w:r w:rsidRPr="001C7762">
              <w:rPr>
                <w:b/>
                <w:bCs/>
                <w:lang w:val="uk-UA"/>
              </w:rPr>
              <w:t>–</w:t>
            </w:r>
            <w:r w:rsidRPr="001C7762">
              <w:rPr>
                <w:b/>
                <w:bCs/>
              </w:rPr>
              <w:t xml:space="preserve"> </w:t>
            </w:r>
            <w:r w:rsidRPr="001C7762">
              <w:rPr>
                <w:b/>
                <w:bCs/>
                <w:lang w:val="uk-UA"/>
              </w:rPr>
              <w:t xml:space="preserve"> </w:t>
            </w:r>
            <w:r w:rsidRPr="001C7762">
              <w:rPr>
                <w:b/>
                <w:bCs/>
                <w:lang w:val="uk-UA" w:eastAsia="uk-UA"/>
              </w:rPr>
              <w:t>регуляторна база активів, яка створена на дату переходу до стимулюючого регулювання, з року наступного після переходу до стимулюючого регулювання, тис. грн, що визначається за формулою:</w:t>
            </w:r>
          </w:p>
          <w:p w14:paraId="69BF51B2" w14:textId="77777777" w:rsidR="008511CD" w:rsidRPr="001C7762" w:rsidRDefault="008511CD" w:rsidP="00BC5261">
            <w:pPr>
              <w:jc w:val="both"/>
              <w:rPr>
                <w:b/>
                <w:bCs/>
                <w:lang w:val="uk-UA" w:eastAsia="uk-UA"/>
              </w:rPr>
            </w:pPr>
          </w:p>
          <w:p w14:paraId="6BADF885" w14:textId="77777777" w:rsidR="008511CD" w:rsidRPr="001C7762" w:rsidRDefault="008511CD" w:rsidP="00BC5261">
            <w:pPr>
              <w:jc w:val="both"/>
              <w:rPr>
                <w:b/>
                <w:bCs/>
                <w:lang w:val="uk-UA" w:eastAsia="uk-UA"/>
              </w:rPr>
            </w:pPr>
            <w:r w:rsidRPr="001C7762">
              <w:rPr>
                <w:b/>
                <w:bCs/>
                <w:lang w:val="uk-UA" w:eastAsia="uk-UA"/>
              </w:rPr>
              <w:t>у році, наступному після переходу до стимулюючого регулювання:</w:t>
            </w:r>
          </w:p>
          <w:p w14:paraId="0C2404E0" w14:textId="77777777" w:rsidR="008511CD" w:rsidRPr="001C7762" w:rsidRDefault="008511CD" w:rsidP="00BC5261">
            <w:pPr>
              <w:ind w:right="28" w:firstLine="567"/>
              <w:jc w:val="center"/>
              <w:rPr>
                <w:b/>
                <w:lang w:val="uk-UA"/>
              </w:rPr>
            </w:pPr>
          </w:p>
          <w:p w14:paraId="5CDBB0E8" w14:textId="77777777" w:rsidR="008511CD" w:rsidRPr="001C7762" w:rsidRDefault="008511CD" w:rsidP="00BC5261">
            <w:pPr>
              <w:ind w:right="28"/>
              <w:jc w:val="center"/>
              <w:rPr>
                <w:b/>
                <w:i/>
                <w:lang w:val="uk-UA"/>
              </w:rPr>
            </w:pP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m:t>
                  </m:r>
                </m:sub>
                <m:sup>
                  <m:r>
                    <m:rPr>
                      <m:sty m:val="bi"/>
                    </m:rPr>
                    <w:rPr>
                      <w:rFonts w:ascii="Cambria Math" w:hAnsi="Cambria Math"/>
                      <w:lang w:val="uk-UA"/>
                    </w:rPr>
                    <m:t>0 пп</m:t>
                  </m:r>
                </m:sup>
              </m:sSubSup>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sup>
                  <m:r>
                    <m:rPr>
                      <m:sty m:val="bi"/>
                    </m:rPr>
                    <w:rPr>
                      <w:rFonts w:ascii="Cambria Math" w:hAnsi="Cambria Math"/>
                      <w:lang w:val="uk-UA"/>
                    </w:rPr>
                    <m:t>0</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t-1</m:t>
                  </m:r>
                </m:sub>
                <m:sup>
                  <m:r>
                    <m:rPr>
                      <m:sty m:val="bi"/>
                    </m:rPr>
                    <w:rPr>
                      <w:rFonts w:ascii="Cambria Math" w:hAnsi="Cambria Math"/>
                      <w:lang w:val="uk-UA"/>
                    </w:rPr>
                    <m:t>0 п</m:t>
                  </m:r>
                </m:sup>
              </m:sSubSup>
              <m:r>
                <m:rPr>
                  <m:sty m:val="bi"/>
                </m:rPr>
                <w:rPr>
                  <w:rFonts w:ascii="Cambria Math" w:hAnsi="Cambria Math"/>
                  <w:lang w:val="uk-UA"/>
                </w:rPr>
                <m:t>-B</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0 п</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 t-1</m:t>
                  </m:r>
                </m:sub>
                <m:sup>
                  <m:r>
                    <m:rPr>
                      <m:sty m:val="bi"/>
                    </m:rPr>
                    <w:rPr>
                      <w:rFonts w:ascii="Cambria Math" w:hAnsi="Cambria Math"/>
                      <w:lang w:val="uk-UA"/>
                    </w:rPr>
                    <m:t>0 п</m:t>
                  </m:r>
                </m:sup>
              </m:sSubSup>
            </m:oMath>
            <w:r w:rsidRPr="001C7762">
              <w:rPr>
                <w:b/>
                <w:lang w:val="uk-UA"/>
              </w:rPr>
              <w:t>, тис. грн,</w:t>
            </w:r>
            <w:r w:rsidRPr="001C7762">
              <w:rPr>
                <w:b/>
                <w:lang w:val="uk-UA"/>
              </w:rPr>
              <w:tab/>
            </w:r>
            <w:r w:rsidRPr="001C7762">
              <w:rPr>
                <w:b/>
                <w:lang w:val="uk-UA"/>
              </w:rPr>
              <w:tab/>
              <w:t>(4)</w:t>
            </w:r>
          </w:p>
          <w:p w14:paraId="15919919" w14:textId="77777777" w:rsidR="00D96DC2" w:rsidRPr="001C7762" w:rsidRDefault="00D96DC2" w:rsidP="00BC5261">
            <w:pPr>
              <w:jc w:val="both"/>
              <w:rPr>
                <w:b/>
                <w:bCs/>
                <w:lang w:val="uk-UA" w:eastAsia="uk-UA"/>
              </w:rPr>
            </w:pPr>
          </w:p>
          <w:p w14:paraId="731EA293" w14:textId="41A9438F" w:rsidR="008511CD" w:rsidRPr="001C7762" w:rsidRDefault="008511CD" w:rsidP="00BC5261">
            <w:pPr>
              <w:jc w:val="both"/>
              <w:rPr>
                <w:b/>
                <w:bCs/>
                <w:lang w:val="uk-UA" w:eastAsia="uk-UA"/>
              </w:rPr>
            </w:pPr>
            <w:r w:rsidRPr="001C7762">
              <w:rPr>
                <w:b/>
                <w:bCs/>
                <w:lang w:val="uk-UA" w:eastAsia="uk-UA"/>
              </w:rPr>
              <w:t>для наступних років:</w:t>
            </w:r>
          </w:p>
          <w:p w14:paraId="794FC9A0" w14:textId="77777777" w:rsidR="008511CD" w:rsidRPr="001C7762" w:rsidRDefault="008511CD" w:rsidP="00BC5261">
            <w:pPr>
              <w:ind w:right="28" w:firstLine="567"/>
              <w:jc w:val="center"/>
              <w:rPr>
                <w:b/>
                <w:lang w:val="uk-UA"/>
              </w:rPr>
            </w:pPr>
          </w:p>
          <w:p w14:paraId="04F6F272" w14:textId="77777777" w:rsidR="008511CD" w:rsidRPr="001C7762" w:rsidRDefault="008511CD" w:rsidP="00BC5261">
            <w:pPr>
              <w:ind w:right="28" w:firstLine="567"/>
              <w:jc w:val="center"/>
              <w:rPr>
                <w:b/>
                <w:lang w:val="uk-UA"/>
              </w:rPr>
            </w:pP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en-US"/>
                    </w:rPr>
                    <m:t>t</m:t>
                  </m:r>
                </m:sub>
                <m:sup>
                  <m:r>
                    <m:rPr>
                      <m:sty m:val="bi"/>
                    </m:rPr>
                    <w:rPr>
                      <w:rFonts w:ascii="Cambria Math" w:hAnsi="Cambria Math"/>
                      <w:lang w:val="uk-UA"/>
                    </w:rPr>
                    <m:t>0 пп</m:t>
                  </m:r>
                </m:sup>
              </m:sSubSup>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en-US"/>
                    </w:rPr>
                    <m:t>t</m:t>
                  </m:r>
                  <m:r>
                    <m:rPr>
                      <m:sty m:val="bi"/>
                    </m:rPr>
                    <w:rPr>
                      <w:rFonts w:ascii="Cambria Math" w:hAnsi="Cambria Math"/>
                    </w:rPr>
                    <m:t>-1</m:t>
                  </m:r>
                </m:sub>
                <m:sup>
                  <m:r>
                    <m:rPr>
                      <m:sty m:val="bi"/>
                    </m:rPr>
                    <w:rPr>
                      <w:rFonts w:ascii="Cambria Math" w:hAnsi="Cambria Math"/>
                      <w:lang w:val="uk-UA"/>
                    </w:rPr>
                    <m:t>0пп</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0 п</m:t>
                  </m:r>
                </m:sup>
              </m:sSubSup>
              <m:r>
                <m:rPr>
                  <m:sty m:val="bi"/>
                </m:rPr>
                <w:rPr>
                  <w:rFonts w:ascii="Cambria Math" w:hAnsi="Cambria Math"/>
                  <w:lang w:val="uk-UA"/>
                </w:rPr>
                <m:t>-B</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0 п</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 t-1</m:t>
                  </m:r>
                </m:sub>
                <m:sup>
                  <m:r>
                    <m:rPr>
                      <m:sty m:val="bi"/>
                    </m:rPr>
                    <w:rPr>
                      <w:rFonts w:ascii="Cambria Math" w:hAnsi="Cambria Math"/>
                      <w:lang w:val="uk-UA"/>
                    </w:rPr>
                    <m:t>0 п</m:t>
                  </m:r>
                </m:sup>
              </m:sSubSup>
            </m:oMath>
            <w:r w:rsidRPr="001C7762">
              <w:rPr>
                <w:b/>
                <w:lang w:val="uk-UA"/>
              </w:rPr>
              <w:t>, тис. грн,</w:t>
            </w:r>
            <w:r w:rsidRPr="001C7762">
              <w:rPr>
                <w:b/>
                <w:lang w:val="uk-UA"/>
              </w:rPr>
              <w:tab/>
              <w:t>(5)</w:t>
            </w:r>
          </w:p>
          <w:p w14:paraId="10BFA182" w14:textId="77777777" w:rsidR="008511CD" w:rsidRPr="001C7762" w:rsidRDefault="008511CD" w:rsidP="00BC5261">
            <w:pPr>
              <w:ind w:right="28" w:firstLine="567"/>
              <w:jc w:val="center"/>
              <w:rPr>
                <w:b/>
                <w:lang w:val="uk-UA"/>
              </w:rPr>
            </w:pPr>
          </w:p>
          <w:p w14:paraId="22A3C481" w14:textId="77777777" w:rsidR="008511CD" w:rsidRPr="001C7762" w:rsidRDefault="008511CD" w:rsidP="00BC5261">
            <w:pPr>
              <w:ind w:right="28" w:firstLine="567"/>
              <w:rPr>
                <w:lang w:val="uk-UA"/>
              </w:rPr>
            </w:pPr>
            <w:r w:rsidRPr="001C7762">
              <w:rPr>
                <w:lang w:val="uk-UA"/>
              </w:rPr>
              <w:t>де</w:t>
            </w:r>
          </w:p>
          <w:p w14:paraId="7FB65F41" w14:textId="77777777" w:rsidR="008511CD" w:rsidRPr="001C7762" w:rsidRDefault="008511CD" w:rsidP="00BC5261">
            <w:pPr>
              <w:ind w:right="28" w:firstLine="567"/>
              <w:rPr>
                <w:lang w:val="uk-UA"/>
              </w:rPr>
            </w:pPr>
          </w:p>
          <w:p w14:paraId="12712B04" w14:textId="0338E9DF" w:rsidR="008511CD" w:rsidRPr="001C7762" w:rsidRDefault="000D7C1D" w:rsidP="00BC5261">
            <w:pPr>
              <w:ind w:right="28" w:firstLine="709"/>
              <w:jc w:val="both"/>
              <w:rPr>
                <w:b/>
                <w:bCs/>
                <w:lang w:val="uk-UA"/>
              </w:rPr>
            </w:pPr>
            <m:oMath>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en-US"/>
                    </w:rPr>
                    <m:t>t</m:t>
                  </m:r>
                  <m:r>
                    <m:rPr>
                      <m:sty m:val="bi"/>
                    </m:rPr>
                    <w:rPr>
                      <w:rFonts w:ascii="Cambria Math" w:hAnsi="Cambria Math"/>
                      <w:lang w:val="uk-UA"/>
                    </w:rPr>
                    <m:t>-1</m:t>
                  </m:r>
                </m:sub>
                <m:sup>
                  <m:r>
                    <m:rPr>
                      <m:sty m:val="bi"/>
                    </m:rPr>
                    <w:rPr>
                      <w:rFonts w:ascii="Cambria Math" w:hAnsi="Cambria Math"/>
                      <w:lang w:val="uk-UA"/>
                    </w:rPr>
                    <m:t>0 п</m:t>
                  </m:r>
                </m:sup>
              </m:sSubSup>
            </m:oMath>
            <w:r w:rsidR="008511CD" w:rsidRPr="001C7762">
              <w:rPr>
                <w:bCs/>
                <w:lang w:val="uk-UA"/>
              </w:rPr>
              <w:t xml:space="preserve"> – </w:t>
            </w:r>
            <w:r w:rsidR="008511CD" w:rsidRPr="001C7762">
              <w:rPr>
                <w:b/>
                <w:bCs/>
                <w:lang w:val="uk-UA"/>
              </w:rPr>
              <w:t>первісна вартість активів, створених відповідно до інвестиційної програми, затвердженої, погодженої та схваленої відповідно до Порядку формування інвестиційних програм, у році t-1, тис. грн;</w:t>
            </w:r>
          </w:p>
          <w:p w14:paraId="1A8BE93C" w14:textId="1BAEB5DB" w:rsidR="008511CD" w:rsidRPr="001C7762" w:rsidRDefault="008511CD" w:rsidP="00BC5261">
            <w:pPr>
              <w:ind w:right="28" w:firstLine="709"/>
              <w:jc w:val="both"/>
              <w:rPr>
                <w:b/>
                <w:bCs/>
                <w:lang w:val="uk-UA"/>
              </w:rPr>
            </w:pPr>
            <m:oMath>
              <m:r>
                <m:rPr>
                  <m:sty m:val="bi"/>
                </m:rPr>
                <w:rPr>
                  <w:rFonts w:ascii="Cambria Math" w:hAnsi="Cambria Math"/>
                  <w:lang w:val="uk-UA"/>
                </w:rPr>
                <w:lastRenderedPageBreak/>
                <m:t>B</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en-US"/>
                    </w:rPr>
                    <m:t>t</m:t>
                  </m:r>
                  <m:r>
                    <m:rPr>
                      <m:sty m:val="bi"/>
                    </m:rPr>
                    <w:rPr>
                      <w:rFonts w:ascii="Cambria Math" w:hAnsi="Cambria Math"/>
                      <w:lang w:val="uk-UA"/>
                    </w:rPr>
                    <m:t>-</m:t>
                  </m:r>
                  <m:r>
                    <m:rPr>
                      <m:sty m:val="bi"/>
                    </m:rPr>
                    <w:rPr>
                      <w:rFonts w:ascii="Cambria Math" w:hAnsi="Cambria Math"/>
                      <w:lang w:val="en-US"/>
                    </w:rPr>
                    <m:t>1</m:t>
                  </m:r>
                </m:sub>
                <m:sup>
                  <m:r>
                    <m:rPr>
                      <m:sty m:val="bi"/>
                    </m:rPr>
                    <w:rPr>
                      <w:rFonts w:ascii="Cambria Math" w:hAnsi="Cambria Math"/>
                      <w:lang w:val="uk-UA"/>
                    </w:rPr>
                    <m:t>0 п</m:t>
                  </m:r>
                </m:sup>
              </m:sSubSup>
            </m:oMath>
            <w:r w:rsidRPr="001C7762">
              <w:rPr>
                <w:bCs/>
                <w:lang w:val="uk-UA"/>
              </w:rPr>
              <w:t xml:space="preserve"> –</w:t>
            </w:r>
            <w:r w:rsidRPr="001C7762">
              <w:rPr>
                <w:b/>
                <w:bCs/>
                <w:lang w:val="uk-UA"/>
              </w:rPr>
              <w:t xml:space="preserve"> первісна вартість активів (елементів активу)</w:t>
            </w:r>
            <w:r w:rsidR="00EA5139" w:rsidRPr="001C7762">
              <w:rPr>
                <w:b/>
                <w:bCs/>
                <w:lang w:val="uk-UA"/>
              </w:rPr>
              <w:t xml:space="preserve"> </w:t>
            </w:r>
            <w:r w:rsidR="00EA5139" w:rsidRPr="001C7762">
              <w:rPr>
                <w:b/>
                <w:bCs/>
              </w:rPr>
              <w:t xml:space="preserve"> на дату переходу до </w:t>
            </w:r>
            <w:proofErr w:type="spellStart"/>
            <w:r w:rsidR="00EA5139" w:rsidRPr="001C7762">
              <w:rPr>
                <w:b/>
                <w:bCs/>
              </w:rPr>
              <w:t>стимулюючого</w:t>
            </w:r>
            <w:proofErr w:type="spellEnd"/>
            <w:r w:rsidR="00EA5139" w:rsidRPr="001C7762">
              <w:rPr>
                <w:b/>
                <w:bCs/>
              </w:rPr>
              <w:t xml:space="preserve"> </w:t>
            </w:r>
            <w:proofErr w:type="spellStart"/>
            <w:r w:rsidR="00EA5139" w:rsidRPr="001C7762">
              <w:rPr>
                <w:b/>
                <w:bCs/>
              </w:rPr>
              <w:t>регулювання</w:t>
            </w:r>
            <w:proofErr w:type="spellEnd"/>
            <w:r w:rsidRPr="001C7762">
              <w:rPr>
                <w:b/>
                <w:bCs/>
                <w:lang w:val="uk-UA"/>
              </w:rPr>
              <w:t>, що виведені з експлуатації, у році t-1, тис. грн;</w:t>
            </w:r>
          </w:p>
          <w:p w14:paraId="047F5FCB" w14:textId="18836150" w:rsidR="008511CD" w:rsidRPr="001C7762" w:rsidRDefault="000D7C1D" w:rsidP="00BC5261">
            <w:pPr>
              <w:pStyle w:val="tj"/>
              <w:spacing w:before="0" w:beforeAutospacing="0" w:after="0" w:afterAutospacing="0"/>
              <w:ind w:firstLine="709"/>
              <w:jc w:val="both"/>
              <w:rPr>
                <w:b/>
                <w:bCs/>
              </w:rPr>
            </w:pPr>
            <m:oMath>
              <m:sSubSup>
                <m:sSubSupPr>
                  <m:ctrlPr>
                    <w:rPr>
                      <w:rFonts w:ascii="Cambria Math" w:hAnsi="Cambria Math"/>
                      <w:b/>
                      <w:i/>
                    </w:rPr>
                  </m:ctrlPr>
                </m:sSubSupPr>
                <m:e>
                  <m:r>
                    <m:rPr>
                      <m:sty m:val="bi"/>
                    </m:rPr>
                    <w:rPr>
                      <w:rFonts w:ascii="Cambria Math" w:hAnsi="Cambria Math"/>
                    </w:rPr>
                    <m:t>I</m:t>
                  </m:r>
                </m:e>
                <m:sub>
                  <m:r>
                    <m:rPr>
                      <m:sty m:val="bi"/>
                    </m:rPr>
                    <w:rPr>
                      <w:rFonts w:ascii="Cambria Math" w:hAnsi="Cambria Math"/>
                    </w:rPr>
                    <m:t>ВП t-1</m:t>
                  </m:r>
                </m:sub>
                <m:sup>
                  <m:r>
                    <m:rPr>
                      <m:sty m:val="bi"/>
                    </m:rPr>
                    <w:rPr>
                      <w:rFonts w:ascii="Cambria Math" w:hAnsi="Cambria Math"/>
                    </w:rPr>
                    <m:t>0 п</m:t>
                  </m:r>
                </m:sup>
              </m:sSubSup>
            </m:oMath>
            <w:r w:rsidR="008511CD" w:rsidRPr="001C7762">
              <w:rPr>
                <w:b/>
              </w:rPr>
              <w:t xml:space="preserve"> </w:t>
            </w:r>
            <w:r w:rsidR="008511CD" w:rsidRPr="001C7762">
              <w:rPr>
                <w:bCs/>
              </w:rPr>
              <w:t xml:space="preserve">– </w:t>
            </w:r>
            <w:r w:rsidR="008511CD" w:rsidRPr="001C7762">
              <w:rPr>
                <w:b/>
                <w:bCs/>
              </w:rPr>
              <w:t>первісна вартість повторно введених активів (елементів активу), повернутих до експлуатації після тимчасового припинення їх використання, з урахуванням:</w:t>
            </w:r>
          </w:p>
          <w:p w14:paraId="258A9CAE" w14:textId="77777777" w:rsidR="008511CD" w:rsidRPr="00067A52" w:rsidRDefault="008511CD" w:rsidP="00BC5261">
            <w:pPr>
              <w:pStyle w:val="tj"/>
              <w:spacing w:before="0" w:beforeAutospacing="0" w:after="0" w:afterAutospacing="0"/>
              <w:ind w:firstLine="709"/>
              <w:jc w:val="both"/>
              <w:rPr>
                <w:b/>
                <w:bCs/>
              </w:rPr>
            </w:pPr>
            <w:r w:rsidRPr="00067A52">
              <w:rPr>
                <w:b/>
                <w:bCs/>
                <w:lang w:eastAsia="ru-RU"/>
              </w:rPr>
              <w:t>переоціненої вартості активів на дату переходу до стимулюючого регулювання на підставі даних звіту про незалежну оцінку активів;</w:t>
            </w:r>
          </w:p>
          <w:p w14:paraId="51A97FF3" w14:textId="77777777" w:rsidR="008511CD" w:rsidRPr="00067A52" w:rsidRDefault="008511CD" w:rsidP="00BC5261">
            <w:pPr>
              <w:pStyle w:val="tj"/>
              <w:spacing w:before="0" w:beforeAutospacing="0" w:after="0" w:afterAutospacing="0"/>
              <w:ind w:firstLine="404"/>
              <w:jc w:val="both"/>
              <w:rPr>
                <w:b/>
                <w:bCs/>
                <w:lang w:eastAsia="ru-RU"/>
              </w:rPr>
            </w:pPr>
            <w:r w:rsidRPr="00067A52">
              <w:rPr>
                <w:b/>
                <w:bCs/>
                <w:lang w:eastAsia="ru-RU"/>
              </w:rPr>
              <w:t>первісної вартості активів на дату переходу до стимулюючого регулювання, створених за період від дати проведення незалежної оцінки активів до дати переходу до стимулюючого регулювання;</w:t>
            </w:r>
          </w:p>
          <w:p w14:paraId="276313AB" w14:textId="6E9E64B7" w:rsidR="008511CD" w:rsidRPr="001C7762" w:rsidRDefault="008511CD" w:rsidP="00BC5261">
            <w:pPr>
              <w:ind w:firstLine="284"/>
              <w:jc w:val="both"/>
              <w:rPr>
                <w:lang w:val="uk-UA"/>
              </w:rPr>
            </w:pPr>
            <w:proofErr w:type="spellStart"/>
            <w:r w:rsidRPr="00067A52">
              <w:rPr>
                <w:b/>
                <w:bCs/>
              </w:rPr>
              <w:t>первісної</w:t>
            </w:r>
            <w:proofErr w:type="spellEnd"/>
            <w:r w:rsidRPr="00067A52">
              <w:rPr>
                <w:b/>
                <w:bCs/>
              </w:rPr>
              <w:t xml:space="preserve"> </w:t>
            </w:r>
            <w:proofErr w:type="spellStart"/>
            <w:r w:rsidRPr="00067A52">
              <w:rPr>
                <w:b/>
                <w:bCs/>
              </w:rPr>
              <w:t>вартості</w:t>
            </w:r>
            <w:proofErr w:type="spellEnd"/>
            <w:r w:rsidRPr="00067A52">
              <w:rPr>
                <w:b/>
                <w:bCs/>
              </w:rPr>
              <w:t xml:space="preserve"> </w:t>
            </w:r>
            <w:proofErr w:type="spellStart"/>
            <w:r w:rsidRPr="00067A52">
              <w:rPr>
                <w:b/>
                <w:bCs/>
              </w:rPr>
              <w:t>активів</w:t>
            </w:r>
            <w:proofErr w:type="spellEnd"/>
            <w:r w:rsidRPr="00067A52">
              <w:rPr>
                <w:b/>
                <w:bCs/>
              </w:rPr>
              <w:t xml:space="preserve">, </w:t>
            </w:r>
            <w:proofErr w:type="spellStart"/>
            <w:r w:rsidRPr="00067A52">
              <w:rPr>
                <w:b/>
                <w:bCs/>
              </w:rPr>
              <w:t>створених</w:t>
            </w:r>
            <w:proofErr w:type="spellEnd"/>
            <w:r w:rsidRPr="00067A52">
              <w:rPr>
                <w:b/>
                <w:bCs/>
              </w:rPr>
              <w:t xml:space="preserve"> </w:t>
            </w:r>
            <w:proofErr w:type="spellStart"/>
            <w:r w:rsidRPr="00067A52">
              <w:rPr>
                <w:b/>
                <w:bCs/>
              </w:rPr>
              <w:t>згідно</w:t>
            </w:r>
            <w:proofErr w:type="spellEnd"/>
            <w:r w:rsidRPr="00067A52">
              <w:rPr>
                <w:b/>
                <w:bCs/>
              </w:rPr>
              <w:t xml:space="preserve"> з пунктами 2.5 та 2.6 </w:t>
            </w:r>
            <w:proofErr w:type="spellStart"/>
            <w:r w:rsidRPr="00067A52">
              <w:rPr>
                <w:b/>
                <w:bCs/>
              </w:rPr>
              <w:t>цього</w:t>
            </w:r>
            <w:proofErr w:type="spellEnd"/>
            <w:r w:rsidRPr="00067A52">
              <w:rPr>
                <w:b/>
                <w:bCs/>
              </w:rPr>
              <w:t xml:space="preserve"> Порядку, у </w:t>
            </w:r>
            <w:proofErr w:type="spellStart"/>
            <w:r w:rsidRPr="00067A52">
              <w:rPr>
                <w:b/>
                <w:bCs/>
              </w:rPr>
              <w:t>році</w:t>
            </w:r>
            <w:proofErr w:type="spellEnd"/>
            <w:r w:rsidRPr="00067A52">
              <w:rPr>
                <w:b/>
                <w:bCs/>
              </w:rPr>
              <w:t xml:space="preserve"> </w:t>
            </w:r>
            <w:r w:rsidRPr="00067A52">
              <w:rPr>
                <w:b/>
                <w:bCs/>
                <w:lang w:val="en-US"/>
              </w:rPr>
              <w:t>t</w:t>
            </w:r>
            <w:r w:rsidRPr="00067A52">
              <w:rPr>
                <w:b/>
                <w:bCs/>
              </w:rPr>
              <w:t>-1, тис. грн.</w:t>
            </w:r>
          </w:p>
        </w:tc>
      </w:tr>
      <w:tr w:rsidR="001C7762" w:rsidRPr="000D7C1D" w14:paraId="3C30D613" w14:textId="77777777" w:rsidTr="00F549E8">
        <w:tc>
          <w:tcPr>
            <w:tcW w:w="7655" w:type="dxa"/>
          </w:tcPr>
          <w:p w14:paraId="18304478" w14:textId="77777777" w:rsidR="008511CD" w:rsidRPr="001C7762" w:rsidRDefault="008511CD" w:rsidP="00BC5261">
            <w:pPr>
              <w:pStyle w:val="tj"/>
              <w:spacing w:before="0" w:beforeAutospacing="0" w:after="0" w:afterAutospacing="0"/>
              <w:jc w:val="both"/>
              <w:rPr>
                <w:lang w:eastAsia="ru-RU"/>
              </w:rPr>
            </w:pPr>
            <w:r w:rsidRPr="001C7762">
              <w:rPr>
                <w:lang w:eastAsia="ru-RU"/>
              </w:rPr>
              <w:lastRenderedPageBreak/>
              <w:t>2.10. Після переходу до стимулюючого регулювання у разі виведення з експлуатації активу (елементів активу) регуляторної бази активів, яка створена на дату переходу до стимулюючого регулювання, регуляторна норма доходу на регуляторну базу активів, яка створена на дату переходу до стимулюючого регулювання, та амортизація на суму вартості цих активів (елементів активу) не нараховуються, починаючи з року, наступного за роком, у якому відбулось виведення з експлуатації цього активу (елементів активу).</w:t>
            </w:r>
          </w:p>
          <w:p w14:paraId="0EBF5D9A" w14:textId="77777777" w:rsidR="008511CD" w:rsidRPr="001C7762" w:rsidRDefault="008511CD" w:rsidP="00BC5261">
            <w:pPr>
              <w:pStyle w:val="tj"/>
              <w:spacing w:before="0" w:beforeAutospacing="0" w:after="0" w:afterAutospacing="0"/>
              <w:jc w:val="both"/>
              <w:rPr>
                <w:lang w:eastAsia="ru-RU"/>
              </w:rPr>
            </w:pPr>
          </w:p>
          <w:p w14:paraId="5E76A4A6" w14:textId="77777777" w:rsidR="008511CD" w:rsidRPr="001C7762" w:rsidRDefault="008511CD" w:rsidP="00BC5261">
            <w:pPr>
              <w:pStyle w:val="tj"/>
              <w:spacing w:before="0" w:beforeAutospacing="0" w:after="0" w:afterAutospacing="0"/>
              <w:jc w:val="both"/>
              <w:rPr>
                <w:lang w:eastAsia="ru-RU"/>
              </w:rPr>
            </w:pPr>
            <w:r w:rsidRPr="001C7762">
              <w:rPr>
                <w:lang w:eastAsia="ru-RU"/>
              </w:rPr>
              <w:t>У разі виведення з експлуатації активу (елементів активу) регуляторної бази активів, яка створена на дату переходу до стимулюючого регулювання, у зв'язку із тимчасовим припиненням його використання (без демонтажу) відновлення нарахування регуляторної норми доходу на регуляторну базу активів, яка створена до переходу до стимулюючого регулювання, та амортизації на суму вартості цих активів (елементів активу) відбувається з року, наступного за роком, у якому відбулось введення в експлуатацію таких активів (елементів активу).</w:t>
            </w:r>
          </w:p>
          <w:p w14:paraId="08976DFE" w14:textId="77777777" w:rsidR="008511CD" w:rsidRPr="001C7762" w:rsidRDefault="008511CD" w:rsidP="00BC5261">
            <w:pPr>
              <w:pStyle w:val="tj"/>
              <w:spacing w:before="0" w:beforeAutospacing="0" w:after="0" w:afterAutospacing="0"/>
              <w:jc w:val="both"/>
              <w:rPr>
                <w:strike/>
                <w:lang w:eastAsia="ru-RU"/>
              </w:rPr>
            </w:pPr>
          </w:p>
          <w:p w14:paraId="34635C27" w14:textId="77777777" w:rsidR="008511CD" w:rsidRPr="001C7762" w:rsidRDefault="008511CD" w:rsidP="00BC5261">
            <w:pPr>
              <w:pStyle w:val="tj"/>
              <w:spacing w:before="0" w:beforeAutospacing="0" w:after="0" w:afterAutospacing="0"/>
              <w:jc w:val="both"/>
              <w:rPr>
                <w:b/>
                <w:bCs/>
                <w:lang w:eastAsia="ru-RU"/>
              </w:rPr>
            </w:pPr>
            <w:r w:rsidRPr="001C7762">
              <w:rPr>
                <w:b/>
                <w:bCs/>
                <w:lang w:eastAsia="ru-RU"/>
              </w:rPr>
              <w:t>відсутній</w:t>
            </w:r>
          </w:p>
          <w:p w14:paraId="62D30474" w14:textId="77777777" w:rsidR="008511CD" w:rsidRPr="001C7762" w:rsidRDefault="008511CD" w:rsidP="00BC5261">
            <w:pPr>
              <w:pStyle w:val="tj"/>
              <w:spacing w:before="0" w:beforeAutospacing="0" w:after="0" w:afterAutospacing="0"/>
              <w:jc w:val="both"/>
              <w:rPr>
                <w:strike/>
                <w:lang w:eastAsia="ru-RU"/>
              </w:rPr>
            </w:pPr>
          </w:p>
          <w:p w14:paraId="44434B76" w14:textId="77777777" w:rsidR="008511CD" w:rsidRPr="001C7762" w:rsidRDefault="008511CD" w:rsidP="00BC5261">
            <w:pPr>
              <w:rPr>
                <w:lang w:val="uk-UA"/>
              </w:rPr>
            </w:pPr>
          </w:p>
        </w:tc>
        <w:tc>
          <w:tcPr>
            <w:tcW w:w="7654" w:type="dxa"/>
          </w:tcPr>
          <w:p w14:paraId="545ED07F" w14:textId="77777777" w:rsidR="008511CD" w:rsidRPr="001C7762" w:rsidRDefault="008511CD" w:rsidP="00BC5261">
            <w:pPr>
              <w:pStyle w:val="tj"/>
              <w:spacing w:before="0" w:beforeAutospacing="0" w:after="0" w:afterAutospacing="0"/>
              <w:jc w:val="both"/>
              <w:rPr>
                <w:lang w:eastAsia="ru-RU"/>
              </w:rPr>
            </w:pPr>
            <w:r w:rsidRPr="001C7762">
              <w:rPr>
                <w:lang w:eastAsia="ru-RU"/>
              </w:rPr>
              <w:lastRenderedPageBreak/>
              <w:t>2.10. Після переходу до стимулюючого регулювання у разі виведення з експлуатації активу (елементів активу) регуляторної бази активів, яка створена на дату переходу до стимулюючого регулювання, регуляторна норма доходу на регуляторну базу активів, яка створена на дату переходу до стимулюючого регулювання, та амортизація на суму вартості цих активів (елементів активу) не нараховуються, починаючи з року, наступного за роком, у якому відбулось виведення з експлуатації цього активу (елементів активу).</w:t>
            </w:r>
          </w:p>
          <w:p w14:paraId="547189BA" w14:textId="77777777" w:rsidR="008511CD" w:rsidRPr="001C7762" w:rsidRDefault="008511CD" w:rsidP="00BC5261">
            <w:pPr>
              <w:pStyle w:val="tj"/>
              <w:spacing w:before="0" w:beforeAutospacing="0" w:after="0" w:afterAutospacing="0"/>
              <w:jc w:val="both"/>
              <w:rPr>
                <w:lang w:eastAsia="ru-RU"/>
              </w:rPr>
            </w:pPr>
          </w:p>
          <w:p w14:paraId="22BD8C7F" w14:textId="57E8A65B" w:rsidR="008511CD" w:rsidRPr="001C7762" w:rsidRDefault="008511CD" w:rsidP="00BC5261">
            <w:pPr>
              <w:pStyle w:val="tj"/>
              <w:spacing w:before="0" w:beforeAutospacing="0" w:after="0" w:afterAutospacing="0"/>
              <w:jc w:val="both"/>
              <w:rPr>
                <w:lang w:eastAsia="ru-RU"/>
              </w:rPr>
            </w:pPr>
            <w:r w:rsidRPr="001C7762">
              <w:rPr>
                <w:lang w:eastAsia="ru-RU"/>
              </w:rPr>
              <w:t xml:space="preserve">У разі виведення з експлуатації активу (елементів активу) регуляторної бази активів, яка створена на дату переходу до стимулюючого регулювання, у зв'язку із тимчасовим припиненням його використання </w:t>
            </w:r>
            <w:r w:rsidRPr="001C7762">
              <w:rPr>
                <w:b/>
                <w:bCs/>
                <w:lang w:eastAsia="ru-RU"/>
              </w:rPr>
              <w:t>(щодо нерухомого майна – без демонтажу)</w:t>
            </w:r>
            <w:r w:rsidRPr="001C7762">
              <w:rPr>
                <w:lang w:eastAsia="ru-RU"/>
              </w:rPr>
              <w:t xml:space="preserve"> відновлення нарахування регуляторної норми доходу на регуляторну базу активів, яка створена до переходу до стимулюючого регулювання, та амортизації на суму вартості цих активів (елементів активу) відбувається з року, наступного за роком, у якому відбулось </w:t>
            </w:r>
            <w:r w:rsidRPr="001C7762">
              <w:rPr>
                <w:b/>
                <w:bCs/>
                <w:lang w:eastAsia="ru-RU"/>
              </w:rPr>
              <w:t>повторне</w:t>
            </w:r>
            <w:r w:rsidRPr="001C7762">
              <w:rPr>
                <w:lang w:eastAsia="ru-RU"/>
              </w:rPr>
              <w:t xml:space="preserve"> введення в експлуатацію таких активів (елементів активу).</w:t>
            </w:r>
          </w:p>
          <w:p w14:paraId="5CC3BB80" w14:textId="77777777" w:rsidR="008511CD" w:rsidRPr="001C7762" w:rsidRDefault="008511CD" w:rsidP="00BC5261">
            <w:pPr>
              <w:pStyle w:val="tj"/>
              <w:spacing w:before="0" w:beforeAutospacing="0" w:after="0" w:afterAutospacing="0"/>
              <w:jc w:val="both"/>
              <w:rPr>
                <w:lang w:eastAsia="ru-RU"/>
              </w:rPr>
            </w:pPr>
          </w:p>
          <w:p w14:paraId="5BFD15C2" w14:textId="451D0CB1" w:rsidR="008511CD" w:rsidRPr="001C7762" w:rsidRDefault="008511CD" w:rsidP="00BC5261">
            <w:pPr>
              <w:pStyle w:val="tj"/>
              <w:spacing w:before="0" w:beforeAutospacing="0" w:after="0" w:afterAutospacing="0"/>
              <w:jc w:val="both"/>
              <w:rPr>
                <w:b/>
                <w:bCs/>
                <w:lang w:eastAsia="ru-RU"/>
              </w:rPr>
            </w:pPr>
            <w:r w:rsidRPr="001C7762">
              <w:rPr>
                <w:b/>
                <w:bCs/>
                <w:lang w:eastAsia="ru-RU"/>
              </w:rPr>
              <w:lastRenderedPageBreak/>
              <w:t>Повторне введення (повернення) в експлуатацію активу (елемент</w:t>
            </w:r>
            <w:r w:rsidR="000D7C1D">
              <w:rPr>
                <w:b/>
                <w:bCs/>
                <w:lang w:eastAsia="ru-RU"/>
              </w:rPr>
              <w:t>ів</w:t>
            </w:r>
            <w:r w:rsidRPr="001C7762">
              <w:rPr>
                <w:b/>
                <w:bCs/>
                <w:lang w:eastAsia="ru-RU"/>
              </w:rPr>
              <w:t xml:space="preserve"> активу) до складу регуляторної бази активів, яка створена на дату переходу до стимулюючого регулювання, у зв'язку із тимчасовим припиненням його використання (щодо нерухомого майна – без демонтажу), відбувається по залишковій вартості за регуляторним обліком</w:t>
            </w:r>
            <w:r w:rsidRPr="001C7762">
              <w:rPr>
                <w:lang w:eastAsia="ru-RU"/>
              </w:rPr>
              <w:t xml:space="preserve"> </w:t>
            </w:r>
            <w:r w:rsidRPr="001C7762">
              <w:rPr>
                <w:b/>
                <w:bCs/>
                <w:lang w:eastAsia="ru-RU"/>
              </w:rPr>
              <w:t>на дату тимчасового припинення його використання.</w:t>
            </w:r>
          </w:p>
          <w:p w14:paraId="43666FFC" w14:textId="77777777" w:rsidR="008511CD" w:rsidRPr="001C7762" w:rsidRDefault="008511CD" w:rsidP="00BC5261">
            <w:pPr>
              <w:pStyle w:val="tj"/>
              <w:spacing w:before="0" w:beforeAutospacing="0" w:after="0" w:afterAutospacing="0"/>
              <w:jc w:val="both"/>
              <w:rPr>
                <w:b/>
                <w:bCs/>
                <w:u w:val="single"/>
                <w:lang w:eastAsia="ru-RU"/>
              </w:rPr>
            </w:pPr>
          </w:p>
          <w:p w14:paraId="64B2D8B7" w14:textId="44673664" w:rsidR="008511CD" w:rsidRPr="001C7762" w:rsidRDefault="008511CD" w:rsidP="001C7762">
            <w:pPr>
              <w:shd w:val="clear" w:color="auto" w:fill="FFFFFF"/>
              <w:jc w:val="both"/>
              <w:rPr>
                <w:lang w:val="uk-UA"/>
              </w:rPr>
            </w:pPr>
            <w:r w:rsidRPr="001C7762">
              <w:rPr>
                <w:b/>
                <w:bCs/>
                <w:lang w:val="uk-UA"/>
              </w:rPr>
              <w:t>Амортизація на суму вартості повторно введених (повернутих) в експлуатацію активів (елементів активу)</w:t>
            </w:r>
            <w:r w:rsidRPr="001C7762">
              <w:rPr>
                <w:lang w:val="uk-UA"/>
              </w:rPr>
              <w:t xml:space="preserve"> </w:t>
            </w:r>
            <w:r w:rsidRPr="001C7762">
              <w:rPr>
                <w:b/>
                <w:bCs/>
                <w:lang w:val="uk-UA"/>
              </w:rPr>
              <w:t xml:space="preserve">розраховується </w:t>
            </w:r>
            <w:r w:rsidRPr="000D7C1D">
              <w:rPr>
                <w:b/>
                <w:bCs/>
                <w:lang w:val="uk-UA"/>
              </w:rPr>
              <w:t>з урахуванням</w:t>
            </w:r>
            <w:r w:rsidR="00547ACB" w:rsidRPr="000D7C1D">
              <w:rPr>
                <w:b/>
                <w:bCs/>
                <w:lang w:val="uk-UA"/>
              </w:rPr>
              <w:t xml:space="preserve"> </w:t>
            </w:r>
            <w:r w:rsidR="00547ACB" w:rsidRPr="001C7762">
              <w:rPr>
                <w:b/>
                <w:bCs/>
                <w:lang w:val="uk-UA"/>
              </w:rPr>
              <w:t xml:space="preserve">первісної вартості </w:t>
            </w:r>
            <w:r w:rsidR="00F549E8" w:rsidRPr="001C7762">
              <w:rPr>
                <w:b/>
                <w:bCs/>
                <w:lang w:val="uk-UA"/>
              </w:rPr>
              <w:t>активів (</w:t>
            </w:r>
            <m:oMath>
              <m:sSubSup>
                <m:sSubSupPr>
                  <m:ctrlPr>
                    <w:rPr>
                      <w:rFonts w:ascii="Cambria Math" w:hAnsi="Cambria Math"/>
                      <w:b/>
                      <w:i/>
                    </w:rPr>
                  </m:ctrlPr>
                </m:sSubSupPr>
                <m:e>
                  <m:r>
                    <m:rPr>
                      <m:sty m:val="bi"/>
                    </m:rPr>
                    <w:rPr>
                      <w:rFonts w:ascii="Cambria Math" w:hAnsi="Cambria Math"/>
                    </w:rPr>
                    <m:t>I</m:t>
                  </m:r>
                </m:e>
                <m:sub>
                  <m:r>
                    <m:rPr>
                      <m:sty m:val="bi"/>
                    </m:rPr>
                    <w:rPr>
                      <w:rFonts w:ascii="Cambria Math" w:hAnsi="Cambria Math"/>
                      <w:lang w:val="uk-UA"/>
                    </w:rPr>
                    <m:t xml:space="preserve">ВП </m:t>
                  </m:r>
                  <m:r>
                    <m:rPr>
                      <m:sty m:val="bi"/>
                    </m:rPr>
                    <w:rPr>
                      <w:rFonts w:ascii="Cambria Math" w:hAnsi="Cambria Math"/>
                    </w:rPr>
                    <m:t>t</m:t>
                  </m:r>
                  <m:r>
                    <m:rPr>
                      <m:sty m:val="bi"/>
                    </m:rPr>
                    <w:rPr>
                      <w:rFonts w:ascii="Cambria Math" w:hAnsi="Cambria Math"/>
                      <w:lang w:val="uk-UA"/>
                    </w:rPr>
                    <m:t>-</m:t>
                  </m:r>
                  <m:r>
                    <m:rPr>
                      <m:sty m:val="bi"/>
                    </m:rPr>
                    <w:rPr>
                      <w:rFonts w:ascii="Cambria Math" w:hAnsi="Cambria Math"/>
                    </w:rPr>
                    <m:t>1</m:t>
                  </m:r>
                </m:sub>
                <m:sup>
                  <m:r>
                    <m:rPr>
                      <m:sty m:val="bi"/>
                    </m:rPr>
                    <w:rPr>
                      <w:rFonts w:ascii="Cambria Math" w:hAnsi="Cambria Math"/>
                    </w:rPr>
                    <m:t>0</m:t>
                  </m:r>
                  <m:r>
                    <m:rPr>
                      <m:sty m:val="bi"/>
                    </m:rPr>
                    <w:rPr>
                      <w:rFonts w:ascii="Cambria Math" w:hAnsi="Cambria Math"/>
                      <w:lang w:val="uk-UA"/>
                    </w:rPr>
                    <m:t xml:space="preserve"> п</m:t>
                  </m:r>
                </m:sup>
              </m:sSubSup>
            </m:oMath>
            <w:r w:rsidR="00F549E8" w:rsidRPr="001C7762">
              <w:rPr>
                <w:b/>
                <w:lang w:val="uk-UA"/>
              </w:rPr>
              <w:t xml:space="preserve">), </w:t>
            </w:r>
            <w:r w:rsidR="00F549E8" w:rsidRPr="001C7762">
              <w:rPr>
                <w:b/>
                <w:bCs/>
                <w:lang w:val="uk-UA" w:eastAsia="uk-UA"/>
              </w:rPr>
              <w:t xml:space="preserve">створених до дати переходу до стимулюючого регулювання, згідно з пунктами 2.8 та 2.9 цього розділу (із застосуванням прямолінійного методу </w:t>
            </w:r>
            <w:r w:rsidR="00F549E8" w:rsidRPr="001C7762">
              <w:rPr>
                <w:b/>
                <w:bCs/>
                <w:lang w:val="uk-UA"/>
              </w:rPr>
              <w:t>щорічно</w:t>
            </w:r>
            <w:r w:rsidR="00F549E8" w:rsidRPr="001C7762">
              <w:rPr>
                <w:b/>
                <w:bCs/>
                <w:lang w:val="uk-UA" w:eastAsia="uk-UA"/>
              </w:rPr>
              <w:t>).</w:t>
            </w:r>
          </w:p>
        </w:tc>
      </w:tr>
      <w:tr w:rsidR="001C7762" w:rsidRPr="001C7762" w14:paraId="438BF310" w14:textId="77777777" w:rsidTr="00F549E8">
        <w:tc>
          <w:tcPr>
            <w:tcW w:w="7655" w:type="dxa"/>
          </w:tcPr>
          <w:p w14:paraId="1312B559" w14:textId="77777777" w:rsidR="008511CD" w:rsidRPr="001C7762" w:rsidRDefault="008511CD" w:rsidP="00BC5261">
            <w:pPr>
              <w:pStyle w:val="tj"/>
              <w:spacing w:before="0" w:beforeAutospacing="0" w:after="0" w:afterAutospacing="0"/>
              <w:jc w:val="both"/>
              <w:rPr>
                <w:lang w:eastAsia="ru-RU"/>
              </w:rPr>
            </w:pPr>
            <w:r w:rsidRPr="001C7762">
              <w:rPr>
                <w:lang w:eastAsia="ru-RU"/>
              </w:rPr>
              <w:lastRenderedPageBreak/>
              <w:t>2.13. Вартість виведених окремих елементів активів, включених до регуляторної бази активів на дату переходу до стимулюючого регулювання на підставі даних звіту про незалежну оцінку активів, визначається (затверджується) технічною комісією як добуток питомої ваги (відсотка) окремого компонента підстанції (трансформатора, вимикача тощо), який виводиться, та вартості активу на кінець року, у якому відбулось виведення частини активу.</w:t>
            </w:r>
          </w:p>
          <w:p w14:paraId="4FC3DE70" w14:textId="77777777" w:rsidR="008511CD" w:rsidRPr="001C7762" w:rsidRDefault="008511CD" w:rsidP="00BC5261">
            <w:pPr>
              <w:pStyle w:val="tj"/>
              <w:spacing w:before="0" w:beforeAutospacing="0" w:after="0" w:afterAutospacing="0"/>
              <w:jc w:val="both"/>
              <w:rPr>
                <w:lang w:eastAsia="ru-RU"/>
              </w:rPr>
            </w:pPr>
            <w:r w:rsidRPr="001C7762">
              <w:rPr>
                <w:lang w:eastAsia="ru-RU"/>
              </w:rPr>
              <w:t>Вартість виведених окремих елементів активів, включених до регуляторної бази активів після проведення незалежної оцінки активів, визначається на підставі актів виконаних робіт та актів вартості устаткування зі створення цих активів з урахуванням зносу за відповідний період та затверджується технічною комісією.</w:t>
            </w:r>
          </w:p>
          <w:p w14:paraId="283956FD" w14:textId="77777777" w:rsidR="008511CD" w:rsidRPr="001C7762" w:rsidRDefault="008511CD" w:rsidP="00BC5261">
            <w:pPr>
              <w:pStyle w:val="tj"/>
              <w:spacing w:before="0" w:beforeAutospacing="0" w:after="0" w:afterAutospacing="0"/>
              <w:jc w:val="both"/>
              <w:rPr>
                <w:lang w:eastAsia="ru-RU"/>
              </w:rPr>
            </w:pPr>
          </w:p>
          <w:p w14:paraId="3ACAFBC1" w14:textId="77777777" w:rsidR="008511CD" w:rsidRPr="001C7762" w:rsidRDefault="008511CD" w:rsidP="00BC5261">
            <w:pPr>
              <w:pStyle w:val="tj"/>
              <w:spacing w:before="0" w:beforeAutospacing="0" w:after="0" w:afterAutospacing="0"/>
              <w:jc w:val="both"/>
              <w:rPr>
                <w:b/>
                <w:bCs/>
                <w:lang w:eastAsia="ru-RU"/>
              </w:rPr>
            </w:pPr>
            <w:r w:rsidRPr="001C7762">
              <w:rPr>
                <w:b/>
                <w:bCs/>
                <w:lang w:eastAsia="ru-RU"/>
              </w:rPr>
              <w:t>відсутній</w:t>
            </w:r>
          </w:p>
          <w:p w14:paraId="1828FEC5" w14:textId="77777777" w:rsidR="008511CD" w:rsidRPr="001C7762" w:rsidRDefault="008511CD" w:rsidP="00BC5261">
            <w:pPr>
              <w:pStyle w:val="tj"/>
              <w:spacing w:before="0" w:beforeAutospacing="0" w:after="0" w:afterAutospacing="0"/>
              <w:jc w:val="both"/>
              <w:rPr>
                <w:lang w:eastAsia="ru-RU"/>
              </w:rPr>
            </w:pPr>
          </w:p>
          <w:p w14:paraId="77C2955E" w14:textId="77777777" w:rsidR="008511CD" w:rsidRPr="001C7762" w:rsidRDefault="008511CD" w:rsidP="00BC5261">
            <w:pPr>
              <w:pStyle w:val="tj"/>
              <w:spacing w:before="0" w:beforeAutospacing="0" w:after="0" w:afterAutospacing="0"/>
              <w:jc w:val="both"/>
              <w:rPr>
                <w:lang w:eastAsia="ru-RU"/>
              </w:rPr>
            </w:pPr>
          </w:p>
          <w:p w14:paraId="7EE93420" w14:textId="77777777" w:rsidR="008511CD" w:rsidRPr="001C7762" w:rsidRDefault="008511CD" w:rsidP="00BC5261">
            <w:pPr>
              <w:pStyle w:val="tj"/>
              <w:spacing w:before="0" w:beforeAutospacing="0" w:after="0" w:afterAutospacing="0"/>
              <w:jc w:val="both"/>
              <w:rPr>
                <w:lang w:eastAsia="ru-RU"/>
              </w:rPr>
            </w:pPr>
          </w:p>
          <w:p w14:paraId="5381AEED" w14:textId="77777777" w:rsidR="008511CD" w:rsidRPr="001C7762" w:rsidRDefault="008511CD" w:rsidP="00BC5261">
            <w:pPr>
              <w:pStyle w:val="tj"/>
              <w:spacing w:before="0" w:beforeAutospacing="0" w:after="0" w:afterAutospacing="0"/>
              <w:jc w:val="both"/>
              <w:rPr>
                <w:lang w:eastAsia="ru-RU"/>
              </w:rPr>
            </w:pPr>
          </w:p>
          <w:p w14:paraId="4B4F7858" w14:textId="77777777" w:rsidR="008511CD" w:rsidRPr="001C7762" w:rsidRDefault="008511CD" w:rsidP="00BC5261">
            <w:pPr>
              <w:pStyle w:val="tj"/>
              <w:spacing w:before="0" w:beforeAutospacing="0" w:after="0" w:afterAutospacing="0"/>
              <w:jc w:val="both"/>
              <w:rPr>
                <w:lang w:eastAsia="ru-RU"/>
              </w:rPr>
            </w:pPr>
          </w:p>
          <w:p w14:paraId="73355E8C" w14:textId="05D41AE8" w:rsidR="008511CD" w:rsidRPr="001C7762" w:rsidRDefault="008511CD" w:rsidP="00BC5261">
            <w:pPr>
              <w:pStyle w:val="tj"/>
              <w:spacing w:before="0" w:beforeAutospacing="0" w:after="0" w:afterAutospacing="0"/>
              <w:jc w:val="both"/>
              <w:rPr>
                <w:lang w:eastAsia="ru-RU"/>
              </w:rPr>
            </w:pPr>
            <w:r w:rsidRPr="001C7762">
              <w:rPr>
                <w:lang w:eastAsia="ru-RU"/>
              </w:rPr>
              <w:t xml:space="preserve">Склад технічної комісії затверджується наказом підприємства. До складу технічної комісії входять представники підприємства у складі не менше </w:t>
            </w:r>
            <w:r w:rsidRPr="001C7762">
              <w:rPr>
                <w:lang w:eastAsia="ru-RU"/>
              </w:rPr>
              <w:lastRenderedPageBreak/>
              <w:t>5 осіб (у тому числі головний бухгалтер). Очолює комісію технічний директор.</w:t>
            </w:r>
          </w:p>
          <w:p w14:paraId="617920C3" w14:textId="77777777" w:rsidR="008511CD" w:rsidRPr="001C7762" w:rsidRDefault="008511CD" w:rsidP="00BC5261">
            <w:pPr>
              <w:pStyle w:val="tj"/>
              <w:spacing w:before="0" w:beforeAutospacing="0" w:after="0" w:afterAutospacing="0"/>
              <w:jc w:val="both"/>
              <w:rPr>
                <w:b/>
                <w:bCs/>
                <w:lang w:eastAsia="ru-RU"/>
              </w:rPr>
            </w:pPr>
          </w:p>
          <w:p w14:paraId="7EEAB513" w14:textId="77777777" w:rsidR="008511CD" w:rsidRPr="001C7762" w:rsidRDefault="008511CD" w:rsidP="00BC5261">
            <w:pPr>
              <w:pStyle w:val="tj"/>
              <w:spacing w:before="0" w:beforeAutospacing="0" w:after="0" w:afterAutospacing="0"/>
              <w:jc w:val="both"/>
              <w:rPr>
                <w:b/>
                <w:bCs/>
                <w:lang w:eastAsia="ru-RU"/>
              </w:rPr>
            </w:pPr>
          </w:p>
          <w:p w14:paraId="0D318ABF" w14:textId="77777777" w:rsidR="008511CD" w:rsidRPr="001C7762" w:rsidRDefault="008511CD" w:rsidP="00BC5261">
            <w:pPr>
              <w:pStyle w:val="tj"/>
              <w:spacing w:before="0" w:beforeAutospacing="0" w:after="0" w:afterAutospacing="0"/>
              <w:jc w:val="both"/>
              <w:rPr>
                <w:b/>
                <w:bCs/>
                <w:lang w:eastAsia="ru-RU"/>
              </w:rPr>
            </w:pPr>
            <w:r w:rsidRPr="001C7762">
              <w:rPr>
                <w:b/>
                <w:bCs/>
                <w:lang w:eastAsia="ru-RU"/>
              </w:rPr>
              <w:t>відсутній</w:t>
            </w:r>
          </w:p>
          <w:p w14:paraId="61DFF861" w14:textId="77777777" w:rsidR="008511CD" w:rsidRPr="001C7762" w:rsidRDefault="008511CD" w:rsidP="00BC5261">
            <w:pPr>
              <w:rPr>
                <w:lang w:val="uk-UA"/>
              </w:rPr>
            </w:pPr>
          </w:p>
        </w:tc>
        <w:tc>
          <w:tcPr>
            <w:tcW w:w="7654" w:type="dxa"/>
          </w:tcPr>
          <w:p w14:paraId="40A48A24" w14:textId="77777777" w:rsidR="008511CD" w:rsidRPr="001C7762" w:rsidRDefault="008511CD" w:rsidP="00BC5261">
            <w:pPr>
              <w:pStyle w:val="tj"/>
              <w:spacing w:before="0" w:beforeAutospacing="0" w:after="0" w:afterAutospacing="0"/>
              <w:jc w:val="both"/>
              <w:rPr>
                <w:lang w:eastAsia="ru-RU"/>
              </w:rPr>
            </w:pPr>
            <w:r w:rsidRPr="001C7762">
              <w:rPr>
                <w:lang w:eastAsia="ru-RU"/>
              </w:rPr>
              <w:lastRenderedPageBreak/>
              <w:t>2.13. Вартість виведених окремих елементів активів, включених до регуляторної бази активів на дату переходу до стимулюючого регулювання на підставі даних звіту про незалежну оцінку активів, визначається (затверджується) технічною комісією як добуток питомої ваги (відсотка) окремого компонента підстанції (трансформатора, вимикача тощо), який виводиться, та вартості активу на кінець року, у якому відбулось виведення частини активу.</w:t>
            </w:r>
          </w:p>
          <w:p w14:paraId="03546F3C" w14:textId="77777777" w:rsidR="008511CD" w:rsidRPr="001C7762" w:rsidRDefault="008511CD" w:rsidP="00BC5261">
            <w:pPr>
              <w:pStyle w:val="tj"/>
              <w:spacing w:before="0" w:beforeAutospacing="0" w:after="0" w:afterAutospacing="0"/>
              <w:jc w:val="both"/>
              <w:rPr>
                <w:lang w:eastAsia="ru-RU"/>
              </w:rPr>
            </w:pPr>
            <w:r w:rsidRPr="001C7762">
              <w:rPr>
                <w:lang w:eastAsia="ru-RU"/>
              </w:rPr>
              <w:t>Вартість виведених окремих елементів активів, включених до регуляторної бази активів після проведення незалежної оцінки активів, визначається на підставі актів виконаних робіт та актів вартості устаткування зі створення цих активів з урахуванням зносу за відповідний період та затверджується технічною комісією.</w:t>
            </w:r>
          </w:p>
          <w:p w14:paraId="593BF057" w14:textId="77777777" w:rsidR="008511CD" w:rsidRPr="001C7762" w:rsidRDefault="008511CD" w:rsidP="00BC5261">
            <w:pPr>
              <w:pStyle w:val="tj"/>
              <w:spacing w:before="0" w:beforeAutospacing="0" w:after="0" w:afterAutospacing="0"/>
              <w:jc w:val="both"/>
              <w:rPr>
                <w:lang w:eastAsia="ru-RU"/>
              </w:rPr>
            </w:pPr>
          </w:p>
          <w:p w14:paraId="5B89237A" w14:textId="666AD1BA" w:rsidR="008511CD" w:rsidRPr="001C7762" w:rsidRDefault="008511CD" w:rsidP="00BC5261">
            <w:pPr>
              <w:pStyle w:val="tj"/>
              <w:spacing w:before="0" w:beforeAutospacing="0" w:after="0" w:afterAutospacing="0"/>
              <w:jc w:val="both"/>
              <w:rPr>
                <w:b/>
                <w:bCs/>
                <w:lang w:eastAsia="ru-RU"/>
              </w:rPr>
            </w:pPr>
            <w:r w:rsidRPr="001C7762">
              <w:rPr>
                <w:b/>
                <w:bCs/>
                <w:lang w:eastAsia="ru-RU"/>
              </w:rPr>
              <w:t>Вартість</w:t>
            </w:r>
            <w:r w:rsidR="00F549E8" w:rsidRPr="001C7762">
              <w:rPr>
                <w:b/>
                <w:bCs/>
                <w:lang w:eastAsia="ru-RU"/>
              </w:rPr>
              <w:t xml:space="preserve"> </w:t>
            </w:r>
            <w:r w:rsidRPr="001C7762">
              <w:rPr>
                <w:b/>
                <w:bCs/>
                <w:lang w:eastAsia="ru-RU"/>
              </w:rPr>
              <w:t>створених активів (елементів активу)</w:t>
            </w:r>
            <w:r w:rsidRPr="001C7762">
              <w:t xml:space="preserve"> </w:t>
            </w:r>
            <w:r w:rsidRPr="001C7762">
              <w:rPr>
                <w:b/>
                <w:bCs/>
              </w:rPr>
              <w:t>отриманих на</w:t>
            </w:r>
            <w:r w:rsidRPr="001C7762">
              <w:t xml:space="preserve"> </w:t>
            </w:r>
            <w:r w:rsidRPr="001C7762">
              <w:rPr>
                <w:b/>
                <w:bCs/>
                <w:lang w:eastAsia="ru-RU"/>
              </w:rPr>
              <w:t>безоплатній (безповоротній) основі (у тому числі у рамках гуманітарної допомоги), визначається відповідно до первинної документації на дату її отримання або на підставі справедливої вартості</w:t>
            </w:r>
            <w:r w:rsidR="00F706D8">
              <w:rPr>
                <w:b/>
                <w:bCs/>
                <w:lang w:eastAsia="ru-RU"/>
              </w:rPr>
              <w:t xml:space="preserve"> </w:t>
            </w:r>
            <w:r w:rsidR="00067A52" w:rsidRPr="000D7C1D">
              <w:rPr>
                <w:b/>
                <w:bCs/>
                <w:lang w:eastAsia="ru-RU"/>
              </w:rPr>
              <w:t xml:space="preserve">відповідно </w:t>
            </w:r>
            <w:r w:rsidR="00F706D8" w:rsidRPr="000D7C1D">
              <w:rPr>
                <w:b/>
                <w:bCs/>
                <w:lang w:eastAsia="ru-RU"/>
              </w:rPr>
              <w:t>до положень (стандартів) бухгалтерського обліку</w:t>
            </w:r>
            <w:r w:rsidRPr="000D7C1D">
              <w:rPr>
                <w:b/>
                <w:bCs/>
                <w:lang w:eastAsia="ru-RU"/>
              </w:rPr>
              <w:t xml:space="preserve"> </w:t>
            </w:r>
            <w:r w:rsidRPr="001C7762">
              <w:rPr>
                <w:b/>
                <w:bCs/>
                <w:lang w:eastAsia="ru-RU"/>
              </w:rPr>
              <w:t>та затверджується технічною комісією.</w:t>
            </w:r>
          </w:p>
          <w:p w14:paraId="1A685AD8" w14:textId="77777777" w:rsidR="008511CD" w:rsidRPr="001C7762" w:rsidRDefault="008511CD" w:rsidP="00BC5261">
            <w:pPr>
              <w:pStyle w:val="tj"/>
              <w:spacing w:before="0" w:beforeAutospacing="0" w:after="0" w:afterAutospacing="0"/>
              <w:jc w:val="both"/>
              <w:rPr>
                <w:lang w:eastAsia="ru-RU"/>
              </w:rPr>
            </w:pPr>
          </w:p>
          <w:p w14:paraId="3722E9DF" w14:textId="5DB4DE23" w:rsidR="008511CD" w:rsidRPr="001C7762" w:rsidRDefault="008511CD" w:rsidP="00BC5261">
            <w:pPr>
              <w:pStyle w:val="tj"/>
              <w:spacing w:before="0" w:beforeAutospacing="0" w:after="0" w:afterAutospacing="0"/>
              <w:jc w:val="both"/>
              <w:rPr>
                <w:b/>
                <w:bCs/>
                <w:lang w:eastAsia="ru-RU"/>
              </w:rPr>
            </w:pPr>
            <w:r w:rsidRPr="001C7762">
              <w:rPr>
                <w:lang w:eastAsia="ru-RU"/>
              </w:rPr>
              <w:lastRenderedPageBreak/>
              <w:t>Склад технічної комісії затверджується наказом підприємства. До складу технічної комісії входять представники підприємства у складі не менше 5 осіб (у тому числі головний бухгалтер). Очолює комісію технічний директор</w:t>
            </w:r>
            <w:r w:rsidRPr="001C7762">
              <w:rPr>
                <w:b/>
                <w:bCs/>
                <w:lang w:eastAsia="ru-RU"/>
              </w:rPr>
              <w:t xml:space="preserve"> або інша уповноважена особа з аналогічними функціональними обов’язками. </w:t>
            </w:r>
          </w:p>
          <w:p w14:paraId="5172CEBA" w14:textId="77777777" w:rsidR="008511CD" w:rsidRPr="001C7762" w:rsidRDefault="008511CD" w:rsidP="00BC5261">
            <w:pPr>
              <w:pStyle w:val="tj"/>
              <w:spacing w:before="0" w:beforeAutospacing="0" w:after="0" w:afterAutospacing="0"/>
              <w:jc w:val="both"/>
              <w:rPr>
                <w:b/>
                <w:bCs/>
                <w:lang w:eastAsia="ru-RU"/>
              </w:rPr>
            </w:pPr>
          </w:p>
          <w:p w14:paraId="68489513" w14:textId="23160DF9" w:rsidR="008511CD" w:rsidRPr="001C7762" w:rsidRDefault="008511CD" w:rsidP="00BC5261">
            <w:pPr>
              <w:jc w:val="both"/>
              <w:rPr>
                <w:lang w:val="uk-UA"/>
              </w:rPr>
            </w:pPr>
            <w:r w:rsidRPr="001C7762">
              <w:rPr>
                <w:b/>
                <w:bCs/>
                <w:lang w:val="uk-UA"/>
              </w:rPr>
              <w:t>Засідання технічної комісії проводиться не пізніше останнього календарного дня місяця кварталу в якому відбувається виведення/повторне введення</w:t>
            </w:r>
            <w:r w:rsidRPr="001C7762">
              <w:rPr>
                <w:lang w:val="uk-UA"/>
              </w:rPr>
              <w:t xml:space="preserve"> </w:t>
            </w:r>
            <w:r w:rsidRPr="001C7762">
              <w:rPr>
                <w:b/>
                <w:bCs/>
                <w:lang w:val="uk-UA"/>
              </w:rPr>
              <w:t xml:space="preserve">активів (елементів активу). </w:t>
            </w:r>
          </w:p>
        </w:tc>
      </w:tr>
      <w:tr w:rsidR="001C7762" w:rsidRPr="000D7C1D" w14:paraId="1987B18F" w14:textId="77777777" w:rsidTr="00F549E8">
        <w:tc>
          <w:tcPr>
            <w:tcW w:w="7655" w:type="dxa"/>
          </w:tcPr>
          <w:p w14:paraId="006A940F" w14:textId="15FCA0A0" w:rsidR="008511CD" w:rsidRPr="001C7762" w:rsidRDefault="008511CD" w:rsidP="00BC5261">
            <w:pPr>
              <w:shd w:val="clear" w:color="auto" w:fill="FFFFFF"/>
              <w:jc w:val="center"/>
              <w:outlineLvl w:val="2"/>
              <w:rPr>
                <w:b/>
                <w:bCs/>
                <w:lang w:val="uk-UA" w:eastAsia="uk-UA"/>
              </w:rPr>
            </w:pPr>
            <w:r w:rsidRPr="001C7762">
              <w:rPr>
                <w:b/>
                <w:bCs/>
                <w:lang w:val="uk-UA" w:eastAsia="uk-UA"/>
              </w:rPr>
              <w:lastRenderedPageBreak/>
              <w:t>III. Визначення регуляторної бази активів, яка створена після переходу до стимулюючого регулювання</w:t>
            </w:r>
          </w:p>
          <w:p w14:paraId="13BEAFF6" w14:textId="77777777" w:rsidR="008511CD" w:rsidRPr="001C7762" w:rsidRDefault="008511CD" w:rsidP="00BC5261">
            <w:pPr>
              <w:shd w:val="clear" w:color="auto" w:fill="FFFFFF"/>
              <w:jc w:val="center"/>
              <w:outlineLvl w:val="2"/>
              <w:rPr>
                <w:lang w:val="uk-UA" w:eastAsia="uk-UA"/>
              </w:rPr>
            </w:pPr>
            <w:r w:rsidRPr="001C7762">
              <w:rPr>
                <w:b/>
                <w:bCs/>
                <w:lang w:val="uk-UA" w:eastAsia="uk-UA"/>
              </w:rPr>
              <w:t>…………………………………………….</w:t>
            </w:r>
          </w:p>
          <w:p w14:paraId="15711FCD" w14:textId="77777777" w:rsidR="008511CD" w:rsidRPr="001C7762" w:rsidRDefault="008511CD" w:rsidP="00BC5261">
            <w:pPr>
              <w:shd w:val="clear" w:color="auto" w:fill="FFFFFF"/>
              <w:jc w:val="both"/>
              <w:rPr>
                <w:lang w:val="uk-UA" w:eastAsia="uk-UA"/>
              </w:rPr>
            </w:pPr>
            <w:r w:rsidRPr="001C7762">
              <w:rPr>
                <w:lang w:val="uk-UA" w:eastAsia="uk-UA"/>
              </w:rPr>
              <w:t xml:space="preserve">3.2. Об'єкти незавершених капітальних інвестицій, вартість виконання робіт за якими була оплачена в межах виконання затвердженої, погодженої та схваленої відповідно до </w:t>
            </w:r>
            <w:hyperlink r:id="rId18" w:tgtFrame="_blank" w:history="1">
              <w:r w:rsidRPr="001C7762">
                <w:rPr>
                  <w:lang w:val="uk-UA" w:eastAsia="uk-UA"/>
                </w:rPr>
                <w:t>Порядку формування інвестиційних програм</w:t>
              </w:r>
            </w:hyperlink>
            <w:r w:rsidRPr="001C7762">
              <w:rPr>
                <w:lang w:val="uk-UA" w:eastAsia="uk-UA"/>
              </w:rPr>
              <w:t xml:space="preserve"> інвестиційної програми, у роках, наступних за роками після впровадження стимулюючого регулювання, можуть бути включені до складу регуляторної бази активів, яка створена після переходу до стимулюючого регулювання, у році, наступному після року їх введення в експлуатацію.</w:t>
            </w:r>
          </w:p>
          <w:p w14:paraId="56438F57" w14:textId="77777777" w:rsidR="008511CD" w:rsidRPr="001C7762" w:rsidRDefault="008511CD" w:rsidP="00BC5261">
            <w:pPr>
              <w:rPr>
                <w:lang w:val="uk-UA"/>
              </w:rPr>
            </w:pPr>
          </w:p>
        </w:tc>
        <w:tc>
          <w:tcPr>
            <w:tcW w:w="7654" w:type="dxa"/>
          </w:tcPr>
          <w:p w14:paraId="2FDDB9A1" w14:textId="243B12AF" w:rsidR="008511CD" w:rsidRPr="001C7762" w:rsidRDefault="008511CD" w:rsidP="00BC5261">
            <w:pPr>
              <w:shd w:val="clear" w:color="auto" w:fill="FFFFFF"/>
              <w:jc w:val="center"/>
              <w:outlineLvl w:val="2"/>
              <w:rPr>
                <w:b/>
                <w:bCs/>
                <w:lang w:val="uk-UA" w:eastAsia="uk-UA"/>
              </w:rPr>
            </w:pPr>
            <w:r w:rsidRPr="001C7762">
              <w:rPr>
                <w:b/>
                <w:bCs/>
                <w:lang w:val="uk-UA" w:eastAsia="uk-UA"/>
              </w:rPr>
              <w:t>III. Визначення регуляторної бази активів, яка створена після переходу до стимулюючого регулювання</w:t>
            </w:r>
          </w:p>
          <w:p w14:paraId="68270F85" w14:textId="77777777" w:rsidR="008511CD" w:rsidRPr="001C7762" w:rsidRDefault="008511CD" w:rsidP="00BC5261">
            <w:pPr>
              <w:shd w:val="clear" w:color="auto" w:fill="FFFFFF"/>
              <w:jc w:val="center"/>
              <w:outlineLvl w:val="2"/>
              <w:rPr>
                <w:lang w:val="uk-UA" w:eastAsia="uk-UA"/>
              </w:rPr>
            </w:pPr>
            <w:r w:rsidRPr="001C7762">
              <w:rPr>
                <w:b/>
                <w:bCs/>
                <w:lang w:val="uk-UA" w:eastAsia="uk-UA"/>
              </w:rPr>
              <w:t>…………………………………………….</w:t>
            </w:r>
          </w:p>
          <w:p w14:paraId="78DEE1C1" w14:textId="646B1AE6" w:rsidR="008511CD" w:rsidRPr="001C7762" w:rsidRDefault="008511CD" w:rsidP="00BC5261">
            <w:pPr>
              <w:shd w:val="clear" w:color="auto" w:fill="FFFFFF"/>
              <w:jc w:val="both"/>
              <w:rPr>
                <w:lang w:val="uk-UA"/>
              </w:rPr>
            </w:pPr>
            <w:r w:rsidRPr="001C7762">
              <w:rPr>
                <w:lang w:val="uk-UA" w:eastAsia="uk-UA"/>
              </w:rPr>
              <w:t xml:space="preserve">3.2. Об'єкти незавершених капітальних інвестицій </w:t>
            </w:r>
            <w:r w:rsidRPr="001C7762">
              <w:rPr>
                <w:b/>
                <w:bCs/>
                <w:lang w:val="uk-UA"/>
              </w:rPr>
              <w:t xml:space="preserve">(що враховують зокрема </w:t>
            </w:r>
            <w:proofErr w:type="spellStart"/>
            <w:r w:rsidRPr="001C7762">
              <w:rPr>
                <w:b/>
                <w:bCs/>
                <w:lang w:val="uk-UA"/>
              </w:rPr>
              <w:t>проєктно</w:t>
            </w:r>
            <w:proofErr w:type="spellEnd"/>
            <w:r w:rsidRPr="001C7762">
              <w:rPr>
                <w:b/>
                <w:bCs/>
                <w:lang w:val="uk-UA"/>
              </w:rPr>
              <w:t xml:space="preserve">-кошторисну документацію з виконання відповідних робіт, </w:t>
            </w:r>
            <w:proofErr w:type="spellStart"/>
            <w:r w:rsidRPr="001C7762">
              <w:rPr>
                <w:b/>
                <w:bCs/>
                <w:lang w:val="uk-UA"/>
              </w:rPr>
              <w:t>проєктно</w:t>
            </w:r>
            <w:proofErr w:type="spellEnd"/>
            <w:r w:rsidRPr="001C7762">
              <w:rPr>
                <w:b/>
                <w:bCs/>
                <w:lang w:val="uk-UA"/>
              </w:rPr>
              <w:t>-вишукувальні роботи)</w:t>
            </w:r>
            <w:r w:rsidRPr="001C7762">
              <w:rPr>
                <w:lang w:val="uk-UA" w:eastAsia="uk-UA"/>
              </w:rPr>
              <w:t xml:space="preserve">, вартість виконання робіт за якими була оплачена в межах виконання затвердженої, погодженої та схваленої відповідно до Порядку формування інвестиційних програм інвестиційної програми, у роках, наступних за роками після впровадження стимулюючого регулювання, можуть бути включені до складу регуляторної бази активів, яка створена після переходу до стимулюючого регулювання, </w:t>
            </w:r>
            <w:r w:rsidRPr="001C7762">
              <w:rPr>
                <w:b/>
                <w:lang w:val="uk-UA"/>
              </w:rPr>
              <w:t>у рамках</w:t>
            </w:r>
            <w:r w:rsidRPr="001C7762">
              <w:rPr>
                <w:lang w:val="uk-UA"/>
              </w:rPr>
              <w:t xml:space="preserve"> </w:t>
            </w:r>
            <w:r w:rsidRPr="001C7762">
              <w:rPr>
                <w:b/>
                <w:lang w:val="uk-UA"/>
              </w:rPr>
              <w:t xml:space="preserve">створення активів </w:t>
            </w:r>
            <w:r w:rsidRPr="001C7762">
              <w:rPr>
                <w:lang w:val="uk-UA" w:eastAsia="uk-UA"/>
              </w:rPr>
              <w:t>у році, наступному після року їх введення в експлуатацію</w:t>
            </w:r>
            <w:r w:rsidRPr="001C7762">
              <w:rPr>
                <w:lang w:val="uk-UA"/>
              </w:rPr>
              <w:t>.</w:t>
            </w:r>
          </w:p>
        </w:tc>
      </w:tr>
      <w:tr w:rsidR="001C7762" w:rsidRPr="001C7762" w14:paraId="68EAC811" w14:textId="77777777" w:rsidTr="00F549E8">
        <w:tc>
          <w:tcPr>
            <w:tcW w:w="7655" w:type="dxa"/>
          </w:tcPr>
          <w:p w14:paraId="5A27C23C" w14:textId="77777777" w:rsidR="008511CD" w:rsidRDefault="008511CD" w:rsidP="00BC5261">
            <w:pPr>
              <w:jc w:val="both"/>
              <w:rPr>
                <w:lang w:val="uk-UA" w:eastAsia="uk-UA"/>
              </w:rPr>
            </w:pPr>
            <w:r w:rsidRPr="001C7762">
              <w:rPr>
                <w:lang w:val="uk-UA" w:eastAsia="uk-UA"/>
              </w:rPr>
              <w:t>3.4. Амортизація на активи, які створені після переходу до стимулюючого регулювання, нараховується 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p>
          <w:p w14:paraId="151301FD" w14:textId="77777777" w:rsidR="000D7C1D" w:rsidRDefault="000D7C1D" w:rsidP="00BC5261">
            <w:pPr>
              <w:jc w:val="both"/>
              <w:rPr>
                <w:lang w:val="uk-UA"/>
              </w:rPr>
            </w:pPr>
          </w:p>
          <w:p w14:paraId="04EEB262" w14:textId="6C8D9619" w:rsidR="000D7C1D" w:rsidRPr="001C7762" w:rsidRDefault="000D7C1D" w:rsidP="00BC5261">
            <w:pPr>
              <w:jc w:val="both"/>
              <w:rPr>
                <w:lang w:val="uk-UA"/>
              </w:rPr>
            </w:pPr>
            <w:r>
              <w:rPr>
                <w:lang w:val="uk-UA"/>
              </w:rPr>
              <w:t>Пункт відсутній</w:t>
            </w:r>
          </w:p>
        </w:tc>
        <w:tc>
          <w:tcPr>
            <w:tcW w:w="7654" w:type="dxa"/>
          </w:tcPr>
          <w:p w14:paraId="181D3182" w14:textId="77777777" w:rsidR="008511CD" w:rsidRPr="001C7762" w:rsidRDefault="008511CD" w:rsidP="00BC5261">
            <w:pPr>
              <w:shd w:val="clear" w:color="auto" w:fill="FFFFFF"/>
              <w:jc w:val="both"/>
              <w:rPr>
                <w:lang w:val="uk-UA" w:eastAsia="uk-UA"/>
              </w:rPr>
            </w:pPr>
            <w:r w:rsidRPr="001C7762">
              <w:rPr>
                <w:lang w:val="uk-UA" w:eastAsia="uk-UA"/>
              </w:rPr>
              <w:t>3.4. Амортизація на активи, які створені після переходу до стимулюючого регулювання, нараховується 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p>
          <w:p w14:paraId="5174AB28" w14:textId="77777777" w:rsidR="008511CD" w:rsidRPr="001C7762" w:rsidRDefault="008511CD" w:rsidP="00BC5261">
            <w:pPr>
              <w:shd w:val="clear" w:color="auto" w:fill="FFFFFF"/>
              <w:jc w:val="both"/>
              <w:rPr>
                <w:lang w:val="uk-UA"/>
              </w:rPr>
            </w:pPr>
          </w:p>
          <w:p w14:paraId="5B111835" w14:textId="77777777" w:rsidR="008511CD" w:rsidRPr="000D7C1D" w:rsidRDefault="008511CD" w:rsidP="00BC5261">
            <w:pPr>
              <w:shd w:val="clear" w:color="auto" w:fill="FFFFFF"/>
              <w:jc w:val="both"/>
              <w:rPr>
                <w:b/>
                <w:lang w:val="uk-UA" w:eastAsia="uk-UA"/>
              </w:rPr>
            </w:pPr>
            <w:r w:rsidRPr="000D7C1D">
              <w:rPr>
                <w:b/>
                <w:lang w:val="uk-UA" w:eastAsia="uk-UA"/>
              </w:rPr>
              <w:t xml:space="preserve">Квартальна амортизація на активи, які створені після переходу до стимулюючого регулювання, розраховується окремо для кожної категорії, визначеної Порядком встановлення (формування) тарифів на послуги з розподілу електричної енергії, затвердженим </w:t>
            </w:r>
            <w:r w:rsidRPr="000D7C1D">
              <w:rPr>
                <w:b/>
                <w:lang w:val="uk-UA" w:eastAsia="uk-UA"/>
              </w:rPr>
              <w:lastRenderedPageBreak/>
              <w:t>постановою НКРЕКП від 05.10.2018 № 1175 (далі – Порядок № 1175) за формулою:</w:t>
            </w:r>
          </w:p>
          <w:p w14:paraId="0F61176A" w14:textId="24A14CEE" w:rsidR="008511CD" w:rsidRPr="001C7762" w:rsidRDefault="008511CD" w:rsidP="00BC5261">
            <w:pPr>
              <w:ind w:right="28" w:firstLine="567"/>
              <w:jc w:val="center"/>
              <w:rPr>
                <w:b/>
                <w:i/>
                <w:lang w:val="uk-UA"/>
              </w:rPr>
            </w:pPr>
            <w:r w:rsidRPr="001C7762">
              <w:rPr>
                <w:noProof/>
                <w:lang w:val="uk-UA" w:eastAsia="uk-UA"/>
              </w:rPr>
              <w:drawing>
                <wp:inline distT="0" distB="0" distL="0" distR="0" wp14:anchorId="2A0CC29F" wp14:editId="46932A00">
                  <wp:extent cx="136525" cy="259080"/>
                  <wp:effectExtent l="0" t="0" r="0" b="7620"/>
                  <wp:docPr id="29" name="Рисунок 4">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6525" cy="259080"/>
                          </a:xfrm>
                          <a:prstGeom prst="rect">
                            <a:avLst/>
                          </a:prstGeom>
                          <a:noFill/>
                          <a:ln>
                            <a:noFill/>
                          </a:ln>
                        </pic:spPr>
                      </pic:pic>
                    </a:graphicData>
                  </a:graphic>
                </wp:inline>
              </w:drawing>
            </w:r>
            <m:oMath>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en-US"/>
                    </w:rPr>
                    <m:t>t</m:t>
                  </m:r>
                </m:sub>
                <m:sup>
                  <m:r>
                    <m:rPr>
                      <m:sty m:val="bi"/>
                    </m:rPr>
                    <w:rPr>
                      <w:rFonts w:ascii="Cambria Math" w:hAnsi="Cambria Math"/>
                      <w:lang w:val="uk-UA"/>
                    </w:rPr>
                    <m:t>нов</m:t>
                  </m:r>
                </m:sup>
              </m:sSubSup>
              <m:r>
                <m:rPr>
                  <m:sty m:val="bi"/>
                </m:rPr>
                <w:rPr>
                  <w:rFonts w:ascii="Cambria Math" w:hAnsi="Cambria Math"/>
                  <w:lang w:val="uk-UA"/>
                </w:rPr>
                <m:t>=</m:t>
              </m:r>
              <m:nary>
                <m:naryPr>
                  <m:chr m:val="∑"/>
                  <m:limLoc m:val="undOvr"/>
                  <m:ctrlPr>
                    <w:rPr>
                      <w:rFonts w:ascii="Cambria Math" w:hAnsi="Cambria Math"/>
                      <w:b/>
                      <w:i/>
                      <w:lang w:val="uk-UA"/>
                    </w:rPr>
                  </m:ctrlPr>
                </m:naryPr>
                <m:sub/>
                <m:sup/>
                <m:e>
                  <m:r>
                    <m:rPr>
                      <m:sty m:val="bi"/>
                    </m:rPr>
                    <w:rPr>
                      <w:rFonts w:ascii="Cambria Math" w:hAnsi="Cambria Math"/>
                      <w:lang w:val="uk-UA"/>
                    </w:rPr>
                    <m:t>(</m:t>
                  </m:r>
                  <m:f>
                    <m:fPr>
                      <m:ctrlPr>
                        <w:rPr>
                          <w:rFonts w:ascii="Cambria Math" w:hAnsi="Cambria Math"/>
                          <w:b/>
                          <w:i/>
                          <w:lang w:val="uk-UA"/>
                        </w:rPr>
                      </m:ctrlPr>
                    </m:fPr>
                    <m:num>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m:t>
                          </m:r>
                        </m:sub>
                        <m:sup>
                          <m:r>
                            <m:rPr>
                              <m:sty m:val="bi"/>
                            </m:rPr>
                            <w:rPr>
                              <w:rFonts w:ascii="Cambria Math" w:hAnsi="Cambria Math"/>
                              <w:lang w:val="uk-UA"/>
                            </w:rPr>
                            <m:t>нов п</m:t>
                          </m:r>
                        </m:sup>
                      </m:sSubSup>
                    </m:num>
                    <m:den>
                      <m:r>
                        <m:rPr>
                          <m:sty m:val="bi"/>
                        </m:rPr>
                        <w:rPr>
                          <w:rFonts w:ascii="Cambria Math" w:hAnsi="Cambria Math"/>
                          <w:lang w:val="en-US"/>
                        </w:rPr>
                        <m:t>n</m:t>
                      </m:r>
                    </m:den>
                  </m:f>
                  <m:r>
                    <m:rPr>
                      <m:sty m:val="bi"/>
                    </m:rPr>
                    <w:rPr>
                      <w:rFonts w:ascii="Cambria Math" w:hAnsi="Cambria Math"/>
                      <w:lang w:val="uk-UA"/>
                    </w:rPr>
                    <m:t>)/4</m:t>
                  </m:r>
                </m:e>
              </m:nary>
              <m:r>
                <m:rPr>
                  <m:sty m:val="bi"/>
                </m:rPr>
                <w:rPr>
                  <w:rFonts w:ascii="Cambria Math" w:hAnsi="Cambria Math"/>
                  <w:lang w:val="uk-UA"/>
                </w:rPr>
                <m:t>, тис грн,</m:t>
              </m:r>
            </m:oMath>
            <w:r w:rsidRPr="001C7762">
              <w:rPr>
                <w:b/>
                <w:lang w:val="uk-UA"/>
              </w:rPr>
              <w:tab/>
              <w:t>(6)</w:t>
            </w:r>
          </w:p>
          <w:p w14:paraId="1ACBEEBD" w14:textId="77777777" w:rsidR="008511CD" w:rsidRPr="001C7762" w:rsidRDefault="008511CD" w:rsidP="00BC5261">
            <w:pPr>
              <w:jc w:val="center"/>
              <w:rPr>
                <w:b/>
                <w:noProof/>
                <w:lang w:val="uk-UA"/>
              </w:rPr>
            </w:pPr>
          </w:p>
          <w:p w14:paraId="1C92891A" w14:textId="130FFC21" w:rsidR="008511CD" w:rsidRPr="001C7762" w:rsidRDefault="008511CD" w:rsidP="00BC5261">
            <w:pPr>
              <w:jc w:val="both"/>
              <w:rPr>
                <w:b/>
                <w:bCs/>
                <w:lang w:val="uk-UA" w:eastAsia="uk-UA"/>
              </w:rPr>
            </w:pPr>
            <w:r w:rsidRPr="001C7762">
              <w:rPr>
                <w:b/>
                <w:lang w:val="uk-UA"/>
              </w:rPr>
              <w:t>де</w:t>
            </w:r>
            <w:r w:rsidRPr="001C7762">
              <w:rPr>
                <w:lang w:val="uk-UA"/>
              </w:rPr>
              <w:t xml:space="preserve"> </w:t>
            </w:r>
            <m:oMath>
              <m:sSubSup>
                <m:sSubSupPr>
                  <m:ctrlPr>
                    <w:rPr>
                      <w:rFonts w:ascii="Cambria Math" w:hAnsi="Cambria Math"/>
                      <w:i/>
                      <w:lang w:val="uk-UA"/>
                    </w:rPr>
                  </m:ctrlPr>
                </m:sSubSupPr>
                <m:e>
                  <m:r>
                    <w:rPr>
                      <w:rFonts w:ascii="Cambria Math" w:hAnsi="Cambria Math"/>
                      <w:lang w:val="uk-UA"/>
                    </w:rPr>
                    <m:t>РБА</m:t>
                  </m:r>
                </m:e>
                <m:sub>
                  <m:r>
                    <w:rPr>
                      <w:rFonts w:ascii="Cambria Math" w:hAnsi="Cambria Math"/>
                      <w:lang w:val="en-US"/>
                    </w:rPr>
                    <m:t>t</m:t>
                  </m:r>
                </m:sub>
                <m:sup>
                  <m:r>
                    <w:rPr>
                      <w:rFonts w:ascii="Cambria Math" w:hAnsi="Cambria Math"/>
                      <w:lang w:val="uk-UA"/>
                    </w:rPr>
                    <m:t xml:space="preserve">нов </m:t>
                  </m:r>
                  <m:r>
                    <m:rPr>
                      <m:sty m:val="p"/>
                    </m:rPr>
                    <w:rPr>
                      <w:rFonts w:ascii="Cambria Math" w:hAnsi="Cambria Math"/>
                      <w:lang w:val="uk-UA"/>
                    </w:rPr>
                    <m:t>п</m:t>
                  </m:r>
                </m:sup>
              </m:sSubSup>
            </m:oMath>
            <w:r w:rsidRPr="001C7762">
              <w:rPr>
                <w:lang w:val="uk-UA"/>
              </w:rPr>
              <w:t xml:space="preserve"> </w:t>
            </w:r>
            <w:r w:rsidRPr="001C7762">
              <w:rPr>
                <w:b/>
                <w:bCs/>
                <w:lang w:val="uk-UA"/>
              </w:rPr>
              <w:t xml:space="preserve">– </w:t>
            </w:r>
            <w:r w:rsidRPr="001C7762">
              <w:t xml:space="preserve"> </w:t>
            </w:r>
            <w:r w:rsidRPr="001C7762">
              <w:rPr>
                <w:b/>
                <w:bCs/>
                <w:lang w:val="uk-UA" w:eastAsia="uk-UA"/>
              </w:rPr>
              <w:t>регуляторна база активів, яка створена після переходу до стимулюючого регулювання, у розрізі груп активів визначених додатком до цього Порядку, тис. грн, що визначається за формулою:</w:t>
            </w:r>
          </w:p>
          <w:p w14:paraId="0A327263" w14:textId="77777777" w:rsidR="008511CD" w:rsidRPr="001C7762" w:rsidRDefault="008511CD" w:rsidP="00BC5261">
            <w:pPr>
              <w:ind w:right="28" w:firstLine="567"/>
              <w:jc w:val="center"/>
              <w:rPr>
                <w:b/>
                <w:lang w:val="uk-UA"/>
              </w:rPr>
            </w:pPr>
          </w:p>
          <w:p w14:paraId="4C5B04F9" w14:textId="40655E35" w:rsidR="008511CD" w:rsidRPr="001C7762" w:rsidRDefault="008511CD" w:rsidP="00BC5261">
            <w:pPr>
              <w:ind w:right="28" w:firstLine="567"/>
              <w:jc w:val="center"/>
              <w:rPr>
                <w:b/>
                <w:lang w:val="uk-UA"/>
              </w:rPr>
            </w:pP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en-US"/>
                    </w:rPr>
                    <m:t>t</m:t>
                  </m:r>
                </m:sub>
                <m:sup>
                  <m:r>
                    <m:rPr>
                      <m:sty m:val="bi"/>
                    </m:rPr>
                    <w:rPr>
                      <w:rFonts w:ascii="Cambria Math" w:hAnsi="Cambria Math"/>
                      <w:lang w:val="uk-UA"/>
                    </w:rPr>
                    <m:t>нов п</m:t>
                  </m:r>
                </m:sup>
              </m:sSubSup>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en-US"/>
                    </w:rPr>
                    <m:t>t</m:t>
                  </m:r>
                  <m:r>
                    <m:rPr>
                      <m:sty m:val="bi"/>
                    </m:rPr>
                    <w:rPr>
                      <w:rFonts w:ascii="Cambria Math" w:hAnsi="Cambria Math"/>
                    </w:rPr>
                    <m:t>-1</m:t>
                  </m:r>
                </m:sub>
                <m:sup>
                  <m:r>
                    <m:rPr>
                      <m:sty m:val="bi"/>
                    </m:rPr>
                    <w:rPr>
                      <w:rFonts w:ascii="Cambria Math" w:hAnsi="Cambria Math"/>
                      <w:lang w:val="uk-UA"/>
                    </w:rPr>
                    <m:t>нов п</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нов п</m:t>
                  </m:r>
                </m:sup>
              </m:sSubSup>
              <m:r>
                <m:rPr>
                  <m:sty m:val="bi"/>
                </m:rPr>
                <w:rPr>
                  <w:rFonts w:ascii="Cambria Math" w:hAnsi="Cambria Math"/>
                  <w:lang w:val="uk-UA"/>
                </w:rPr>
                <m:t>-B</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нов п</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 t-1</m:t>
                  </m:r>
                </m:sub>
                <m:sup>
                  <m:r>
                    <m:rPr>
                      <m:sty m:val="bi"/>
                    </m:rPr>
                    <w:rPr>
                      <w:rFonts w:ascii="Cambria Math" w:hAnsi="Cambria Math"/>
                      <w:lang w:val="uk-UA"/>
                    </w:rPr>
                    <m:t>нов п</m:t>
                  </m:r>
                </m:sup>
              </m:sSubSup>
            </m:oMath>
            <w:r w:rsidRPr="001C7762">
              <w:rPr>
                <w:b/>
                <w:lang w:val="uk-UA"/>
              </w:rPr>
              <w:t>, тис. грн,</w:t>
            </w:r>
            <w:r w:rsidRPr="001C7762">
              <w:rPr>
                <w:b/>
                <w:lang w:val="uk-UA"/>
              </w:rPr>
              <w:tab/>
              <w:t>(7)</w:t>
            </w:r>
          </w:p>
          <w:p w14:paraId="5ADAA976" w14:textId="77777777" w:rsidR="008511CD" w:rsidRPr="001C7762" w:rsidRDefault="008511CD" w:rsidP="00BC5261">
            <w:pPr>
              <w:ind w:right="28" w:firstLine="567"/>
              <w:jc w:val="center"/>
              <w:rPr>
                <w:b/>
                <w:lang w:val="uk-UA"/>
              </w:rPr>
            </w:pPr>
          </w:p>
          <w:p w14:paraId="11A3E804" w14:textId="77777777" w:rsidR="008511CD" w:rsidRPr="001C7762" w:rsidRDefault="008511CD" w:rsidP="00BC5261">
            <w:pPr>
              <w:ind w:right="28" w:firstLine="567"/>
              <w:rPr>
                <w:lang w:val="uk-UA"/>
              </w:rPr>
            </w:pPr>
            <w:r w:rsidRPr="001C7762">
              <w:rPr>
                <w:lang w:val="uk-UA"/>
              </w:rPr>
              <w:t>де</w:t>
            </w:r>
          </w:p>
          <w:p w14:paraId="58089441" w14:textId="77777777" w:rsidR="008511CD" w:rsidRPr="001C7762" w:rsidRDefault="008511CD" w:rsidP="00BC5261">
            <w:pPr>
              <w:ind w:right="28" w:firstLine="567"/>
              <w:rPr>
                <w:lang w:val="uk-UA"/>
              </w:rPr>
            </w:pPr>
          </w:p>
          <w:p w14:paraId="5C2C614C" w14:textId="03A2A147" w:rsidR="008511CD" w:rsidRPr="001C7762" w:rsidRDefault="000D7C1D" w:rsidP="00BC5261">
            <w:pPr>
              <w:ind w:right="28" w:firstLine="709"/>
              <w:jc w:val="both"/>
              <w:rPr>
                <w:b/>
                <w:bCs/>
                <w:lang w:val="uk-UA"/>
              </w:rPr>
            </w:pPr>
            <m:oMath>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en-US"/>
                    </w:rPr>
                    <m:t>t</m:t>
                  </m:r>
                  <m:r>
                    <m:rPr>
                      <m:sty m:val="bi"/>
                    </m:rPr>
                    <w:rPr>
                      <w:rFonts w:ascii="Cambria Math" w:hAnsi="Cambria Math"/>
                      <w:lang w:val="uk-UA"/>
                    </w:rPr>
                    <m:t>-1</m:t>
                  </m:r>
                </m:sub>
                <m:sup>
                  <m:r>
                    <m:rPr>
                      <m:sty m:val="bi"/>
                    </m:rPr>
                    <w:rPr>
                      <w:rFonts w:ascii="Cambria Math" w:hAnsi="Cambria Math"/>
                      <w:lang w:val="uk-UA"/>
                    </w:rPr>
                    <m:t>нов п</m:t>
                  </m:r>
                </m:sup>
              </m:sSubSup>
            </m:oMath>
            <w:r w:rsidR="008511CD" w:rsidRPr="001C7762">
              <w:rPr>
                <w:bCs/>
                <w:lang w:val="uk-UA"/>
              </w:rPr>
              <w:t xml:space="preserve"> – </w:t>
            </w:r>
            <w:r w:rsidR="008511CD" w:rsidRPr="001C7762">
              <w:rPr>
                <w:b/>
                <w:bCs/>
                <w:lang w:val="uk-UA"/>
              </w:rPr>
              <w:t>первісна вартість активів</w:t>
            </w:r>
            <w:r w:rsidR="008511CD" w:rsidRPr="001C7762">
              <w:rPr>
                <w:lang w:val="uk-UA"/>
              </w:rPr>
              <w:t>,</w:t>
            </w:r>
            <w:r w:rsidR="008511CD" w:rsidRPr="001C7762">
              <w:rPr>
                <w:b/>
                <w:bCs/>
                <w:lang w:val="uk-UA"/>
              </w:rPr>
              <w:t xml:space="preserve"> створених після переходу до стимулюючого регулювання, у році t-1, тис. грн;</w:t>
            </w:r>
          </w:p>
          <w:p w14:paraId="2D9D78BA" w14:textId="1148010D" w:rsidR="008511CD" w:rsidRPr="001C7762" w:rsidRDefault="008511CD" w:rsidP="00BC5261">
            <w:pPr>
              <w:ind w:right="28" w:firstLine="709"/>
              <w:jc w:val="both"/>
              <w:rPr>
                <w:b/>
                <w:bCs/>
                <w:lang w:val="uk-UA"/>
              </w:rPr>
            </w:pPr>
            <m:oMath>
              <m:r>
                <m:rPr>
                  <m:sty m:val="bi"/>
                </m:rPr>
                <w:rPr>
                  <w:rFonts w:ascii="Cambria Math" w:hAnsi="Cambria Math"/>
                  <w:lang w:val="uk-UA"/>
                </w:rPr>
                <m:t>B</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en-US"/>
                    </w:rPr>
                    <m:t>t</m:t>
                  </m:r>
                  <m:r>
                    <m:rPr>
                      <m:sty m:val="bi"/>
                    </m:rPr>
                    <w:rPr>
                      <w:rFonts w:ascii="Cambria Math" w:hAnsi="Cambria Math"/>
                      <w:lang w:val="uk-UA"/>
                    </w:rPr>
                    <m:t>-</m:t>
                  </m:r>
                  <m:r>
                    <m:rPr>
                      <m:sty m:val="bi"/>
                    </m:rPr>
                    <w:rPr>
                      <w:rFonts w:ascii="Cambria Math" w:hAnsi="Cambria Math"/>
                      <w:lang w:val="en-US"/>
                    </w:rPr>
                    <m:t>1</m:t>
                  </m:r>
                </m:sub>
                <m:sup>
                  <m:r>
                    <m:rPr>
                      <m:sty m:val="bi"/>
                    </m:rPr>
                    <w:rPr>
                      <w:rFonts w:ascii="Cambria Math" w:hAnsi="Cambria Math"/>
                      <w:lang w:val="uk-UA"/>
                    </w:rPr>
                    <m:t>нов п</m:t>
                  </m:r>
                </m:sup>
              </m:sSubSup>
            </m:oMath>
            <w:r w:rsidRPr="001C7762">
              <w:rPr>
                <w:bCs/>
                <w:lang w:val="uk-UA"/>
              </w:rPr>
              <w:t xml:space="preserve"> – </w:t>
            </w:r>
            <w:r w:rsidRPr="001C7762">
              <w:rPr>
                <w:b/>
                <w:bCs/>
                <w:lang w:val="uk-UA"/>
              </w:rPr>
              <w:t>первісна вартість активів (елементів активу), що</w:t>
            </w:r>
            <w:r w:rsidRPr="001C7762">
              <w:rPr>
                <w:lang w:val="uk-UA"/>
              </w:rPr>
              <w:t xml:space="preserve"> були </w:t>
            </w:r>
            <w:r w:rsidRPr="001C7762">
              <w:rPr>
                <w:b/>
                <w:bCs/>
                <w:lang w:val="uk-UA"/>
              </w:rPr>
              <w:t xml:space="preserve">створені після переходу до стимулюючого регулювання та виведені з експлуатації, у році </w:t>
            </w:r>
            <w:r w:rsidRPr="001C7762">
              <w:rPr>
                <w:b/>
                <w:bCs/>
                <w:lang w:val="en-US"/>
              </w:rPr>
              <w:t>t</w:t>
            </w:r>
            <w:r w:rsidRPr="001C7762">
              <w:rPr>
                <w:b/>
                <w:bCs/>
                <w:lang w:val="uk-UA"/>
              </w:rPr>
              <w:t>-1, тис. грн;</w:t>
            </w:r>
          </w:p>
          <w:p w14:paraId="77C1853B" w14:textId="082B63DC" w:rsidR="008511CD" w:rsidRPr="001C7762" w:rsidRDefault="000D7C1D" w:rsidP="00BC5261">
            <w:pPr>
              <w:pStyle w:val="tj"/>
              <w:spacing w:before="0" w:beforeAutospacing="0" w:after="0" w:afterAutospacing="0"/>
              <w:ind w:firstLine="709"/>
              <w:jc w:val="both"/>
              <w:rPr>
                <w:b/>
                <w:bCs/>
              </w:rPr>
            </w:pPr>
            <m:oMath>
              <m:sSubSup>
                <m:sSubSupPr>
                  <m:ctrlPr>
                    <w:rPr>
                      <w:rFonts w:ascii="Cambria Math" w:hAnsi="Cambria Math"/>
                      <w:b/>
                      <w:i/>
                    </w:rPr>
                  </m:ctrlPr>
                </m:sSubSupPr>
                <m:e>
                  <m:r>
                    <m:rPr>
                      <m:sty m:val="bi"/>
                    </m:rPr>
                    <w:rPr>
                      <w:rFonts w:ascii="Cambria Math" w:hAnsi="Cambria Math"/>
                    </w:rPr>
                    <m:t>I</m:t>
                  </m:r>
                </m:e>
                <m:sub>
                  <m:r>
                    <m:rPr>
                      <m:sty m:val="bi"/>
                    </m:rPr>
                    <w:rPr>
                      <w:rFonts w:ascii="Cambria Math" w:hAnsi="Cambria Math"/>
                    </w:rPr>
                    <m:t>ВП t-1</m:t>
                  </m:r>
                </m:sub>
                <m:sup>
                  <m:r>
                    <m:rPr>
                      <m:sty m:val="bi"/>
                    </m:rPr>
                    <w:rPr>
                      <w:rFonts w:ascii="Cambria Math" w:hAnsi="Cambria Math"/>
                    </w:rPr>
                    <m:t>нов п</m:t>
                  </m:r>
                </m:sup>
              </m:sSubSup>
            </m:oMath>
            <w:r w:rsidR="008511CD" w:rsidRPr="001C7762">
              <w:rPr>
                <w:b/>
              </w:rPr>
              <w:t xml:space="preserve"> </w:t>
            </w:r>
            <w:r w:rsidR="008511CD" w:rsidRPr="001C7762">
              <w:rPr>
                <w:bCs/>
              </w:rPr>
              <w:t>–</w:t>
            </w:r>
            <w:r w:rsidR="008511CD" w:rsidRPr="001C7762">
              <w:t xml:space="preserve"> </w:t>
            </w:r>
            <w:r w:rsidR="008511CD" w:rsidRPr="001C7762">
              <w:rPr>
                <w:b/>
                <w:bCs/>
              </w:rPr>
              <w:t>первісна вартість повторно введених (повернутих після тимчасового припинення їх використання) до експлуатації активів (елементів активу), що були створених після переходу до стимулюючого регулювання, у році t-1, тис. грн;</w:t>
            </w:r>
          </w:p>
          <w:p w14:paraId="1CEED734" w14:textId="067CC476" w:rsidR="008511CD" w:rsidRPr="000D7C1D" w:rsidRDefault="008511CD" w:rsidP="001C7762">
            <w:pPr>
              <w:pStyle w:val="tj"/>
              <w:spacing w:before="0" w:beforeAutospacing="0" w:after="0" w:afterAutospacing="0"/>
              <w:ind w:firstLine="709"/>
              <w:jc w:val="both"/>
              <w:rPr>
                <w:b/>
                <w:bCs/>
              </w:rPr>
            </w:pPr>
            <w:r w:rsidRPr="000D7C1D">
              <w:rPr>
                <w:b/>
                <w:bCs/>
              </w:rPr>
              <w:t xml:space="preserve">n – </w:t>
            </w:r>
            <w:r w:rsidR="00F706D8" w:rsidRPr="000D7C1D">
              <w:rPr>
                <w:b/>
                <w:bCs/>
              </w:rPr>
              <w:t>строк корисного використання активів (елементів активу) у розрізі груп активів згідно з додатком до цього Порядк</w:t>
            </w:r>
            <w:r w:rsidR="000D7C1D" w:rsidRPr="000D7C1D">
              <w:rPr>
                <w:b/>
                <w:bCs/>
              </w:rPr>
              <w:t>у</w:t>
            </w:r>
            <w:r w:rsidRPr="000D7C1D">
              <w:rPr>
                <w:b/>
                <w:bCs/>
              </w:rPr>
              <w:t>.</w:t>
            </w:r>
          </w:p>
          <w:p w14:paraId="4DFBEB2C" w14:textId="77777777" w:rsidR="008511CD" w:rsidRPr="001C7762" w:rsidRDefault="008511CD" w:rsidP="001C7762">
            <w:pPr>
              <w:pStyle w:val="tj"/>
              <w:spacing w:before="0" w:beforeAutospacing="0" w:after="0" w:afterAutospacing="0"/>
              <w:ind w:firstLine="709"/>
              <w:jc w:val="both"/>
              <w:rPr>
                <w:b/>
                <w:bCs/>
              </w:rPr>
            </w:pPr>
          </w:p>
          <w:p w14:paraId="5479DA57" w14:textId="78EE6082" w:rsidR="008511CD" w:rsidRPr="001C7762" w:rsidRDefault="008511CD" w:rsidP="00BC5261">
            <w:pPr>
              <w:shd w:val="clear" w:color="auto" w:fill="FFFFFF"/>
              <w:jc w:val="both"/>
              <w:rPr>
                <w:lang w:val="uk-UA"/>
              </w:rPr>
            </w:pPr>
            <w:r w:rsidRPr="001C7762">
              <w:rPr>
                <w:b/>
                <w:lang w:val="uk-UA" w:eastAsia="uk-UA"/>
              </w:rPr>
              <w:t>Регуляторна норма доходу на регуляторну базу активів, яка створена після переходу до стимулюючого регулювання, на створені (повернуті) активи (елементи активу),</w:t>
            </w:r>
            <w:r w:rsidRPr="001C7762">
              <w:rPr>
                <w:b/>
                <w:bCs/>
                <w:lang w:val="uk-UA"/>
              </w:rPr>
              <w:t xml:space="preserve"> </w:t>
            </w:r>
            <w:r w:rsidRPr="001C7762">
              <w:rPr>
                <w:b/>
                <w:lang w:val="uk-UA" w:eastAsia="uk-UA"/>
              </w:rPr>
              <w:t>віднесені до к</w:t>
            </w:r>
            <w:r w:rsidRPr="001C7762">
              <w:rPr>
                <w:b/>
                <w:bCs/>
                <w:lang w:val="uk-UA"/>
              </w:rPr>
              <w:t xml:space="preserve">атегорії 1 згідно з Порядком № 1175, </w:t>
            </w:r>
            <w:r w:rsidRPr="001C7762">
              <w:rPr>
                <w:b/>
                <w:lang w:val="uk-UA" w:eastAsia="uk-UA"/>
              </w:rPr>
              <w:t>нараховується починаючи з року, наступного за роком, у якому відбулось введення (повернення) в експлуатацію цього активу (елементів активу).</w:t>
            </w:r>
            <w:r w:rsidRPr="001C7762">
              <w:rPr>
                <w:lang w:val="uk-UA"/>
              </w:rPr>
              <w:t xml:space="preserve"> </w:t>
            </w:r>
          </w:p>
          <w:p w14:paraId="543DFB9E" w14:textId="562113A8" w:rsidR="008511CD" w:rsidRPr="001C7762" w:rsidRDefault="008511CD" w:rsidP="00BC5261">
            <w:pPr>
              <w:shd w:val="clear" w:color="auto" w:fill="FFFFFF"/>
              <w:jc w:val="both"/>
              <w:rPr>
                <w:lang w:val="uk-UA"/>
              </w:rPr>
            </w:pPr>
          </w:p>
        </w:tc>
      </w:tr>
      <w:tr w:rsidR="001C7762" w:rsidRPr="000D7C1D" w14:paraId="0603AB37" w14:textId="77777777" w:rsidTr="00F549E8">
        <w:tc>
          <w:tcPr>
            <w:tcW w:w="7655" w:type="dxa"/>
          </w:tcPr>
          <w:p w14:paraId="3EAFE02A" w14:textId="77777777" w:rsidR="008511CD" w:rsidRPr="001C7762" w:rsidRDefault="008511CD" w:rsidP="00BC5261">
            <w:pPr>
              <w:shd w:val="clear" w:color="auto" w:fill="FFFFFF"/>
              <w:jc w:val="both"/>
              <w:rPr>
                <w:lang w:val="uk-UA" w:eastAsia="uk-UA"/>
              </w:rPr>
            </w:pPr>
            <w:r w:rsidRPr="001C7762">
              <w:rPr>
                <w:lang w:val="uk-UA" w:eastAsia="uk-UA"/>
              </w:rPr>
              <w:lastRenderedPageBreak/>
              <w:t>3.5. Після переходу до стимулюючого регулювання у разі виведення з експлуатації активу (елементів активу) регуляторної бази активів, яка створена після переходу до стимулюючого регулювання, регуляторна норма доходу на регуляторну базу активів, яка створена після переходу до стимулюючого регулювання, та амортизація на суму вартості цих активів (елементів активу) не нараховуються, починаючи з кварталу, наступного за кварталом, у якому відбулось виведення з експлуатації цього активу (елементів активу).</w:t>
            </w:r>
          </w:p>
          <w:p w14:paraId="7C377043" w14:textId="77777777" w:rsidR="008511CD" w:rsidRPr="001C7762" w:rsidRDefault="008511CD" w:rsidP="00BC5261">
            <w:pPr>
              <w:shd w:val="clear" w:color="auto" w:fill="FFFFFF"/>
              <w:jc w:val="both"/>
              <w:rPr>
                <w:lang w:val="uk-UA" w:eastAsia="uk-UA"/>
              </w:rPr>
            </w:pPr>
          </w:p>
          <w:p w14:paraId="75DAC5B4" w14:textId="77777777" w:rsidR="008511CD" w:rsidRPr="001C7762" w:rsidRDefault="008511CD" w:rsidP="00BC5261">
            <w:pPr>
              <w:shd w:val="clear" w:color="auto" w:fill="FFFFFF"/>
              <w:jc w:val="both"/>
              <w:rPr>
                <w:lang w:val="uk-UA" w:eastAsia="uk-UA"/>
              </w:rPr>
            </w:pPr>
          </w:p>
          <w:p w14:paraId="64DF84E5" w14:textId="77777777" w:rsidR="008511CD" w:rsidRPr="001C7762" w:rsidRDefault="008511CD" w:rsidP="00BC5261">
            <w:pPr>
              <w:shd w:val="clear" w:color="auto" w:fill="FFFFFF"/>
              <w:jc w:val="both"/>
              <w:rPr>
                <w:lang w:val="uk-UA" w:eastAsia="uk-UA"/>
              </w:rPr>
            </w:pPr>
          </w:p>
          <w:p w14:paraId="708623F3" w14:textId="77777777" w:rsidR="00146BAD" w:rsidRPr="001C7762" w:rsidRDefault="00146BAD" w:rsidP="00BC5261">
            <w:pPr>
              <w:shd w:val="clear" w:color="auto" w:fill="FFFFFF"/>
              <w:jc w:val="both"/>
              <w:rPr>
                <w:lang w:val="uk-UA" w:eastAsia="uk-UA"/>
              </w:rPr>
            </w:pPr>
          </w:p>
          <w:p w14:paraId="352E0666" w14:textId="77777777" w:rsidR="008511CD" w:rsidRPr="001C7762" w:rsidRDefault="008511CD" w:rsidP="00BC5261">
            <w:pPr>
              <w:shd w:val="clear" w:color="auto" w:fill="FFFFFF"/>
              <w:jc w:val="both"/>
              <w:rPr>
                <w:lang w:val="uk-UA" w:eastAsia="uk-UA"/>
              </w:rPr>
            </w:pPr>
          </w:p>
          <w:p w14:paraId="41B84B33" w14:textId="420992B2" w:rsidR="008511CD" w:rsidRDefault="008511CD" w:rsidP="00BC5261">
            <w:pPr>
              <w:shd w:val="clear" w:color="auto" w:fill="FFFFFF"/>
              <w:jc w:val="both"/>
              <w:rPr>
                <w:lang w:val="uk-UA" w:eastAsia="uk-UA"/>
              </w:rPr>
            </w:pPr>
            <w:r w:rsidRPr="001C7762">
              <w:rPr>
                <w:lang w:val="uk-UA" w:eastAsia="uk-UA"/>
              </w:rPr>
              <w:t>У разі виведення з експлуатації активу (елементів активу) регуляторної бази активів, яка створена після переходу до стимулюючого регулювання, у зв'язку із тимчасовим припиненням його використання (без демонтажу) відновлення нарахування регуляторної норми доходу на регуляторну базу активів, яка створена після переходу до стимулюючого регулювання (для активів 1 категорії), та амортизації на суму вартості цих активів (елементів активу) відбувається з кварталу, наступного за кварталом, в якому відбулось введення в експлуатацію таких активів (елементів активу).</w:t>
            </w:r>
          </w:p>
          <w:p w14:paraId="044D8485" w14:textId="2CE18B3B" w:rsidR="000D7C1D" w:rsidRDefault="000D7C1D" w:rsidP="00BC5261">
            <w:pPr>
              <w:shd w:val="clear" w:color="auto" w:fill="FFFFFF"/>
              <w:jc w:val="both"/>
              <w:rPr>
                <w:lang w:val="uk-UA" w:eastAsia="uk-UA"/>
              </w:rPr>
            </w:pPr>
          </w:p>
          <w:p w14:paraId="26D6CA21" w14:textId="77777777" w:rsidR="000D7C1D" w:rsidRDefault="000D7C1D" w:rsidP="00BC5261">
            <w:pPr>
              <w:shd w:val="clear" w:color="auto" w:fill="FFFFFF"/>
              <w:jc w:val="both"/>
              <w:rPr>
                <w:lang w:val="uk-UA" w:eastAsia="uk-UA"/>
              </w:rPr>
            </w:pPr>
          </w:p>
          <w:p w14:paraId="63A710A7" w14:textId="02B2F7BD" w:rsidR="000D7C1D" w:rsidRPr="001C7762" w:rsidRDefault="000D7C1D" w:rsidP="00BC5261">
            <w:pPr>
              <w:shd w:val="clear" w:color="auto" w:fill="FFFFFF"/>
              <w:jc w:val="both"/>
              <w:rPr>
                <w:lang w:val="uk-UA" w:eastAsia="uk-UA"/>
              </w:rPr>
            </w:pPr>
            <w:r>
              <w:rPr>
                <w:lang w:val="uk-UA" w:eastAsia="uk-UA"/>
              </w:rPr>
              <w:t>Пункт відсутній</w:t>
            </w:r>
          </w:p>
          <w:p w14:paraId="625C030C" w14:textId="77777777" w:rsidR="008511CD" w:rsidRPr="001C7762" w:rsidRDefault="008511CD" w:rsidP="00BC5261">
            <w:pPr>
              <w:rPr>
                <w:lang w:val="uk-UA"/>
              </w:rPr>
            </w:pPr>
          </w:p>
        </w:tc>
        <w:tc>
          <w:tcPr>
            <w:tcW w:w="7654" w:type="dxa"/>
          </w:tcPr>
          <w:p w14:paraId="5629BCB1" w14:textId="77777777" w:rsidR="008511CD" w:rsidRPr="001C7762" w:rsidRDefault="008511CD" w:rsidP="00BC5261">
            <w:pPr>
              <w:shd w:val="clear" w:color="auto" w:fill="FFFFFF"/>
              <w:jc w:val="both"/>
              <w:rPr>
                <w:lang w:val="uk-UA" w:eastAsia="uk-UA"/>
              </w:rPr>
            </w:pPr>
            <w:r w:rsidRPr="001C7762">
              <w:rPr>
                <w:lang w:val="uk-UA" w:eastAsia="uk-UA"/>
              </w:rPr>
              <w:t xml:space="preserve">3.5. Після переходу до стимулюючого регулювання у разі виведення з експлуатації активу (елементів активу) регуляторної бази активів, яка створена після переходу до стимулюючого регулювання, амортизація на суму вартості </w:t>
            </w:r>
            <w:r w:rsidRPr="001C7762">
              <w:rPr>
                <w:b/>
                <w:lang w:val="uk-UA" w:eastAsia="uk-UA"/>
              </w:rPr>
              <w:t>виведених</w:t>
            </w:r>
            <w:r w:rsidRPr="001C7762">
              <w:rPr>
                <w:lang w:val="uk-UA" w:eastAsia="uk-UA"/>
              </w:rPr>
              <w:t xml:space="preserve"> активів (елементів активу) не нараховуються, починаючи з кварталу, наступного за кварталом, у якому відбулось виведення з експлуатації цього активу (елементів активу).</w:t>
            </w:r>
          </w:p>
          <w:p w14:paraId="1A38B1FD" w14:textId="3363DF1F" w:rsidR="008511CD" w:rsidRPr="001C7762" w:rsidRDefault="008511CD" w:rsidP="00BC5261">
            <w:pPr>
              <w:shd w:val="clear" w:color="auto" w:fill="FFFFFF"/>
              <w:jc w:val="both"/>
              <w:rPr>
                <w:b/>
                <w:lang w:val="uk-UA" w:eastAsia="uk-UA"/>
              </w:rPr>
            </w:pPr>
            <w:r w:rsidRPr="001C7762">
              <w:rPr>
                <w:b/>
                <w:lang w:val="uk-UA" w:eastAsia="uk-UA"/>
              </w:rPr>
              <w:t>Регуляторна норма доходу на регуляторну базу активів, яка створена після переходу до стимулюючого регулювання, на виведені з експлуатації активи (елементи активу), віднесені до категорії</w:t>
            </w:r>
            <w:r w:rsidRPr="001C7762">
              <w:rPr>
                <w:b/>
                <w:bCs/>
                <w:lang w:val="uk-UA"/>
              </w:rPr>
              <w:t xml:space="preserve"> 1 згідно з Порядком № 1175,</w:t>
            </w:r>
            <w:r w:rsidRPr="001C7762">
              <w:rPr>
                <w:b/>
                <w:lang w:val="uk-UA" w:eastAsia="uk-UA"/>
              </w:rPr>
              <w:t xml:space="preserve"> не нараховується з року, наступного за роком, у якому відбулось виведення з експлуатації цього активу (елементів активу).</w:t>
            </w:r>
          </w:p>
          <w:p w14:paraId="0C10E8AB" w14:textId="77777777" w:rsidR="008511CD" w:rsidRPr="001C7762" w:rsidRDefault="008511CD" w:rsidP="00BC5261">
            <w:pPr>
              <w:shd w:val="clear" w:color="auto" w:fill="FFFFFF"/>
              <w:jc w:val="both"/>
              <w:rPr>
                <w:lang w:val="uk-UA" w:eastAsia="uk-UA"/>
              </w:rPr>
            </w:pPr>
          </w:p>
          <w:p w14:paraId="7E987FAB" w14:textId="6B938606" w:rsidR="008511CD" w:rsidRPr="001C7762" w:rsidRDefault="008511CD" w:rsidP="00BC5261">
            <w:pPr>
              <w:shd w:val="clear" w:color="auto" w:fill="FFFFFF"/>
              <w:jc w:val="both"/>
              <w:rPr>
                <w:lang w:val="uk-UA" w:eastAsia="uk-UA"/>
              </w:rPr>
            </w:pPr>
            <w:r w:rsidRPr="001C7762">
              <w:rPr>
                <w:lang w:val="uk-UA" w:eastAsia="uk-UA"/>
              </w:rPr>
              <w:t xml:space="preserve">У разі виведення з експлуатації активу (елементів активу) регуляторної бази активів, яка створена після переходу до стимулюючого регулювання, у зв'язку із тимчасовим припиненням його використання </w:t>
            </w:r>
            <w:r w:rsidRPr="001C7762">
              <w:rPr>
                <w:b/>
                <w:bCs/>
                <w:lang w:val="uk-UA" w:eastAsia="uk-UA"/>
              </w:rPr>
              <w:t>(щодо нерухомого майна – без демонтажу)</w:t>
            </w:r>
            <w:r w:rsidRPr="001C7762">
              <w:rPr>
                <w:lang w:val="uk-UA" w:eastAsia="uk-UA"/>
              </w:rPr>
              <w:t xml:space="preserve"> </w:t>
            </w:r>
            <w:r w:rsidRPr="001C7762">
              <w:rPr>
                <w:b/>
                <w:bCs/>
                <w:lang w:val="uk-UA" w:eastAsia="uk-UA"/>
              </w:rPr>
              <w:t>повторне введення (повернення) в експлуатацію активу (елементу активу) до складу регуляторної бази активів, яка створена на дату переходу до стимулюючого регулювання відбувається до відповідної категорії</w:t>
            </w:r>
            <w:r w:rsidRPr="001C7762">
              <w:rPr>
                <w:b/>
                <w:bCs/>
                <w:lang w:val="uk-UA"/>
              </w:rPr>
              <w:t xml:space="preserve"> (</w:t>
            </w:r>
            <w:r w:rsidR="00355C21" w:rsidRPr="001C7762">
              <w:rPr>
                <w:b/>
                <w:bCs/>
                <w:lang w:val="uk-UA"/>
              </w:rPr>
              <w:t>відповідно</w:t>
            </w:r>
            <w:r w:rsidRPr="001C7762">
              <w:rPr>
                <w:b/>
                <w:bCs/>
                <w:lang w:val="uk-UA"/>
              </w:rPr>
              <w:t xml:space="preserve"> з Порядком № 1175)</w:t>
            </w:r>
            <w:r w:rsidRPr="001C7762">
              <w:rPr>
                <w:b/>
                <w:bCs/>
                <w:lang w:val="uk-UA" w:eastAsia="uk-UA"/>
              </w:rPr>
              <w:t xml:space="preserve">, з якої цей актив було виведено </w:t>
            </w:r>
            <w:r w:rsidRPr="001C7762">
              <w:rPr>
                <w:lang w:val="uk-UA" w:eastAsia="uk-UA"/>
              </w:rPr>
              <w:t>та по залишковій вартості за регуляторним обліком на дату тимчасового припинення його використання.</w:t>
            </w:r>
          </w:p>
          <w:p w14:paraId="57C721B8" w14:textId="0D658675" w:rsidR="008511CD" w:rsidRPr="001C7762" w:rsidRDefault="008511CD" w:rsidP="00BC5261">
            <w:pPr>
              <w:shd w:val="clear" w:color="auto" w:fill="FFFFFF"/>
              <w:jc w:val="both"/>
              <w:rPr>
                <w:lang w:val="uk-UA" w:eastAsia="uk-UA"/>
              </w:rPr>
            </w:pPr>
          </w:p>
          <w:p w14:paraId="515CF305" w14:textId="1ECA63DD" w:rsidR="008511CD" w:rsidRPr="001C7762" w:rsidRDefault="008511CD" w:rsidP="00BC5261">
            <w:pPr>
              <w:shd w:val="clear" w:color="auto" w:fill="FFFFFF"/>
              <w:jc w:val="both"/>
              <w:rPr>
                <w:b/>
                <w:bCs/>
                <w:lang w:val="uk-UA" w:eastAsia="uk-UA"/>
              </w:rPr>
            </w:pPr>
            <w:r w:rsidRPr="001C7762">
              <w:rPr>
                <w:b/>
                <w:bCs/>
                <w:lang w:val="uk-UA" w:eastAsia="uk-UA"/>
              </w:rPr>
              <w:t>Амортизація на суму вартості повторно введених (повернутих) в експлуатацію активів (елементів активів) розраховується з урахуванням первісної вартості активів створених після переходу до стимулюючого регулювання, згідно з пунктами 3.4 та 3.5 цього розділу (із застосуванням прямолінійного методу щокварталу з урахуванням строків його корисного використання згідно з додатком до цього Порядку).</w:t>
            </w:r>
          </w:p>
          <w:p w14:paraId="75E3E4C6" w14:textId="48FE6AC2" w:rsidR="008511CD" w:rsidRPr="001C7762" w:rsidRDefault="008511CD" w:rsidP="00BC5261">
            <w:pPr>
              <w:shd w:val="clear" w:color="auto" w:fill="FFFFFF"/>
              <w:jc w:val="both"/>
              <w:rPr>
                <w:lang w:val="uk-UA" w:eastAsia="uk-UA"/>
              </w:rPr>
            </w:pPr>
          </w:p>
          <w:p w14:paraId="04FDB9B9" w14:textId="45E6ABC5" w:rsidR="008511CD" w:rsidRPr="001C7762" w:rsidRDefault="008511CD" w:rsidP="00BC5261">
            <w:pPr>
              <w:pStyle w:val="tj"/>
              <w:spacing w:before="0" w:beforeAutospacing="0" w:after="0" w:afterAutospacing="0"/>
              <w:jc w:val="both"/>
              <w:rPr>
                <w:b/>
                <w:bCs/>
                <w:lang w:eastAsia="ru-RU"/>
              </w:rPr>
            </w:pPr>
            <w:r w:rsidRPr="001C7762">
              <w:rPr>
                <w:b/>
                <w:bCs/>
                <w:lang w:eastAsia="ru-RU"/>
              </w:rPr>
              <w:lastRenderedPageBreak/>
              <w:t>Вартість створених активів (елементів активу)</w:t>
            </w:r>
            <w:r w:rsidRPr="001C7762">
              <w:t xml:space="preserve"> отриманих на </w:t>
            </w:r>
            <w:r w:rsidRPr="001C7762">
              <w:rPr>
                <w:b/>
                <w:bCs/>
                <w:lang w:eastAsia="ru-RU"/>
              </w:rPr>
              <w:t>безоплатній (безповоротній) основі</w:t>
            </w:r>
            <w:r w:rsidR="009A18EE" w:rsidRPr="001C7762">
              <w:rPr>
                <w:b/>
                <w:bCs/>
                <w:lang w:eastAsia="ru-RU"/>
              </w:rPr>
              <w:t xml:space="preserve"> (у тому числі у рамках гуманітарної допомоги)</w:t>
            </w:r>
            <w:r w:rsidRPr="001C7762">
              <w:rPr>
                <w:b/>
                <w:bCs/>
                <w:lang w:eastAsia="ru-RU"/>
              </w:rPr>
              <w:t>, віднесених до категорії 3  згідно з Порядком № 1175, визнач</w:t>
            </w:r>
            <w:r w:rsidRPr="001C7762">
              <w:rPr>
                <w:lang w:eastAsia="ru-RU"/>
              </w:rPr>
              <w:t>аєтьс</w:t>
            </w:r>
            <w:r w:rsidRPr="001C7762">
              <w:rPr>
                <w:b/>
                <w:bCs/>
                <w:lang w:eastAsia="ru-RU"/>
              </w:rPr>
              <w:t>я відповідно до первинної документації на дату її отримання або на підставі справедливої вартості та затверджується технічною комісією.</w:t>
            </w:r>
          </w:p>
          <w:p w14:paraId="2D39A49B" w14:textId="77777777" w:rsidR="008511CD" w:rsidRPr="001C7762" w:rsidRDefault="008511CD" w:rsidP="00BC5261">
            <w:pPr>
              <w:pStyle w:val="tj"/>
              <w:spacing w:before="0" w:beforeAutospacing="0" w:after="0" w:afterAutospacing="0"/>
              <w:jc w:val="both"/>
              <w:rPr>
                <w:b/>
                <w:bCs/>
                <w:lang w:eastAsia="ru-RU"/>
              </w:rPr>
            </w:pPr>
          </w:p>
          <w:p w14:paraId="7EEDDB51" w14:textId="77777777" w:rsidR="008511CD" w:rsidRPr="001C7762" w:rsidRDefault="008511CD" w:rsidP="00BC5261">
            <w:pPr>
              <w:shd w:val="clear" w:color="auto" w:fill="FFFFFF"/>
              <w:jc w:val="both"/>
              <w:outlineLvl w:val="2"/>
              <w:rPr>
                <w:lang w:val="uk-UA"/>
              </w:rPr>
            </w:pPr>
          </w:p>
        </w:tc>
      </w:tr>
      <w:tr w:rsidR="001C7762" w:rsidRPr="001C7762" w14:paraId="70D8B051" w14:textId="77777777" w:rsidTr="00F549E8">
        <w:tc>
          <w:tcPr>
            <w:tcW w:w="15309" w:type="dxa"/>
            <w:gridSpan w:val="2"/>
          </w:tcPr>
          <w:p w14:paraId="32A4A19C" w14:textId="07522952" w:rsidR="008511CD" w:rsidRPr="001C7762" w:rsidRDefault="008511CD" w:rsidP="00BC5261">
            <w:pPr>
              <w:jc w:val="center"/>
              <w:rPr>
                <w:lang w:val="uk-UA"/>
              </w:rPr>
            </w:pPr>
            <w:r w:rsidRPr="001C7762">
              <w:rPr>
                <w:b/>
                <w:bCs/>
                <w:i/>
                <w:iCs/>
                <w:lang w:val="uk-UA"/>
              </w:rPr>
              <w:lastRenderedPageBreak/>
              <w:t xml:space="preserve">Постанова НКРЕКП від 5 жовтня 2018 року </w:t>
            </w:r>
            <w:r w:rsidR="009A18EE" w:rsidRPr="001C7762">
              <w:rPr>
                <w:b/>
                <w:bCs/>
                <w:i/>
                <w:iCs/>
                <w:lang w:val="uk-UA"/>
              </w:rPr>
              <w:t>№</w:t>
            </w:r>
            <w:r w:rsidRPr="001C7762">
              <w:rPr>
                <w:b/>
                <w:bCs/>
                <w:i/>
                <w:iCs/>
                <w:lang w:val="uk-UA"/>
              </w:rPr>
              <w:t xml:space="preserve"> 1175 «Про затвердження Порядку встановлення (формування) тарифів на послуги з розподілу електричної енергії»</w:t>
            </w:r>
          </w:p>
        </w:tc>
      </w:tr>
      <w:tr w:rsidR="001C7762" w:rsidRPr="001C7762" w14:paraId="5B0B96AC" w14:textId="77777777" w:rsidTr="00F549E8">
        <w:tc>
          <w:tcPr>
            <w:tcW w:w="7655" w:type="dxa"/>
          </w:tcPr>
          <w:p w14:paraId="535740A2" w14:textId="77777777" w:rsidR="008511CD" w:rsidRPr="001C7762" w:rsidRDefault="008511CD" w:rsidP="000D7C1D">
            <w:pPr>
              <w:pStyle w:val="3"/>
              <w:shd w:val="clear" w:color="auto" w:fill="FFFFFF"/>
              <w:spacing w:before="0" w:after="0"/>
              <w:jc w:val="both"/>
              <w:outlineLvl w:val="2"/>
              <w:rPr>
                <w:rFonts w:ascii="Times New Roman" w:hAnsi="Times New Roman"/>
                <w:sz w:val="24"/>
                <w:szCs w:val="24"/>
                <w:lang w:eastAsia="uk-UA"/>
              </w:rPr>
            </w:pPr>
            <w:r w:rsidRPr="001C7762">
              <w:rPr>
                <w:rFonts w:ascii="Times New Roman" w:hAnsi="Times New Roman"/>
                <w:sz w:val="24"/>
                <w:szCs w:val="24"/>
              </w:rPr>
              <w:t>1. Загальні положення</w:t>
            </w:r>
          </w:p>
          <w:p w14:paraId="55577B5D" w14:textId="77777777" w:rsidR="008511CD" w:rsidRPr="001C7762" w:rsidRDefault="008511CD" w:rsidP="000D7C1D">
            <w:pPr>
              <w:pStyle w:val="tj"/>
              <w:shd w:val="clear" w:color="auto" w:fill="FFFFFF"/>
              <w:spacing w:before="0" w:beforeAutospacing="0" w:after="0" w:afterAutospacing="0"/>
              <w:jc w:val="both"/>
            </w:pPr>
            <w:r w:rsidRPr="001C7762">
              <w:t>1.1. Цей Порядок регулює відносини щодо формування ліцензіатами та/або суб'єктами господарювання, які планують здійснювати діяльність з розподілу електричної енергії (далі - ліцензіати), тарифів на послуги з розподілу електричної енергії та встановлення цих тарифів НКРЕКП.</w:t>
            </w:r>
          </w:p>
          <w:p w14:paraId="182489EF" w14:textId="77777777" w:rsidR="008511CD" w:rsidRPr="001C7762" w:rsidRDefault="008511CD" w:rsidP="000D7C1D">
            <w:pPr>
              <w:pStyle w:val="tj"/>
              <w:shd w:val="clear" w:color="auto" w:fill="FFFFFF"/>
              <w:spacing w:before="0" w:beforeAutospacing="0" w:after="0" w:afterAutospacing="0"/>
              <w:jc w:val="both"/>
            </w:pPr>
            <w:r w:rsidRPr="001C7762">
              <w:t>1.2. У цьому Порядку терміни вживаються в таких значеннях:</w:t>
            </w:r>
          </w:p>
          <w:p w14:paraId="4CCC65EC" w14:textId="03A0F6FE" w:rsidR="008511CD" w:rsidRPr="001C7762" w:rsidRDefault="008511CD" w:rsidP="000D7C1D">
            <w:pPr>
              <w:pStyle w:val="tj"/>
              <w:shd w:val="clear" w:color="auto" w:fill="FFFFFF"/>
              <w:spacing w:before="0" w:beforeAutospacing="0" w:after="0" w:afterAutospacing="0"/>
              <w:jc w:val="both"/>
            </w:pPr>
            <w:r w:rsidRPr="001C7762">
              <w:t>активи, віднесені до категорії 1 - активи, створені після переходу на стимулююче регулювання, у межах схваленої інвестиційної програми за рахунок джерел фінансування: амортизація, прибуток (обов'язкові реінвестиції), прибуток (додаткові реінвестиції), власні кошти (крім коштів, які визначені як обов'язкове джерело інвестиційної програми, відповідно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w:t>
            </w:r>
            <w:r w:rsidR="00EE264F" w:rsidRPr="001C7762">
              <w:t xml:space="preserve"> </w:t>
            </w:r>
            <w:hyperlink r:id="rId19" w:tgtFrame="_blank" w:history="1">
              <w:r w:rsidRPr="001C7762">
                <w:rPr>
                  <w:rStyle w:val="hard-blue-color"/>
                </w:rPr>
                <w:t xml:space="preserve">постановою НКРЕКП від 14 червня 2018 року </w:t>
              </w:r>
              <w:r w:rsidR="00EE264F" w:rsidRPr="001C7762">
                <w:rPr>
                  <w:rStyle w:val="hard-blue-color"/>
                </w:rPr>
                <w:t>№</w:t>
              </w:r>
              <w:r w:rsidRPr="001C7762">
                <w:rPr>
                  <w:rStyle w:val="hard-blue-color"/>
                </w:rPr>
                <w:t xml:space="preserve"> 428</w:t>
              </w:r>
            </w:hyperlink>
            <w:r w:rsidRPr="001C7762">
              <w:t>), залучені кошти, зекономлені кошти при здійсненні операційної діяльності та/або виконанні інвестиційної програми;</w:t>
            </w:r>
          </w:p>
          <w:p w14:paraId="32DCF591" w14:textId="60408F11" w:rsidR="008511CD" w:rsidRPr="001C7762" w:rsidRDefault="008511CD" w:rsidP="000D7C1D">
            <w:pPr>
              <w:pStyle w:val="tj"/>
              <w:shd w:val="clear" w:color="auto" w:fill="FFFFFF"/>
              <w:spacing w:before="0" w:beforeAutospacing="0" w:after="0" w:afterAutospacing="0"/>
              <w:jc w:val="both"/>
            </w:pPr>
          </w:p>
          <w:p w14:paraId="2E34FC59" w14:textId="77777777" w:rsidR="008511CD" w:rsidRPr="001C7762" w:rsidRDefault="008511CD" w:rsidP="000D7C1D">
            <w:pPr>
              <w:pStyle w:val="tj"/>
              <w:shd w:val="clear" w:color="auto" w:fill="FFFFFF"/>
              <w:spacing w:before="0" w:beforeAutospacing="0" w:after="0" w:afterAutospacing="0"/>
              <w:jc w:val="both"/>
            </w:pPr>
          </w:p>
          <w:p w14:paraId="41C1BC9F" w14:textId="77777777" w:rsidR="008511CD" w:rsidRPr="001C7762" w:rsidRDefault="008511CD" w:rsidP="000D7C1D">
            <w:pPr>
              <w:pStyle w:val="tj"/>
              <w:shd w:val="clear" w:color="auto" w:fill="FFFFFF"/>
              <w:spacing w:before="0" w:beforeAutospacing="0" w:after="0" w:afterAutospacing="0"/>
              <w:jc w:val="both"/>
            </w:pPr>
            <w:r w:rsidRPr="001C7762">
              <w:t>активи, віднесені до категорії 3 - активи, отримані ліцензіатами після переходу на стимулююче регулювання на безоплатній основі;</w:t>
            </w:r>
          </w:p>
          <w:p w14:paraId="406DF4E1" w14:textId="77777777" w:rsidR="008511CD" w:rsidRPr="001C7762" w:rsidRDefault="008511CD" w:rsidP="000D7C1D">
            <w:pPr>
              <w:pStyle w:val="tj"/>
              <w:shd w:val="clear" w:color="auto" w:fill="FFFFFF"/>
              <w:spacing w:before="0" w:beforeAutospacing="0" w:after="0" w:afterAutospacing="0"/>
              <w:jc w:val="both"/>
            </w:pPr>
          </w:p>
          <w:p w14:paraId="555842C4" w14:textId="77777777" w:rsidR="008511CD" w:rsidRPr="001C7762" w:rsidRDefault="008511CD" w:rsidP="000D7C1D">
            <w:pPr>
              <w:pStyle w:val="tj"/>
              <w:shd w:val="clear" w:color="auto" w:fill="FFFFFF"/>
              <w:spacing w:before="0" w:beforeAutospacing="0" w:after="0" w:afterAutospacing="0"/>
              <w:jc w:val="both"/>
            </w:pPr>
          </w:p>
          <w:p w14:paraId="4E666C85" w14:textId="77777777" w:rsidR="00355C21" w:rsidRPr="001C7762" w:rsidRDefault="00355C21" w:rsidP="000D7C1D">
            <w:pPr>
              <w:pStyle w:val="tj"/>
              <w:shd w:val="clear" w:color="auto" w:fill="FFFFFF"/>
              <w:spacing w:before="0" w:beforeAutospacing="0" w:after="0" w:afterAutospacing="0"/>
              <w:jc w:val="both"/>
            </w:pPr>
          </w:p>
          <w:p w14:paraId="128D72D2" w14:textId="77777777" w:rsidR="00355C21" w:rsidRPr="001C7762" w:rsidRDefault="00355C21" w:rsidP="000D7C1D">
            <w:pPr>
              <w:pStyle w:val="tj"/>
              <w:shd w:val="clear" w:color="auto" w:fill="FFFFFF"/>
              <w:spacing w:before="0" w:beforeAutospacing="0" w:after="0" w:afterAutospacing="0"/>
              <w:jc w:val="both"/>
            </w:pPr>
          </w:p>
          <w:p w14:paraId="3B9F30ED" w14:textId="77777777" w:rsidR="008511CD" w:rsidRPr="001C7762" w:rsidRDefault="008511CD" w:rsidP="000D7C1D">
            <w:pPr>
              <w:pStyle w:val="tj"/>
              <w:shd w:val="clear" w:color="auto" w:fill="FFFFFF"/>
              <w:spacing w:before="0" w:beforeAutospacing="0" w:after="0" w:afterAutospacing="0"/>
              <w:jc w:val="both"/>
            </w:pPr>
          </w:p>
          <w:p w14:paraId="2579AED6" w14:textId="77777777" w:rsidR="008511CD" w:rsidRPr="001C7762" w:rsidRDefault="008511CD" w:rsidP="000D7C1D">
            <w:pPr>
              <w:pStyle w:val="tj"/>
              <w:shd w:val="clear" w:color="auto" w:fill="FFFFFF"/>
              <w:spacing w:before="0" w:beforeAutospacing="0" w:after="0" w:afterAutospacing="0"/>
              <w:jc w:val="both"/>
            </w:pPr>
            <w:r w:rsidRPr="001C7762">
              <w:t>…</w:t>
            </w:r>
          </w:p>
          <w:p w14:paraId="53ADA302" w14:textId="77777777" w:rsidR="002668E7" w:rsidRDefault="002668E7" w:rsidP="000D7C1D">
            <w:pPr>
              <w:shd w:val="clear" w:color="auto" w:fill="FFFFFF"/>
              <w:jc w:val="both"/>
              <w:rPr>
                <w:lang w:val="uk-UA" w:eastAsia="uk-UA"/>
              </w:rPr>
            </w:pPr>
          </w:p>
          <w:p w14:paraId="48350B2D" w14:textId="4777A2CE" w:rsidR="008511CD" w:rsidRPr="001C7762" w:rsidRDefault="008511CD" w:rsidP="000D7C1D">
            <w:pPr>
              <w:shd w:val="clear" w:color="auto" w:fill="FFFFFF"/>
              <w:jc w:val="both"/>
              <w:rPr>
                <w:lang w:val="uk-UA" w:eastAsia="uk-UA"/>
              </w:rPr>
            </w:pPr>
            <w:r w:rsidRPr="001C7762">
              <w:rPr>
                <w:lang w:val="uk-UA" w:eastAsia="uk-UA"/>
              </w:rPr>
              <w:t>інвестиційна програма - програма заходів, затверджених, погоджених та схвалених відповідно до Порядку розроблення та подання на затвердження планів розвитку систем розподілу та інвестиційних програм операторів систем розподілу, затвердженого </w:t>
            </w:r>
            <w:hyperlink r:id="rId20" w:tgtFrame="_blank" w:history="1">
              <w:r w:rsidRPr="001C7762">
                <w:rPr>
                  <w:lang w:val="uk-UA" w:eastAsia="uk-UA"/>
                </w:rPr>
                <w:t>постановою НКРЕКП від 04 вересня 2018 року N 955</w:t>
              </w:r>
            </w:hyperlink>
            <w:r w:rsidRPr="001C7762">
              <w:rPr>
                <w:lang w:val="uk-UA" w:eastAsia="uk-UA"/>
              </w:rPr>
              <w:t> (далі - Порядок формування інвестиційних програм);</w:t>
            </w:r>
          </w:p>
          <w:p w14:paraId="0227D570" w14:textId="77777777" w:rsidR="008511CD" w:rsidRPr="001C7762" w:rsidRDefault="008511CD" w:rsidP="000D7C1D">
            <w:pPr>
              <w:rPr>
                <w:lang w:val="uk-UA"/>
              </w:rPr>
            </w:pPr>
          </w:p>
        </w:tc>
        <w:tc>
          <w:tcPr>
            <w:tcW w:w="7654" w:type="dxa"/>
          </w:tcPr>
          <w:p w14:paraId="35FAA978" w14:textId="77777777" w:rsidR="008511CD" w:rsidRPr="001C7762" w:rsidRDefault="008511CD" w:rsidP="00BC5261">
            <w:pPr>
              <w:pStyle w:val="3"/>
              <w:shd w:val="clear" w:color="auto" w:fill="FFFFFF"/>
              <w:spacing w:before="0" w:after="0"/>
              <w:jc w:val="both"/>
              <w:outlineLvl w:val="2"/>
              <w:rPr>
                <w:rFonts w:ascii="Times New Roman" w:hAnsi="Times New Roman"/>
                <w:sz w:val="24"/>
                <w:szCs w:val="24"/>
                <w:lang w:eastAsia="uk-UA"/>
              </w:rPr>
            </w:pPr>
            <w:r w:rsidRPr="001C7762">
              <w:rPr>
                <w:rFonts w:ascii="Times New Roman" w:hAnsi="Times New Roman"/>
                <w:sz w:val="24"/>
                <w:szCs w:val="24"/>
              </w:rPr>
              <w:lastRenderedPageBreak/>
              <w:t>1. Загальні положення</w:t>
            </w:r>
          </w:p>
          <w:p w14:paraId="6C443E8D" w14:textId="77777777" w:rsidR="008511CD" w:rsidRPr="001C7762" w:rsidRDefault="008511CD" w:rsidP="00BC5261">
            <w:pPr>
              <w:pStyle w:val="tj"/>
              <w:shd w:val="clear" w:color="auto" w:fill="FFFFFF"/>
              <w:spacing w:before="0" w:beforeAutospacing="0" w:after="0" w:afterAutospacing="0"/>
              <w:jc w:val="both"/>
            </w:pPr>
            <w:r w:rsidRPr="001C7762">
              <w:t>1.1. Цей Порядок регулює відносини щодо формування ліцензіатами та/або суб'єктами господарювання, які планують здійснювати діяльність з розподілу електричної енергії (далі - ліцензіати), тарифів на послуги з розподілу електричної енергії та встановлення цих тарифів НКРЕКП.</w:t>
            </w:r>
          </w:p>
          <w:p w14:paraId="11209EE3" w14:textId="77777777" w:rsidR="008511CD" w:rsidRPr="001C7762" w:rsidRDefault="008511CD" w:rsidP="00BC5261">
            <w:pPr>
              <w:pStyle w:val="tj"/>
              <w:shd w:val="clear" w:color="auto" w:fill="FFFFFF"/>
              <w:spacing w:before="0" w:beforeAutospacing="0" w:after="0" w:afterAutospacing="0"/>
              <w:jc w:val="both"/>
            </w:pPr>
            <w:r w:rsidRPr="001C7762">
              <w:t>1.2. У цьому Порядку терміни вживаються в таких значеннях:</w:t>
            </w:r>
          </w:p>
          <w:p w14:paraId="63ADA095" w14:textId="0D28C7C4" w:rsidR="008511CD" w:rsidRPr="001C7762" w:rsidRDefault="008511CD" w:rsidP="00BC5261">
            <w:pPr>
              <w:pStyle w:val="tj"/>
              <w:shd w:val="clear" w:color="auto" w:fill="FFFFFF"/>
              <w:spacing w:before="0" w:beforeAutospacing="0" w:after="0" w:afterAutospacing="0"/>
              <w:jc w:val="both"/>
              <w:rPr>
                <w:b/>
                <w:strike/>
              </w:rPr>
            </w:pPr>
            <w:r w:rsidRPr="001C7762">
              <w:t xml:space="preserve">активи, віднесені до категорії 1 - активи, створені після переходу на стимулююче регулювання, у межах схваленої інвестиційної програми за рахунок джерел фінансування: амортизація, прибуток (обов'язкові реінвестиції), прибуток (додаткові реінвестиції), власні кошти (крім коштів, які визначені як обов'язкове джерело інвестиційної програми, </w:t>
            </w:r>
            <w:r w:rsidRPr="001C7762">
              <w:rPr>
                <w:b/>
              </w:rPr>
              <w:t>відповідно до Порядку розроблення та подання на затвердження планів розвитку систем розподілу та інвестиційних програм операторів систем розподілу, затвердженого </w:t>
            </w:r>
            <w:hyperlink r:id="rId21" w:tgtFrame="_blank" w:history="1">
              <w:r w:rsidRPr="001C7762">
                <w:rPr>
                  <w:b/>
                </w:rPr>
                <w:t>постановою НКРЕКП від 04 вересня 2018 року № 955</w:t>
              </w:r>
            </w:hyperlink>
            <w:r w:rsidRPr="001C7762">
              <w:rPr>
                <w:b/>
              </w:rPr>
              <w:t xml:space="preserve"> (далі - Порядок формування інвестиційних програм))</w:t>
            </w:r>
            <w:r w:rsidRPr="001C7762">
              <w:t xml:space="preserve">, залучені кошти, зекономлені кошти при здійсненні операційної діяльності та/або виконанні інвестиційної програми. </w:t>
            </w:r>
          </w:p>
          <w:p w14:paraId="14C1B553" w14:textId="77777777" w:rsidR="008511CD" w:rsidRPr="001C7762" w:rsidRDefault="008511CD" w:rsidP="00BC5261">
            <w:pPr>
              <w:pStyle w:val="tj"/>
              <w:shd w:val="clear" w:color="auto" w:fill="FFFFFF"/>
              <w:spacing w:before="0" w:beforeAutospacing="0" w:after="0" w:afterAutospacing="0"/>
              <w:jc w:val="both"/>
            </w:pPr>
          </w:p>
          <w:p w14:paraId="707A445F" w14:textId="10FCC094" w:rsidR="002668E7" w:rsidRPr="000D7C1D" w:rsidRDefault="00F706D8" w:rsidP="002668E7">
            <w:pPr>
              <w:pStyle w:val="tj"/>
              <w:shd w:val="clear" w:color="auto" w:fill="FFFFFF"/>
              <w:spacing w:before="0" w:beforeAutospacing="0" w:after="0" w:afterAutospacing="0"/>
              <w:jc w:val="both"/>
            </w:pPr>
            <w:r w:rsidRPr="00F706D8">
              <w:t xml:space="preserve">активи, віднесені до категорії 3 – активи, отримані ліцензіатами після переходу на стимулююче регулювання </w:t>
            </w:r>
            <w:r w:rsidRPr="00F706D8">
              <w:rPr>
                <w:b/>
              </w:rPr>
              <w:t>на безповоротній</w:t>
            </w:r>
            <w:r w:rsidRPr="00F706D8">
              <w:t xml:space="preserve"> та безоплатній основі </w:t>
            </w:r>
            <w:r w:rsidRPr="000D7C1D">
              <w:rPr>
                <w:b/>
              </w:rPr>
              <w:t xml:space="preserve">(у тому числі нерухоме майно, отримане у вигляді гуманітарної допомоги, витрати на встановлення якого передбачено </w:t>
            </w:r>
            <w:r w:rsidRPr="000D7C1D">
              <w:rPr>
                <w:b/>
              </w:rPr>
              <w:lastRenderedPageBreak/>
              <w:t xml:space="preserve">в межах заходів схваленої інвестиційної програми, а також надання послуг з приєднання). При цьому </w:t>
            </w:r>
            <w:r w:rsidR="002668E7" w:rsidRPr="000D7C1D">
              <w:rPr>
                <w:b/>
              </w:rPr>
              <w:t>витрати на встановлення гуманітарного обладнання відносяться до відповідної категорії;»;</w:t>
            </w:r>
          </w:p>
          <w:p w14:paraId="72D67D2B" w14:textId="1D9DE3FB" w:rsidR="002668E7" w:rsidRPr="000D7C1D" w:rsidRDefault="002668E7" w:rsidP="00BC5261">
            <w:pPr>
              <w:pStyle w:val="tj"/>
              <w:shd w:val="clear" w:color="auto" w:fill="FFFFFF"/>
              <w:spacing w:before="0" w:beforeAutospacing="0" w:after="0" w:afterAutospacing="0"/>
              <w:jc w:val="both"/>
              <w:rPr>
                <w:b/>
              </w:rPr>
            </w:pPr>
          </w:p>
          <w:p w14:paraId="0EE24B45" w14:textId="77777777" w:rsidR="008511CD" w:rsidRPr="001C7762" w:rsidRDefault="008511CD" w:rsidP="00BC5261">
            <w:pPr>
              <w:pStyle w:val="tj"/>
              <w:shd w:val="clear" w:color="auto" w:fill="FFFFFF"/>
              <w:spacing w:before="0" w:beforeAutospacing="0" w:after="0" w:afterAutospacing="0"/>
              <w:jc w:val="both"/>
            </w:pPr>
            <w:r w:rsidRPr="001C7762">
              <w:t>…</w:t>
            </w:r>
          </w:p>
          <w:p w14:paraId="1A6E5FF3" w14:textId="77777777" w:rsidR="008511CD" w:rsidRPr="001C7762" w:rsidRDefault="008511CD" w:rsidP="00BC5261">
            <w:pPr>
              <w:pStyle w:val="tj"/>
              <w:shd w:val="clear" w:color="auto" w:fill="FFFFFF"/>
              <w:spacing w:before="0" w:beforeAutospacing="0" w:after="0" w:afterAutospacing="0"/>
              <w:jc w:val="both"/>
            </w:pPr>
            <w:r w:rsidRPr="001C7762">
              <w:t>інвестиційна програма - програма заходів, затверджених, погоджених та схвалених відповідно до Порядку формування інвестиційних програм;</w:t>
            </w:r>
          </w:p>
          <w:p w14:paraId="4D33E601" w14:textId="77777777" w:rsidR="008511CD" w:rsidRPr="001C7762" w:rsidRDefault="008511CD" w:rsidP="00BC5261">
            <w:pPr>
              <w:rPr>
                <w:lang w:val="uk-UA"/>
              </w:rPr>
            </w:pPr>
          </w:p>
        </w:tc>
      </w:tr>
      <w:tr w:rsidR="001C7762" w:rsidRPr="001C7762" w14:paraId="66DA99ED" w14:textId="77777777" w:rsidTr="00F549E8">
        <w:tc>
          <w:tcPr>
            <w:tcW w:w="7655" w:type="dxa"/>
          </w:tcPr>
          <w:p w14:paraId="1499D662" w14:textId="77777777" w:rsidR="008511CD" w:rsidRPr="001C7762" w:rsidRDefault="008511CD" w:rsidP="00BC5261">
            <w:pPr>
              <w:shd w:val="clear" w:color="auto" w:fill="FFFFFF"/>
              <w:spacing w:after="150"/>
              <w:ind w:firstLine="450"/>
              <w:jc w:val="both"/>
              <w:rPr>
                <w:b/>
                <w:bCs/>
                <w:shd w:val="clear" w:color="auto" w:fill="FFFFFF"/>
                <w:lang w:val="uk-UA"/>
              </w:rPr>
            </w:pPr>
            <w:r w:rsidRPr="001C7762">
              <w:rPr>
                <w:b/>
                <w:bCs/>
                <w:shd w:val="clear" w:color="auto" w:fill="FFFFFF"/>
                <w:lang w:val="uk-UA"/>
              </w:rPr>
              <w:lastRenderedPageBreak/>
              <w:t>5. Визначення необхідного доходу</w:t>
            </w:r>
          </w:p>
          <w:p w14:paraId="6CC22891" w14:textId="77777777" w:rsidR="008511CD" w:rsidRPr="001C7762" w:rsidRDefault="008511CD" w:rsidP="00BC5261">
            <w:pPr>
              <w:shd w:val="clear" w:color="auto" w:fill="FFFFFF"/>
              <w:spacing w:after="150"/>
              <w:ind w:firstLine="450"/>
              <w:jc w:val="both"/>
              <w:rPr>
                <w:b/>
                <w:bCs/>
                <w:shd w:val="clear" w:color="auto" w:fill="FFFFFF"/>
                <w:lang w:val="uk-UA"/>
              </w:rPr>
            </w:pPr>
            <w:r w:rsidRPr="001C7762">
              <w:rPr>
                <w:b/>
                <w:bCs/>
                <w:shd w:val="clear" w:color="auto" w:fill="FFFFFF"/>
                <w:lang w:val="uk-UA"/>
              </w:rPr>
              <w:t>……………………………………….</w:t>
            </w:r>
          </w:p>
          <w:p w14:paraId="6F9B4101" w14:textId="77777777" w:rsidR="008511CD" w:rsidRPr="001C7762" w:rsidRDefault="000D7C1D" w:rsidP="00BC5261">
            <w:pPr>
              <w:pStyle w:val="tj"/>
              <w:shd w:val="clear" w:color="auto" w:fill="FFFFFF"/>
              <w:spacing w:before="0" w:beforeAutospacing="0" w:after="0" w:afterAutospacing="0"/>
              <w:ind w:firstLine="489"/>
              <w:jc w:val="both"/>
            </w:pPr>
            <w:hyperlink r:id="rId22" w:tgtFrame="_blank" w:history="1">
              <w:r w:rsidR="008511CD" w:rsidRPr="001C7762">
                <w:t>5.12. Амортизація в році t регуляторного періоду визначається згідно з Порядком визначення регуляторної бази активів окремо на активи, створені на дату переходу до стимулюючого регулювання, та активи, створені після переходу на стимулююче регулювання, за формулою</w:t>
              </w:r>
            </w:hyperlink>
          </w:p>
          <w:tbl>
            <w:tblPr>
              <w:tblW w:w="7585" w:type="dxa"/>
              <w:jc w:val="center"/>
              <w:tblLayout w:type="fixed"/>
              <w:tblCellMar>
                <w:top w:w="15" w:type="dxa"/>
                <w:left w:w="15" w:type="dxa"/>
                <w:bottom w:w="15" w:type="dxa"/>
                <w:right w:w="15" w:type="dxa"/>
              </w:tblCellMar>
              <w:tblLook w:val="04A0" w:firstRow="1" w:lastRow="0" w:firstColumn="1" w:lastColumn="0" w:noHBand="0" w:noVBand="1"/>
            </w:tblPr>
            <w:tblGrid>
              <w:gridCol w:w="5416"/>
              <w:gridCol w:w="1599"/>
              <w:gridCol w:w="570"/>
            </w:tblGrid>
            <w:tr w:rsidR="001C7762" w:rsidRPr="000D7C1D" w14:paraId="49B59196" w14:textId="77777777" w:rsidTr="00EE264F">
              <w:trPr>
                <w:trHeight w:val="673"/>
                <w:jc w:val="center"/>
              </w:trPr>
              <w:tc>
                <w:tcPr>
                  <w:tcW w:w="3570" w:type="pct"/>
                  <w:shd w:val="clear" w:color="auto" w:fill="auto"/>
                  <w:tcMar>
                    <w:top w:w="0" w:type="dxa"/>
                    <w:left w:w="0" w:type="dxa"/>
                    <w:bottom w:w="0" w:type="dxa"/>
                    <w:right w:w="0" w:type="dxa"/>
                  </w:tcMar>
                  <w:vAlign w:val="center"/>
                  <w:hideMark/>
                </w:tcPr>
                <w:p w14:paraId="3219A6CB" w14:textId="77777777" w:rsidR="008511CD" w:rsidRPr="001C7762" w:rsidRDefault="008511CD" w:rsidP="000D7C1D">
                  <w:pPr>
                    <w:pStyle w:val="tr"/>
                    <w:framePr w:hSpace="180" w:wrap="around" w:vAnchor="text" w:hAnchor="text" w:y="1"/>
                    <w:spacing w:before="0" w:beforeAutospacing="0" w:after="0" w:afterAutospacing="0"/>
                    <w:ind w:firstLine="489"/>
                    <w:suppressOverlap/>
                    <w:jc w:val="both"/>
                  </w:pPr>
                  <w:r w:rsidRPr="001C7762">
                    <w:rPr>
                      <w:noProof/>
                    </w:rPr>
                    <w:drawing>
                      <wp:anchor distT="0" distB="0" distL="114300" distR="114300" simplePos="0" relativeHeight="251665408" behindDoc="0" locked="0" layoutInCell="1" allowOverlap="1" wp14:anchorId="55E76988" wp14:editId="29C86B43">
                        <wp:simplePos x="0" y="0"/>
                        <wp:positionH relativeFrom="column">
                          <wp:posOffset>310342</wp:posOffset>
                        </wp:positionH>
                        <wp:positionV relativeFrom="paragraph">
                          <wp:posOffset>120996</wp:posOffset>
                        </wp:positionV>
                        <wp:extent cx="2984500" cy="190500"/>
                        <wp:effectExtent l="0" t="0" r="6350" b="0"/>
                        <wp:wrapThrough wrapText="bothSides">
                          <wp:wrapPolygon edited="0">
                            <wp:start x="0" y="0"/>
                            <wp:lineTo x="0" y="17280"/>
                            <wp:lineTo x="551" y="19440"/>
                            <wp:lineTo x="21094" y="19440"/>
                            <wp:lineTo x="21508" y="10800"/>
                            <wp:lineTo x="21508" y="0"/>
                            <wp:lineTo x="0" y="0"/>
                          </wp:wrapPolygon>
                        </wp:wrapThrough>
                        <wp:docPr id="21" name="Рисунок 21" descr="https://ips.ligazakon.net/l_flib1.nsf/LookupFiles/GK40721_IMG_262.GIF/$file/GK40721_IMG_262.GIF">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ips.ligazakon.net/l_flib1.nsf/LookupFiles/GK40721_IMG_262.GIF/$file/GK40721_IMG_262.GIF">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84500" cy="190500"/>
                                </a:xfrm>
                                <a:prstGeom prst="rect">
                                  <a:avLst/>
                                </a:prstGeom>
                                <a:noFill/>
                                <a:ln>
                                  <a:noFill/>
                                </a:ln>
                              </pic:spPr>
                            </pic:pic>
                          </a:graphicData>
                        </a:graphic>
                      </wp:anchor>
                    </w:drawing>
                  </w:r>
                </w:p>
              </w:tc>
              <w:tc>
                <w:tcPr>
                  <w:tcW w:w="1054" w:type="pct"/>
                  <w:shd w:val="clear" w:color="auto" w:fill="auto"/>
                  <w:tcMar>
                    <w:top w:w="0" w:type="dxa"/>
                    <w:left w:w="0" w:type="dxa"/>
                    <w:bottom w:w="0" w:type="dxa"/>
                    <w:right w:w="0" w:type="dxa"/>
                  </w:tcMar>
                  <w:vAlign w:val="center"/>
                  <w:hideMark/>
                </w:tcPr>
                <w:p w14:paraId="1D209516" w14:textId="31DA0A82" w:rsidR="008511CD" w:rsidRPr="001C7762" w:rsidRDefault="008511CD" w:rsidP="000D7C1D">
                  <w:pPr>
                    <w:pStyle w:val="tl"/>
                    <w:framePr w:hSpace="180" w:wrap="around" w:vAnchor="text" w:hAnchor="text" w:y="1"/>
                    <w:spacing w:before="0" w:beforeAutospacing="0" w:after="0" w:afterAutospacing="0"/>
                    <w:ind w:firstLine="489"/>
                    <w:suppressOverlap/>
                    <w:jc w:val="both"/>
                  </w:pPr>
                  <w:r w:rsidRPr="001C7762">
                    <w:t>, тис. грн,</w:t>
                  </w:r>
                </w:p>
              </w:tc>
              <w:tc>
                <w:tcPr>
                  <w:tcW w:w="376" w:type="pct"/>
                  <w:shd w:val="clear" w:color="auto" w:fill="auto"/>
                  <w:tcMar>
                    <w:top w:w="0" w:type="dxa"/>
                    <w:left w:w="0" w:type="dxa"/>
                    <w:bottom w:w="0" w:type="dxa"/>
                    <w:right w:w="0" w:type="dxa"/>
                  </w:tcMar>
                  <w:vAlign w:val="center"/>
                  <w:hideMark/>
                </w:tcPr>
                <w:p w14:paraId="06043095" w14:textId="77777777" w:rsidR="008511CD" w:rsidRPr="001C7762" w:rsidRDefault="000D7C1D" w:rsidP="000D7C1D">
                  <w:pPr>
                    <w:pStyle w:val="tc"/>
                    <w:framePr w:hSpace="180" w:wrap="around" w:vAnchor="text" w:hAnchor="text" w:y="1"/>
                    <w:spacing w:before="0" w:beforeAutospacing="0" w:after="0" w:afterAutospacing="0"/>
                    <w:suppressOverlap/>
                    <w:jc w:val="both"/>
                  </w:pPr>
                  <w:hyperlink r:id="rId25" w:tgtFrame="_blank" w:history="1">
                    <w:r w:rsidR="008511CD" w:rsidRPr="001C7762">
                      <w:t>(11)</w:t>
                    </w:r>
                  </w:hyperlink>
                </w:p>
                <w:p w14:paraId="69C87175" w14:textId="77777777" w:rsidR="008511CD" w:rsidRPr="001C7762" w:rsidRDefault="008511CD" w:rsidP="000D7C1D">
                  <w:pPr>
                    <w:pStyle w:val="tc"/>
                    <w:framePr w:hSpace="180" w:wrap="around" w:vAnchor="text" w:hAnchor="text" w:y="1"/>
                    <w:spacing w:before="0" w:beforeAutospacing="0" w:after="0" w:afterAutospacing="0"/>
                    <w:suppressOverlap/>
                    <w:jc w:val="both"/>
                  </w:pPr>
                </w:p>
              </w:tc>
            </w:tr>
          </w:tbl>
          <w:p w14:paraId="559EF98A" w14:textId="77777777" w:rsidR="008511CD" w:rsidRPr="001C7762" w:rsidRDefault="008511CD" w:rsidP="00BC5261">
            <w:pPr>
              <w:shd w:val="clear" w:color="auto" w:fill="FFFFFF"/>
              <w:ind w:firstLine="493"/>
              <w:jc w:val="both"/>
              <w:outlineLvl w:val="2"/>
              <w:rPr>
                <w:lang w:val="uk-UA" w:eastAsia="uk-UA"/>
              </w:rPr>
            </w:pPr>
            <w:r w:rsidRPr="001C7762">
              <w:rPr>
                <w:lang w:val="uk-UA" w:eastAsia="uk-UA"/>
              </w:rPr>
              <w:t>………………….</w:t>
            </w:r>
          </w:p>
          <w:p w14:paraId="4ED7F900" w14:textId="77777777" w:rsidR="008511CD" w:rsidRPr="001C7762" w:rsidRDefault="008511CD" w:rsidP="00BC5261">
            <w:pPr>
              <w:shd w:val="clear" w:color="auto" w:fill="FFFFFF"/>
              <w:ind w:firstLine="493"/>
              <w:jc w:val="both"/>
              <w:outlineLvl w:val="2"/>
              <w:rPr>
                <w:lang w:val="uk-UA" w:eastAsia="uk-UA"/>
              </w:rPr>
            </w:pPr>
          </w:p>
          <w:p w14:paraId="4E7854FC" w14:textId="77777777" w:rsidR="008511CD" w:rsidRPr="001C7762" w:rsidRDefault="008511CD" w:rsidP="00BC5261">
            <w:pPr>
              <w:shd w:val="clear" w:color="auto" w:fill="FFFFFF"/>
              <w:ind w:firstLine="493"/>
              <w:jc w:val="both"/>
              <w:outlineLvl w:val="2"/>
              <w:rPr>
                <w:lang w:val="uk-UA" w:eastAsia="uk-UA"/>
              </w:rPr>
            </w:pPr>
            <w:proofErr w:type="spellStart"/>
            <w:r w:rsidRPr="001C7762">
              <w:rPr>
                <w:lang w:val="uk-UA" w:eastAsia="uk-UA"/>
              </w:rPr>
              <w:t>A</w:t>
            </w:r>
            <w:r w:rsidRPr="001C7762">
              <w:rPr>
                <w:vertAlign w:val="subscript"/>
                <w:lang w:val="uk-UA" w:eastAsia="uk-UA"/>
              </w:rPr>
              <w:t>t</w:t>
            </w:r>
            <w:r w:rsidRPr="001C7762">
              <w:rPr>
                <w:vertAlign w:val="superscript"/>
                <w:lang w:val="uk-UA" w:eastAsia="uk-UA"/>
              </w:rPr>
              <w:t>ст</w:t>
            </w:r>
            <w:proofErr w:type="spellEnd"/>
            <w:r w:rsidRPr="001C7762">
              <w:rPr>
                <w:lang w:val="uk-UA" w:eastAsia="uk-UA"/>
              </w:rPr>
              <w:t xml:space="preserve"> дорівнює регуляторній амортизації на активи, створені на дату переходу до стимулюючого регулювання (</w:t>
            </w:r>
            <w:proofErr w:type="spellStart"/>
            <w:r w:rsidRPr="001C7762">
              <w:rPr>
                <w:lang w:val="uk-UA" w:eastAsia="uk-UA"/>
              </w:rPr>
              <w:t>А</w:t>
            </w:r>
            <w:r w:rsidRPr="001C7762">
              <w:rPr>
                <w:vertAlign w:val="subscript"/>
                <w:lang w:val="uk-UA" w:eastAsia="uk-UA"/>
              </w:rPr>
              <w:t>о</w:t>
            </w:r>
            <w:proofErr w:type="spellEnd"/>
            <w:r w:rsidRPr="001C7762">
              <w:rPr>
                <w:lang w:val="uk-UA" w:eastAsia="uk-UA"/>
              </w:rPr>
              <w:t xml:space="preserve">), розрахованій згідно з Порядком визначення регуляторної бази активів. Якщо </w:t>
            </w:r>
            <w:proofErr w:type="spellStart"/>
            <w:r w:rsidRPr="001C7762">
              <w:rPr>
                <w:lang w:val="uk-UA" w:eastAsia="uk-UA"/>
              </w:rPr>
              <w:t>А</w:t>
            </w:r>
            <w:r w:rsidRPr="001C7762">
              <w:rPr>
                <w:vertAlign w:val="subscript"/>
                <w:lang w:val="uk-UA" w:eastAsia="uk-UA"/>
              </w:rPr>
              <w:t>о</w:t>
            </w:r>
            <w:proofErr w:type="spellEnd"/>
            <w:r w:rsidRPr="001C7762">
              <w:rPr>
                <w:lang w:val="uk-UA" w:eastAsia="uk-UA"/>
              </w:rPr>
              <w:t xml:space="preserve"> перевищує рівень амортизації, врахований в діючих тарифах на дату переходу до стимулюючого регулювання, на величину понад 50 %, то </w:t>
            </w:r>
            <w:proofErr w:type="spellStart"/>
            <w:r w:rsidRPr="001C7762">
              <w:rPr>
                <w:lang w:val="uk-UA" w:eastAsia="uk-UA"/>
              </w:rPr>
              <w:t>А</w:t>
            </w:r>
            <w:r w:rsidRPr="001C7762">
              <w:rPr>
                <w:vertAlign w:val="superscript"/>
                <w:lang w:val="uk-UA" w:eastAsia="uk-UA"/>
              </w:rPr>
              <w:t>ст</w:t>
            </w:r>
            <w:proofErr w:type="spellEnd"/>
            <w:r w:rsidRPr="001C7762">
              <w:rPr>
                <w:lang w:val="uk-UA" w:eastAsia="uk-UA"/>
              </w:rPr>
              <w:t xml:space="preserve"> щорічно збільшується на 50 % (на перший рік - від рівня амортизації, врахованого в діючих тарифах на дату переходу до стимулюючого регулювання; на наступні роки - від рівня амортизації А</w:t>
            </w:r>
            <w:r w:rsidRPr="001C7762">
              <w:rPr>
                <w:vertAlign w:val="superscript"/>
                <w:lang w:val="uk-UA" w:eastAsia="uk-UA"/>
              </w:rPr>
              <w:t>ст</w:t>
            </w:r>
            <w:r w:rsidRPr="001C7762">
              <w:rPr>
                <w:vertAlign w:val="subscript"/>
                <w:lang w:val="uk-UA" w:eastAsia="uk-UA"/>
              </w:rPr>
              <w:t>t-1</w:t>
            </w:r>
            <w:r w:rsidRPr="001C7762">
              <w:rPr>
                <w:lang w:val="uk-UA" w:eastAsia="uk-UA"/>
              </w:rPr>
              <w:t xml:space="preserve">, врахованого в тарифах </w:t>
            </w:r>
            <w:r w:rsidRPr="001C7762">
              <w:rPr>
                <w:lang w:val="uk-UA" w:eastAsia="uk-UA"/>
              </w:rPr>
              <w:lastRenderedPageBreak/>
              <w:t xml:space="preserve">попереднього року) до досягнення рівня </w:t>
            </w:r>
            <w:proofErr w:type="spellStart"/>
            <w:r w:rsidRPr="001C7762">
              <w:rPr>
                <w:lang w:val="uk-UA" w:eastAsia="uk-UA"/>
              </w:rPr>
              <w:t>А</w:t>
            </w:r>
            <w:r w:rsidRPr="001C7762">
              <w:rPr>
                <w:vertAlign w:val="subscript"/>
                <w:lang w:val="uk-UA" w:eastAsia="uk-UA"/>
              </w:rPr>
              <w:t>о</w:t>
            </w:r>
            <w:proofErr w:type="spellEnd"/>
            <w:r w:rsidRPr="001C7762">
              <w:rPr>
                <w:lang w:val="uk-UA" w:eastAsia="uk-UA"/>
              </w:rPr>
              <w:t xml:space="preserve"> (на </w:t>
            </w:r>
            <w:r w:rsidRPr="001C7762">
              <w:rPr>
                <w:b/>
                <w:lang w:val="uk-UA" w:eastAsia="uk-UA"/>
              </w:rPr>
              <w:t>2023 та 2024</w:t>
            </w:r>
            <w:r w:rsidRPr="001C7762">
              <w:rPr>
                <w:lang w:val="uk-UA" w:eastAsia="uk-UA"/>
              </w:rPr>
              <w:t xml:space="preserve"> роки амортизація на активи, створені на дату переходу до стимулюючого регулювання (</w:t>
            </w:r>
            <w:proofErr w:type="spellStart"/>
            <w:r w:rsidRPr="001C7762">
              <w:rPr>
                <w:lang w:val="uk-UA" w:eastAsia="uk-UA"/>
              </w:rPr>
              <w:t>А</w:t>
            </w:r>
            <w:r w:rsidRPr="001C7762">
              <w:rPr>
                <w:vertAlign w:val="superscript"/>
                <w:lang w:val="uk-UA" w:eastAsia="uk-UA"/>
              </w:rPr>
              <w:t>ст</w:t>
            </w:r>
            <w:r w:rsidRPr="001C7762">
              <w:rPr>
                <w:vertAlign w:val="subscript"/>
                <w:lang w:val="uk-UA" w:eastAsia="uk-UA"/>
              </w:rPr>
              <w:t>t</w:t>
            </w:r>
            <w:proofErr w:type="spellEnd"/>
            <w:r w:rsidRPr="001C7762">
              <w:rPr>
                <w:lang w:val="uk-UA" w:eastAsia="uk-UA"/>
              </w:rPr>
              <w:t xml:space="preserve">) не перевищує </w:t>
            </w:r>
            <w:proofErr w:type="spellStart"/>
            <w:r w:rsidRPr="001C7762">
              <w:rPr>
                <w:lang w:val="uk-UA" w:eastAsia="uk-UA"/>
              </w:rPr>
              <w:t>А</w:t>
            </w:r>
            <w:r w:rsidRPr="001C7762">
              <w:rPr>
                <w:vertAlign w:val="superscript"/>
                <w:lang w:val="uk-UA" w:eastAsia="uk-UA"/>
              </w:rPr>
              <w:t>ст</w:t>
            </w:r>
            <w:proofErr w:type="spellEnd"/>
            <w:r w:rsidRPr="001C7762">
              <w:rPr>
                <w:lang w:val="uk-UA" w:eastAsia="uk-UA"/>
              </w:rPr>
              <w:t xml:space="preserve"> </w:t>
            </w:r>
            <w:r w:rsidRPr="001C7762">
              <w:rPr>
                <w:vertAlign w:val="subscript"/>
                <w:lang w:val="uk-UA" w:eastAsia="uk-UA"/>
              </w:rPr>
              <w:t>t-1</w:t>
            </w:r>
            <w:r w:rsidRPr="001C7762">
              <w:rPr>
                <w:lang w:val="uk-UA" w:eastAsia="uk-UA"/>
              </w:rPr>
              <w:t xml:space="preserve">, враховану в тарифах </w:t>
            </w:r>
            <w:r w:rsidRPr="001C7762">
              <w:rPr>
                <w:b/>
                <w:lang w:val="uk-UA" w:eastAsia="uk-UA"/>
              </w:rPr>
              <w:t>2022 та 2023</w:t>
            </w:r>
            <w:r w:rsidRPr="001C7762">
              <w:rPr>
                <w:lang w:val="uk-UA" w:eastAsia="uk-UA"/>
              </w:rPr>
              <w:t xml:space="preserve"> років відповідно, крім ліцензіатів, перелік яких наведено в додатку 30 до цього Порядку, для яких на </w:t>
            </w:r>
            <w:r w:rsidRPr="001C7762">
              <w:rPr>
                <w:b/>
                <w:lang w:val="uk-UA" w:eastAsia="uk-UA"/>
              </w:rPr>
              <w:t>2024 рік</w:t>
            </w:r>
            <w:r w:rsidRPr="001C7762">
              <w:rPr>
                <w:lang w:val="uk-UA" w:eastAsia="uk-UA"/>
              </w:rPr>
              <w:t xml:space="preserve"> амортизація на активи, створені на дату переходу до стимулюючого регулювання, (</w:t>
            </w:r>
            <w:proofErr w:type="spellStart"/>
            <w:r w:rsidRPr="001C7762">
              <w:rPr>
                <w:lang w:val="uk-UA" w:eastAsia="uk-UA"/>
              </w:rPr>
              <w:t>А</w:t>
            </w:r>
            <w:r w:rsidRPr="001C7762">
              <w:rPr>
                <w:vertAlign w:val="superscript"/>
                <w:lang w:val="uk-UA" w:eastAsia="uk-UA"/>
              </w:rPr>
              <w:t>ст</w:t>
            </w:r>
            <w:r w:rsidRPr="001C7762">
              <w:rPr>
                <w:vertAlign w:val="subscript"/>
                <w:lang w:val="uk-UA" w:eastAsia="uk-UA"/>
              </w:rPr>
              <w:t>t</w:t>
            </w:r>
            <w:proofErr w:type="spellEnd"/>
            <w:r w:rsidRPr="001C7762">
              <w:rPr>
                <w:lang w:val="uk-UA" w:eastAsia="uk-UA"/>
              </w:rPr>
              <w:t>) фіксується на рівні А</w:t>
            </w:r>
            <w:r w:rsidRPr="001C7762">
              <w:rPr>
                <w:vertAlign w:val="superscript"/>
                <w:lang w:val="uk-UA" w:eastAsia="uk-UA"/>
              </w:rPr>
              <w:t>ст</w:t>
            </w:r>
            <w:r w:rsidRPr="001C7762">
              <w:rPr>
                <w:vertAlign w:val="subscript"/>
                <w:lang w:val="uk-UA" w:eastAsia="uk-UA"/>
              </w:rPr>
              <w:t>t-1,</w:t>
            </w:r>
            <w:r w:rsidRPr="001C7762">
              <w:rPr>
                <w:lang w:val="uk-UA" w:eastAsia="uk-UA"/>
              </w:rPr>
              <w:t xml:space="preserve"> врахованому в тарифах </w:t>
            </w:r>
            <w:r w:rsidRPr="001C7762">
              <w:rPr>
                <w:b/>
                <w:lang w:val="uk-UA" w:eastAsia="uk-UA"/>
              </w:rPr>
              <w:t>2023 року</w:t>
            </w:r>
            <w:r w:rsidRPr="001C7762">
              <w:rPr>
                <w:lang w:val="uk-UA" w:eastAsia="uk-UA"/>
              </w:rPr>
              <w:t>);</w:t>
            </w:r>
          </w:p>
          <w:p w14:paraId="7961152B" w14:textId="77777777" w:rsidR="008511CD" w:rsidRPr="001C7762" w:rsidRDefault="008511CD" w:rsidP="00BC5261">
            <w:pPr>
              <w:shd w:val="clear" w:color="auto" w:fill="FFFFFF"/>
              <w:ind w:firstLine="489"/>
              <w:jc w:val="both"/>
              <w:outlineLvl w:val="2"/>
              <w:rPr>
                <w:lang w:val="uk-UA" w:eastAsia="uk-UA"/>
              </w:rPr>
            </w:pPr>
          </w:p>
          <w:p w14:paraId="1C7619B8" w14:textId="77777777" w:rsidR="008511CD" w:rsidRPr="001C7762" w:rsidRDefault="000D7C1D" w:rsidP="00BC5261">
            <w:pPr>
              <w:shd w:val="clear" w:color="auto" w:fill="FFFFFF"/>
              <w:ind w:firstLine="489"/>
              <w:jc w:val="both"/>
              <w:outlineLvl w:val="2"/>
              <w:rPr>
                <w:lang w:val="uk-UA" w:eastAsia="uk-UA"/>
              </w:rPr>
            </w:pPr>
            <w:hyperlink r:id="rId26" w:tgtFrame="_blank" w:history="1">
              <w:r>
                <w:rPr>
                  <w:noProof/>
                  <w:shd w:val="clear" w:color="auto" w:fill="FFFFFF"/>
                  <w:lang w:val="uk-UA"/>
                </w:rPr>
                <w:pict w14:anchorId="727885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s://ips.ligazakon.net/l_flib1.nsf/LookupFiles/GK40721_IMG_264.GIF/$file/GK40721_IMG_264.GIF" href="https://ips.ligazakon.net/document/view/gk51968?ed=2022_08_16&amp;an=54" target="&quot;_blank&quot;" style="width:28.2pt;height:14.4pt;visibility:visible;mso-wrap-style:square" o:button="t">
                    <v:imagedata r:id="rId27" o:title="GK40721_IMG_264"/>
                  </v:shape>
                </w:pict>
              </w:r>
            </w:hyperlink>
            <w:r w:rsidR="008511CD" w:rsidRPr="001C7762">
              <w:rPr>
                <w:lang w:val="uk-UA" w:eastAsia="uk-UA"/>
              </w:rPr>
              <w:t xml:space="preserve">- амортизація у році t-1 на активи, віднесені до категорії 1, які створені після переходу на стимулююче регулювання, що розраховується поквартально згідно з додатком 9 до цього Порядку (крім ліцензіатів, перелік яких наведено в додатку 30 до цього Порядку, для яких на </w:t>
            </w:r>
            <w:r w:rsidR="008511CD" w:rsidRPr="001C7762">
              <w:rPr>
                <w:b/>
                <w:lang w:val="uk-UA" w:eastAsia="uk-UA"/>
              </w:rPr>
              <w:t>2024 рік</w:t>
            </w:r>
            <w:r w:rsidR="008511CD" w:rsidRPr="001C7762">
              <w:rPr>
                <w:lang w:val="uk-UA" w:eastAsia="uk-UA"/>
              </w:rPr>
              <w:t xml:space="preserve"> амортизація у році t-1 на активи, віднесені до категорії 1, які створені після переходу на стимулююче регулювання, фіксується на рівні, врахованому в тарифах </w:t>
            </w:r>
            <w:r w:rsidR="008511CD" w:rsidRPr="001C7762">
              <w:rPr>
                <w:b/>
                <w:lang w:val="uk-UA" w:eastAsia="uk-UA"/>
              </w:rPr>
              <w:t>2023 року</w:t>
            </w:r>
            <w:r w:rsidR="008511CD" w:rsidRPr="001C7762">
              <w:rPr>
                <w:lang w:val="uk-UA" w:eastAsia="uk-UA"/>
              </w:rPr>
              <w:t>), тис. грн;</w:t>
            </w:r>
          </w:p>
          <w:p w14:paraId="79C56E7F" w14:textId="77777777" w:rsidR="008511CD" w:rsidRPr="001C7762" w:rsidRDefault="008511CD" w:rsidP="00BC5261">
            <w:pPr>
              <w:shd w:val="clear" w:color="auto" w:fill="FFFFFF"/>
              <w:ind w:firstLine="489"/>
              <w:jc w:val="both"/>
              <w:outlineLvl w:val="2"/>
              <w:rPr>
                <w:b/>
                <w:bCs/>
                <w:lang w:val="uk-UA" w:eastAsia="uk-UA"/>
              </w:rPr>
            </w:pPr>
          </w:p>
          <w:p w14:paraId="262D095B" w14:textId="77777777" w:rsidR="008511CD" w:rsidRPr="001C7762" w:rsidRDefault="000D7C1D" w:rsidP="00BC5261">
            <w:pPr>
              <w:shd w:val="clear" w:color="auto" w:fill="FFFFFF"/>
              <w:ind w:firstLine="489"/>
              <w:jc w:val="both"/>
              <w:outlineLvl w:val="2"/>
              <w:rPr>
                <w:lang w:val="uk-UA" w:eastAsia="uk-UA"/>
              </w:rPr>
            </w:pPr>
            <w:hyperlink r:id="rId28" w:tgtFrame="_blank" w:history="1">
              <w:r w:rsidR="008511CD" w:rsidRPr="001C7762">
                <w:rPr>
                  <w:noProof/>
                  <w:lang w:val="uk-UA" w:eastAsia="uk-UA"/>
                </w:rPr>
                <w:drawing>
                  <wp:inline distT="0" distB="0" distL="0" distR="0" wp14:anchorId="08C7AF8D" wp14:editId="6FA66F43">
                    <wp:extent cx="438150" cy="184150"/>
                    <wp:effectExtent l="0" t="0" r="0" b="6350"/>
                    <wp:docPr id="15" name="Рисунок 15" descr="https://ips.ligazakon.net/l_flib1.nsf/LookupFiles/GK40721_IMG_265.GIF/$file/GK40721_IMG_265.GIF">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ips.ligazakon.net/l_flib1.nsf/LookupFiles/GK40721_IMG_265.GIF/$file/GK40721_IMG_265.GIF">
                              <a:hlinkClick r:id="rId28" tgtFrame="&quot;_blank&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38150" cy="184150"/>
                            </a:xfrm>
                            <a:prstGeom prst="rect">
                              <a:avLst/>
                            </a:prstGeom>
                            <a:noFill/>
                            <a:ln>
                              <a:noFill/>
                            </a:ln>
                          </pic:spPr>
                        </pic:pic>
                      </a:graphicData>
                    </a:graphic>
                  </wp:inline>
                </w:drawing>
              </w:r>
              <w:r w:rsidR="008511CD" w:rsidRPr="001C7762">
                <w:rPr>
                  <w:lang w:val="uk-UA" w:eastAsia="uk-UA"/>
                </w:rPr>
                <w:t> - амортизація у році t-1 на активи, віднесені до категорії 2, які створені після переходу на стимулююче регулювання, що розраховується поквартально згідно з додатком 10 до цього Порядку</w:t>
              </w:r>
            </w:hyperlink>
            <w:r w:rsidR="008511CD" w:rsidRPr="001C7762">
              <w:rPr>
                <w:lang w:val="uk-UA" w:eastAsia="uk-UA"/>
              </w:rPr>
              <w:t> </w:t>
            </w:r>
            <w:hyperlink r:id="rId30" w:tgtFrame="_blank" w:history="1">
              <w:r w:rsidR="008511CD" w:rsidRPr="001C7762">
                <w:rPr>
                  <w:lang w:val="uk-UA" w:eastAsia="uk-UA"/>
                </w:rPr>
                <w:t xml:space="preserve">(крім ліцензіатів, перелік яких наведено в додатку 30 до цього Порядку, для яких на </w:t>
              </w:r>
              <w:r w:rsidR="008511CD" w:rsidRPr="001C7762">
                <w:rPr>
                  <w:b/>
                  <w:lang w:val="uk-UA" w:eastAsia="uk-UA"/>
                </w:rPr>
                <w:t>2024 рік</w:t>
              </w:r>
              <w:r w:rsidR="008511CD" w:rsidRPr="001C7762">
                <w:rPr>
                  <w:lang w:val="uk-UA" w:eastAsia="uk-UA"/>
                </w:rPr>
                <w:t xml:space="preserve"> амортизація у році t-1 на активи, віднесені до категорії 2, які створені після переходу на стимулююче регулювання, фіксується на рівні, врахованому в тарифах </w:t>
              </w:r>
              <w:r w:rsidR="008511CD" w:rsidRPr="001C7762">
                <w:rPr>
                  <w:b/>
                  <w:lang w:val="uk-UA" w:eastAsia="uk-UA"/>
                </w:rPr>
                <w:t>2023 року</w:t>
              </w:r>
              <w:r w:rsidR="008511CD" w:rsidRPr="001C7762">
                <w:rPr>
                  <w:lang w:val="uk-UA" w:eastAsia="uk-UA"/>
                </w:rPr>
                <w:t>)</w:t>
              </w:r>
            </w:hyperlink>
            <w:hyperlink r:id="rId31" w:tgtFrame="_blank" w:history="1">
              <w:r w:rsidR="008511CD" w:rsidRPr="001C7762">
                <w:rPr>
                  <w:lang w:val="uk-UA" w:eastAsia="uk-UA"/>
                </w:rPr>
                <w:t>, тис. грн;</w:t>
              </w:r>
            </w:hyperlink>
          </w:p>
          <w:p w14:paraId="28CCAE6B" w14:textId="60484F8D" w:rsidR="008511CD" w:rsidRPr="001C7762" w:rsidRDefault="008511CD" w:rsidP="00BC5261">
            <w:pPr>
              <w:shd w:val="clear" w:color="auto" w:fill="FFFFFF"/>
              <w:ind w:firstLine="489"/>
              <w:jc w:val="both"/>
              <w:outlineLvl w:val="2"/>
              <w:rPr>
                <w:b/>
                <w:bCs/>
                <w:lang w:val="uk-UA" w:eastAsia="uk-UA"/>
              </w:rPr>
            </w:pPr>
          </w:p>
          <w:p w14:paraId="5120AC90" w14:textId="77777777" w:rsidR="00034A2E" w:rsidRPr="001C7762" w:rsidRDefault="00034A2E" w:rsidP="00BC5261">
            <w:pPr>
              <w:shd w:val="clear" w:color="auto" w:fill="FFFFFF"/>
              <w:ind w:firstLine="489"/>
              <w:jc w:val="both"/>
              <w:outlineLvl w:val="2"/>
              <w:rPr>
                <w:b/>
                <w:bCs/>
                <w:lang w:val="uk-UA" w:eastAsia="uk-UA"/>
              </w:rPr>
            </w:pPr>
          </w:p>
          <w:p w14:paraId="4F4C07DA" w14:textId="77777777" w:rsidR="008511CD" w:rsidRPr="001C7762" w:rsidRDefault="000D7C1D" w:rsidP="00BC5261">
            <w:pPr>
              <w:shd w:val="clear" w:color="auto" w:fill="FFFFFF"/>
              <w:ind w:firstLine="489"/>
              <w:jc w:val="both"/>
              <w:outlineLvl w:val="2"/>
              <w:rPr>
                <w:lang w:val="uk-UA" w:eastAsia="uk-UA"/>
              </w:rPr>
            </w:pPr>
            <w:hyperlink r:id="rId32" w:tgtFrame="_blank" w:history="1">
              <w:r w:rsidR="008511CD" w:rsidRPr="001C7762">
                <w:rPr>
                  <w:noProof/>
                  <w:lang w:val="uk-UA" w:eastAsia="uk-UA"/>
                </w:rPr>
                <w:drawing>
                  <wp:inline distT="0" distB="0" distL="0" distR="0" wp14:anchorId="5F0762A3" wp14:editId="395FE673">
                    <wp:extent cx="438150" cy="184150"/>
                    <wp:effectExtent l="0" t="0" r="0" b="6350"/>
                    <wp:docPr id="16" name="Рисунок 16" descr="https://ips.ligazakon.net/l_flib1.nsf/LookupFiles/GK40721_IMG_266.GIF/$file/GK40721_IMG_266.GIF">
                      <a:hlinkClick xmlns:a="http://schemas.openxmlformats.org/drawingml/2006/main" r:id="rId3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ips.ligazakon.net/l_flib1.nsf/LookupFiles/GK40721_IMG_266.GIF/$file/GK40721_IMG_266.GIF">
                              <a:hlinkClick r:id="rId32" tgtFrame="&quot;_blank&quo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38150" cy="184150"/>
                            </a:xfrm>
                            <a:prstGeom prst="rect">
                              <a:avLst/>
                            </a:prstGeom>
                            <a:noFill/>
                            <a:ln>
                              <a:noFill/>
                            </a:ln>
                          </pic:spPr>
                        </pic:pic>
                      </a:graphicData>
                    </a:graphic>
                  </wp:inline>
                </w:drawing>
              </w:r>
              <w:r w:rsidR="008511CD" w:rsidRPr="001C7762">
                <w:rPr>
                  <w:lang w:val="uk-UA" w:eastAsia="uk-UA"/>
                </w:rPr>
                <w:t> - амортизація у році t-1 на активи, віднесені до категорії 3, які отримані після переходу до стимулюючого регулювання, що розраховується поквартально згідно з додатком 11 до цього Порядку</w:t>
              </w:r>
            </w:hyperlink>
            <w:r w:rsidR="008511CD" w:rsidRPr="001C7762">
              <w:rPr>
                <w:lang w:val="uk-UA" w:eastAsia="uk-UA"/>
              </w:rPr>
              <w:t> </w:t>
            </w:r>
            <w:hyperlink r:id="rId34" w:tgtFrame="_blank" w:history="1">
              <w:r w:rsidR="008511CD" w:rsidRPr="001C7762">
                <w:rPr>
                  <w:lang w:val="uk-UA" w:eastAsia="uk-UA"/>
                </w:rPr>
                <w:t xml:space="preserve">(крім ліцензіатів, перелік яких наведено в додатку 30 до цього Порядку, для яких на </w:t>
              </w:r>
              <w:r w:rsidR="008511CD" w:rsidRPr="001C7762">
                <w:rPr>
                  <w:b/>
                  <w:lang w:val="uk-UA" w:eastAsia="uk-UA"/>
                </w:rPr>
                <w:t>2024 рік</w:t>
              </w:r>
              <w:r w:rsidR="008511CD" w:rsidRPr="001C7762">
                <w:rPr>
                  <w:lang w:val="uk-UA" w:eastAsia="uk-UA"/>
                </w:rPr>
                <w:t xml:space="preserve"> амортизація у році t-1 на активи, віднесені до категорії 3, які створені після переходу на стимулююче регулювання, фіксується на рівні, врахованому в тарифах </w:t>
              </w:r>
              <w:r w:rsidR="008511CD" w:rsidRPr="001C7762">
                <w:rPr>
                  <w:b/>
                  <w:lang w:val="uk-UA" w:eastAsia="uk-UA"/>
                </w:rPr>
                <w:t>2023 року</w:t>
              </w:r>
              <w:r w:rsidR="008511CD" w:rsidRPr="001C7762">
                <w:rPr>
                  <w:lang w:val="uk-UA" w:eastAsia="uk-UA"/>
                </w:rPr>
                <w:t>)</w:t>
              </w:r>
            </w:hyperlink>
            <w:hyperlink r:id="rId35" w:tgtFrame="_blank" w:history="1">
              <w:r w:rsidR="008511CD" w:rsidRPr="001C7762">
                <w:rPr>
                  <w:lang w:val="uk-UA" w:eastAsia="uk-UA"/>
                </w:rPr>
                <w:t>, тис. грн;</w:t>
              </w:r>
            </w:hyperlink>
          </w:p>
          <w:p w14:paraId="32D60CE3" w14:textId="6D88F012" w:rsidR="008511CD" w:rsidRPr="001C7762" w:rsidRDefault="008511CD" w:rsidP="00BC5261">
            <w:pPr>
              <w:shd w:val="clear" w:color="auto" w:fill="FFFFFF"/>
              <w:ind w:firstLine="489"/>
              <w:jc w:val="both"/>
              <w:outlineLvl w:val="2"/>
              <w:rPr>
                <w:b/>
                <w:bCs/>
                <w:lang w:val="uk-UA" w:eastAsia="uk-UA"/>
              </w:rPr>
            </w:pPr>
          </w:p>
          <w:p w14:paraId="396EC1A0" w14:textId="77777777" w:rsidR="00034A2E" w:rsidRPr="001C7762" w:rsidRDefault="00034A2E" w:rsidP="00BC5261">
            <w:pPr>
              <w:shd w:val="clear" w:color="auto" w:fill="FFFFFF"/>
              <w:ind w:firstLine="489"/>
              <w:jc w:val="both"/>
              <w:outlineLvl w:val="2"/>
              <w:rPr>
                <w:b/>
                <w:bCs/>
                <w:lang w:val="uk-UA" w:eastAsia="uk-UA"/>
              </w:rPr>
            </w:pPr>
          </w:p>
          <w:p w14:paraId="58B9405F" w14:textId="77777777" w:rsidR="008511CD" w:rsidRPr="001C7762" w:rsidRDefault="000D7C1D" w:rsidP="00BC5261">
            <w:pPr>
              <w:shd w:val="clear" w:color="auto" w:fill="FFFFFF"/>
              <w:ind w:firstLine="489"/>
              <w:jc w:val="both"/>
              <w:outlineLvl w:val="2"/>
              <w:rPr>
                <w:lang w:val="uk-UA" w:eastAsia="uk-UA"/>
              </w:rPr>
            </w:pPr>
            <w:hyperlink r:id="rId36" w:tgtFrame="_blank" w:history="1">
              <w:r w:rsidR="008511CD" w:rsidRPr="001C7762">
                <w:rPr>
                  <w:noProof/>
                  <w:lang w:val="uk-UA" w:eastAsia="uk-UA"/>
                </w:rPr>
                <w:drawing>
                  <wp:inline distT="0" distB="0" distL="0" distR="0" wp14:anchorId="2F189E73" wp14:editId="5E835EFE">
                    <wp:extent cx="438150" cy="184150"/>
                    <wp:effectExtent l="0" t="0" r="0" b="6350"/>
                    <wp:docPr id="17" name="Рисунок 17" descr="https://ips.ligazakon.net/l_flib1.nsf/LookupFiles/GK40721_IMG_267.GIF/$file/GK40721_IMG_267.GIF">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ips.ligazakon.net/l_flib1.nsf/LookupFiles/GK40721_IMG_267.GIF/$file/GK40721_IMG_267.GIF">
                              <a:hlinkClick r:id="rId26" tgtFrame="&quot;_blank&quot;"/>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38150" cy="184150"/>
                            </a:xfrm>
                            <a:prstGeom prst="rect">
                              <a:avLst/>
                            </a:prstGeom>
                            <a:noFill/>
                            <a:ln>
                              <a:noFill/>
                            </a:ln>
                          </pic:spPr>
                        </pic:pic>
                      </a:graphicData>
                    </a:graphic>
                  </wp:inline>
                </w:drawing>
              </w:r>
              <w:r w:rsidR="008511CD" w:rsidRPr="001C7762">
                <w:rPr>
                  <w:lang w:val="uk-UA" w:eastAsia="uk-UA"/>
                </w:rPr>
                <w:t> - амортизація у році t-1 на активи, віднесені до категорії 4, які створені після переходу до стимулюючого регулювання, що розраховується поквартально згідно з додатком 12 до цього Порядку</w:t>
              </w:r>
            </w:hyperlink>
            <w:r w:rsidR="008511CD" w:rsidRPr="001C7762">
              <w:rPr>
                <w:lang w:val="uk-UA" w:eastAsia="uk-UA"/>
              </w:rPr>
              <w:t> </w:t>
            </w:r>
            <w:hyperlink r:id="rId38" w:tgtFrame="_blank" w:history="1">
              <w:r w:rsidR="008511CD" w:rsidRPr="001C7762">
                <w:rPr>
                  <w:lang w:val="uk-UA" w:eastAsia="uk-UA"/>
                </w:rPr>
                <w:t xml:space="preserve">(крім ліцензіатів, перелік яких наведено в додатку 30 до цього Порядку, для яких на </w:t>
              </w:r>
              <w:r w:rsidR="008511CD" w:rsidRPr="001C7762">
                <w:rPr>
                  <w:b/>
                  <w:lang w:val="uk-UA" w:eastAsia="uk-UA"/>
                </w:rPr>
                <w:t>2024 рік</w:t>
              </w:r>
              <w:r w:rsidR="008511CD" w:rsidRPr="001C7762">
                <w:rPr>
                  <w:lang w:val="uk-UA" w:eastAsia="uk-UA"/>
                </w:rPr>
                <w:t xml:space="preserve"> амортизація у році t-1 на активи, віднесені до категорії 4, які створені після переходу на стимулююче регулювання, фіксується на рівні, врахованому в тарифах </w:t>
              </w:r>
              <w:r w:rsidR="008511CD" w:rsidRPr="001C7762">
                <w:rPr>
                  <w:b/>
                  <w:lang w:val="uk-UA" w:eastAsia="uk-UA"/>
                </w:rPr>
                <w:t>2023 року</w:t>
              </w:r>
              <w:r w:rsidR="008511CD" w:rsidRPr="001C7762">
                <w:rPr>
                  <w:lang w:val="uk-UA" w:eastAsia="uk-UA"/>
                </w:rPr>
                <w:t>)</w:t>
              </w:r>
            </w:hyperlink>
            <w:hyperlink r:id="rId39" w:tgtFrame="_blank" w:history="1">
              <w:r w:rsidR="008511CD" w:rsidRPr="001C7762">
                <w:rPr>
                  <w:lang w:val="uk-UA" w:eastAsia="uk-UA"/>
                </w:rPr>
                <w:t>, тис. грн.</w:t>
              </w:r>
            </w:hyperlink>
          </w:p>
          <w:p w14:paraId="7C7C05F5" w14:textId="77777777" w:rsidR="008511CD" w:rsidRPr="001C7762" w:rsidRDefault="008511CD" w:rsidP="00BC5261">
            <w:pPr>
              <w:rPr>
                <w:lang w:val="uk-UA"/>
              </w:rPr>
            </w:pPr>
          </w:p>
        </w:tc>
        <w:tc>
          <w:tcPr>
            <w:tcW w:w="7654" w:type="dxa"/>
          </w:tcPr>
          <w:p w14:paraId="61243FB2" w14:textId="77777777" w:rsidR="008511CD" w:rsidRPr="001C7762" w:rsidRDefault="008511CD" w:rsidP="00BC5261">
            <w:pPr>
              <w:shd w:val="clear" w:color="auto" w:fill="FFFFFF"/>
              <w:spacing w:after="150"/>
              <w:ind w:firstLine="450"/>
              <w:jc w:val="both"/>
              <w:rPr>
                <w:b/>
                <w:bCs/>
                <w:shd w:val="clear" w:color="auto" w:fill="FFFFFF"/>
                <w:lang w:val="uk-UA"/>
              </w:rPr>
            </w:pPr>
            <w:r w:rsidRPr="001C7762">
              <w:rPr>
                <w:b/>
                <w:bCs/>
                <w:shd w:val="clear" w:color="auto" w:fill="FFFFFF"/>
                <w:lang w:val="uk-UA"/>
              </w:rPr>
              <w:lastRenderedPageBreak/>
              <w:t>5. Визначення необхідного доходу</w:t>
            </w:r>
          </w:p>
          <w:p w14:paraId="46AC684E" w14:textId="77777777" w:rsidR="008511CD" w:rsidRPr="001C7762" w:rsidRDefault="008511CD" w:rsidP="00BC5261">
            <w:pPr>
              <w:shd w:val="clear" w:color="auto" w:fill="FFFFFF"/>
              <w:spacing w:after="150"/>
              <w:ind w:firstLine="450"/>
              <w:jc w:val="both"/>
              <w:rPr>
                <w:b/>
                <w:bCs/>
                <w:shd w:val="clear" w:color="auto" w:fill="FFFFFF"/>
                <w:lang w:val="uk-UA"/>
              </w:rPr>
            </w:pPr>
            <w:r w:rsidRPr="001C7762">
              <w:rPr>
                <w:b/>
                <w:bCs/>
                <w:shd w:val="clear" w:color="auto" w:fill="FFFFFF"/>
                <w:lang w:val="uk-UA"/>
              </w:rPr>
              <w:t>……………………………………….</w:t>
            </w:r>
          </w:p>
          <w:p w14:paraId="5F2A4D9A" w14:textId="77777777" w:rsidR="008511CD" w:rsidRPr="001C7762" w:rsidRDefault="008511CD" w:rsidP="00BC5261">
            <w:pPr>
              <w:pStyle w:val="tj"/>
              <w:shd w:val="clear" w:color="auto" w:fill="FFFFFF"/>
              <w:spacing w:before="0" w:beforeAutospacing="0" w:after="0" w:afterAutospacing="0"/>
              <w:ind w:firstLine="489"/>
              <w:jc w:val="both"/>
            </w:pPr>
            <w:r w:rsidRPr="001C7762">
              <w:t>5.12. Амортизація в році t регуляторного періоду визначається згідно з Порядком визначення регуляторної бази активів окремо на активи, створені на дату переходу до стимулюючого регулювання, та активи, створені після переходу на стимулююче регулювання, за формулою</w:t>
            </w:r>
          </w:p>
          <w:tbl>
            <w:tblPr>
              <w:tblW w:w="7585" w:type="dxa"/>
              <w:jc w:val="center"/>
              <w:tblLayout w:type="fixed"/>
              <w:tblCellMar>
                <w:top w:w="15" w:type="dxa"/>
                <w:left w:w="15" w:type="dxa"/>
                <w:bottom w:w="15" w:type="dxa"/>
                <w:right w:w="15" w:type="dxa"/>
              </w:tblCellMar>
              <w:tblLook w:val="04A0" w:firstRow="1" w:lastRow="0" w:firstColumn="1" w:lastColumn="0" w:noHBand="0" w:noVBand="1"/>
            </w:tblPr>
            <w:tblGrid>
              <w:gridCol w:w="5416"/>
              <w:gridCol w:w="1599"/>
              <w:gridCol w:w="570"/>
            </w:tblGrid>
            <w:tr w:rsidR="001C7762" w:rsidRPr="001C7762" w14:paraId="131B2360" w14:textId="77777777" w:rsidTr="00EE264F">
              <w:trPr>
                <w:trHeight w:val="673"/>
                <w:jc w:val="center"/>
              </w:trPr>
              <w:tc>
                <w:tcPr>
                  <w:tcW w:w="3570" w:type="pct"/>
                  <w:shd w:val="clear" w:color="auto" w:fill="auto"/>
                  <w:tcMar>
                    <w:top w:w="0" w:type="dxa"/>
                    <w:left w:w="0" w:type="dxa"/>
                    <w:bottom w:w="0" w:type="dxa"/>
                    <w:right w:w="0" w:type="dxa"/>
                  </w:tcMar>
                  <w:vAlign w:val="center"/>
                  <w:hideMark/>
                </w:tcPr>
                <w:p w14:paraId="74F001E8" w14:textId="77777777" w:rsidR="008511CD" w:rsidRPr="001C7762" w:rsidRDefault="008511CD" w:rsidP="000D7C1D">
                  <w:pPr>
                    <w:pStyle w:val="tr"/>
                    <w:framePr w:hSpace="180" w:wrap="around" w:vAnchor="text" w:hAnchor="text" w:y="1"/>
                    <w:spacing w:before="0" w:beforeAutospacing="0" w:after="0" w:afterAutospacing="0"/>
                    <w:ind w:firstLine="489"/>
                    <w:suppressOverlap/>
                    <w:jc w:val="both"/>
                  </w:pPr>
                  <w:r w:rsidRPr="001C7762">
                    <w:rPr>
                      <w:noProof/>
                    </w:rPr>
                    <w:drawing>
                      <wp:anchor distT="0" distB="0" distL="114300" distR="114300" simplePos="0" relativeHeight="251666432" behindDoc="0" locked="0" layoutInCell="1" allowOverlap="1" wp14:anchorId="7A3D29AB" wp14:editId="1774834E">
                        <wp:simplePos x="0" y="0"/>
                        <wp:positionH relativeFrom="column">
                          <wp:posOffset>310169</wp:posOffset>
                        </wp:positionH>
                        <wp:positionV relativeFrom="paragraph">
                          <wp:posOffset>120996</wp:posOffset>
                        </wp:positionV>
                        <wp:extent cx="2984500" cy="190500"/>
                        <wp:effectExtent l="0" t="0" r="6350" b="0"/>
                        <wp:wrapThrough wrapText="bothSides">
                          <wp:wrapPolygon edited="0">
                            <wp:start x="0" y="0"/>
                            <wp:lineTo x="0" y="17280"/>
                            <wp:lineTo x="551" y="19440"/>
                            <wp:lineTo x="21094" y="19440"/>
                            <wp:lineTo x="21508" y="10800"/>
                            <wp:lineTo x="21508" y="0"/>
                            <wp:lineTo x="0" y="0"/>
                          </wp:wrapPolygon>
                        </wp:wrapThrough>
                        <wp:docPr id="22" name="Рисунок 22" descr="https://ips.ligazakon.net/l_flib1.nsf/LookupFiles/GK40721_IMG_262.GIF/$file/GK40721_IMG_262.GIF">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ips.ligazakon.net/l_flib1.nsf/LookupFiles/GK40721_IMG_262.GIF/$file/GK40721_IMG_262.GIF">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84500" cy="190500"/>
                                </a:xfrm>
                                <a:prstGeom prst="rect">
                                  <a:avLst/>
                                </a:prstGeom>
                                <a:noFill/>
                                <a:ln>
                                  <a:noFill/>
                                </a:ln>
                              </pic:spPr>
                            </pic:pic>
                          </a:graphicData>
                        </a:graphic>
                      </wp:anchor>
                    </w:drawing>
                  </w:r>
                </w:p>
              </w:tc>
              <w:tc>
                <w:tcPr>
                  <w:tcW w:w="1054" w:type="pct"/>
                  <w:shd w:val="clear" w:color="auto" w:fill="auto"/>
                  <w:tcMar>
                    <w:top w:w="0" w:type="dxa"/>
                    <w:left w:w="0" w:type="dxa"/>
                    <w:bottom w:w="0" w:type="dxa"/>
                    <w:right w:w="0" w:type="dxa"/>
                  </w:tcMar>
                  <w:vAlign w:val="center"/>
                  <w:hideMark/>
                </w:tcPr>
                <w:p w14:paraId="36860FE0" w14:textId="54034FBD" w:rsidR="008511CD" w:rsidRPr="001C7762" w:rsidRDefault="008511CD" w:rsidP="000D7C1D">
                  <w:pPr>
                    <w:pStyle w:val="tl"/>
                    <w:framePr w:hSpace="180" w:wrap="around" w:vAnchor="text" w:hAnchor="text" w:y="1"/>
                    <w:spacing w:before="0" w:beforeAutospacing="0" w:after="0" w:afterAutospacing="0"/>
                    <w:ind w:firstLine="489"/>
                    <w:suppressOverlap/>
                    <w:jc w:val="both"/>
                  </w:pPr>
                  <w:r w:rsidRPr="001C7762">
                    <w:t>, тис. грн,</w:t>
                  </w:r>
                </w:p>
              </w:tc>
              <w:tc>
                <w:tcPr>
                  <w:tcW w:w="376" w:type="pct"/>
                  <w:shd w:val="clear" w:color="auto" w:fill="auto"/>
                  <w:tcMar>
                    <w:top w:w="0" w:type="dxa"/>
                    <w:left w:w="0" w:type="dxa"/>
                    <w:bottom w:w="0" w:type="dxa"/>
                    <w:right w:w="0" w:type="dxa"/>
                  </w:tcMar>
                  <w:vAlign w:val="center"/>
                  <w:hideMark/>
                </w:tcPr>
                <w:p w14:paraId="501BE21C" w14:textId="77777777" w:rsidR="008511CD" w:rsidRPr="001C7762" w:rsidRDefault="000D7C1D" w:rsidP="000D7C1D">
                  <w:pPr>
                    <w:pStyle w:val="tc"/>
                    <w:framePr w:hSpace="180" w:wrap="around" w:vAnchor="text" w:hAnchor="text" w:y="1"/>
                    <w:spacing w:before="0" w:beforeAutospacing="0" w:after="0" w:afterAutospacing="0"/>
                    <w:suppressOverlap/>
                    <w:jc w:val="both"/>
                  </w:pPr>
                  <w:hyperlink r:id="rId40" w:tgtFrame="_blank" w:history="1">
                    <w:r w:rsidR="008511CD" w:rsidRPr="001C7762">
                      <w:t>(11)</w:t>
                    </w:r>
                  </w:hyperlink>
                </w:p>
                <w:p w14:paraId="58BE2EED" w14:textId="77777777" w:rsidR="008511CD" w:rsidRPr="001C7762" w:rsidRDefault="008511CD" w:rsidP="000D7C1D">
                  <w:pPr>
                    <w:pStyle w:val="tc"/>
                    <w:framePr w:hSpace="180" w:wrap="around" w:vAnchor="text" w:hAnchor="text" w:y="1"/>
                    <w:spacing w:before="0" w:beforeAutospacing="0" w:after="0" w:afterAutospacing="0"/>
                    <w:suppressOverlap/>
                    <w:jc w:val="both"/>
                  </w:pPr>
                </w:p>
              </w:tc>
            </w:tr>
          </w:tbl>
          <w:p w14:paraId="1328D539" w14:textId="77777777" w:rsidR="008511CD" w:rsidRPr="001C7762" w:rsidRDefault="008511CD" w:rsidP="00BC5261">
            <w:pPr>
              <w:shd w:val="clear" w:color="auto" w:fill="FFFFFF"/>
              <w:ind w:firstLine="493"/>
              <w:jc w:val="both"/>
              <w:outlineLvl w:val="2"/>
              <w:rPr>
                <w:lang w:val="uk-UA" w:eastAsia="uk-UA"/>
              </w:rPr>
            </w:pPr>
            <w:r w:rsidRPr="001C7762">
              <w:rPr>
                <w:lang w:val="uk-UA" w:eastAsia="uk-UA"/>
              </w:rPr>
              <w:t>………………….</w:t>
            </w:r>
          </w:p>
          <w:p w14:paraId="208899CA" w14:textId="77777777" w:rsidR="008511CD" w:rsidRPr="001C7762" w:rsidRDefault="008511CD" w:rsidP="00BC5261">
            <w:pPr>
              <w:shd w:val="clear" w:color="auto" w:fill="FFFFFF"/>
              <w:ind w:firstLine="493"/>
              <w:jc w:val="both"/>
              <w:outlineLvl w:val="2"/>
              <w:rPr>
                <w:lang w:val="uk-UA" w:eastAsia="uk-UA"/>
              </w:rPr>
            </w:pPr>
          </w:p>
          <w:p w14:paraId="3380A90F" w14:textId="65D62606" w:rsidR="008511CD" w:rsidRPr="001C7762" w:rsidRDefault="008511CD" w:rsidP="00BC5261">
            <w:pPr>
              <w:shd w:val="clear" w:color="auto" w:fill="FFFFFF"/>
              <w:ind w:firstLine="493"/>
              <w:jc w:val="both"/>
              <w:outlineLvl w:val="2"/>
              <w:rPr>
                <w:lang w:val="uk-UA" w:eastAsia="uk-UA"/>
              </w:rPr>
            </w:pPr>
            <w:proofErr w:type="spellStart"/>
            <w:r w:rsidRPr="001C7762">
              <w:rPr>
                <w:lang w:val="uk-UA" w:eastAsia="uk-UA"/>
              </w:rPr>
              <w:t>A</w:t>
            </w:r>
            <w:r w:rsidRPr="001C7762">
              <w:rPr>
                <w:vertAlign w:val="subscript"/>
                <w:lang w:val="uk-UA" w:eastAsia="uk-UA"/>
              </w:rPr>
              <w:t>t</w:t>
            </w:r>
            <w:r w:rsidRPr="001C7762">
              <w:rPr>
                <w:vertAlign w:val="superscript"/>
                <w:lang w:val="uk-UA" w:eastAsia="uk-UA"/>
              </w:rPr>
              <w:t>ст</w:t>
            </w:r>
            <w:proofErr w:type="spellEnd"/>
            <w:r w:rsidRPr="001C7762">
              <w:rPr>
                <w:lang w:val="uk-UA" w:eastAsia="uk-UA"/>
              </w:rPr>
              <w:t xml:space="preserve"> дорівнює регуляторній амортизації на активи, створені на дату переходу до стимулюючого регулювання (</w:t>
            </w:r>
            <w:r w:rsidRPr="001C7762">
              <w:rPr>
                <w:b/>
                <w:lang w:val="uk-UA" w:eastAsia="uk-UA"/>
              </w:rPr>
              <w:t>А</w:t>
            </w:r>
            <w:r w:rsidRPr="001C7762">
              <w:rPr>
                <w:b/>
                <w:vertAlign w:val="superscript"/>
                <w:lang w:eastAsia="uk-UA"/>
              </w:rPr>
              <w:t>0</w:t>
            </w:r>
            <w:r w:rsidRPr="001C7762">
              <w:rPr>
                <w:lang w:val="uk-UA" w:eastAsia="uk-UA"/>
              </w:rPr>
              <w:t xml:space="preserve">), розрахованій згідно з Порядком визначення регуляторної бази активів. Якщо </w:t>
            </w:r>
            <w:r w:rsidRPr="000D7C1D">
              <w:rPr>
                <w:b/>
                <w:lang w:val="uk-UA" w:eastAsia="uk-UA"/>
              </w:rPr>
              <w:t>А</w:t>
            </w:r>
            <w:r w:rsidRPr="000D7C1D">
              <w:rPr>
                <w:b/>
                <w:vertAlign w:val="superscript"/>
                <w:lang w:val="uk-UA" w:eastAsia="uk-UA"/>
              </w:rPr>
              <w:t>0</w:t>
            </w:r>
            <w:r w:rsidRPr="000D7C1D">
              <w:rPr>
                <w:b/>
                <w:vertAlign w:val="subscript"/>
                <w:lang w:eastAsia="uk-UA"/>
              </w:rPr>
              <w:t xml:space="preserve"> </w:t>
            </w:r>
            <w:r w:rsidRPr="001C7762">
              <w:rPr>
                <w:lang w:val="uk-UA" w:eastAsia="uk-UA"/>
              </w:rPr>
              <w:t xml:space="preserve">перевищує рівень амортизації, врахований в діючих тарифах на дату переходу до стимулюючого регулювання, на величину понад 50 %, то </w:t>
            </w:r>
            <w:proofErr w:type="spellStart"/>
            <w:r w:rsidRPr="001C7762">
              <w:rPr>
                <w:lang w:val="uk-UA" w:eastAsia="uk-UA"/>
              </w:rPr>
              <w:t>А</w:t>
            </w:r>
            <w:r w:rsidRPr="001C7762">
              <w:rPr>
                <w:vertAlign w:val="superscript"/>
                <w:lang w:val="uk-UA" w:eastAsia="uk-UA"/>
              </w:rPr>
              <w:t>ст</w:t>
            </w:r>
            <w:proofErr w:type="spellEnd"/>
            <w:r w:rsidRPr="001C7762">
              <w:rPr>
                <w:lang w:val="uk-UA" w:eastAsia="uk-UA"/>
              </w:rPr>
              <w:t xml:space="preserve"> щорічно збільшується на 50 % (на перший рік - від рівня амортизації, врахованого в діючих тарифах на дату переходу до стимулюючого регулювання; на наступні роки - від рівня амортизації А</w:t>
            </w:r>
            <w:r w:rsidRPr="001C7762">
              <w:rPr>
                <w:vertAlign w:val="superscript"/>
                <w:lang w:val="uk-UA" w:eastAsia="uk-UA"/>
              </w:rPr>
              <w:t>ст</w:t>
            </w:r>
            <w:r w:rsidRPr="001C7762">
              <w:rPr>
                <w:vertAlign w:val="subscript"/>
                <w:lang w:val="uk-UA" w:eastAsia="uk-UA"/>
              </w:rPr>
              <w:t>t-1</w:t>
            </w:r>
            <w:r w:rsidRPr="001C7762">
              <w:rPr>
                <w:lang w:val="uk-UA" w:eastAsia="uk-UA"/>
              </w:rPr>
              <w:t xml:space="preserve">, врахованого в тарифах </w:t>
            </w:r>
            <w:r w:rsidRPr="001C7762">
              <w:rPr>
                <w:lang w:val="uk-UA" w:eastAsia="uk-UA"/>
              </w:rPr>
              <w:lastRenderedPageBreak/>
              <w:t xml:space="preserve">попереднього року) до досягнення рівня  </w:t>
            </w:r>
            <w:r w:rsidRPr="000D7C1D">
              <w:rPr>
                <w:b/>
                <w:strike/>
                <w:lang w:val="uk-UA" w:eastAsia="uk-UA"/>
              </w:rPr>
              <w:t>А</w:t>
            </w:r>
            <w:r w:rsidRPr="000D7C1D">
              <w:rPr>
                <w:b/>
                <w:strike/>
                <w:vertAlign w:val="superscript"/>
                <w:lang w:val="uk-UA" w:eastAsia="uk-UA"/>
              </w:rPr>
              <w:t>0</w:t>
            </w:r>
            <w:r w:rsidRPr="000D7C1D">
              <w:rPr>
                <w:b/>
                <w:strike/>
                <w:vertAlign w:val="subscript"/>
                <w:lang w:eastAsia="uk-UA"/>
              </w:rPr>
              <w:t xml:space="preserve"> </w:t>
            </w:r>
            <w:r w:rsidRPr="000D7C1D">
              <w:rPr>
                <w:b/>
                <w:strike/>
                <w:lang w:val="uk-UA" w:eastAsia="uk-UA"/>
              </w:rPr>
              <w:t>або</w:t>
            </w:r>
            <w:r w:rsidRPr="000D7C1D">
              <w:rPr>
                <w:b/>
                <w:vertAlign w:val="subscript"/>
                <w:lang w:val="uk-UA" w:eastAsia="uk-UA"/>
              </w:rPr>
              <w:t xml:space="preserve"> </w:t>
            </w:r>
            <m:oMath>
              <m:sSubSup>
                <m:sSubSupPr>
                  <m:ctrlPr>
                    <w:rPr>
                      <w:rFonts w:ascii="Cambria Math" w:hAnsi="Cambria Math"/>
                      <w:b/>
                      <w:i/>
                      <w:lang w:val="uk-UA" w:eastAsia="uk-UA"/>
                    </w:rPr>
                  </m:ctrlPr>
                </m:sSubSupPr>
                <m:e>
                  <m:r>
                    <m:rPr>
                      <m:sty m:val="bi"/>
                    </m:rPr>
                    <w:rPr>
                      <w:rFonts w:ascii="Cambria Math" w:hAnsi="Cambria Math"/>
                      <w:lang w:val="uk-UA" w:eastAsia="uk-UA"/>
                    </w:rPr>
                    <m:t>А</m:t>
                  </m:r>
                </m:e>
                <m:sub>
                  <m:r>
                    <m:rPr>
                      <m:sty m:val="bi"/>
                    </m:rPr>
                    <w:rPr>
                      <w:rFonts w:ascii="Cambria Math" w:hAnsi="Cambria Math"/>
                      <w:lang w:val="en-US" w:eastAsia="uk-UA"/>
                    </w:rPr>
                    <m:t>t</m:t>
                  </m:r>
                </m:sub>
                <m:sup>
                  <m:r>
                    <m:rPr>
                      <m:sty m:val="bi"/>
                    </m:rPr>
                    <w:rPr>
                      <w:rFonts w:ascii="Cambria Math" w:hAnsi="Cambria Math"/>
                      <w:lang w:val="uk-UA" w:eastAsia="uk-UA"/>
                    </w:rPr>
                    <m:t>0</m:t>
                  </m:r>
                </m:sup>
              </m:sSubSup>
            </m:oMath>
            <w:r w:rsidRPr="000D7C1D">
              <w:rPr>
                <w:b/>
                <w:lang w:val="uk-UA" w:eastAsia="uk-UA"/>
              </w:rPr>
              <w:t xml:space="preserve">  (</w:t>
            </w:r>
            <w:r w:rsidRPr="001C7762">
              <w:rPr>
                <w:lang w:val="uk-UA" w:eastAsia="uk-UA"/>
              </w:rPr>
              <w:t xml:space="preserve">на </w:t>
            </w:r>
            <w:r w:rsidRPr="001C7762">
              <w:rPr>
                <w:b/>
                <w:lang w:val="uk-UA" w:eastAsia="uk-UA"/>
              </w:rPr>
              <w:t>2023 – 2025</w:t>
            </w:r>
            <w:r w:rsidRPr="001C7762">
              <w:rPr>
                <w:lang w:val="uk-UA" w:eastAsia="uk-UA"/>
              </w:rPr>
              <w:t xml:space="preserve"> роки амортизація на активи, створені на дату переходу до стимулюючого регулювання (</w:t>
            </w:r>
            <w:proofErr w:type="spellStart"/>
            <w:r w:rsidRPr="001C7762">
              <w:rPr>
                <w:lang w:val="uk-UA" w:eastAsia="uk-UA"/>
              </w:rPr>
              <w:t>А</w:t>
            </w:r>
            <w:r w:rsidRPr="001C7762">
              <w:rPr>
                <w:vertAlign w:val="superscript"/>
                <w:lang w:val="uk-UA" w:eastAsia="uk-UA"/>
              </w:rPr>
              <w:t>ст</w:t>
            </w:r>
            <w:r w:rsidRPr="001C7762">
              <w:rPr>
                <w:vertAlign w:val="subscript"/>
                <w:lang w:val="uk-UA" w:eastAsia="uk-UA"/>
              </w:rPr>
              <w:t>t</w:t>
            </w:r>
            <w:proofErr w:type="spellEnd"/>
            <w:r w:rsidRPr="001C7762">
              <w:rPr>
                <w:lang w:val="uk-UA" w:eastAsia="uk-UA"/>
              </w:rPr>
              <w:t xml:space="preserve">) не перевищує </w:t>
            </w:r>
            <w:proofErr w:type="spellStart"/>
            <w:r w:rsidRPr="001C7762">
              <w:rPr>
                <w:lang w:val="uk-UA" w:eastAsia="uk-UA"/>
              </w:rPr>
              <w:t>А</w:t>
            </w:r>
            <w:r w:rsidRPr="001C7762">
              <w:rPr>
                <w:vertAlign w:val="superscript"/>
                <w:lang w:val="uk-UA" w:eastAsia="uk-UA"/>
              </w:rPr>
              <w:t>ст</w:t>
            </w:r>
            <w:proofErr w:type="spellEnd"/>
            <w:r w:rsidRPr="001C7762">
              <w:rPr>
                <w:lang w:val="uk-UA" w:eastAsia="uk-UA"/>
              </w:rPr>
              <w:t xml:space="preserve"> </w:t>
            </w:r>
            <w:r w:rsidRPr="001C7762">
              <w:rPr>
                <w:vertAlign w:val="subscript"/>
                <w:lang w:val="uk-UA" w:eastAsia="uk-UA"/>
              </w:rPr>
              <w:t>t-1</w:t>
            </w:r>
            <w:r w:rsidRPr="001C7762">
              <w:rPr>
                <w:lang w:val="uk-UA" w:eastAsia="uk-UA"/>
              </w:rPr>
              <w:t xml:space="preserve">, враховану в тарифах </w:t>
            </w:r>
            <w:r w:rsidRPr="001C7762">
              <w:rPr>
                <w:b/>
                <w:lang w:val="uk-UA" w:eastAsia="uk-UA"/>
              </w:rPr>
              <w:t>2022 – 2024</w:t>
            </w:r>
            <w:r w:rsidRPr="001C7762">
              <w:rPr>
                <w:lang w:val="uk-UA" w:eastAsia="uk-UA"/>
              </w:rPr>
              <w:t xml:space="preserve"> років відповідно, крім ліцензіатів, перелік яких наведено в додатку 30 до цього Порядку, для яких на </w:t>
            </w:r>
            <w:r w:rsidRPr="001C7762">
              <w:rPr>
                <w:b/>
                <w:lang w:val="uk-UA" w:eastAsia="uk-UA"/>
              </w:rPr>
              <w:t>2024 та 2025 роки</w:t>
            </w:r>
            <w:r w:rsidRPr="001C7762">
              <w:rPr>
                <w:lang w:val="uk-UA" w:eastAsia="uk-UA"/>
              </w:rPr>
              <w:t xml:space="preserve"> амортизація на активи, створені на дату переходу до стимулюючого регулювання, (</w:t>
            </w:r>
            <w:proofErr w:type="spellStart"/>
            <w:r w:rsidRPr="001C7762">
              <w:rPr>
                <w:lang w:val="uk-UA" w:eastAsia="uk-UA"/>
              </w:rPr>
              <w:t>А</w:t>
            </w:r>
            <w:r w:rsidRPr="001C7762">
              <w:rPr>
                <w:vertAlign w:val="superscript"/>
                <w:lang w:val="uk-UA" w:eastAsia="uk-UA"/>
              </w:rPr>
              <w:t>ст</w:t>
            </w:r>
            <w:r w:rsidRPr="001C7762">
              <w:rPr>
                <w:vertAlign w:val="subscript"/>
                <w:lang w:val="uk-UA" w:eastAsia="uk-UA"/>
              </w:rPr>
              <w:t>t</w:t>
            </w:r>
            <w:proofErr w:type="spellEnd"/>
            <w:r w:rsidRPr="001C7762">
              <w:rPr>
                <w:lang w:val="uk-UA" w:eastAsia="uk-UA"/>
              </w:rPr>
              <w:t>) фіксується на рівні А</w:t>
            </w:r>
            <w:r w:rsidRPr="001C7762">
              <w:rPr>
                <w:vertAlign w:val="superscript"/>
                <w:lang w:val="uk-UA" w:eastAsia="uk-UA"/>
              </w:rPr>
              <w:t>ст</w:t>
            </w:r>
            <w:r w:rsidRPr="001C7762">
              <w:rPr>
                <w:vertAlign w:val="subscript"/>
                <w:lang w:val="uk-UA" w:eastAsia="uk-UA"/>
              </w:rPr>
              <w:t>t-1,</w:t>
            </w:r>
            <w:r w:rsidRPr="001C7762">
              <w:rPr>
                <w:lang w:val="uk-UA" w:eastAsia="uk-UA"/>
              </w:rPr>
              <w:t xml:space="preserve"> врахованому в тарифах </w:t>
            </w:r>
            <w:r w:rsidRPr="001C7762">
              <w:rPr>
                <w:b/>
                <w:lang w:val="uk-UA" w:eastAsia="uk-UA"/>
              </w:rPr>
              <w:t>2023 року</w:t>
            </w:r>
            <w:r w:rsidRPr="001C7762">
              <w:rPr>
                <w:lang w:val="uk-UA" w:eastAsia="uk-UA"/>
              </w:rPr>
              <w:t>);</w:t>
            </w:r>
          </w:p>
          <w:p w14:paraId="69E273A5" w14:textId="77777777" w:rsidR="008511CD" w:rsidRPr="001C7762" w:rsidRDefault="008511CD" w:rsidP="00BC5261">
            <w:pPr>
              <w:shd w:val="clear" w:color="auto" w:fill="FFFFFF"/>
              <w:ind w:firstLine="493"/>
              <w:jc w:val="both"/>
              <w:outlineLvl w:val="2"/>
              <w:rPr>
                <w:lang w:val="uk-UA" w:eastAsia="uk-UA"/>
              </w:rPr>
            </w:pPr>
          </w:p>
          <w:p w14:paraId="2F7B80EC" w14:textId="77777777" w:rsidR="008511CD" w:rsidRPr="001C7762" w:rsidRDefault="000D7C1D" w:rsidP="00BC5261">
            <w:pPr>
              <w:shd w:val="clear" w:color="auto" w:fill="FFFFFF"/>
              <w:ind w:firstLine="477"/>
              <w:jc w:val="both"/>
              <w:outlineLvl w:val="2"/>
              <w:rPr>
                <w:lang w:val="uk-UA" w:eastAsia="uk-UA"/>
              </w:rPr>
            </w:pPr>
            <w:hyperlink r:id="rId41" w:tgtFrame="_blank" w:history="1">
              <w:r>
                <w:rPr>
                  <w:noProof/>
                  <w:shd w:val="clear" w:color="auto" w:fill="FFFFFF"/>
                  <w:lang w:val="uk-UA"/>
                </w:rPr>
                <w:pict w14:anchorId="70E01F78">
                  <v:shape id="_x0000_i1026" type="#_x0000_t75" alt="https://ips.ligazakon.net/l_flib1.nsf/LookupFiles/GK40721_IMG_264.GIF/$file/GK40721_IMG_264.GIF" href="https://ips.ligazakon.net/document/view/gk51968?ed=2022_08_16&amp;an=54" target="&quot;_blank&quot;" style="width:28.2pt;height:14.4pt;visibility:visible;mso-wrap-style:square" o:button="t">
                    <v:imagedata r:id="rId27" o:title="GK40721_IMG_264"/>
                  </v:shape>
                </w:pict>
              </w:r>
            </w:hyperlink>
            <w:r w:rsidR="008511CD" w:rsidRPr="001C7762">
              <w:rPr>
                <w:lang w:val="uk-UA" w:eastAsia="uk-UA"/>
              </w:rPr>
              <w:t xml:space="preserve">- амортизація у році t-1 на активи, віднесені до категорії 1, які створені після переходу на стимулююче регулювання, що розраховується поквартально згідно з додатком 9 до цього Порядку (крім ліцензіатів, перелік яких наведено в додатку 30 до цього Порядку, для яких на 2024 </w:t>
            </w:r>
            <w:r w:rsidR="008511CD" w:rsidRPr="001C7762">
              <w:rPr>
                <w:b/>
                <w:lang w:val="uk-UA" w:eastAsia="uk-UA"/>
              </w:rPr>
              <w:t>та 2025 роки</w:t>
            </w:r>
            <w:r w:rsidR="008511CD" w:rsidRPr="001C7762">
              <w:rPr>
                <w:lang w:val="uk-UA" w:eastAsia="uk-UA"/>
              </w:rPr>
              <w:t xml:space="preserve"> амортизація у році t-1 на активи, віднесені до категорії 1, які створені після переходу на стимулююче регулювання, фіксується на рівні, врахованому в тарифах </w:t>
            </w:r>
            <w:r w:rsidR="008511CD" w:rsidRPr="001C7762">
              <w:rPr>
                <w:b/>
                <w:lang w:val="uk-UA" w:eastAsia="uk-UA"/>
              </w:rPr>
              <w:t>2023 року</w:t>
            </w:r>
            <w:r w:rsidR="008511CD" w:rsidRPr="001C7762">
              <w:rPr>
                <w:lang w:val="uk-UA" w:eastAsia="uk-UA"/>
              </w:rPr>
              <w:t>), тис. грн;</w:t>
            </w:r>
          </w:p>
          <w:p w14:paraId="300D9A81" w14:textId="77777777" w:rsidR="008511CD" w:rsidRPr="001C7762" w:rsidRDefault="008511CD" w:rsidP="00BC5261">
            <w:pPr>
              <w:shd w:val="clear" w:color="auto" w:fill="FFFFFF"/>
              <w:ind w:firstLine="477"/>
              <w:jc w:val="both"/>
              <w:outlineLvl w:val="2"/>
              <w:rPr>
                <w:b/>
                <w:bCs/>
                <w:lang w:val="uk-UA" w:eastAsia="uk-UA"/>
              </w:rPr>
            </w:pPr>
          </w:p>
          <w:p w14:paraId="14ED0641" w14:textId="47108843" w:rsidR="008511CD" w:rsidRPr="001C7762" w:rsidRDefault="000D7C1D" w:rsidP="00BC5261">
            <w:pPr>
              <w:shd w:val="clear" w:color="auto" w:fill="FFFFFF"/>
              <w:ind w:firstLine="489"/>
              <w:jc w:val="both"/>
              <w:outlineLvl w:val="2"/>
              <w:rPr>
                <w:lang w:val="uk-UA" w:eastAsia="uk-UA"/>
              </w:rPr>
            </w:pPr>
            <w:hyperlink r:id="rId42" w:tgtFrame="_blank" w:history="1">
              <w:r w:rsidR="008511CD" w:rsidRPr="001C7762">
                <w:rPr>
                  <w:noProof/>
                  <w:lang w:val="uk-UA" w:eastAsia="uk-UA"/>
                </w:rPr>
                <w:drawing>
                  <wp:inline distT="0" distB="0" distL="0" distR="0" wp14:anchorId="6BDDF650" wp14:editId="431EBD5C">
                    <wp:extent cx="438150" cy="184150"/>
                    <wp:effectExtent l="0" t="0" r="0" b="6350"/>
                    <wp:docPr id="18" name="Рисунок 18" descr="https://ips.ligazakon.net/l_flib1.nsf/LookupFiles/GK40721_IMG_265.GIF/$file/GK40721_IMG_2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8" descr="https://ips.ligazakon.net/l_flib1.nsf/LookupFiles/GK40721_IMG_265.GIF/$file/GK40721_IMG_265.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38150" cy="184150"/>
                            </a:xfrm>
                            <a:prstGeom prst="rect">
                              <a:avLst/>
                            </a:prstGeom>
                            <a:noFill/>
                            <a:ln>
                              <a:noFill/>
                            </a:ln>
                          </pic:spPr>
                        </pic:pic>
                      </a:graphicData>
                    </a:graphic>
                  </wp:inline>
                </w:drawing>
              </w:r>
              <w:r w:rsidR="008511CD" w:rsidRPr="001C7762">
                <w:rPr>
                  <w:lang w:val="uk-UA" w:eastAsia="uk-UA"/>
                </w:rPr>
                <w:t> - амортизація у році t-1 на активи, віднесені до категорії 2, які створені після переходу на стимулююче регулювання, що розраховується поквартально згідно з додатком 10 до цього Порядку</w:t>
              </w:r>
            </w:hyperlink>
            <w:r w:rsidR="008511CD" w:rsidRPr="001C7762">
              <w:rPr>
                <w:lang w:val="uk-UA" w:eastAsia="uk-UA"/>
              </w:rPr>
              <w:t xml:space="preserve"> (крім ліцензіатів, перелік яких наведено в додатку 30 до цього Порядку, для яких на 2024 </w:t>
            </w:r>
            <w:r w:rsidR="008511CD" w:rsidRPr="001C7762">
              <w:rPr>
                <w:b/>
                <w:lang w:val="uk-UA" w:eastAsia="uk-UA"/>
              </w:rPr>
              <w:t>та 2025 роки</w:t>
            </w:r>
            <w:r w:rsidR="008511CD" w:rsidRPr="001C7762">
              <w:rPr>
                <w:lang w:val="uk-UA" w:eastAsia="uk-UA"/>
              </w:rPr>
              <w:t xml:space="preserve"> амортизація у році t-1 на активи, віднесені до категорії 2, які створені після переходу на стимулююче регулювання, фіксується на рівні, врахованому в тарифах </w:t>
            </w:r>
            <w:r w:rsidR="008511CD" w:rsidRPr="001C7762">
              <w:rPr>
                <w:b/>
                <w:lang w:val="uk-UA" w:eastAsia="uk-UA"/>
              </w:rPr>
              <w:t>2023 року</w:t>
            </w:r>
            <w:r w:rsidR="008511CD" w:rsidRPr="001C7762">
              <w:rPr>
                <w:lang w:val="uk-UA" w:eastAsia="uk-UA"/>
              </w:rPr>
              <w:t>)</w:t>
            </w:r>
            <w:hyperlink r:id="rId43" w:tgtFrame="_blank" w:history="1">
              <w:r w:rsidR="008511CD" w:rsidRPr="001C7762">
                <w:rPr>
                  <w:lang w:val="uk-UA" w:eastAsia="uk-UA"/>
                </w:rPr>
                <w:t>, тис. грн;</w:t>
              </w:r>
            </w:hyperlink>
          </w:p>
          <w:p w14:paraId="6415B8B6" w14:textId="77777777" w:rsidR="008511CD" w:rsidRPr="001C7762" w:rsidRDefault="008511CD" w:rsidP="00BC5261">
            <w:pPr>
              <w:shd w:val="clear" w:color="auto" w:fill="FFFFFF"/>
              <w:ind w:firstLine="489"/>
              <w:jc w:val="both"/>
              <w:outlineLvl w:val="2"/>
              <w:rPr>
                <w:b/>
                <w:bCs/>
                <w:lang w:val="uk-UA" w:eastAsia="uk-UA"/>
              </w:rPr>
            </w:pPr>
          </w:p>
          <w:p w14:paraId="305C1ACD" w14:textId="5BED9A2A" w:rsidR="008511CD" w:rsidRPr="001C7762" w:rsidRDefault="000D7C1D" w:rsidP="00BC5261">
            <w:pPr>
              <w:shd w:val="clear" w:color="auto" w:fill="FFFFFF"/>
              <w:ind w:firstLine="489"/>
              <w:jc w:val="both"/>
              <w:outlineLvl w:val="2"/>
              <w:rPr>
                <w:lang w:val="uk-UA" w:eastAsia="uk-UA"/>
              </w:rPr>
            </w:pPr>
            <w:hyperlink r:id="rId44" w:tgtFrame="_blank" w:history="1">
              <w:r w:rsidR="008511CD" w:rsidRPr="001C7762">
                <w:rPr>
                  <w:noProof/>
                  <w:lang w:val="uk-UA" w:eastAsia="uk-UA"/>
                </w:rPr>
                <w:drawing>
                  <wp:inline distT="0" distB="0" distL="0" distR="0" wp14:anchorId="41F938E6" wp14:editId="6F2A4179">
                    <wp:extent cx="438150" cy="184150"/>
                    <wp:effectExtent l="0" t="0" r="0" b="6350"/>
                    <wp:docPr id="19" name="Рисунок 19" descr="https://ips.ligazakon.net/l_flib1.nsf/LookupFiles/GK40721_IMG_266.GIF/$file/GK40721_IMG_2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19" descr="https://ips.ligazakon.net/l_flib1.nsf/LookupFiles/GK40721_IMG_266.GIF/$file/GK40721_IMG_266.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38150" cy="184150"/>
                            </a:xfrm>
                            <a:prstGeom prst="rect">
                              <a:avLst/>
                            </a:prstGeom>
                            <a:noFill/>
                            <a:ln>
                              <a:noFill/>
                            </a:ln>
                          </pic:spPr>
                        </pic:pic>
                      </a:graphicData>
                    </a:graphic>
                  </wp:inline>
                </w:drawing>
              </w:r>
              <w:r w:rsidR="008511CD" w:rsidRPr="001C7762">
                <w:rPr>
                  <w:lang w:val="uk-UA" w:eastAsia="uk-UA"/>
                </w:rPr>
                <w:t> - амортизація у році t-1 на активи, віднесені до категорії 3, які отримані після переходу до стимулюючого регулювання, що розраховується поквартально згідно з додатком 11 до цього Порядку</w:t>
              </w:r>
            </w:hyperlink>
            <w:r w:rsidR="008511CD" w:rsidRPr="001C7762">
              <w:rPr>
                <w:lang w:val="uk-UA" w:eastAsia="uk-UA"/>
              </w:rPr>
              <w:t> (крім ліцензіатів, перелік яких наведено в додатку 30 до цього Порядку, для яких на 2024</w:t>
            </w:r>
            <w:r w:rsidR="008511CD" w:rsidRPr="001C7762">
              <w:rPr>
                <w:b/>
                <w:lang w:val="uk-UA" w:eastAsia="uk-UA"/>
              </w:rPr>
              <w:t xml:space="preserve"> та 2025 роки</w:t>
            </w:r>
            <w:r w:rsidR="008511CD" w:rsidRPr="001C7762">
              <w:rPr>
                <w:lang w:val="uk-UA" w:eastAsia="uk-UA"/>
              </w:rPr>
              <w:t xml:space="preserve"> амортизація у році t-1 на активи, віднесені до категорії 3, які створені після переходу на стимулююче </w:t>
            </w:r>
            <w:r w:rsidR="008511CD" w:rsidRPr="001C7762">
              <w:rPr>
                <w:lang w:val="uk-UA" w:eastAsia="uk-UA"/>
              </w:rPr>
              <w:lastRenderedPageBreak/>
              <w:t xml:space="preserve">регулювання, фіксується на рівні, врахованому в тарифах </w:t>
            </w:r>
            <w:r w:rsidR="008511CD" w:rsidRPr="001C7762">
              <w:rPr>
                <w:b/>
                <w:lang w:val="uk-UA" w:eastAsia="uk-UA"/>
              </w:rPr>
              <w:t>2023 року</w:t>
            </w:r>
            <w:r w:rsidR="008511CD" w:rsidRPr="001C7762">
              <w:rPr>
                <w:lang w:val="uk-UA" w:eastAsia="uk-UA"/>
              </w:rPr>
              <w:t>)</w:t>
            </w:r>
            <w:hyperlink r:id="rId45" w:tgtFrame="_blank" w:history="1">
              <w:r w:rsidR="008511CD" w:rsidRPr="001C7762">
                <w:rPr>
                  <w:lang w:val="uk-UA" w:eastAsia="uk-UA"/>
                </w:rPr>
                <w:t>, тис. грн;</w:t>
              </w:r>
            </w:hyperlink>
          </w:p>
          <w:p w14:paraId="587CE78A" w14:textId="77777777" w:rsidR="008511CD" w:rsidRPr="001C7762" w:rsidRDefault="008511CD" w:rsidP="00BC5261">
            <w:pPr>
              <w:shd w:val="clear" w:color="auto" w:fill="FFFFFF"/>
              <w:ind w:firstLine="489"/>
              <w:jc w:val="both"/>
              <w:outlineLvl w:val="2"/>
              <w:rPr>
                <w:b/>
                <w:bCs/>
                <w:lang w:val="uk-UA" w:eastAsia="uk-UA"/>
              </w:rPr>
            </w:pPr>
          </w:p>
          <w:p w14:paraId="4ACB7465" w14:textId="77777777" w:rsidR="008511CD" w:rsidRPr="001C7762" w:rsidRDefault="000D7C1D" w:rsidP="00BC5261">
            <w:pPr>
              <w:shd w:val="clear" w:color="auto" w:fill="FFFFFF"/>
              <w:ind w:firstLine="489"/>
              <w:jc w:val="both"/>
              <w:outlineLvl w:val="2"/>
              <w:rPr>
                <w:lang w:val="uk-UA" w:eastAsia="uk-UA"/>
              </w:rPr>
            </w:pPr>
            <w:hyperlink r:id="rId46" w:tgtFrame="_blank" w:history="1">
              <w:r w:rsidR="008511CD" w:rsidRPr="001C7762">
                <w:rPr>
                  <w:noProof/>
                  <w:lang w:val="uk-UA" w:eastAsia="uk-UA"/>
                </w:rPr>
                <w:drawing>
                  <wp:inline distT="0" distB="0" distL="0" distR="0" wp14:anchorId="11521C28" wp14:editId="7ECBE557">
                    <wp:extent cx="438150" cy="184150"/>
                    <wp:effectExtent l="0" t="0" r="0" b="6350"/>
                    <wp:docPr id="20" name="Рисунок 20" descr="https://ips.ligazakon.net/l_flib1.nsf/LookupFiles/GK40721_IMG_267.GIF/$file/GK40721_IMG_2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20" descr="https://ips.ligazakon.net/l_flib1.nsf/LookupFiles/GK40721_IMG_267.GIF/$file/GK40721_IMG_267.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38150" cy="184150"/>
                            </a:xfrm>
                            <a:prstGeom prst="rect">
                              <a:avLst/>
                            </a:prstGeom>
                            <a:noFill/>
                            <a:ln>
                              <a:noFill/>
                            </a:ln>
                          </pic:spPr>
                        </pic:pic>
                      </a:graphicData>
                    </a:graphic>
                  </wp:inline>
                </w:drawing>
              </w:r>
              <w:r w:rsidR="008511CD" w:rsidRPr="001C7762">
                <w:rPr>
                  <w:lang w:val="uk-UA" w:eastAsia="uk-UA"/>
                </w:rPr>
                <w:t> - амортизація у році t-1 на активи, віднесені до категорії 4, які створені після переходу до стимулюючого регулювання, що розраховується поквартально згідно з додатком 12 до цього Порядку</w:t>
              </w:r>
            </w:hyperlink>
            <w:r w:rsidR="008511CD" w:rsidRPr="001C7762">
              <w:rPr>
                <w:lang w:val="uk-UA" w:eastAsia="uk-UA"/>
              </w:rPr>
              <w:t> </w:t>
            </w:r>
            <w:hyperlink r:id="rId47" w:tgtFrame="_blank" w:history="1">
              <w:r w:rsidR="008511CD" w:rsidRPr="001C7762">
                <w:rPr>
                  <w:lang w:val="uk-UA" w:eastAsia="uk-UA"/>
                </w:rPr>
                <w:t xml:space="preserve">(крім ліцензіатів, перелік яких наведено в додатку 30 до цього Порядку, для яких на 2024 </w:t>
              </w:r>
              <w:r w:rsidR="008511CD" w:rsidRPr="001C7762">
                <w:rPr>
                  <w:b/>
                  <w:lang w:val="uk-UA" w:eastAsia="uk-UA"/>
                </w:rPr>
                <w:t>та 2025 роки</w:t>
              </w:r>
              <w:r w:rsidR="008511CD" w:rsidRPr="001C7762">
                <w:rPr>
                  <w:lang w:val="uk-UA" w:eastAsia="uk-UA"/>
                </w:rPr>
                <w:t xml:space="preserve"> амортизація у році t-1 на активи, віднесені до категорії 4, які створені після переходу на стимулююче регулювання, фіксується на рівні, врахованому в тарифах </w:t>
              </w:r>
              <w:r w:rsidR="008511CD" w:rsidRPr="001C7762">
                <w:rPr>
                  <w:b/>
                  <w:lang w:val="uk-UA" w:eastAsia="uk-UA"/>
                </w:rPr>
                <w:t>2023 року</w:t>
              </w:r>
              <w:r w:rsidR="008511CD" w:rsidRPr="001C7762">
                <w:rPr>
                  <w:lang w:val="uk-UA" w:eastAsia="uk-UA"/>
                </w:rPr>
                <w:t>)</w:t>
              </w:r>
            </w:hyperlink>
            <w:hyperlink r:id="rId48" w:tgtFrame="_blank" w:history="1">
              <w:r w:rsidR="008511CD" w:rsidRPr="001C7762">
                <w:rPr>
                  <w:lang w:val="uk-UA" w:eastAsia="uk-UA"/>
                </w:rPr>
                <w:t>, тис. грн.</w:t>
              </w:r>
            </w:hyperlink>
          </w:p>
          <w:p w14:paraId="3CFD9219" w14:textId="77777777" w:rsidR="008511CD" w:rsidRPr="001C7762" w:rsidRDefault="008511CD" w:rsidP="00BC5261">
            <w:pPr>
              <w:rPr>
                <w:lang w:val="uk-UA"/>
              </w:rPr>
            </w:pPr>
          </w:p>
        </w:tc>
      </w:tr>
      <w:tr w:rsidR="001C7762" w:rsidRPr="001C7762" w14:paraId="4C2C068D" w14:textId="77777777" w:rsidTr="00F549E8">
        <w:tc>
          <w:tcPr>
            <w:tcW w:w="7655" w:type="dxa"/>
          </w:tcPr>
          <w:p w14:paraId="5D7AC24A" w14:textId="77777777" w:rsidR="008511CD" w:rsidRPr="001C7762" w:rsidRDefault="008511CD" w:rsidP="00BC5261">
            <w:pPr>
              <w:shd w:val="clear" w:color="auto" w:fill="FFFFFF"/>
              <w:spacing w:after="150"/>
              <w:ind w:firstLine="450"/>
              <w:jc w:val="both"/>
              <w:rPr>
                <w:lang w:val="uk-UA" w:eastAsia="uk-UA"/>
              </w:rPr>
            </w:pPr>
            <w:r w:rsidRPr="001C7762">
              <w:rPr>
                <w:lang w:val="uk-UA" w:eastAsia="uk-UA"/>
              </w:rPr>
              <w:lastRenderedPageBreak/>
              <w:t>5.13. Прибуток на регуляторну базу активів у році t визначається за формулою</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6933"/>
              <w:gridCol w:w="500"/>
            </w:tblGrid>
            <w:tr w:rsidR="001C7762" w:rsidRPr="001C7762" w14:paraId="31F06622" w14:textId="77777777" w:rsidTr="00EE264F">
              <w:tc>
                <w:tcPr>
                  <w:tcW w:w="8685" w:type="dxa"/>
                  <w:tcBorders>
                    <w:top w:val="single" w:sz="2" w:space="0" w:color="auto"/>
                    <w:left w:val="single" w:sz="2" w:space="0" w:color="auto"/>
                    <w:bottom w:val="single" w:sz="2" w:space="0" w:color="auto"/>
                    <w:right w:val="single" w:sz="2" w:space="0" w:color="auto"/>
                  </w:tcBorders>
                  <w:hideMark/>
                </w:tcPr>
                <w:p w14:paraId="497C6F84" w14:textId="77777777" w:rsidR="008511CD" w:rsidRPr="001C7762" w:rsidRDefault="008511CD" w:rsidP="000D7C1D">
                  <w:pPr>
                    <w:framePr w:hSpace="180" w:wrap="around" w:vAnchor="text" w:hAnchor="text" w:y="1"/>
                    <w:spacing w:before="150" w:after="150"/>
                    <w:suppressOverlap/>
                    <w:jc w:val="center"/>
                    <w:rPr>
                      <w:lang w:val="uk-UA" w:eastAsia="uk-UA"/>
                    </w:rPr>
                  </w:pPr>
                  <w:bookmarkStart w:id="6" w:name="n533"/>
                  <w:bookmarkEnd w:id="6"/>
                  <w:r w:rsidRPr="001C7762">
                    <w:rPr>
                      <w:noProof/>
                      <w:lang w:val="uk-UA" w:eastAsia="uk-UA"/>
                    </w:rPr>
                    <w:drawing>
                      <wp:inline distT="0" distB="0" distL="0" distR="0" wp14:anchorId="3BF453CC" wp14:editId="273F82C4">
                        <wp:extent cx="4097655" cy="215900"/>
                        <wp:effectExtent l="0" t="0" r="0" b="0"/>
                        <wp:docPr id="1" name="Рисунок 8">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097655" cy="215900"/>
                                </a:xfrm>
                                <a:prstGeom prst="rect">
                                  <a:avLst/>
                                </a:prstGeom>
                                <a:noFill/>
                                <a:ln>
                                  <a:noFill/>
                                </a:ln>
                              </pic:spPr>
                            </pic:pic>
                          </a:graphicData>
                        </a:graphic>
                      </wp:inline>
                    </w:drawing>
                  </w:r>
                </w:p>
              </w:tc>
              <w:tc>
                <w:tcPr>
                  <w:tcW w:w="615" w:type="dxa"/>
                  <w:tcBorders>
                    <w:top w:val="single" w:sz="2" w:space="0" w:color="auto"/>
                    <w:left w:val="single" w:sz="2" w:space="0" w:color="auto"/>
                    <w:bottom w:val="single" w:sz="2" w:space="0" w:color="auto"/>
                    <w:right w:val="single" w:sz="2" w:space="0" w:color="auto"/>
                  </w:tcBorders>
                  <w:hideMark/>
                </w:tcPr>
                <w:p w14:paraId="45CF049A" w14:textId="77777777" w:rsidR="008511CD" w:rsidRPr="001C7762" w:rsidRDefault="008511CD" w:rsidP="000D7C1D">
                  <w:pPr>
                    <w:framePr w:hSpace="180" w:wrap="around" w:vAnchor="text" w:hAnchor="text" w:y="1"/>
                    <w:spacing w:before="150" w:after="150"/>
                    <w:suppressOverlap/>
                    <w:jc w:val="right"/>
                    <w:rPr>
                      <w:lang w:val="uk-UA" w:eastAsia="uk-UA"/>
                    </w:rPr>
                  </w:pPr>
                  <w:r w:rsidRPr="001C7762">
                    <w:rPr>
                      <w:lang w:val="uk-UA" w:eastAsia="uk-UA"/>
                    </w:rPr>
                    <w:t>(12)</w:t>
                  </w:r>
                </w:p>
              </w:tc>
            </w:tr>
          </w:tbl>
          <w:p w14:paraId="6E8AE630" w14:textId="77777777" w:rsidR="008511CD" w:rsidRPr="001C7762" w:rsidRDefault="008511CD" w:rsidP="00BC5261">
            <w:pPr>
              <w:spacing w:after="150"/>
              <w:ind w:firstLine="450"/>
              <w:jc w:val="both"/>
              <w:rPr>
                <w:shd w:val="clear" w:color="auto" w:fill="FFFFFF"/>
                <w:lang w:val="uk-UA" w:eastAsia="uk-UA"/>
              </w:rPr>
            </w:pPr>
            <w:bookmarkStart w:id="7" w:name="n534"/>
            <w:bookmarkEnd w:id="7"/>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03"/>
              <w:gridCol w:w="864"/>
              <w:gridCol w:w="83"/>
              <w:gridCol w:w="4499"/>
              <w:gridCol w:w="1684"/>
            </w:tblGrid>
            <w:tr w:rsidR="001C7762" w:rsidRPr="001C7762" w14:paraId="3B2CBE09" w14:textId="77777777" w:rsidTr="00EE264F">
              <w:tc>
                <w:tcPr>
                  <w:tcW w:w="585" w:type="dxa"/>
                  <w:tcBorders>
                    <w:top w:val="single" w:sz="2" w:space="0" w:color="auto"/>
                    <w:left w:val="single" w:sz="2" w:space="0" w:color="auto"/>
                    <w:bottom w:val="single" w:sz="2" w:space="0" w:color="auto"/>
                    <w:right w:val="single" w:sz="2" w:space="0" w:color="auto"/>
                  </w:tcBorders>
                  <w:hideMark/>
                </w:tcPr>
                <w:p w14:paraId="61ADB659" w14:textId="77777777" w:rsidR="008511CD" w:rsidRPr="001C7762" w:rsidRDefault="008511CD" w:rsidP="000D7C1D">
                  <w:pPr>
                    <w:framePr w:hSpace="180" w:wrap="around" w:vAnchor="text" w:hAnchor="text" w:y="1"/>
                    <w:spacing w:before="150" w:after="150"/>
                    <w:suppressOverlap/>
                    <w:rPr>
                      <w:lang w:val="uk-UA" w:eastAsia="uk-UA"/>
                    </w:rPr>
                  </w:pPr>
                  <w:bookmarkStart w:id="8" w:name="n423"/>
                  <w:bookmarkEnd w:id="8"/>
                  <w:r w:rsidRPr="001C7762">
                    <w:rPr>
                      <w:lang w:val="uk-UA" w:eastAsia="uk-UA"/>
                    </w:rPr>
                    <w:t>де</w:t>
                  </w:r>
                </w:p>
              </w:tc>
              <w:tc>
                <w:tcPr>
                  <w:tcW w:w="1770" w:type="dxa"/>
                  <w:tcBorders>
                    <w:top w:val="single" w:sz="2" w:space="0" w:color="auto"/>
                    <w:left w:val="single" w:sz="2" w:space="0" w:color="auto"/>
                    <w:bottom w:val="single" w:sz="2" w:space="0" w:color="auto"/>
                    <w:right w:val="single" w:sz="2" w:space="0" w:color="auto"/>
                  </w:tcBorders>
                  <w:hideMark/>
                </w:tcPr>
                <w:p w14:paraId="6039585C" w14:textId="77777777" w:rsidR="008511CD" w:rsidRPr="001C7762" w:rsidRDefault="008511CD" w:rsidP="000D7C1D">
                  <w:pPr>
                    <w:framePr w:hSpace="180" w:wrap="around" w:vAnchor="text" w:hAnchor="text" w:y="1"/>
                    <w:spacing w:before="150" w:after="150"/>
                    <w:suppressOverlap/>
                    <w:rPr>
                      <w:lang w:val="uk-UA" w:eastAsia="uk-UA"/>
                    </w:rPr>
                  </w:pPr>
                  <w:r w:rsidRPr="001C7762">
                    <w:rPr>
                      <w:noProof/>
                      <w:lang w:val="uk-UA" w:eastAsia="uk-UA"/>
                    </w:rPr>
                    <w:drawing>
                      <wp:inline distT="0" distB="0" distL="0" distR="0" wp14:anchorId="4A8861E2" wp14:editId="6D1FFC48">
                        <wp:extent cx="612775" cy="172720"/>
                        <wp:effectExtent l="0" t="0" r="0" b="0"/>
                        <wp:docPr id="2" name="Рисунок 7">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12775" cy="172720"/>
                                </a:xfrm>
                                <a:prstGeom prst="rect">
                                  <a:avLst/>
                                </a:prstGeom>
                                <a:noFill/>
                                <a:ln>
                                  <a:noFill/>
                                </a:ln>
                              </pic:spPr>
                            </pic:pic>
                          </a:graphicData>
                        </a:graphic>
                      </wp:inline>
                    </w:drawing>
                  </w:r>
                </w:p>
              </w:tc>
              <w:tc>
                <w:tcPr>
                  <w:tcW w:w="120" w:type="dxa"/>
                  <w:tcBorders>
                    <w:top w:val="single" w:sz="2" w:space="0" w:color="auto"/>
                    <w:left w:val="single" w:sz="2" w:space="0" w:color="auto"/>
                    <w:bottom w:val="single" w:sz="2" w:space="0" w:color="auto"/>
                    <w:right w:val="single" w:sz="2" w:space="0" w:color="auto"/>
                  </w:tcBorders>
                  <w:hideMark/>
                </w:tcPr>
                <w:p w14:paraId="12FFAE12"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13005" w:type="dxa"/>
                  <w:gridSpan w:val="2"/>
                  <w:tcBorders>
                    <w:top w:val="single" w:sz="2" w:space="0" w:color="auto"/>
                    <w:left w:val="single" w:sz="2" w:space="0" w:color="auto"/>
                    <w:bottom w:val="single" w:sz="2" w:space="0" w:color="auto"/>
                    <w:right w:val="single" w:sz="2" w:space="0" w:color="auto"/>
                  </w:tcBorders>
                  <w:hideMark/>
                </w:tcPr>
                <w:p w14:paraId="75C5AA8C"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регуляторна база активів, яка створена на дату переходу до стимулюючого регулювання, на початок року t, що розраховується за формулою</w:t>
                  </w:r>
                </w:p>
              </w:tc>
            </w:tr>
            <w:tr w:rsidR="001C7762" w:rsidRPr="001C7762" w14:paraId="30D17F8D" w14:textId="77777777" w:rsidTr="00EE264F">
              <w:tblPrEx>
                <w:tblCellMar>
                  <w:top w:w="0" w:type="dxa"/>
                  <w:left w:w="0" w:type="dxa"/>
                  <w:bottom w:w="0" w:type="dxa"/>
                  <w:right w:w="0" w:type="dxa"/>
                </w:tblCellMar>
              </w:tblPrEx>
              <w:tc>
                <w:tcPr>
                  <w:tcW w:w="11955" w:type="dxa"/>
                  <w:gridSpan w:val="4"/>
                  <w:tcBorders>
                    <w:top w:val="single" w:sz="2" w:space="0" w:color="auto"/>
                    <w:left w:val="single" w:sz="2" w:space="0" w:color="auto"/>
                    <w:bottom w:val="single" w:sz="2" w:space="0" w:color="auto"/>
                    <w:right w:val="single" w:sz="2" w:space="0" w:color="auto"/>
                  </w:tcBorders>
                  <w:hideMark/>
                </w:tcPr>
                <w:p w14:paraId="3E833ECE" w14:textId="77777777" w:rsidR="008511CD" w:rsidRPr="001C7762" w:rsidRDefault="008511CD" w:rsidP="000D7C1D">
                  <w:pPr>
                    <w:framePr w:hSpace="180" w:wrap="around" w:vAnchor="text" w:hAnchor="text" w:y="1"/>
                    <w:spacing w:before="150" w:after="150"/>
                    <w:suppressOverlap/>
                    <w:jc w:val="center"/>
                    <w:rPr>
                      <w:lang w:val="uk-UA" w:eastAsia="uk-UA"/>
                    </w:rPr>
                  </w:pPr>
                  <w:bookmarkStart w:id="9" w:name="n424"/>
                  <w:bookmarkEnd w:id="9"/>
                  <w:r w:rsidRPr="001C7762">
                    <w:rPr>
                      <w:noProof/>
                      <w:lang w:val="uk-UA" w:eastAsia="uk-UA"/>
                    </w:rPr>
                    <w:drawing>
                      <wp:inline distT="0" distB="0" distL="0" distR="0" wp14:anchorId="7F1E468C" wp14:editId="47855462">
                        <wp:extent cx="3924935" cy="224155"/>
                        <wp:effectExtent l="0" t="0" r="0" b="4445"/>
                        <wp:docPr id="226485" name="Рисунок 6">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53"/>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924935" cy="224155"/>
                                </a:xfrm>
                                <a:prstGeom prst="rect">
                                  <a:avLst/>
                                </a:prstGeom>
                                <a:noFill/>
                                <a:ln>
                                  <a:noFill/>
                                </a:ln>
                              </pic:spPr>
                            </pic:pic>
                          </a:graphicData>
                        </a:graphic>
                      </wp:inline>
                    </w:drawing>
                  </w:r>
                </w:p>
              </w:tc>
              <w:tc>
                <w:tcPr>
                  <w:tcW w:w="855" w:type="dxa"/>
                  <w:tcBorders>
                    <w:top w:val="single" w:sz="2" w:space="0" w:color="auto"/>
                    <w:left w:val="single" w:sz="2" w:space="0" w:color="auto"/>
                    <w:bottom w:val="single" w:sz="2" w:space="0" w:color="auto"/>
                    <w:right w:val="single" w:sz="2" w:space="0" w:color="auto"/>
                  </w:tcBorders>
                  <w:hideMark/>
                </w:tcPr>
                <w:p w14:paraId="4C0D2F04" w14:textId="77777777" w:rsidR="008511CD" w:rsidRPr="001C7762" w:rsidRDefault="008511CD" w:rsidP="000D7C1D">
                  <w:pPr>
                    <w:framePr w:hSpace="180" w:wrap="around" w:vAnchor="text" w:hAnchor="text" w:y="1"/>
                    <w:spacing w:before="150" w:after="150"/>
                    <w:suppressOverlap/>
                    <w:jc w:val="right"/>
                    <w:rPr>
                      <w:lang w:val="uk-UA" w:eastAsia="uk-UA"/>
                    </w:rPr>
                  </w:pPr>
                  <w:r w:rsidRPr="001C7762">
                    <w:rPr>
                      <w:lang w:val="uk-UA" w:eastAsia="uk-UA"/>
                    </w:rPr>
                    <w:t>(13)</w:t>
                  </w:r>
                </w:p>
              </w:tc>
            </w:tr>
          </w:tbl>
          <w:p w14:paraId="7017088E" w14:textId="77777777" w:rsidR="008511CD" w:rsidRPr="001C7762" w:rsidRDefault="008511CD" w:rsidP="000D7C1D">
            <w:pPr>
              <w:ind w:firstLine="448"/>
              <w:jc w:val="both"/>
              <w:rPr>
                <w:shd w:val="clear" w:color="auto" w:fill="FFFFFF"/>
                <w:lang w:val="uk-UA" w:eastAsia="uk-UA"/>
              </w:rPr>
            </w:pPr>
            <w:bookmarkStart w:id="10" w:name="n581"/>
            <w:bookmarkEnd w:id="10"/>
          </w:p>
          <w:p w14:paraId="158B2979" w14:textId="77777777" w:rsidR="00355C21" w:rsidRPr="001C7762" w:rsidRDefault="00355C21" w:rsidP="000D7C1D">
            <w:pPr>
              <w:ind w:firstLine="448"/>
              <w:jc w:val="both"/>
              <w:rPr>
                <w:shd w:val="clear" w:color="auto" w:fill="FFFFFF"/>
                <w:lang w:val="uk-UA" w:eastAsia="uk-UA"/>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71"/>
              <w:gridCol w:w="1438"/>
              <w:gridCol w:w="151"/>
              <w:gridCol w:w="5473"/>
            </w:tblGrid>
            <w:tr w:rsidR="001C7762" w:rsidRPr="001C7762" w14:paraId="745DD7DE" w14:textId="77777777" w:rsidTr="00355C21">
              <w:tc>
                <w:tcPr>
                  <w:tcW w:w="508" w:type="dxa"/>
                  <w:tcBorders>
                    <w:top w:val="single" w:sz="2" w:space="0" w:color="auto"/>
                    <w:left w:val="single" w:sz="2" w:space="0" w:color="auto"/>
                    <w:bottom w:val="single" w:sz="2" w:space="0" w:color="auto"/>
                    <w:right w:val="single" w:sz="2" w:space="0" w:color="auto"/>
                  </w:tcBorders>
                  <w:hideMark/>
                </w:tcPr>
                <w:p w14:paraId="3EB0229A" w14:textId="77777777" w:rsidR="008511CD" w:rsidRPr="001C7762" w:rsidRDefault="008511CD" w:rsidP="000D7C1D">
                  <w:pPr>
                    <w:framePr w:hSpace="180" w:wrap="around" w:vAnchor="text" w:hAnchor="text" w:y="1"/>
                    <w:spacing w:before="150" w:after="150"/>
                    <w:suppressOverlap/>
                    <w:rPr>
                      <w:lang w:val="uk-UA" w:eastAsia="uk-UA"/>
                    </w:rPr>
                  </w:pPr>
                  <w:bookmarkStart w:id="11" w:name="n425"/>
                  <w:bookmarkEnd w:id="11"/>
                  <w:r w:rsidRPr="001C7762">
                    <w:rPr>
                      <w:lang w:val="uk-UA" w:eastAsia="uk-UA"/>
                    </w:rPr>
                    <w:t>де</w:t>
                  </w:r>
                </w:p>
              </w:tc>
              <w:tc>
                <w:tcPr>
                  <w:tcW w:w="2023" w:type="dxa"/>
                  <w:tcBorders>
                    <w:top w:val="single" w:sz="2" w:space="0" w:color="auto"/>
                    <w:left w:val="single" w:sz="2" w:space="0" w:color="auto"/>
                    <w:bottom w:val="single" w:sz="2" w:space="0" w:color="auto"/>
                    <w:right w:val="single" w:sz="2" w:space="0" w:color="auto"/>
                  </w:tcBorders>
                  <w:hideMark/>
                </w:tcPr>
                <w:p w14:paraId="062C40E5" w14:textId="77777777" w:rsidR="008511CD" w:rsidRPr="001C7762" w:rsidRDefault="008511CD" w:rsidP="000D7C1D">
                  <w:pPr>
                    <w:framePr w:hSpace="180" w:wrap="around" w:vAnchor="text" w:hAnchor="text" w:y="1"/>
                    <w:spacing w:before="150" w:after="150"/>
                    <w:suppressOverlap/>
                    <w:rPr>
                      <w:lang w:val="uk-UA" w:eastAsia="uk-UA"/>
                    </w:rPr>
                  </w:pPr>
                  <w:proofErr w:type="spellStart"/>
                  <w:r w:rsidRPr="001C7762">
                    <w:rPr>
                      <w:b/>
                      <w:bCs/>
                      <w:i/>
                      <w:iCs/>
                      <w:lang w:val="uk-UA" w:eastAsia="uk-UA"/>
                    </w:rPr>
                    <w:t>А</w:t>
                  </w:r>
                  <w:r w:rsidRPr="001C7762">
                    <w:rPr>
                      <w:b/>
                      <w:bCs/>
                      <w:vertAlign w:val="subscript"/>
                      <w:lang w:val="uk-UA" w:eastAsia="uk-UA"/>
                    </w:rPr>
                    <w:t>о</w:t>
                  </w:r>
                  <w:proofErr w:type="spellEnd"/>
                </w:p>
              </w:tc>
              <w:tc>
                <w:tcPr>
                  <w:tcW w:w="193" w:type="dxa"/>
                  <w:tcBorders>
                    <w:top w:val="single" w:sz="2" w:space="0" w:color="auto"/>
                    <w:left w:val="single" w:sz="2" w:space="0" w:color="auto"/>
                    <w:bottom w:val="single" w:sz="2" w:space="0" w:color="auto"/>
                    <w:right w:val="single" w:sz="2" w:space="0" w:color="auto"/>
                  </w:tcBorders>
                  <w:hideMark/>
                </w:tcPr>
                <w:p w14:paraId="6AC24796"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7760" w:type="dxa"/>
                  <w:tcBorders>
                    <w:top w:val="single" w:sz="2" w:space="0" w:color="auto"/>
                    <w:left w:val="single" w:sz="2" w:space="0" w:color="auto"/>
                    <w:bottom w:val="single" w:sz="2" w:space="0" w:color="auto"/>
                    <w:right w:val="single" w:sz="2" w:space="0" w:color="auto"/>
                  </w:tcBorders>
                  <w:hideMark/>
                </w:tcPr>
                <w:p w14:paraId="3A4140C0"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регуляторна амортизація на активи, які створені на дату переходу до стимулюючого регулювання, що визначається відповідно до Порядку визначення регуляторної бази активів, тис. грн;</w:t>
                  </w:r>
                </w:p>
              </w:tc>
            </w:tr>
            <w:tr w:rsidR="001C7762" w:rsidRPr="001C7762" w14:paraId="3A403CB6" w14:textId="77777777" w:rsidTr="00355C21">
              <w:tc>
                <w:tcPr>
                  <w:tcW w:w="508" w:type="dxa"/>
                  <w:tcBorders>
                    <w:top w:val="single" w:sz="2" w:space="0" w:color="auto"/>
                    <w:left w:val="single" w:sz="2" w:space="0" w:color="auto"/>
                    <w:bottom w:val="single" w:sz="2" w:space="0" w:color="auto"/>
                    <w:right w:val="single" w:sz="2" w:space="0" w:color="auto"/>
                  </w:tcBorders>
                  <w:hideMark/>
                </w:tcPr>
                <w:p w14:paraId="4F2F62D9" w14:textId="77777777" w:rsidR="008511CD" w:rsidRPr="001C7762" w:rsidRDefault="008511CD" w:rsidP="000D7C1D">
                  <w:pPr>
                    <w:framePr w:hSpace="180" w:wrap="around" w:vAnchor="text" w:hAnchor="text" w:y="1"/>
                    <w:spacing w:before="150" w:after="150"/>
                    <w:suppressOverlap/>
                    <w:rPr>
                      <w:lang w:val="uk-UA" w:eastAsia="uk-UA"/>
                    </w:rPr>
                  </w:pPr>
                </w:p>
              </w:tc>
              <w:tc>
                <w:tcPr>
                  <w:tcW w:w="2023" w:type="dxa"/>
                  <w:tcBorders>
                    <w:top w:val="single" w:sz="2" w:space="0" w:color="auto"/>
                    <w:left w:val="single" w:sz="2" w:space="0" w:color="auto"/>
                    <w:bottom w:val="single" w:sz="2" w:space="0" w:color="auto"/>
                    <w:right w:val="single" w:sz="2" w:space="0" w:color="auto"/>
                  </w:tcBorders>
                  <w:hideMark/>
                </w:tcPr>
                <w:p w14:paraId="67EFFAC4" w14:textId="77777777" w:rsidR="008511CD" w:rsidRPr="001C7762" w:rsidRDefault="008511CD" w:rsidP="000D7C1D">
                  <w:pPr>
                    <w:framePr w:hSpace="180" w:wrap="around" w:vAnchor="text" w:hAnchor="text" w:y="1"/>
                    <w:spacing w:before="150" w:after="150"/>
                    <w:suppressOverlap/>
                    <w:rPr>
                      <w:lang w:val="uk-UA" w:eastAsia="uk-UA"/>
                    </w:rPr>
                  </w:pPr>
                  <w:r w:rsidRPr="001C7762">
                    <w:rPr>
                      <w:noProof/>
                      <w:lang w:val="uk-UA" w:eastAsia="uk-UA"/>
                    </w:rPr>
                    <w:drawing>
                      <wp:inline distT="0" distB="0" distL="0" distR="0" wp14:anchorId="61030040" wp14:editId="4B2D907C">
                        <wp:extent cx="767715" cy="189865"/>
                        <wp:effectExtent l="0" t="0" r="0" b="635"/>
                        <wp:docPr id="1492324819" name="Рисунок 5">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55"/>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67715" cy="189865"/>
                                </a:xfrm>
                                <a:prstGeom prst="rect">
                                  <a:avLst/>
                                </a:prstGeom>
                                <a:noFill/>
                                <a:ln>
                                  <a:noFill/>
                                </a:ln>
                              </pic:spPr>
                            </pic:pic>
                          </a:graphicData>
                        </a:graphic>
                      </wp:inline>
                    </w:drawing>
                  </w:r>
                </w:p>
              </w:tc>
              <w:tc>
                <w:tcPr>
                  <w:tcW w:w="193" w:type="dxa"/>
                  <w:tcBorders>
                    <w:top w:val="single" w:sz="2" w:space="0" w:color="auto"/>
                    <w:left w:val="single" w:sz="2" w:space="0" w:color="auto"/>
                    <w:bottom w:val="single" w:sz="2" w:space="0" w:color="auto"/>
                    <w:right w:val="single" w:sz="2" w:space="0" w:color="auto"/>
                  </w:tcBorders>
                  <w:hideMark/>
                </w:tcPr>
                <w:p w14:paraId="7C742C88"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7760" w:type="dxa"/>
                  <w:tcBorders>
                    <w:top w:val="single" w:sz="2" w:space="0" w:color="auto"/>
                    <w:left w:val="single" w:sz="2" w:space="0" w:color="auto"/>
                    <w:bottom w:val="single" w:sz="2" w:space="0" w:color="auto"/>
                    <w:right w:val="single" w:sz="2" w:space="0" w:color="auto"/>
                  </w:tcBorders>
                  <w:hideMark/>
                </w:tcPr>
                <w:p w14:paraId="1E4B4DF1"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регуляторна база активів, яка створена на дату переходу до стимулюючого регулювання, на початок року t-1, тис. грн;</w:t>
                  </w:r>
                </w:p>
                <w:p w14:paraId="0FDD5CDD" w14:textId="296B8EA0" w:rsidR="00522BF2" w:rsidRPr="001C7762" w:rsidRDefault="00522BF2" w:rsidP="000D7C1D">
                  <w:pPr>
                    <w:framePr w:hSpace="180" w:wrap="around" w:vAnchor="text" w:hAnchor="text" w:y="1"/>
                    <w:spacing w:before="150" w:after="150"/>
                    <w:suppressOverlap/>
                    <w:rPr>
                      <w:lang w:val="uk-UA" w:eastAsia="uk-UA"/>
                    </w:rPr>
                  </w:pPr>
                </w:p>
              </w:tc>
            </w:tr>
            <w:tr w:rsidR="001C7762" w:rsidRPr="001C7762" w14:paraId="0022ADD9" w14:textId="77777777" w:rsidTr="00355C21">
              <w:tc>
                <w:tcPr>
                  <w:tcW w:w="508" w:type="dxa"/>
                  <w:tcBorders>
                    <w:top w:val="single" w:sz="2" w:space="0" w:color="auto"/>
                    <w:left w:val="single" w:sz="2" w:space="0" w:color="auto"/>
                    <w:bottom w:val="single" w:sz="2" w:space="0" w:color="auto"/>
                    <w:right w:val="single" w:sz="2" w:space="0" w:color="auto"/>
                  </w:tcBorders>
                  <w:hideMark/>
                </w:tcPr>
                <w:p w14:paraId="4D65F552" w14:textId="77777777" w:rsidR="008511CD" w:rsidRPr="001C7762" w:rsidRDefault="008511CD" w:rsidP="000D7C1D">
                  <w:pPr>
                    <w:framePr w:hSpace="180" w:wrap="around" w:vAnchor="text" w:hAnchor="text" w:y="1"/>
                    <w:spacing w:before="150" w:after="150"/>
                    <w:suppressOverlap/>
                    <w:rPr>
                      <w:lang w:val="uk-UA" w:eastAsia="uk-UA"/>
                    </w:rPr>
                  </w:pPr>
                </w:p>
              </w:tc>
              <w:tc>
                <w:tcPr>
                  <w:tcW w:w="2023" w:type="dxa"/>
                  <w:tcBorders>
                    <w:top w:val="single" w:sz="2" w:space="0" w:color="auto"/>
                    <w:left w:val="single" w:sz="2" w:space="0" w:color="auto"/>
                    <w:bottom w:val="single" w:sz="2" w:space="0" w:color="auto"/>
                    <w:right w:val="single" w:sz="2" w:space="0" w:color="auto"/>
                  </w:tcBorders>
                  <w:hideMark/>
                </w:tcPr>
                <w:p w14:paraId="5B813782" w14:textId="77777777" w:rsidR="008511CD" w:rsidRPr="001C7762" w:rsidRDefault="008511CD" w:rsidP="000D7C1D">
                  <w:pPr>
                    <w:framePr w:hSpace="180" w:wrap="around" w:vAnchor="text" w:hAnchor="text" w:y="1"/>
                    <w:spacing w:before="150" w:after="150"/>
                    <w:suppressOverlap/>
                    <w:rPr>
                      <w:lang w:val="uk-UA" w:eastAsia="uk-UA"/>
                    </w:rPr>
                  </w:pPr>
                  <w:r w:rsidRPr="001C7762">
                    <w:rPr>
                      <w:noProof/>
                      <w:lang w:val="uk-UA" w:eastAsia="uk-UA"/>
                    </w:rPr>
                    <w:drawing>
                      <wp:inline distT="0" distB="0" distL="0" distR="0" wp14:anchorId="2E0CBAD7" wp14:editId="3968A31F">
                        <wp:extent cx="466090" cy="172720"/>
                        <wp:effectExtent l="0" t="0" r="0" b="0"/>
                        <wp:docPr id="5" name="Рисунок 4">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57"/>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66090" cy="172720"/>
                                </a:xfrm>
                                <a:prstGeom prst="rect">
                                  <a:avLst/>
                                </a:prstGeom>
                                <a:noFill/>
                                <a:ln>
                                  <a:noFill/>
                                </a:ln>
                              </pic:spPr>
                            </pic:pic>
                          </a:graphicData>
                        </a:graphic>
                      </wp:inline>
                    </w:drawing>
                  </w:r>
                </w:p>
              </w:tc>
              <w:tc>
                <w:tcPr>
                  <w:tcW w:w="193" w:type="dxa"/>
                  <w:tcBorders>
                    <w:top w:val="single" w:sz="2" w:space="0" w:color="auto"/>
                    <w:left w:val="single" w:sz="2" w:space="0" w:color="auto"/>
                    <w:bottom w:val="single" w:sz="2" w:space="0" w:color="auto"/>
                    <w:right w:val="single" w:sz="2" w:space="0" w:color="auto"/>
                  </w:tcBorders>
                  <w:hideMark/>
                </w:tcPr>
                <w:p w14:paraId="073B6593"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7760" w:type="dxa"/>
                  <w:tcBorders>
                    <w:top w:val="single" w:sz="2" w:space="0" w:color="auto"/>
                    <w:left w:val="single" w:sz="2" w:space="0" w:color="auto"/>
                    <w:bottom w:val="single" w:sz="2" w:space="0" w:color="auto"/>
                    <w:right w:val="single" w:sz="2" w:space="0" w:color="auto"/>
                  </w:tcBorders>
                  <w:hideMark/>
                </w:tcPr>
                <w:p w14:paraId="0CB468BC"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залишкова вартість виведених з експлуатації активів (елементів активів) із регуляторної бази активів, яка створена на дату переходу до стимулюючого регулювання, у році t-1, тис. грн;</w:t>
                  </w:r>
                </w:p>
              </w:tc>
            </w:tr>
            <w:tr w:rsidR="001C7762" w:rsidRPr="001C7762" w14:paraId="63719878" w14:textId="77777777" w:rsidTr="00355C21">
              <w:tc>
                <w:tcPr>
                  <w:tcW w:w="508" w:type="dxa"/>
                  <w:tcBorders>
                    <w:top w:val="single" w:sz="2" w:space="0" w:color="auto"/>
                    <w:left w:val="single" w:sz="2" w:space="0" w:color="auto"/>
                    <w:bottom w:val="single" w:sz="2" w:space="0" w:color="auto"/>
                    <w:right w:val="single" w:sz="2" w:space="0" w:color="auto"/>
                  </w:tcBorders>
                  <w:hideMark/>
                </w:tcPr>
                <w:p w14:paraId="0544A148" w14:textId="77777777" w:rsidR="008511CD" w:rsidRPr="001C7762" w:rsidRDefault="008511CD" w:rsidP="000D7C1D">
                  <w:pPr>
                    <w:framePr w:hSpace="180" w:wrap="around" w:vAnchor="text" w:hAnchor="text" w:y="1"/>
                    <w:suppressOverlap/>
                    <w:rPr>
                      <w:lang w:val="uk-UA" w:eastAsia="uk-UA"/>
                    </w:rPr>
                  </w:pPr>
                </w:p>
              </w:tc>
              <w:tc>
                <w:tcPr>
                  <w:tcW w:w="2023" w:type="dxa"/>
                  <w:tcBorders>
                    <w:top w:val="single" w:sz="2" w:space="0" w:color="auto"/>
                    <w:left w:val="single" w:sz="2" w:space="0" w:color="auto"/>
                    <w:bottom w:val="single" w:sz="2" w:space="0" w:color="auto"/>
                    <w:right w:val="single" w:sz="2" w:space="0" w:color="auto"/>
                  </w:tcBorders>
                  <w:hideMark/>
                </w:tcPr>
                <w:p w14:paraId="34EBFD7B"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I</w:t>
                  </w:r>
                  <w:r w:rsidRPr="001C7762">
                    <w:rPr>
                      <w:b/>
                      <w:bCs/>
                      <w:vertAlign w:val="subscript"/>
                      <w:lang w:val="uk-UA" w:eastAsia="uk-UA"/>
                    </w:rPr>
                    <w:t>t-1</w:t>
                  </w:r>
                </w:p>
              </w:tc>
              <w:tc>
                <w:tcPr>
                  <w:tcW w:w="193" w:type="dxa"/>
                  <w:tcBorders>
                    <w:top w:val="single" w:sz="2" w:space="0" w:color="auto"/>
                    <w:left w:val="single" w:sz="2" w:space="0" w:color="auto"/>
                    <w:bottom w:val="single" w:sz="2" w:space="0" w:color="auto"/>
                    <w:right w:val="single" w:sz="2" w:space="0" w:color="auto"/>
                  </w:tcBorders>
                  <w:hideMark/>
                </w:tcPr>
                <w:p w14:paraId="5C68259C"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7760" w:type="dxa"/>
                  <w:tcBorders>
                    <w:top w:val="single" w:sz="2" w:space="0" w:color="auto"/>
                    <w:left w:val="single" w:sz="2" w:space="0" w:color="auto"/>
                    <w:bottom w:val="single" w:sz="2" w:space="0" w:color="auto"/>
                    <w:right w:val="single" w:sz="2" w:space="0" w:color="auto"/>
                  </w:tcBorders>
                  <w:hideMark/>
                </w:tcPr>
                <w:p w14:paraId="2277A7EB"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вартість активів, створених з дотриманням вимог </w:t>
                  </w:r>
                  <w:hyperlink r:id="rId59" w:anchor="n130" w:tgtFrame="_blank" w:history="1">
                    <w:r w:rsidRPr="001C7762">
                      <w:rPr>
                        <w:u w:val="single"/>
                        <w:lang w:val="uk-UA" w:eastAsia="uk-UA"/>
                      </w:rPr>
                      <w:t>пунктів 2.5</w:t>
                    </w:r>
                  </w:hyperlink>
                  <w:r w:rsidRPr="001C7762">
                    <w:rPr>
                      <w:lang w:val="uk-UA" w:eastAsia="uk-UA"/>
                    </w:rPr>
                    <w:t>, </w:t>
                  </w:r>
                  <w:hyperlink r:id="rId60" w:anchor="n131" w:tgtFrame="_blank" w:history="1">
                    <w:r w:rsidRPr="001C7762">
                      <w:rPr>
                        <w:u w:val="single"/>
                        <w:lang w:val="uk-UA" w:eastAsia="uk-UA"/>
                      </w:rPr>
                      <w:t>2.6</w:t>
                    </w:r>
                  </w:hyperlink>
                  <w:r w:rsidRPr="001C7762">
                    <w:rPr>
                      <w:lang w:val="uk-UA" w:eastAsia="uk-UA"/>
                    </w:rPr>
                    <w:t> та </w:t>
                  </w:r>
                  <w:hyperlink r:id="rId61" w:anchor="n139" w:tgtFrame="_blank" w:history="1">
                    <w:r w:rsidRPr="001C7762">
                      <w:rPr>
                        <w:u w:val="single"/>
                        <w:lang w:val="uk-UA" w:eastAsia="uk-UA"/>
                      </w:rPr>
                      <w:t>2.10</w:t>
                    </w:r>
                  </w:hyperlink>
                  <w:r w:rsidRPr="001C7762">
                    <w:rPr>
                      <w:lang w:val="uk-UA" w:eastAsia="uk-UA"/>
                    </w:rPr>
                    <w:t> розділу II Порядку визначення регуляторної бази активів у році t-1, тис. грн;</w:t>
                  </w:r>
                </w:p>
              </w:tc>
            </w:tr>
            <w:tr w:rsidR="001C7762" w:rsidRPr="001C7762" w14:paraId="42AE0A80" w14:textId="77777777" w:rsidTr="00355C21">
              <w:tc>
                <w:tcPr>
                  <w:tcW w:w="508" w:type="dxa"/>
                  <w:tcBorders>
                    <w:top w:val="single" w:sz="2" w:space="0" w:color="auto"/>
                    <w:left w:val="single" w:sz="2" w:space="0" w:color="auto"/>
                    <w:bottom w:val="single" w:sz="2" w:space="0" w:color="auto"/>
                    <w:right w:val="single" w:sz="2" w:space="0" w:color="auto"/>
                  </w:tcBorders>
                </w:tcPr>
                <w:p w14:paraId="1B5BFD1A" w14:textId="77777777" w:rsidR="00DE050C" w:rsidRPr="001C7762" w:rsidRDefault="00DE050C" w:rsidP="000D7C1D">
                  <w:pPr>
                    <w:framePr w:hSpace="180" w:wrap="around" w:vAnchor="text" w:hAnchor="text" w:y="1"/>
                    <w:suppressOverlap/>
                    <w:rPr>
                      <w:lang w:val="uk-UA" w:eastAsia="uk-UA"/>
                    </w:rPr>
                  </w:pPr>
                </w:p>
              </w:tc>
              <w:tc>
                <w:tcPr>
                  <w:tcW w:w="2023" w:type="dxa"/>
                  <w:tcBorders>
                    <w:top w:val="single" w:sz="2" w:space="0" w:color="auto"/>
                    <w:left w:val="single" w:sz="2" w:space="0" w:color="auto"/>
                    <w:bottom w:val="single" w:sz="2" w:space="0" w:color="auto"/>
                    <w:right w:val="single" w:sz="2" w:space="0" w:color="auto"/>
                  </w:tcBorders>
                </w:tcPr>
                <w:p w14:paraId="330989CA" w14:textId="77777777" w:rsidR="00DE050C" w:rsidRPr="001C7762" w:rsidRDefault="00DE050C" w:rsidP="000D7C1D">
                  <w:pPr>
                    <w:framePr w:hSpace="180" w:wrap="around" w:vAnchor="text" w:hAnchor="text" w:y="1"/>
                    <w:spacing w:before="150" w:after="150"/>
                    <w:suppressOverlap/>
                    <w:rPr>
                      <w:lang w:val="uk-UA" w:eastAsia="uk-UA"/>
                    </w:rPr>
                  </w:pPr>
                </w:p>
              </w:tc>
              <w:tc>
                <w:tcPr>
                  <w:tcW w:w="193" w:type="dxa"/>
                  <w:tcBorders>
                    <w:top w:val="single" w:sz="2" w:space="0" w:color="auto"/>
                    <w:left w:val="single" w:sz="2" w:space="0" w:color="auto"/>
                    <w:bottom w:val="single" w:sz="2" w:space="0" w:color="auto"/>
                    <w:right w:val="single" w:sz="2" w:space="0" w:color="auto"/>
                  </w:tcBorders>
                </w:tcPr>
                <w:p w14:paraId="0FF7DED5" w14:textId="77777777" w:rsidR="00DE050C" w:rsidRPr="001C7762" w:rsidRDefault="00DE050C" w:rsidP="000D7C1D">
                  <w:pPr>
                    <w:framePr w:hSpace="180" w:wrap="around" w:vAnchor="text" w:hAnchor="text" w:y="1"/>
                    <w:spacing w:before="150" w:after="150"/>
                    <w:suppressOverlap/>
                    <w:jc w:val="center"/>
                    <w:rPr>
                      <w:lang w:val="uk-UA" w:eastAsia="uk-UA"/>
                    </w:rPr>
                  </w:pPr>
                </w:p>
              </w:tc>
              <w:tc>
                <w:tcPr>
                  <w:tcW w:w="7760" w:type="dxa"/>
                  <w:tcBorders>
                    <w:top w:val="single" w:sz="2" w:space="0" w:color="auto"/>
                    <w:left w:val="single" w:sz="2" w:space="0" w:color="auto"/>
                    <w:bottom w:val="single" w:sz="2" w:space="0" w:color="auto"/>
                    <w:right w:val="single" w:sz="2" w:space="0" w:color="auto"/>
                  </w:tcBorders>
                </w:tcPr>
                <w:p w14:paraId="1D34BB3D" w14:textId="77777777" w:rsidR="00DE050C" w:rsidRPr="001C7762" w:rsidRDefault="00DE050C" w:rsidP="000D7C1D">
                  <w:pPr>
                    <w:framePr w:hSpace="180" w:wrap="around" w:vAnchor="text" w:hAnchor="text" w:y="1"/>
                    <w:spacing w:before="150" w:after="150"/>
                    <w:suppressOverlap/>
                    <w:rPr>
                      <w:b/>
                      <w:lang w:val="uk-UA" w:eastAsia="uk-UA"/>
                    </w:rPr>
                  </w:pPr>
                  <w:r w:rsidRPr="001C7762">
                    <w:rPr>
                      <w:b/>
                      <w:lang w:val="uk-UA" w:eastAsia="uk-UA"/>
                    </w:rPr>
                    <w:t>відсутній показник</w:t>
                  </w:r>
                </w:p>
                <w:p w14:paraId="1932D54C" w14:textId="77777777" w:rsidR="00DE050C" w:rsidRPr="001C7762" w:rsidRDefault="00DE050C" w:rsidP="000D7C1D">
                  <w:pPr>
                    <w:framePr w:hSpace="180" w:wrap="around" w:vAnchor="text" w:hAnchor="text" w:y="1"/>
                    <w:spacing w:before="150" w:after="150"/>
                    <w:suppressOverlap/>
                    <w:rPr>
                      <w:lang w:val="uk-UA" w:eastAsia="uk-UA"/>
                    </w:rPr>
                  </w:pPr>
                </w:p>
                <w:p w14:paraId="332C39B1" w14:textId="5E059FA2" w:rsidR="00355C21" w:rsidRPr="001C7762" w:rsidRDefault="00355C21" w:rsidP="000D7C1D">
                  <w:pPr>
                    <w:framePr w:hSpace="180" w:wrap="around" w:vAnchor="text" w:hAnchor="text" w:y="1"/>
                    <w:spacing w:before="150" w:after="150"/>
                    <w:suppressOverlap/>
                    <w:rPr>
                      <w:lang w:val="uk-UA" w:eastAsia="uk-UA"/>
                    </w:rPr>
                  </w:pPr>
                </w:p>
              </w:tc>
            </w:tr>
            <w:tr w:rsidR="001C7762" w:rsidRPr="001C7762" w14:paraId="0026F364" w14:textId="77777777" w:rsidTr="00355C21">
              <w:tc>
                <w:tcPr>
                  <w:tcW w:w="508" w:type="dxa"/>
                  <w:tcBorders>
                    <w:top w:val="single" w:sz="2" w:space="0" w:color="auto"/>
                    <w:left w:val="single" w:sz="2" w:space="0" w:color="auto"/>
                    <w:bottom w:val="single" w:sz="2" w:space="0" w:color="auto"/>
                    <w:right w:val="single" w:sz="2" w:space="0" w:color="auto"/>
                  </w:tcBorders>
                  <w:hideMark/>
                </w:tcPr>
                <w:p w14:paraId="25C0A7F0" w14:textId="77777777" w:rsidR="008511CD" w:rsidRPr="001C7762" w:rsidRDefault="008511CD" w:rsidP="000D7C1D">
                  <w:pPr>
                    <w:framePr w:hSpace="180" w:wrap="around" w:vAnchor="text" w:hAnchor="text" w:y="1"/>
                    <w:spacing w:before="150" w:after="150"/>
                    <w:suppressOverlap/>
                    <w:rPr>
                      <w:lang w:val="uk-UA" w:eastAsia="uk-UA"/>
                    </w:rPr>
                  </w:pPr>
                </w:p>
              </w:tc>
              <w:tc>
                <w:tcPr>
                  <w:tcW w:w="2023" w:type="dxa"/>
                  <w:tcBorders>
                    <w:top w:val="single" w:sz="2" w:space="0" w:color="auto"/>
                    <w:left w:val="single" w:sz="2" w:space="0" w:color="auto"/>
                    <w:bottom w:val="single" w:sz="2" w:space="0" w:color="auto"/>
                    <w:right w:val="single" w:sz="2" w:space="0" w:color="auto"/>
                  </w:tcBorders>
                  <w:hideMark/>
                </w:tcPr>
                <w:p w14:paraId="6AF765C5" w14:textId="77777777" w:rsidR="008511CD" w:rsidRPr="001C7762" w:rsidRDefault="008511CD" w:rsidP="000D7C1D">
                  <w:pPr>
                    <w:framePr w:hSpace="180" w:wrap="around" w:vAnchor="text" w:hAnchor="text" w:y="1"/>
                    <w:spacing w:before="150" w:after="150"/>
                    <w:suppressOverlap/>
                    <w:rPr>
                      <w:lang w:val="uk-UA" w:eastAsia="uk-UA"/>
                    </w:rPr>
                  </w:pPr>
                  <w:r w:rsidRPr="001C7762">
                    <w:rPr>
                      <w:noProof/>
                      <w:lang w:val="uk-UA" w:eastAsia="uk-UA"/>
                    </w:rPr>
                    <w:drawing>
                      <wp:inline distT="0" distB="0" distL="0" distR="0" wp14:anchorId="7E46AE01" wp14:editId="788E6315">
                        <wp:extent cx="422910" cy="189865"/>
                        <wp:effectExtent l="0" t="0" r="0" b="635"/>
                        <wp:docPr id="6" name="Рисунок 3">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6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22910" cy="189865"/>
                                </a:xfrm>
                                <a:prstGeom prst="rect">
                                  <a:avLst/>
                                </a:prstGeom>
                                <a:noFill/>
                                <a:ln>
                                  <a:noFill/>
                                </a:ln>
                              </pic:spPr>
                            </pic:pic>
                          </a:graphicData>
                        </a:graphic>
                      </wp:inline>
                    </w:drawing>
                  </w:r>
                </w:p>
              </w:tc>
              <w:tc>
                <w:tcPr>
                  <w:tcW w:w="193" w:type="dxa"/>
                  <w:tcBorders>
                    <w:top w:val="single" w:sz="2" w:space="0" w:color="auto"/>
                    <w:left w:val="single" w:sz="2" w:space="0" w:color="auto"/>
                    <w:bottom w:val="single" w:sz="2" w:space="0" w:color="auto"/>
                    <w:right w:val="single" w:sz="2" w:space="0" w:color="auto"/>
                  </w:tcBorders>
                  <w:hideMark/>
                </w:tcPr>
                <w:p w14:paraId="300830A0"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7760" w:type="dxa"/>
                  <w:tcBorders>
                    <w:top w:val="single" w:sz="2" w:space="0" w:color="auto"/>
                    <w:left w:val="single" w:sz="2" w:space="0" w:color="auto"/>
                    <w:bottom w:val="single" w:sz="2" w:space="0" w:color="auto"/>
                    <w:right w:val="single" w:sz="2" w:space="0" w:color="auto"/>
                  </w:tcBorders>
                  <w:hideMark/>
                </w:tcPr>
                <w:p w14:paraId="453E3FEB"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tc>
            </w:tr>
            <w:tr w:rsidR="001C7762" w:rsidRPr="001C7762" w14:paraId="67E23E08" w14:textId="77777777" w:rsidTr="00355C21">
              <w:tc>
                <w:tcPr>
                  <w:tcW w:w="508" w:type="dxa"/>
                  <w:tcBorders>
                    <w:top w:val="single" w:sz="2" w:space="0" w:color="auto"/>
                    <w:left w:val="single" w:sz="2" w:space="0" w:color="auto"/>
                    <w:bottom w:val="single" w:sz="2" w:space="0" w:color="auto"/>
                    <w:right w:val="single" w:sz="2" w:space="0" w:color="auto"/>
                  </w:tcBorders>
                  <w:hideMark/>
                </w:tcPr>
                <w:p w14:paraId="7153EEB5" w14:textId="77777777" w:rsidR="008511CD" w:rsidRPr="001C7762" w:rsidRDefault="008511CD" w:rsidP="000D7C1D">
                  <w:pPr>
                    <w:framePr w:hSpace="180" w:wrap="around" w:vAnchor="text" w:hAnchor="text" w:y="1"/>
                    <w:spacing w:before="150" w:after="150"/>
                    <w:suppressOverlap/>
                    <w:rPr>
                      <w:lang w:val="uk-UA" w:eastAsia="uk-UA"/>
                    </w:rPr>
                  </w:pPr>
                </w:p>
              </w:tc>
              <w:tc>
                <w:tcPr>
                  <w:tcW w:w="2023" w:type="dxa"/>
                  <w:tcBorders>
                    <w:top w:val="single" w:sz="2" w:space="0" w:color="auto"/>
                    <w:left w:val="single" w:sz="2" w:space="0" w:color="auto"/>
                    <w:bottom w:val="single" w:sz="2" w:space="0" w:color="auto"/>
                    <w:right w:val="single" w:sz="2" w:space="0" w:color="auto"/>
                  </w:tcBorders>
                  <w:hideMark/>
                </w:tcPr>
                <w:p w14:paraId="3BF99C7A" w14:textId="77777777" w:rsidR="008511CD" w:rsidRPr="001C7762" w:rsidRDefault="008511CD" w:rsidP="000D7C1D">
                  <w:pPr>
                    <w:framePr w:hSpace="180" w:wrap="around" w:vAnchor="text" w:hAnchor="text" w:y="1"/>
                    <w:spacing w:before="150" w:after="150"/>
                    <w:suppressOverlap/>
                    <w:rPr>
                      <w:lang w:val="uk-UA" w:eastAsia="uk-UA"/>
                    </w:rPr>
                  </w:pPr>
                  <w:r w:rsidRPr="001C7762">
                    <w:rPr>
                      <w:noProof/>
                      <w:lang w:val="uk-UA" w:eastAsia="uk-UA"/>
                    </w:rPr>
                    <w:drawing>
                      <wp:inline distT="0" distB="0" distL="0" distR="0" wp14:anchorId="097C0D40" wp14:editId="77150406">
                        <wp:extent cx="655320" cy="224155"/>
                        <wp:effectExtent l="0" t="0" r="0" b="4445"/>
                        <wp:docPr id="566695405" name="Рисунок 2">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a:hlinkClick r:id="rId64"/>
                                </pic:cNvPr>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655320" cy="224155"/>
                                </a:xfrm>
                                <a:prstGeom prst="rect">
                                  <a:avLst/>
                                </a:prstGeom>
                                <a:noFill/>
                                <a:ln>
                                  <a:noFill/>
                                </a:ln>
                              </pic:spPr>
                            </pic:pic>
                          </a:graphicData>
                        </a:graphic>
                      </wp:inline>
                    </w:drawing>
                  </w:r>
                </w:p>
              </w:tc>
              <w:tc>
                <w:tcPr>
                  <w:tcW w:w="193" w:type="dxa"/>
                  <w:tcBorders>
                    <w:top w:val="single" w:sz="2" w:space="0" w:color="auto"/>
                    <w:left w:val="single" w:sz="2" w:space="0" w:color="auto"/>
                    <w:bottom w:val="single" w:sz="2" w:space="0" w:color="auto"/>
                    <w:right w:val="single" w:sz="2" w:space="0" w:color="auto"/>
                  </w:tcBorders>
                  <w:hideMark/>
                </w:tcPr>
                <w:p w14:paraId="71F4CCCF"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7760" w:type="dxa"/>
                  <w:tcBorders>
                    <w:top w:val="single" w:sz="2" w:space="0" w:color="auto"/>
                    <w:left w:val="single" w:sz="2" w:space="0" w:color="auto"/>
                    <w:bottom w:val="single" w:sz="2" w:space="0" w:color="auto"/>
                    <w:right w:val="single" w:sz="2" w:space="0" w:color="auto"/>
                  </w:tcBorders>
                  <w:hideMark/>
                </w:tcPr>
                <w:p w14:paraId="57620EE5"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регуляторна база активів, віднесених до категорії 1, що створена після переходу до стимулюючого регулювання, на початок року t, тис. грн.</w:t>
                  </w:r>
                </w:p>
              </w:tc>
            </w:tr>
          </w:tbl>
          <w:p w14:paraId="161238B9" w14:textId="77777777" w:rsidR="008511CD" w:rsidRPr="001C7762" w:rsidRDefault="008511CD" w:rsidP="00BC5261">
            <w:pPr>
              <w:shd w:val="clear" w:color="auto" w:fill="FFFFFF"/>
              <w:outlineLvl w:val="2"/>
              <w:rPr>
                <w:lang w:val="uk-UA" w:eastAsia="uk-UA"/>
              </w:rPr>
            </w:pPr>
            <w:bookmarkStart w:id="12" w:name="n535"/>
            <w:bookmarkStart w:id="13" w:name="n426"/>
            <w:bookmarkEnd w:id="12"/>
            <w:bookmarkEnd w:id="13"/>
          </w:p>
          <w:p w14:paraId="6D1482FA" w14:textId="77777777" w:rsidR="00355C21" w:rsidRPr="001C7762" w:rsidRDefault="00355C21" w:rsidP="00BC5261">
            <w:pPr>
              <w:shd w:val="clear" w:color="auto" w:fill="FFFFFF"/>
              <w:outlineLvl w:val="2"/>
              <w:rPr>
                <w:lang w:val="uk-UA" w:eastAsia="uk-UA"/>
              </w:rPr>
            </w:pPr>
          </w:p>
          <w:p w14:paraId="73E35D6D" w14:textId="77777777" w:rsidR="00EF2FEE" w:rsidRPr="001C7762" w:rsidRDefault="00EF2FEE" w:rsidP="00BC5261">
            <w:pPr>
              <w:shd w:val="clear" w:color="auto" w:fill="FFFFFF"/>
              <w:spacing w:after="150"/>
              <w:ind w:firstLine="450"/>
              <w:jc w:val="both"/>
              <w:rPr>
                <w:lang w:val="uk-UA" w:eastAsia="uk-UA"/>
              </w:rPr>
            </w:pPr>
            <w:r w:rsidRPr="001C7762">
              <w:rPr>
                <w:lang w:val="uk-UA" w:eastAsia="uk-UA"/>
              </w:rPr>
              <w:lastRenderedPageBreak/>
              <w:t>На початок першого року першого регуляторного періоду впровадження стимулюючого регулювання РБА</w:t>
            </w:r>
            <w:r w:rsidRPr="001C7762">
              <w:rPr>
                <w:vertAlign w:val="superscript"/>
                <w:lang w:val="uk-UA" w:eastAsia="uk-UA"/>
              </w:rPr>
              <w:t>0</w:t>
            </w:r>
            <w:r w:rsidRPr="001C7762">
              <w:rPr>
                <w:vertAlign w:val="subscript"/>
                <w:lang w:val="uk-UA" w:eastAsia="uk-UA"/>
              </w:rPr>
              <w:t>поч</w:t>
            </w:r>
            <w:r w:rsidRPr="001C7762">
              <w:rPr>
                <w:b/>
                <w:bCs/>
                <w:vertAlign w:val="subscript"/>
                <w:lang w:val="uk-UA" w:eastAsia="uk-UA"/>
              </w:rPr>
              <w:t xml:space="preserve"> t</w:t>
            </w:r>
            <w:r w:rsidRPr="001C7762">
              <w:rPr>
                <w:lang w:val="uk-UA" w:eastAsia="uk-UA"/>
              </w:rPr>
              <w:t> дорівнює регуляторній базі активів, яка створена на дату переходу до стимулюючого регулювання (РБА</w:t>
            </w:r>
            <w:r w:rsidRPr="001C7762">
              <w:rPr>
                <w:vertAlign w:val="superscript"/>
                <w:lang w:val="uk-UA" w:eastAsia="uk-UA"/>
              </w:rPr>
              <w:t>0</w:t>
            </w:r>
            <w:r w:rsidRPr="001C7762">
              <w:rPr>
                <w:lang w:val="uk-UA" w:eastAsia="uk-UA"/>
              </w:rPr>
              <w:t>);</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96"/>
              <w:gridCol w:w="1361"/>
              <w:gridCol w:w="111"/>
              <w:gridCol w:w="5665"/>
            </w:tblGrid>
            <w:tr w:rsidR="001C7762" w:rsidRPr="001C7762" w14:paraId="7849A2B8" w14:textId="77777777" w:rsidTr="00EE264F">
              <w:tc>
                <w:tcPr>
                  <w:tcW w:w="293" w:type="dxa"/>
                  <w:tcBorders>
                    <w:top w:val="single" w:sz="2" w:space="0" w:color="auto"/>
                    <w:left w:val="single" w:sz="2" w:space="0" w:color="auto"/>
                    <w:bottom w:val="single" w:sz="2" w:space="0" w:color="auto"/>
                    <w:right w:val="single" w:sz="2" w:space="0" w:color="auto"/>
                  </w:tcBorders>
                  <w:hideMark/>
                </w:tcPr>
                <w:p w14:paraId="0B4FFF0C" w14:textId="77777777" w:rsidR="008511CD" w:rsidRPr="001C7762" w:rsidRDefault="008511CD" w:rsidP="000D7C1D">
                  <w:pPr>
                    <w:framePr w:hSpace="180" w:wrap="around" w:vAnchor="text" w:hAnchor="text" w:y="1"/>
                    <w:spacing w:after="150"/>
                    <w:suppressOverlap/>
                    <w:jc w:val="both"/>
                    <w:rPr>
                      <w:lang w:val="uk-UA" w:eastAsia="uk-UA"/>
                    </w:rPr>
                  </w:pPr>
                  <w:bookmarkStart w:id="14" w:name="n427"/>
                  <w:bookmarkEnd w:id="14"/>
                </w:p>
              </w:tc>
              <w:tc>
                <w:tcPr>
                  <w:tcW w:w="1345" w:type="dxa"/>
                  <w:tcBorders>
                    <w:top w:val="single" w:sz="2" w:space="0" w:color="auto"/>
                    <w:left w:val="single" w:sz="2" w:space="0" w:color="auto"/>
                    <w:bottom w:val="single" w:sz="2" w:space="0" w:color="auto"/>
                    <w:right w:val="single" w:sz="2" w:space="0" w:color="auto"/>
                  </w:tcBorders>
                  <w:hideMark/>
                </w:tcPr>
                <w:p w14:paraId="16F82C0E" w14:textId="77777777" w:rsidR="008511CD" w:rsidRPr="001C7762" w:rsidRDefault="008511CD" w:rsidP="000D7C1D">
                  <w:pPr>
                    <w:framePr w:hSpace="180" w:wrap="around" w:vAnchor="text" w:hAnchor="text" w:y="1"/>
                    <w:spacing w:before="150" w:after="150"/>
                    <w:suppressOverlap/>
                    <w:rPr>
                      <w:lang w:val="uk-UA" w:eastAsia="uk-UA"/>
                    </w:rPr>
                  </w:pPr>
                  <w:r w:rsidRPr="001C7762">
                    <w:rPr>
                      <w:noProof/>
                      <w:lang w:val="uk-UA" w:eastAsia="uk-UA"/>
                    </w:rPr>
                    <w:drawing>
                      <wp:inline distT="0" distB="0" distL="0" distR="0" wp14:anchorId="7C4847B9" wp14:editId="7BF4739F">
                        <wp:extent cx="638175" cy="198120"/>
                        <wp:effectExtent l="0" t="0" r="9525" b="0"/>
                        <wp:docPr id="512070643" name="Рисунок 1">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66"/>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38175" cy="198120"/>
                                </a:xfrm>
                                <a:prstGeom prst="rect">
                                  <a:avLst/>
                                </a:prstGeom>
                                <a:noFill/>
                                <a:ln>
                                  <a:noFill/>
                                </a:ln>
                              </pic:spPr>
                            </pic:pic>
                          </a:graphicData>
                        </a:graphic>
                      </wp:inline>
                    </w:drawing>
                  </w:r>
                </w:p>
              </w:tc>
              <w:tc>
                <w:tcPr>
                  <w:tcW w:w="110" w:type="dxa"/>
                  <w:tcBorders>
                    <w:top w:val="single" w:sz="2" w:space="0" w:color="auto"/>
                    <w:left w:val="single" w:sz="2" w:space="0" w:color="auto"/>
                    <w:bottom w:val="single" w:sz="2" w:space="0" w:color="auto"/>
                    <w:right w:val="single" w:sz="2" w:space="0" w:color="auto"/>
                  </w:tcBorders>
                  <w:hideMark/>
                </w:tcPr>
                <w:p w14:paraId="49BECD82"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599" w:type="dxa"/>
                  <w:tcBorders>
                    <w:top w:val="single" w:sz="2" w:space="0" w:color="auto"/>
                    <w:left w:val="single" w:sz="2" w:space="0" w:color="auto"/>
                    <w:bottom w:val="single" w:sz="2" w:space="0" w:color="auto"/>
                    <w:right w:val="single" w:sz="2" w:space="0" w:color="auto"/>
                  </w:tcBorders>
                  <w:hideMark/>
                </w:tcPr>
                <w:p w14:paraId="37DEC573"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встановлена НКРЕКП регуляторна норма доходу на регуляторну базу активів, яка створена після переходу до стимулюючого регулювання, відносні одиниці.</w:t>
                  </w:r>
                </w:p>
              </w:tc>
            </w:tr>
          </w:tbl>
          <w:p w14:paraId="747931F3" w14:textId="77777777" w:rsidR="008511CD" w:rsidRPr="001C7762" w:rsidRDefault="008511CD" w:rsidP="00BC5261">
            <w:pPr>
              <w:rPr>
                <w:lang w:val="uk-UA"/>
              </w:rPr>
            </w:pPr>
          </w:p>
        </w:tc>
        <w:tc>
          <w:tcPr>
            <w:tcW w:w="7654" w:type="dxa"/>
          </w:tcPr>
          <w:p w14:paraId="6C049EDC" w14:textId="77777777" w:rsidR="008511CD" w:rsidRPr="001C7762" w:rsidRDefault="008511CD" w:rsidP="00BC5261">
            <w:pPr>
              <w:shd w:val="clear" w:color="auto" w:fill="FFFFFF"/>
              <w:spacing w:after="150"/>
              <w:ind w:firstLine="450"/>
              <w:jc w:val="both"/>
              <w:rPr>
                <w:lang w:val="uk-UA" w:eastAsia="uk-UA"/>
              </w:rPr>
            </w:pPr>
            <w:r w:rsidRPr="001C7762">
              <w:rPr>
                <w:lang w:val="uk-UA" w:eastAsia="uk-UA"/>
              </w:rPr>
              <w:lastRenderedPageBreak/>
              <w:t>5.13. Прибуток на регуляторну базу активів у році t визначається за формулою</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6932"/>
              <w:gridCol w:w="500"/>
            </w:tblGrid>
            <w:tr w:rsidR="001C7762" w:rsidRPr="001C7762" w14:paraId="72B3CEBA" w14:textId="77777777" w:rsidTr="00EE264F">
              <w:tc>
                <w:tcPr>
                  <w:tcW w:w="8685" w:type="dxa"/>
                  <w:tcBorders>
                    <w:top w:val="single" w:sz="2" w:space="0" w:color="auto"/>
                    <w:left w:val="single" w:sz="2" w:space="0" w:color="auto"/>
                    <w:bottom w:val="single" w:sz="2" w:space="0" w:color="auto"/>
                    <w:right w:val="single" w:sz="2" w:space="0" w:color="auto"/>
                  </w:tcBorders>
                  <w:hideMark/>
                </w:tcPr>
                <w:p w14:paraId="084F40C2"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noProof/>
                      <w:lang w:val="uk-UA" w:eastAsia="uk-UA"/>
                    </w:rPr>
                    <w:drawing>
                      <wp:inline distT="0" distB="0" distL="0" distR="0" wp14:anchorId="7F6BC988" wp14:editId="651F6AA7">
                        <wp:extent cx="4097655" cy="215900"/>
                        <wp:effectExtent l="0" t="0" r="0" b="0"/>
                        <wp:docPr id="673281672" name="Рисунок 8">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097655" cy="215900"/>
                                </a:xfrm>
                                <a:prstGeom prst="rect">
                                  <a:avLst/>
                                </a:prstGeom>
                                <a:noFill/>
                                <a:ln>
                                  <a:noFill/>
                                </a:ln>
                              </pic:spPr>
                            </pic:pic>
                          </a:graphicData>
                        </a:graphic>
                      </wp:inline>
                    </w:drawing>
                  </w:r>
                </w:p>
              </w:tc>
              <w:tc>
                <w:tcPr>
                  <w:tcW w:w="615" w:type="dxa"/>
                  <w:tcBorders>
                    <w:top w:val="single" w:sz="2" w:space="0" w:color="auto"/>
                    <w:left w:val="single" w:sz="2" w:space="0" w:color="auto"/>
                    <w:bottom w:val="single" w:sz="2" w:space="0" w:color="auto"/>
                    <w:right w:val="single" w:sz="2" w:space="0" w:color="auto"/>
                  </w:tcBorders>
                  <w:hideMark/>
                </w:tcPr>
                <w:p w14:paraId="6373F611" w14:textId="77777777" w:rsidR="008511CD" w:rsidRPr="001C7762" w:rsidRDefault="008511CD" w:rsidP="000D7C1D">
                  <w:pPr>
                    <w:framePr w:hSpace="180" w:wrap="around" w:vAnchor="text" w:hAnchor="text" w:y="1"/>
                    <w:spacing w:before="150" w:after="150"/>
                    <w:suppressOverlap/>
                    <w:jc w:val="right"/>
                    <w:rPr>
                      <w:lang w:val="uk-UA" w:eastAsia="uk-UA"/>
                    </w:rPr>
                  </w:pPr>
                  <w:r w:rsidRPr="001C7762">
                    <w:rPr>
                      <w:lang w:val="uk-UA" w:eastAsia="uk-UA"/>
                    </w:rPr>
                    <w:t>(12)</w:t>
                  </w:r>
                </w:p>
              </w:tc>
            </w:tr>
          </w:tbl>
          <w:p w14:paraId="770EACA1" w14:textId="77777777" w:rsidR="008511CD" w:rsidRPr="001C7762" w:rsidRDefault="008511CD" w:rsidP="00BC5261">
            <w:pPr>
              <w:spacing w:after="150"/>
              <w:ind w:firstLine="450"/>
              <w:jc w:val="both"/>
              <w:rPr>
                <w:shd w:val="clear" w:color="auto" w:fill="FFFFFF"/>
                <w:lang w:val="uk-UA" w:eastAsia="uk-UA"/>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03"/>
              <w:gridCol w:w="864"/>
              <w:gridCol w:w="83"/>
              <w:gridCol w:w="4498"/>
              <w:gridCol w:w="1684"/>
            </w:tblGrid>
            <w:tr w:rsidR="001C7762" w:rsidRPr="001C7762" w14:paraId="3F3CEA4C" w14:textId="77777777" w:rsidTr="00EE264F">
              <w:tc>
                <w:tcPr>
                  <w:tcW w:w="585" w:type="dxa"/>
                  <w:tcBorders>
                    <w:top w:val="single" w:sz="2" w:space="0" w:color="auto"/>
                    <w:left w:val="single" w:sz="2" w:space="0" w:color="auto"/>
                    <w:bottom w:val="single" w:sz="2" w:space="0" w:color="auto"/>
                    <w:right w:val="single" w:sz="2" w:space="0" w:color="auto"/>
                  </w:tcBorders>
                  <w:hideMark/>
                </w:tcPr>
                <w:p w14:paraId="09018E75"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де</w:t>
                  </w:r>
                </w:p>
              </w:tc>
              <w:tc>
                <w:tcPr>
                  <w:tcW w:w="1770" w:type="dxa"/>
                  <w:tcBorders>
                    <w:top w:val="single" w:sz="2" w:space="0" w:color="auto"/>
                    <w:left w:val="single" w:sz="2" w:space="0" w:color="auto"/>
                    <w:bottom w:val="single" w:sz="2" w:space="0" w:color="auto"/>
                    <w:right w:val="single" w:sz="2" w:space="0" w:color="auto"/>
                  </w:tcBorders>
                  <w:hideMark/>
                </w:tcPr>
                <w:p w14:paraId="1BC2DC9F" w14:textId="77777777" w:rsidR="008511CD" w:rsidRPr="001C7762" w:rsidRDefault="008511CD" w:rsidP="000D7C1D">
                  <w:pPr>
                    <w:framePr w:hSpace="180" w:wrap="around" w:vAnchor="text" w:hAnchor="text" w:y="1"/>
                    <w:spacing w:before="150" w:after="150"/>
                    <w:suppressOverlap/>
                    <w:rPr>
                      <w:lang w:val="uk-UA" w:eastAsia="uk-UA"/>
                    </w:rPr>
                  </w:pPr>
                  <w:r w:rsidRPr="001C7762">
                    <w:rPr>
                      <w:noProof/>
                      <w:lang w:val="uk-UA" w:eastAsia="uk-UA"/>
                    </w:rPr>
                    <w:drawing>
                      <wp:inline distT="0" distB="0" distL="0" distR="0" wp14:anchorId="014B7970" wp14:editId="477E7F53">
                        <wp:extent cx="612775" cy="172720"/>
                        <wp:effectExtent l="0" t="0" r="0" b="0"/>
                        <wp:docPr id="1653052592" name="Рисунок 7">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51"/>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12775" cy="172720"/>
                                </a:xfrm>
                                <a:prstGeom prst="rect">
                                  <a:avLst/>
                                </a:prstGeom>
                                <a:noFill/>
                                <a:ln>
                                  <a:noFill/>
                                </a:ln>
                              </pic:spPr>
                            </pic:pic>
                          </a:graphicData>
                        </a:graphic>
                      </wp:inline>
                    </w:drawing>
                  </w:r>
                </w:p>
              </w:tc>
              <w:tc>
                <w:tcPr>
                  <w:tcW w:w="120" w:type="dxa"/>
                  <w:tcBorders>
                    <w:top w:val="single" w:sz="2" w:space="0" w:color="auto"/>
                    <w:left w:val="single" w:sz="2" w:space="0" w:color="auto"/>
                    <w:bottom w:val="single" w:sz="2" w:space="0" w:color="auto"/>
                    <w:right w:val="single" w:sz="2" w:space="0" w:color="auto"/>
                  </w:tcBorders>
                  <w:hideMark/>
                </w:tcPr>
                <w:p w14:paraId="1D96897E"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13005" w:type="dxa"/>
                  <w:gridSpan w:val="2"/>
                  <w:tcBorders>
                    <w:top w:val="single" w:sz="2" w:space="0" w:color="auto"/>
                    <w:left w:val="single" w:sz="2" w:space="0" w:color="auto"/>
                    <w:bottom w:val="single" w:sz="2" w:space="0" w:color="auto"/>
                    <w:right w:val="single" w:sz="2" w:space="0" w:color="auto"/>
                  </w:tcBorders>
                  <w:hideMark/>
                </w:tcPr>
                <w:p w14:paraId="3325766C" w14:textId="6906DDEE" w:rsidR="00CC636B" w:rsidRPr="001C7762" w:rsidRDefault="008511CD" w:rsidP="000D7C1D">
                  <w:pPr>
                    <w:framePr w:hSpace="180" w:wrap="around" w:vAnchor="text" w:hAnchor="text" w:y="1"/>
                    <w:spacing w:before="150" w:after="150"/>
                    <w:suppressOverlap/>
                    <w:rPr>
                      <w:lang w:val="uk-UA" w:eastAsia="uk-UA"/>
                    </w:rPr>
                  </w:pPr>
                  <w:r w:rsidRPr="001C7762">
                    <w:rPr>
                      <w:lang w:val="uk-UA" w:eastAsia="uk-UA"/>
                    </w:rPr>
                    <w:t>регуляторна база активів, яка створена на дату переходу до стимулюючого регулювання, на початок року t, що розраховується за формулою</w:t>
                  </w:r>
                </w:p>
              </w:tc>
            </w:tr>
            <w:tr w:rsidR="001C7762" w:rsidRPr="001C7762" w14:paraId="0D5F0FB2" w14:textId="77777777" w:rsidTr="00EE264F">
              <w:tblPrEx>
                <w:tblCellMar>
                  <w:top w:w="0" w:type="dxa"/>
                  <w:left w:w="0" w:type="dxa"/>
                  <w:bottom w:w="0" w:type="dxa"/>
                  <w:right w:w="0" w:type="dxa"/>
                </w:tblCellMar>
              </w:tblPrEx>
              <w:tc>
                <w:tcPr>
                  <w:tcW w:w="11955" w:type="dxa"/>
                  <w:gridSpan w:val="4"/>
                  <w:tcBorders>
                    <w:top w:val="single" w:sz="2" w:space="0" w:color="auto"/>
                    <w:left w:val="single" w:sz="2" w:space="0" w:color="auto"/>
                    <w:bottom w:val="single" w:sz="2" w:space="0" w:color="auto"/>
                    <w:right w:val="single" w:sz="2" w:space="0" w:color="auto"/>
                  </w:tcBorders>
                  <w:hideMark/>
                </w:tcPr>
                <w:p w14:paraId="1EF53004" w14:textId="20B1AAC2" w:rsidR="008511CD" w:rsidRPr="001C7762" w:rsidRDefault="008511CD" w:rsidP="000D7C1D">
                  <w:pPr>
                    <w:framePr w:hSpace="180" w:wrap="around" w:vAnchor="text" w:hAnchor="text" w:y="1"/>
                    <w:spacing w:before="150" w:after="150"/>
                    <w:suppressOverlap/>
                    <w:jc w:val="center"/>
                    <w:rPr>
                      <w:b/>
                      <w:lang w:val="uk-UA" w:eastAsia="uk-UA"/>
                    </w:rPr>
                  </w:pP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m:t>
                        </m:r>
                      </m:sub>
                      <m:sup>
                        <m:r>
                          <m:rPr>
                            <m:sty m:val="bi"/>
                          </m:rPr>
                          <w:rPr>
                            <w:rFonts w:ascii="Cambria Math" w:hAnsi="Cambria Math"/>
                            <w:lang w:val="uk-UA"/>
                          </w:rPr>
                          <m:t xml:space="preserve">0 </m:t>
                        </m:r>
                      </m:sup>
                    </m:sSubSup>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t-1</m:t>
                        </m:r>
                      </m:sub>
                      <m:sup>
                        <m:r>
                          <m:rPr>
                            <m:sty m:val="bi"/>
                          </m:rPr>
                          <w:rPr>
                            <w:rFonts w:ascii="Cambria Math" w:hAnsi="Cambria Math"/>
                            <w:lang w:val="uk-UA"/>
                          </w:rPr>
                          <m:t xml:space="preserve">0 </m:t>
                        </m:r>
                      </m:sup>
                    </m:sSubSup>
                    <m:r>
                      <m:rPr>
                        <m:sty m:val="bi"/>
                      </m:rPr>
                      <w:rPr>
                        <w:rFonts w:ascii="Cambria Math" w:hAnsi="Cambria Math"/>
                        <w:lang w:val="uk-UA"/>
                      </w:rPr>
                      <m:t>-В</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 xml:space="preserve"> t-1</m:t>
                        </m:r>
                      </m:sub>
                      <m:sup>
                        <m:r>
                          <m:rPr>
                            <m:sty m:val="bi"/>
                          </m:rPr>
                          <w:rPr>
                            <w:rFonts w:ascii="Cambria Math" w:hAnsi="Cambria Math"/>
                            <w:lang w:val="uk-UA"/>
                          </w:rPr>
                          <m:t xml:space="preserve">0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en-US"/>
                          </w:rPr>
                          <m:t>t</m:t>
                        </m:r>
                        <m:r>
                          <m:rPr>
                            <m:sty m:val="bi"/>
                          </m:rPr>
                          <w:rPr>
                            <w:rFonts w:ascii="Cambria Math" w:hAnsi="Cambria Math"/>
                          </w:rPr>
                          <m:t>-</m:t>
                        </m:r>
                        <m:r>
                          <m:rPr>
                            <m:sty m:val="bi"/>
                          </m:rPr>
                          <w:rPr>
                            <w:rFonts w:ascii="Cambria Math" w:hAnsi="Cambria Math"/>
                            <w:lang w:val="en-US"/>
                          </w:rPr>
                          <m:t>1</m:t>
                        </m:r>
                      </m:sub>
                      <m:sup>
                        <m:r>
                          <m:rPr>
                            <m:sty m:val="bi"/>
                          </m:rPr>
                          <w:rPr>
                            <w:rFonts w:ascii="Cambria Math" w:hAnsi="Cambria Math"/>
                            <w:lang w:val="uk-UA"/>
                          </w:rPr>
                          <m:t>0</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 xml:space="preserve">0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ВПt-1</m:t>
                        </m:r>
                      </m:sub>
                      <m:sup>
                        <m:r>
                          <m:rPr>
                            <m:sty m:val="bi"/>
                          </m:rPr>
                          <w:rPr>
                            <w:rFonts w:ascii="Cambria Math" w:hAnsi="Cambria Math"/>
                            <w:lang w:val="uk-UA"/>
                          </w:rPr>
                          <m:t xml:space="preserve">0 </m:t>
                        </m:r>
                      </m:sup>
                    </m:sSubSup>
                  </m:oMath>
                  <w:r w:rsidRPr="000D7C1D">
                    <w:rPr>
                      <w:b/>
                      <w:lang w:val="uk-UA"/>
                    </w:rPr>
                    <w:t>,</w:t>
                  </w:r>
                  <w:r w:rsidRPr="001C7762">
                    <w:rPr>
                      <w:b/>
                      <w:lang w:val="uk-UA"/>
                    </w:rPr>
                    <w:t xml:space="preserve"> </w:t>
                  </w:r>
                </w:p>
              </w:tc>
              <w:tc>
                <w:tcPr>
                  <w:tcW w:w="855" w:type="dxa"/>
                  <w:tcBorders>
                    <w:top w:val="single" w:sz="2" w:space="0" w:color="auto"/>
                    <w:left w:val="single" w:sz="2" w:space="0" w:color="auto"/>
                    <w:bottom w:val="single" w:sz="2" w:space="0" w:color="auto"/>
                    <w:right w:val="single" w:sz="2" w:space="0" w:color="auto"/>
                  </w:tcBorders>
                  <w:hideMark/>
                </w:tcPr>
                <w:p w14:paraId="3F3FCB17" w14:textId="77777777" w:rsidR="008511CD" w:rsidRPr="001C7762" w:rsidRDefault="008511CD" w:rsidP="000D7C1D">
                  <w:pPr>
                    <w:framePr w:hSpace="180" w:wrap="around" w:vAnchor="text" w:hAnchor="text" w:y="1"/>
                    <w:spacing w:before="150" w:after="150"/>
                    <w:suppressOverlap/>
                    <w:jc w:val="right"/>
                    <w:rPr>
                      <w:lang w:val="uk-UA" w:eastAsia="uk-UA"/>
                    </w:rPr>
                  </w:pPr>
                  <w:r w:rsidRPr="001C7762">
                    <w:rPr>
                      <w:lang w:val="uk-UA" w:eastAsia="uk-UA"/>
                    </w:rPr>
                    <w:t>тис. грн (13)</w:t>
                  </w:r>
                </w:p>
              </w:tc>
            </w:tr>
          </w:tbl>
          <w:p w14:paraId="12E9C714" w14:textId="396E54EC" w:rsidR="008511CD" w:rsidRPr="001C7762" w:rsidRDefault="008511CD" w:rsidP="00BC5261">
            <w:pPr>
              <w:shd w:val="clear" w:color="auto" w:fill="FFFFFF"/>
              <w:jc w:val="center"/>
              <w:outlineLvl w:val="2"/>
              <w:rPr>
                <w:b/>
                <w:bCs/>
                <w:lang w:val="uk-UA" w:eastAsia="uk-UA"/>
              </w:rPr>
            </w:pPr>
          </w:p>
          <w:p w14:paraId="58BCB9A0" w14:textId="77777777" w:rsidR="00034A2E" w:rsidRPr="001C7762" w:rsidRDefault="00034A2E" w:rsidP="00BC5261">
            <w:pPr>
              <w:shd w:val="clear" w:color="auto" w:fill="FFFFFF"/>
              <w:jc w:val="center"/>
              <w:outlineLvl w:val="2"/>
              <w:rPr>
                <w:b/>
                <w:bCs/>
                <w:lang w:val="uk-UA" w:eastAsia="uk-UA"/>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62"/>
              <w:gridCol w:w="1349"/>
              <w:gridCol w:w="138"/>
              <w:gridCol w:w="5583"/>
            </w:tblGrid>
            <w:tr w:rsidR="001C7762" w:rsidRPr="001C7762" w14:paraId="003ACF87" w14:textId="77777777" w:rsidTr="00034A2E">
              <w:tc>
                <w:tcPr>
                  <w:tcW w:w="362" w:type="dxa"/>
                  <w:tcBorders>
                    <w:top w:val="single" w:sz="2" w:space="0" w:color="auto"/>
                    <w:left w:val="single" w:sz="2" w:space="0" w:color="auto"/>
                    <w:bottom w:val="single" w:sz="2" w:space="0" w:color="auto"/>
                    <w:right w:val="single" w:sz="2" w:space="0" w:color="auto"/>
                  </w:tcBorders>
                  <w:hideMark/>
                </w:tcPr>
                <w:p w14:paraId="6982105F" w14:textId="77777777" w:rsidR="00CC636B" w:rsidRPr="001C7762" w:rsidRDefault="00CC636B" w:rsidP="000D7C1D">
                  <w:pPr>
                    <w:framePr w:hSpace="180" w:wrap="around" w:vAnchor="text" w:hAnchor="text" w:y="1"/>
                    <w:spacing w:before="150" w:after="150"/>
                    <w:suppressOverlap/>
                    <w:rPr>
                      <w:lang w:val="uk-UA" w:eastAsia="uk-UA"/>
                    </w:rPr>
                  </w:pPr>
                  <w:r w:rsidRPr="001C7762">
                    <w:rPr>
                      <w:lang w:val="uk-UA" w:eastAsia="uk-UA"/>
                    </w:rPr>
                    <w:t>де</w:t>
                  </w:r>
                </w:p>
              </w:tc>
              <w:tc>
                <w:tcPr>
                  <w:tcW w:w="1349" w:type="dxa"/>
                  <w:tcBorders>
                    <w:top w:val="single" w:sz="2" w:space="0" w:color="auto"/>
                    <w:left w:val="single" w:sz="2" w:space="0" w:color="auto"/>
                    <w:bottom w:val="single" w:sz="2" w:space="0" w:color="auto"/>
                    <w:right w:val="single" w:sz="2" w:space="0" w:color="auto"/>
                  </w:tcBorders>
                  <w:hideMark/>
                </w:tcPr>
                <w:p w14:paraId="3DBB0B5E" w14:textId="6DF542BF" w:rsidR="00CC636B" w:rsidRPr="001C7762" w:rsidRDefault="000D7C1D" w:rsidP="000D7C1D">
                  <w:pPr>
                    <w:framePr w:hSpace="180" w:wrap="around" w:vAnchor="text" w:hAnchor="text" w:y="1"/>
                    <w:spacing w:before="150" w:after="150"/>
                    <w:suppressOverlap/>
                    <w:rPr>
                      <w:lang w:val="uk-UA" w:eastAsia="uk-UA"/>
                    </w:rPr>
                  </w:pPr>
                  <m:oMathPara>
                    <m:oMath>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en-US"/>
                            </w:rPr>
                            <m:t>t</m:t>
                          </m:r>
                          <m:r>
                            <m:rPr>
                              <m:sty m:val="bi"/>
                            </m:rPr>
                            <w:rPr>
                              <w:rFonts w:ascii="Cambria Math" w:hAnsi="Cambria Math"/>
                            </w:rPr>
                            <m:t>-</m:t>
                          </m:r>
                          <m:r>
                            <m:rPr>
                              <m:sty m:val="bi"/>
                            </m:rPr>
                            <w:rPr>
                              <w:rFonts w:ascii="Cambria Math" w:hAnsi="Cambria Math"/>
                              <w:lang w:val="en-US"/>
                            </w:rPr>
                            <m:t>1</m:t>
                          </m:r>
                        </m:sub>
                        <m:sup>
                          <m:r>
                            <m:rPr>
                              <m:sty m:val="bi"/>
                            </m:rPr>
                            <w:rPr>
                              <w:rFonts w:ascii="Cambria Math" w:hAnsi="Cambria Math"/>
                              <w:lang w:val="uk-UA"/>
                            </w:rPr>
                            <m:t>0</m:t>
                          </m:r>
                        </m:sup>
                      </m:sSubSup>
                    </m:oMath>
                  </m:oMathPara>
                </w:p>
              </w:tc>
              <w:tc>
                <w:tcPr>
                  <w:tcW w:w="138" w:type="dxa"/>
                  <w:tcBorders>
                    <w:top w:val="single" w:sz="2" w:space="0" w:color="auto"/>
                    <w:left w:val="single" w:sz="2" w:space="0" w:color="auto"/>
                    <w:bottom w:val="single" w:sz="2" w:space="0" w:color="auto"/>
                    <w:right w:val="single" w:sz="2" w:space="0" w:color="auto"/>
                  </w:tcBorders>
                  <w:hideMark/>
                </w:tcPr>
                <w:p w14:paraId="4BAFDC7B" w14:textId="77777777" w:rsidR="00CC636B" w:rsidRPr="001C7762" w:rsidRDefault="00CC636B"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583" w:type="dxa"/>
                  <w:tcBorders>
                    <w:top w:val="single" w:sz="2" w:space="0" w:color="auto"/>
                    <w:left w:val="single" w:sz="2" w:space="0" w:color="auto"/>
                    <w:bottom w:val="single" w:sz="2" w:space="0" w:color="auto"/>
                    <w:right w:val="single" w:sz="2" w:space="0" w:color="auto"/>
                  </w:tcBorders>
                  <w:hideMark/>
                </w:tcPr>
                <w:p w14:paraId="34AA3187" w14:textId="464EF6A9" w:rsidR="00CC636B" w:rsidRPr="001C7762" w:rsidRDefault="00CC636B" w:rsidP="000D7C1D">
                  <w:pPr>
                    <w:framePr w:hSpace="180" w:wrap="around" w:vAnchor="text" w:hAnchor="text" w:y="1"/>
                    <w:spacing w:before="150" w:after="150"/>
                    <w:suppressOverlap/>
                    <w:jc w:val="both"/>
                    <w:rPr>
                      <w:lang w:val="uk-UA" w:eastAsia="uk-UA"/>
                    </w:rPr>
                  </w:pPr>
                  <w:r w:rsidRPr="001C7762">
                    <w:rPr>
                      <w:lang w:val="uk-UA" w:eastAsia="uk-UA"/>
                    </w:rPr>
                    <w:t xml:space="preserve">регуляторна амортизація на активи, які створені на дату переходу до стимулюючого регулювання, що визначається відповідно до Порядку визначення регуляторної бази активів, </w:t>
                  </w:r>
                  <w:r w:rsidRPr="001C7762">
                    <w:rPr>
                      <w:b/>
                      <w:lang w:val="uk-UA" w:eastAsia="uk-UA"/>
                    </w:rPr>
                    <w:t>у році t-1</w:t>
                  </w:r>
                  <w:r w:rsidRPr="001C7762">
                    <w:rPr>
                      <w:lang w:val="uk-UA" w:eastAsia="uk-UA"/>
                    </w:rPr>
                    <w:t>, тис. грн;</w:t>
                  </w:r>
                </w:p>
              </w:tc>
            </w:tr>
            <w:tr w:rsidR="001C7762" w:rsidRPr="001C7762" w14:paraId="264E6E50" w14:textId="77777777" w:rsidTr="00034A2E">
              <w:trPr>
                <w:trHeight w:val="1242"/>
              </w:trPr>
              <w:tc>
                <w:tcPr>
                  <w:tcW w:w="362" w:type="dxa"/>
                  <w:tcBorders>
                    <w:top w:val="single" w:sz="2" w:space="0" w:color="auto"/>
                    <w:left w:val="single" w:sz="2" w:space="0" w:color="auto"/>
                    <w:bottom w:val="single" w:sz="2" w:space="0" w:color="auto"/>
                    <w:right w:val="single" w:sz="2" w:space="0" w:color="auto"/>
                  </w:tcBorders>
                  <w:hideMark/>
                </w:tcPr>
                <w:p w14:paraId="6B382C75" w14:textId="77777777" w:rsidR="00CC636B" w:rsidRPr="001C7762" w:rsidRDefault="00CC636B" w:rsidP="000D7C1D">
                  <w:pPr>
                    <w:framePr w:hSpace="180" w:wrap="around" w:vAnchor="text" w:hAnchor="text" w:y="1"/>
                    <w:spacing w:before="150" w:after="150"/>
                    <w:suppressOverlap/>
                    <w:rPr>
                      <w:lang w:val="uk-UA" w:eastAsia="uk-UA"/>
                    </w:rPr>
                  </w:pPr>
                </w:p>
              </w:tc>
              <w:tc>
                <w:tcPr>
                  <w:tcW w:w="1349" w:type="dxa"/>
                  <w:tcBorders>
                    <w:top w:val="single" w:sz="2" w:space="0" w:color="auto"/>
                    <w:left w:val="single" w:sz="2" w:space="0" w:color="auto"/>
                    <w:bottom w:val="single" w:sz="2" w:space="0" w:color="auto"/>
                    <w:right w:val="single" w:sz="2" w:space="0" w:color="auto"/>
                  </w:tcBorders>
                  <w:hideMark/>
                </w:tcPr>
                <w:p w14:paraId="650E6A1B" w14:textId="0DB9F3EF" w:rsidR="00CC636B" w:rsidRPr="001C7762" w:rsidRDefault="00CC636B" w:rsidP="000D7C1D">
                  <w:pPr>
                    <w:framePr w:hSpace="180" w:wrap="around" w:vAnchor="text" w:hAnchor="text" w:y="1"/>
                    <w:spacing w:before="150" w:after="150"/>
                    <w:suppressOverlap/>
                    <w:rPr>
                      <w:lang w:val="uk-UA" w:eastAsia="uk-UA"/>
                    </w:rPr>
                  </w:pPr>
                  <m:oMathPara>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t-1</m:t>
                          </m:r>
                        </m:sub>
                        <m:sup>
                          <m:r>
                            <m:rPr>
                              <m:sty m:val="bi"/>
                            </m:rPr>
                            <w:rPr>
                              <w:rFonts w:ascii="Cambria Math" w:hAnsi="Cambria Math"/>
                              <w:lang w:val="uk-UA"/>
                            </w:rPr>
                            <m:t xml:space="preserve">0 </m:t>
                          </m:r>
                        </m:sup>
                      </m:sSubSup>
                    </m:oMath>
                  </m:oMathPara>
                </w:p>
              </w:tc>
              <w:tc>
                <w:tcPr>
                  <w:tcW w:w="138" w:type="dxa"/>
                  <w:tcBorders>
                    <w:top w:val="single" w:sz="2" w:space="0" w:color="auto"/>
                    <w:left w:val="single" w:sz="2" w:space="0" w:color="auto"/>
                    <w:bottom w:val="single" w:sz="2" w:space="0" w:color="auto"/>
                    <w:right w:val="single" w:sz="2" w:space="0" w:color="auto"/>
                  </w:tcBorders>
                  <w:hideMark/>
                </w:tcPr>
                <w:p w14:paraId="750981B8" w14:textId="77777777" w:rsidR="00CC636B" w:rsidRPr="001C7762" w:rsidRDefault="00CC636B"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583" w:type="dxa"/>
                  <w:tcBorders>
                    <w:top w:val="single" w:sz="2" w:space="0" w:color="auto"/>
                    <w:left w:val="single" w:sz="2" w:space="0" w:color="auto"/>
                    <w:bottom w:val="single" w:sz="2" w:space="0" w:color="auto"/>
                    <w:right w:val="single" w:sz="2" w:space="0" w:color="auto"/>
                  </w:tcBorders>
                  <w:hideMark/>
                </w:tcPr>
                <w:p w14:paraId="08C26FFA" w14:textId="0CD585F0" w:rsidR="00CC636B" w:rsidRPr="001C7762" w:rsidRDefault="00EF2FEE" w:rsidP="000D7C1D">
                  <w:pPr>
                    <w:framePr w:hSpace="180" w:wrap="around" w:vAnchor="text" w:hAnchor="text" w:y="1"/>
                    <w:spacing w:before="150" w:after="150"/>
                    <w:suppressOverlap/>
                    <w:jc w:val="both"/>
                    <w:rPr>
                      <w:lang w:val="uk-UA" w:eastAsia="uk-UA"/>
                    </w:rPr>
                  </w:pPr>
                  <w:r w:rsidRPr="001C7762">
                    <w:rPr>
                      <w:b/>
                      <w:lang w:val="uk-UA" w:eastAsia="uk-UA"/>
                    </w:rPr>
                    <w:t xml:space="preserve">регуляторна база активів, яка створена на дату переходу до стимулюючого регулювання визначена на рівні </w:t>
                  </w:r>
                  <w:r w:rsidR="00CC636B" w:rsidRPr="001C7762">
                    <w:rPr>
                      <w:b/>
                      <w:lang w:val="uk-UA" w:eastAsia="uk-UA"/>
                    </w:rPr>
                    <w:t>залишков</w:t>
                  </w:r>
                  <w:r w:rsidRPr="001C7762">
                    <w:rPr>
                      <w:b/>
                      <w:lang w:val="uk-UA" w:eastAsia="uk-UA"/>
                    </w:rPr>
                    <w:t>ої</w:t>
                  </w:r>
                  <w:r w:rsidR="00CC636B" w:rsidRPr="001C7762">
                    <w:rPr>
                      <w:b/>
                      <w:lang w:val="uk-UA" w:eastAsia="uk-UA"/>
                    </w:rPr>
                    <w:t xml:space="preserve"> варт</w:t>
                  </w:r>
                  <w:r w:rsidRPr="001C7762">
                    <w:rPr>
                      <w:b/>
                      <w:lang w:val="uk-UA" w:eastAsia="uk-UA"/>
                    </w:rPr>
                    <w:t>ості</w:t>
                  </w:r>
                  <w:r w:rsidR="00CC636B" w:rsidRPr="001C7762">
                    <w:rPr>
                      <w:b/>
                      <w:lang w:val="uk-UA" w:eastAsia="uk-UA"/>
                    </w:rPr>
                    <w:t xml:space="preserve"> активів включених </w:t>
                  </w:r>
                  <w:r w:rsidRPr="001C7762">
                    <w:rPr>
                      <w:b/>
                      <w:lang w:val="uk-UA" w:eastAsia="uk-UA"/>
                    </w:rPr>
                    <w:t>неї</w:t>
                  </w:r>
                  <w:r w:rsidR="00CC636B" w:rsidRPr="001C7762">
                    <w:rPr>
                      <w:lang w:val="uk-UA" w:eastAsia="uk-UA"/>
                    </w:rPr>
                    <w:t xml:space="preserve"> на початок року t-1, тис. грн;</w:t>
                  </w:r>
                </w:p>
              </w:tc>
            </w:tr>
            <w:tr w:rsidR="001C7762" w:rsidRPr="001C7762" w14:paraId="5DCD7F13" w14:textId="77777777" w:rsidTr="00034A2E">
              <w:tc>
                <w:tcPr>
                  <w:tcW w:w="362" w:type="dxa"/>
                  <w:tcBorders>
                    <w:top w:val="single" w:sz="2" w:space="0" w:color="auto"/>
                    <w:left w:val="single" w:sz="2" w:space="0" w:color="auto"/>
                    <w:bottom w:val="single" w:sz="2" w:space="0" w:color="auto"/>
                    <w:right w:val="single" w:sz="2" w:space="0" w:color="auto"/>
                  </w:tcBorders>
                  <w:hideMark/>
                </w:tcPr>
                <w:p w14:paraId="29EAB826" w14:textId="77777777" w:rsidR="00CC636B" w:rsidRPr="001C7762" w:rsidRDefault="00CC636B" w:rsidP="000D7C1D">
                  <w:pPr>
                    <w:framePr w:hSpace="180" w:wrap="around" w:vAnchor="text" w:hAnchor="text" w:y="1"/>
                    <w:spacing w:before="150" w:after="150"/>
                    <w:suppressOverlap/>
                    <w:rPr>
                      <w:lang w:val="uk-UA" w:eastAsia="uk-UA"/>
                    </w:rPr>
                  </w:pPr>
                </w:p>
              </w:tc>
              <w:tc>
                <w:tcPr>
                  <w:tcW w:w="1349" w:type="dxa"/>
                  <w:tcBorders>
                    <w:top w:val="single" w:sz="2" w:space="0" w:color="auto"/>
                    <w:left w:val="single" w:sz="2" w:space="0" w:color="auto"/>
                    <w:bottom w:val="single" w:sz="2" w:space="0" w:color="auto"/>
                    <w:right w:val="single" w:sz="2" w:space="0" w:color="auto"/>
                  </w:tcBorders>
                  <w:hideMark/>
                </w:tcPr>
                <w:p w14:paraId="2CA74F6A" w14:textId="31CFDD0F" w:rsidR="00CC636B" w:rsidRPr="001C7762" w:rsidRDefault="00CC636B" w:rsidP="000D7C1D">
                  <w:pPr>
                    <w:framePr w:hSpace="180" w:wrap="around" w:vAnchor="text" w:hAnchor="text" w:y="1"/>
                    <w:spacing w:before="150" w:after="150"/>
                    <w:suppressOverlap/>
                    <w:rPr>
                      <w:lang w:val="uk-UA" w:eastAsia="uk-UA"/>
                    </w:rPr>
                  </w:pPr>
                  <m:oMathPara>
                    <m:oMath>
                      <m:r>
                        <m:rPr>
                          <m:sty m:val="bi"/>
                        </m:rPr>
                        <w:rPr>
                          <w:rFonts w:ascii="Cambria Math" w:hAnsi="Cambria Math"/>
                          <w:lang w:val="uk-UA"/>
                        </w:rPr>
                        <m:t>В</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 xml:space="preserve"> t-1</m:t>
                          </m:r>
                        </m:sub>
                        <m:sup>
                          <m:r>
                            <m:rPr>
                              <m:sty m:val="bi"/>
                            </m:rPr>
                            <w:rPr>
                              <w:rFonts w:ascii="Cambria Math" w:hAnsi="Cambria Math"/>
                              <w:lang w:val="uk-UA"/>
                            </w:rPr>
                            <m:t xml:space="preserve">0 </m:t>
                          </m:r>
                        </m:sup>
                      </m:sSubSup>
                    </m:oMath>
                  </m:oMathPara>
                </w:p>
              </w:tc>
              <w:tc>
                <w:tcPr>
                  <w:tcW w:w="138" w:type="dxa"/>
                  <w:tcBorders>
                    <w:top w:val="single" w:sz="2" w:space="0" w:color="auto"/>
                    <w:left w:val="single" w:sz="2" w:space="0" w:color="auto"/>
                    <w:bottom w:val="single" w:sz="2" w:space="0" w:color="auto"/>
                    <w:right w:val="single" w:sz="2" w:space="0" w:color="auto"/>
                  </w:tcBorders>
                  <w:hideMark/>
                </w:tcPr>
                <w:p w14:paraId="299E6588" w14:textId="77777777" w:rsidR="00CC636B" w:rsidRPr="001C7762" w:rsidRDefault="00CC636B"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583" w:type="dxa"/>
                  <w:tcBorders>
                    <w:top w:val="single" w:sz="2" w:space="0" w:color="auto"/>
                    <w:left w:val="single" w:sz="2" w:space="0" w:color="auto"/>
                    <w:bottom w:val="single" w:sz="2" w:space="0" w:color="auto"/>
                    <w:right w:val="single" w:sz="2" w:space="0" w:color="auto"/>
                  </w:tcBorders>
                  <w:hideMark/>
                </w:tcPr>
                <w:p w14:paraId="3CA9EBF2" w14:textId="77777777" w:rsidR="00CC636B" w:rsidRPr="001C7762" w:rsidRDefault="00CC636B" w:rsidP="000D7C1D">
                  <w:pPr>
                    <w:framePr w:hSpace="180" w:wrap="around" w:vAnchor="text" w:hAnchor="text" w:y="1"/>
                    <w:spacing w:before="150" w:after="150"/>
                    <w:suppressOverlap/>
                    <w:jc w:val="both"/>
                    <w:rPr>
                      <w:lang w:val="uk-UA" w:eastAsia="uk-UA"/>
                    </w:rPr>
                  </w:pPr>
                  <w:r w:rsidRPr="001C7762">
                    <w:rPr>
                      <w:lang w:val="uk-UA" w:eastAsia="uk-UA"/>
                    </w:rPr>
                    <w:t>залишкова вартість виведених з експлуатації активів (елементів активів) із регуляторної бази активів, яка створена на дату переходу до стимулюючого регулювання, у році t-1, тис. грн;</w:t>
                  </w:r>
                </w:p>
              </w:tc>
            </w:tr>
            <w:tr w:rsidR="001C7762" w:rsidRPr="000D7C1D" w14:paraId="323DBCA3" w14:textId="77777777" w:rsidTr="00034A2E">
              <w:tc>
                <w:tcPr>
                  <w:tcW w:w="362" w:type="dxa"/>
                  <w:tcBorders>
                    <w:top w:val="single" w:sz="2" w:space="0" w:color="auto"/>
                    <w:left w:val="single" w:sz="2" w:space="0" w:color="auto"/>
                    <w:bottom w:val="single" w:sz="2" w:space="0" w:color="auto"/>
                    <w:right w:val="single" w:sz="2" w:space="0" w:color="auto"/>
                  </w:tcBorders>
                  <w:hideMark/>
                </w:tcPr>
                <w:p w14:paraId="79F829A7" w14:textId="77777777" w:rsidR="00CC636B" w:rsidRPr="001C7762" w:rsidRDefault="00CC636B" w:rsidP="000D7C1D">
                  <w:pPr>
                    <w:framePr w:hSpace="180" w:wrap="around" w:vAnchor="text" w:hAnchor="text" w:y="1"/>
                    <w:suppressOverlap/>
                    <w:rPr>
                      <w:lang w:val="uk-UA" w:eastAsia="uk-UA"/>
                    </w:rPr>
                  </w:pPr>
                </w:p>
              </w:tc>
              <w:tc>
                <w:tcPr>
                  <w:tcW w:w="1349" w:type="dxa"/>
                  <w:tcBorders>
                    <w:top w:val="single" w:sz="2" w:space="0" w:color="auto"/>
                    <w:left w:val="single" w:sz="2" w:space="0" w:color="auto"/>
                    <w:bottom w:val="single" w:sz="2" w:space="0" w:color="auto"/>
                    <w:right w:val="single" w:sz="2" w:space="0" w:color="auto"/>
                  </w:tcBorders>
                  <w:hideMark/>
                </w:tcPr>
                <w:p w14:paraId="4062E3B4" w14:textId="0E605BFF" w:rsidR="00CC636B" w:rsidRPr="001C7762" w:rsidRDefault="000D7C1D" w:rsidP="000D7C1D">
                  <w:pPr>
                    <w:framePr w:hSpace="180" w:wrap="around" w:vAnchor="text" w:hAnchor="text" w:y="1"/>
                    <w:spacing w:before="150" w:after="150"/>
                    <w:suppressOverlap/>
                    <w:rPr>
                      <w:lang w:val="uk-UA" w:eastAsia="uk-UA"/>
                    </w:rPr>
                  </w:pPr>
                  <m:oMathPara>
                    <m:oMath>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 xml:space="preserve">0 </m:t>
                          </m:r>
                        </m:sup>
                      </m:sSubSup>
                    </m:oMath>
                  </m:oMathPara>
                </w:p>
              </w:tc>
              <w:tc>
                <w:tcPr>
                  <w:tcW w:w="138" w:type="dxa"/>
                  <w:tcBorders>
                    <w:top w:val="single" w:sz="2" w:space="0" w:color="auto"/>
                    <w:left w:val="single" w:sz="2" w:space="0" w:color="auto"/>
                    <w:bottom w:val="single" w:sz="2" w:space="0" w:color="auto"/>
                    <w:right w:val="single" w:sz="2" w:space="0" w:color="auto"/>
                  </w:tcBorders>
                  <w:hideMark/>
                </w:tcPr>
                <w:p w14:paraId="2CC649EE" w14:textId="77777777" w:rsidR="00CC636B" w:rsidRPr="001C7762" w:rsidRDefault="00CC636B"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583" w:type="dxa"/>
                  <w:tcBorders>
                    <w:top w:val="single" w:sz="2" w:space="0" w:color="auto"/>
                    <w:left w:val="single" w:sz="2" w:space="0" w:color="auto"/>
                    <w:bottom w:val="single" w:sz="2" w:space="0" w:color="auto"/>
                    <w:right w:val="single" w:sz="2" w:space="0" w:color="auto"/>
                  </w:tcBorders>
                  <w:hideMark/>
                </w:tcPr>
                <w:p w14:paraId="4E0F0B9F" w14:textId="27EE40A2" w:rsidR="00CC636B" w:rsidRPr="001C7762" w:rsidRDefault="00D547E7" w:rsidP="000D7C1D">
                  <w:pPr>
                    <w:framePr w:hSpace="180" w:wrap="around" w:vAnchor="text" w:hAnchor="text" w:y="1"/>
                    <w:spacing w:before="150" w:after="150"/>
                    <w:suppressOverlap/>
                    <w:jc w:val="both"/>
                    <w:rPr>
                      <w:lang w:val="uk-UA" w:eastAsia="uk-UA"/>
                    </w:rPr>
                  </w:pPr>
                  <w:r w:rsidRPr="001C7762">
                    <w:rPr>
                      <w:lang w:val="uk-UA" w:eastAsia="uk-UA"/>
                    </w:rPr>
                    <w:t xml:space="preserve">первісна </w:t>
                  </w:r>
                  <w:r w:rsidR="00CC636B" w:rsidRPr="001C7762">
                    <w:rPr>
                      <w:lang w:val="uk-UA" w:eastAsia="uk-UA"/>
                    </w:rPr>
                    <w:t>вартість активів, створених з дотриманням вимог </w:t>
                  </w:r>
                  <w:hyperlink r:id="rId68" w:anchor="n130" w:tgtFrame="_blank" w:history="1">
                    <w:r w:rsidR="00CC636B" w:rsidRPr="001C7762">
                      <w:rPr>
                        <w:u w:val="single"/>
                        <w:lang w:val="uk-UA" w:eastAsia="uk-UA"/>
                      </w:rPr>
                      <w:t>пунктів 2.5</w:t>
                    </w:r>
                  </w:hyperlink>
                  <w:r w:rsidR="00CC636B" w:rsidRPr="001C7762">
                    <w:rPr>
                      <w:lang w:val="uk-UA" w:eastAsia="uk-UA"/>
                    </w:rPr>
                    <w:t>, </w:t>
                  </w:r>
                  <w:hyperlink r:id="rId69" w:anchor="n131" w:tgtFrame="_blank" w:history="1">
                    <w:r w:rsidR="00CC636B" w:rsidRPr="001C7762">
                      <w:rPr>
                        <w:u w:val="single"/>
                        <w:lang w:val="uk-UA" w:eastAsia="uk-UA"/>
                      </w:rPr>
                      <w:t>2.6</w:t>
                    </w:r>
                  </w:hyperlink>
                  <w:r w:rsidR="00CC636B" w:rsidRPr="001C7762">
                    <w:rPr>
                      <w:lang w:val="uk-UA" w:eastAsia="uk-UA"/>
                    </w:rPr>
                    <w:t> та </w:t>
                  </w:r>
                  <w:hyperlink r:id="rId70" w:anchor="n139" w:tgtFrame="_blank" w:history="1">
                    <w:r w:rsidR="00CC636B" w:rsidRPr="001C7762">
                      <w:rPr>
                        <w:u w:val="single"/>
                        <w:lang w:val="uk-UA" w:eastAsia="uk-UA"/>
                      </w:rPr>
                      <w:t>2.10</w:t>
                    </w:r>
                  </w:hyperlink>
                  <w:r w:rsidR="00CC636B" w:rsidRPr="001C7762">
                    <w:rPr>
                      <w:lang w:val="uk-UA" w:eastAsia="uk-UA"/>
                    </w:rPr>
                    <w:t> розділу II Порядку визначення регуляторної бази активів, у році t-1, тис. грн;</w:t>
                  </w:r>
                </w:p>
              </w:tc>
            </w:tr>
            <w:tr w:rsidR="001C7762" w:rsidRPr="001C7762" w14:paraId="25207866" w14:textId="77777777" w:rsidTr="00034A2E">
              <w:tc>
                <w:tcPr>
                  <w:tcW w:w="362" w:type="dxa"/>
                  <w:tcBorders>
                    <w:top w:val="single" w:sz="2" w:space="0" w:color="auto"/>
                    <w:left w:val="single" w:sz="2" w:space="0" w:color="auto"/>
                    <w:bottom w:val="single" w:sz="2" w:space="0" w:color="auto"/>
                    <w:right w:val="single" w:sz="2" w:space="0" w:color="auto"/>
                  </w:tcBorders>
                </w:tcPr>
                <w:p w14:paraId="2112A57A" w14:textId="77777777" w:rsidR="00DE050C" w:rsidRPr="001C7762" w:rsidRDefault="00DE050C" w:rsidP="000D7C1D">
                  <w:pPr>
                    <w:framePr w:hSpace="180" w:wrap="around" w:vAnchor="text" w:hAnchor="text" w:y="1"/>
                    <w:suppressOverlap/>
                    <w:rPr>
                      <w:lang w:val="uk-UA" w:eastAsia="uk-UA"/>
                    </w:rPr>
                  </w:pPr>
                </w:p>
              </w:tc>
              <w:tc>
                <w:tcPr>
                  <w:tcW w:w="1349" w:type="dxa"/>
                  <w:tcBorders>
                    <w:top w:val="single" w:sz="2" w:space="0" w:color="auto"/>
                    <w:left w:val="single" w:sz="2" w:space="0" w:color="auto"/>
                    <w:bottom w:val="single" w:sz="2" w:space="0" w:color="auto"/>
                    <w:right w:val="single" w:sz="2" w:space="0" w:color="auto"/>
                  </w:tcBorders>
                </w:tcPr>
                <w:p w14:paraId="6362FD5A" w14:textId="21B60D6C" w:rsidR="00DE050C" w:rsidRPr="001C7762" w:rsidRDefault="000D7C1D" w:rsidP="000D7C1D">
                  <w:pPr>
                    <w:framePr w:hSpace="180" w:wrap="around" w:vAnchor="text" w:hAnchor="text" w:y="1"/>
                    <w:spacing w:before="150" w:after="150"/>
                    <w:suppressOverlap/>
                    <w:jc w:val="center"/>
                    <w:rPr>
                      <w:b/>
                      <w:lang w:val="uk-UA"/>
                    </w:rPr>
                  </w:pPr>
                  <m:oMath>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ВПt-1</m:t>
                        </m:r>
                      </m:sub>
                      <m:sup>
                        <m:r>
                          <m:rPr>
                            <m:sty m:val="bi"/>
                          </m:rPr>
                          <w:rPr>
                            <w:rFonts w:ascii="Cambria Math" w:hAnsi="Cambria Math"/>
                            <w:lang w:val="uk-UA"/>
                          </w:rPr>
                          <m:t xml:space="preserve">0 </m:t>
                        </m:r>
                      </m:sup>
                    </m:sSubSup>
                  </m:oMath>
                  <w:r w:rsidR="00DE050C" w:rsidRPr="001C7762">
                    <w:rPr>
                      <w:b/>
                      <w:lang w:val="uk-UA"/>
                    </w:rPr>
                    <w:t>,</w:t>
                  </w:r>
                </w:p>
              </w:tc>
              <w:tc>
                <w:tcPr>
                  <w:tcW w:w="138" w:type="dxa"/>
                  <w:tcBorders>
                    <w:top w:val="single" w:sz="2" w:space="0" w:color="auto"/>
                    <w:left w:val="single" w:sz="2" w:space="0" w:color="auto"/>
                    <w:bottom w:val="single" w:sz="2" w:space="0" w:color="auto"/>
                    <w:right w:val="single" w:sz="2" w:space="0" w:color="auto"/>
                  </w:tcBorders>
                </w:tcPr>
                <w:p w14:paraId="679E6333" w14:textId="5F7757C8" w:rsidR="00DE050C" w:rsidRPr="001C7762" w:rsidRDefault="00DE050C"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583" w:type="dxa"/>
                  <w:tcBorders>
                    <w:top w:val="single" w:sz="2" w:space="0" w:color="auto"/>
                    <w:left w:val="single" w:sz="2" w:space="0" w:color="auto"/>
                    <w:bottom w:val="single" w:sz="2" w:space="0" w:color="auto"/>
                    <w:right w:val="single" w:sz="2" w:space="0" w:color="auto"/>
                  </w:tcBorders>
                </w:tcPr>
                <w:p w14:paraId="42507EE2" w14:textId="71871996" w:rsidR="00522BF2" w:rsidRPr="001C7762" w:rsidRDefault="00DE050C" w:rsidP="000D7C1D">
                  <w:pPr>
                    <w:framePr w:hSpace="180" w:wrap="around" w:vAnchor="text" w:hAnchor="text" w:y="1"/>
                    <w:spacing w:before="150" w:after="150"/>
                    <w:suppressOverlap/>
                    <w:jc w:val="both"/>
                    <w:rPr>
                      <w:b/>
                      <w:bCs/>
                      <w:lang w:val="uk-UA" w:eastAsia="uk-UA"/>
                    </w:rPr>
                  </w:pPr>
                  <w:r w:rsidRPr="001C7762">
                    <w:rPr>
                      <w:b/>
                      <w:bCs/>
                      <w:lang w:val="uk-UA" w:eastAsia="uk-UA"/>
                    </w:rPr>
                    <w:t>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(щодо нерухомого майна – без демонтажу), у році t-1, тис. грн;</w:t>
                  </w:r>
                </w:p>
              </w:tc>
            </w:tr>
            <w:tr w:rsidR="001C7762" w:rsidRPr="001C7762" w14:paraId="375D6995" w14:textId="77777777" w:rsidTr="00034A2E">
              <w:tc>
                <w:tcPr>
                  <w:tcW w:w="362" w:type="dxa"/>
                  <w:tcBorders>
                    <w:top w:val="single" w:sz="2" w:space="0" w:color="auto"/>
                    <w:left w:val="single" w:sz="2" w:space="0" w:color="auto"/>
                    <w:bottom w:val="single" w:sz="2" w:space="0" w:color="auto"/>
                    <w:right w:val="single" w:sz="2" w:space="0" w:color="auto"/>
                  </w:tcBorders>
                  <w:hideMark/>
                </w:tcPr>
                <w:p w14:paraId="3CF2F600" w14:textId="77777777" w:rsidR="00DE050C" w:rsidRPr="001C7762" w:rsidRDefault="00DE050C" w:rsidP="000D7C1D">
                  <w:pPr>
                    <w:framePr w:hSpace="180" w:wrap="around" w:vAnchor="text" w:hAnchor="text" w:y="1"/>
                    <w:spacing w:before="150" w:after="150"/>
                    <w:suppressOverlap/>
                    <w:rPr>
                      <w:lang w:val="uk-UA" w:eastAsia="uk-UA"/>
                    </w:rPr>
                  </w:pPr>
                </w:p>
              </w:tc>
              <w:tc>
                <w:tcPr>
                  <w:tcW w:w="1349" w:type="dxa"/>
                  <w:tcBorders>
                    <w:top w:val="single" w:sz="2" w:space="0" w:color="auto"/>
                    <w:left w:val="single" w:sz="2" w:space="0" w:color="auto"/>
                    <w:bottom w:val="single" w:sz="2" w:space="0" w:color="auto"/>
                    <w:right w:val="single" w:sz="2" w:space="0" w:color="auto"/>
                  </w:tcBorders>
                  <w:hideMark/>
                </w:tcPr>
                <w:p w14:paraId="4FD43764" w14:textId="77777777" w:rsidR="00DE050C" w:rsidRPr="001C7762" w:rsidRDefault="00DE050C" w:rsidP="000D7C1D">
                  <w:pPr>
                    <w:framePr w:hSpace="180" w:wrap="around" w:vAnchor="text" w:hAnchor="text" w:y="1"/>
                    <w:spacing w:before="150" w:after="150"/>
                    <w:suppressOverlap/>
                    <w:jc w:val="center"/>
                    <w:rPr>
                      <w:lang w:val="uk-UA" w:eastAsia="uk-UA"/>
                    </w:rPr>
                  </w:pPr>
                  <w:r w:rsidRPr="001C7762">
                    <w:rPr>
                      <w:noProof/>
                      <w:lang w:val="uk-UA" w:eastAsia="uk-UA"/>
                    </w:rPr>
                    <w:drawing>
                      <wp:inline distT="0" distB="0" distL="0" distR="0" wp14:anchorId="0588FDA7" wp14:editId="6A475E32">
                        <wp:extent cx="422910" cy="189865"/>
                        <wp:effectExtent l="0" t="0" r="0" b="635"/>
                        <wp:docPr id="3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Рисунок 3"/>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22910" cy="189865"/>
                                </a:xfrm>
                                <a:prstGeom prst="rect">
                                  <a:avLst/>
                                </a:prstGeom>
                                <a:noFill/>
                                <a:ln>
                                  <a:noFill/>
                                </a:ln>
                              </pic:spPr>
                            </pic:pic>
                          </a:graphicData>
                        </a:graphic>
                      </wp:inline>
                    </w:drawing>
                  </w:r>
                </w:p>
              </w:tc>
              <w:tc>
                <w:tcPr>
                  <w:tcW w:w="138" w:type="dxa"/>
                  <w:tcBorders>
                    <w:top w:val="single" w:sz="2" w:space="0" w:color="auto"/>
                    <w:left w:val="single" w:sz="2" w:space="0" w:color="auto"/>
                    <w:bottom w:val="single" w:sz="2" w:space="0" w:color="auto"/>
                    <w:right w:val="single" w:sz="2" w:space="0" w:color="auto"/>
                  </w:tcBorders>
                  <w:hideMark/>
                </w:tcPr>
                <w:p w14:paraId="1B5DC58E" w14:textId="77777777" w:rsidR="00DE050C" w:rsidRPr="001C7762" w:rsidRDefault="00DE050C"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583" w:type="dxa"/>
                  <w:tcBorders>
                    <w:top w:val="single" w:sz="2" w:space="0" w:color="auto"/>
                    <w:left w:val="single" w:sz="2" w:space="0" w:color="auto"/>
                    <w:bottom w:val="single" w:sz="2" w:space="0" w:color="auto"/>
                    <w:right w:val="single" w:sz="2" w:space="0" w:color="auto"/>
                  </w:tcBorders>
                  <w:hideMark/>
                </w:tcPr>
                <w:p w14:paraId="7770A456" w14:textId="77777777" w:rsidR="00DE050C" w:rsidRPr="001C7762" w:rsidRDefault="00DE050C" w:rsidP="000D7C1D">
                  <w:pPr>
                    <w:framePr w:hSpace="180" w:wrap="around" w:vAnchor="text" w:hAnchor="text" w:y="1"/>
                    <w:spacing w:before="150" w:after="150"/>
                    <w:suppressOverlap/>
                    <w:jc w:val="both"/>
                    <w:rPr>
                      <w:lang w:val="uk-UA" w:eastAsia="uk-UA"/>
                    </w:rPr>
                  </w:pPr>
                  <w:r w:rsidRPr="001C7762">
                    <w:rPr>
                      <w:lang w:val="uk-UA" w:eastAsia="uk-UA"/>
                    </w:rPr>
                    <w:t>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tc>
            </w:tr>
            <w:tr w:rsidR="001C7762" w:rsidRPr="001C7762" w14:paraId="503C550C" w14:textId="77777777" w:rsidTr="00034A2E">
              <w:tc>
                <w:tcPr>
                  <w:tcW w:w="362" w:type="dxa"/>
                  <w:tcBorders>
                    <w:top w:val="single" w:sz="2" w:space="0" w:color="auto"/>
                    <w:left w:val="single" w:sz="2" w:space="0" w:color="auto"/>
                    <w:bottom w:val="single" w:sz="2" w:space="0" w:color="auto"/>
                    <w:right w:val="single" w:sz="2" w:space="0" w:color="auto"/>
                  </w:tcBorders>
                </w:tcPr>
                <w:p w14:paraId="66F5D0B7" w14:textId="77777777" w:rsidR="00DE050C" w:rsidRPr="001C7762" w:rsidRDefault="00DE050C" w:rsidP="000D7C1D">
                  <w:pPr>
                    <w:framePr w:hSpace="180" w:wrap="around" w:vAnchor="text" w:hAnchor="text" w:y="1"/>
                    <w:spacing w:before="150" w:after="150"/>
                    <w:suppressOverlap/>
                    <w:rPr>
                      <w:lang w:val="uk-UA" w:eastAsia="uk-UA"/>
                    </w:rPr>
                  </w:pPr>
                </w:p>
              </w:tc>
              <w:tc>
                <w:tcPr>
                  <w:tcW w:w="1349" w:type="dxa"/>
                  <w:tcBorders>
                    <w:top w:val="single" w:sz="2" w:space="0" w:color="auto"/>
                    <w:left w:val="single" w:sz="2" w:space="0" w:color="auto"/>
                    <w:bottom w:val="single" w:sz="2" w:space="0" w:color="auto"/>
                    <w:right w:val="single" w:sz="2" w:space="0" w:color="auto"/>
                  </w:tcBorders>
                </w:tcPr>
                <w:p w14:paraId="7F54F796" w14:textId="1FE3E90C" w:rsidR="00DE050C" w:rsidRPr="001C7762" w:rsidRDefault="00DE050C" w:rsidP="000D7C1D">
                  <w:pPr>
                    <w:framePr w:hSpace="180" w:wrap="around" w:vAnchor="text" w:hAnchor="text" w:y="1"/>
                    <w:spacing w:before="150" w:after="150"/>
                    <w:suppressOverlap/>
                    <w:jc w:val="center"/>
                    <w:rPr>
                      <w:noProof/>
                      <w:lang w:val="uk-UA" w:eastAsia="uk-UA"/>
                    </w:rPr>
                  </w:pPr>
                  <w:r w:rsidRPr="001C7762">
                    <w:rPr>
                      <w:noProof/>
                      <w:lang w:val="uk-UA" w:eastAsia="uk-UA"/>
                    </w:rPr>
                    <w:drawing>
                      <wp:inline distT="0" distB="0" distL="0" distR="0" wp14:anchorId="05703AB8" wp14:editId="3D8951A7">
                        <wp:extent cx="655320" cy="224155"/>
                        <wp:effectExtent l="0" t="0" r="0" b="4445"/>
                        <wp:docPr id="3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Рисунок 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655320" cy="224155"/>
                                </a:xfrm>
                                <a:prstGeom prst="rect">
                                  <a:avLst/>
                                </a:prstGeom>
                                <a:noFill/>
                                <a:ln>
                                  <a:noFill/>
                                </a:ln>
                              </pic:spPr>
                            </pic:pic>
                          </a:graphicData>
                        </a:graphic>
                      </wp:inline>
                    </w:drawing>
                  </w:r>
                </w:p>
              </w:tc>
              <w:tc>
                <w:tcPr>
                  <w:tcW w:w="138" w:type="dxa"/>
                  <w:tcBorders>
                    <w:top w:val="single" w:sz="2" w:space="0" w:color="auto"/>
                    <w:left w:val="single" w:sz="2" w:space="0" w:color="auto"/>
                    <w:bottom w:val="single" w:sz="2" w:space="0" w:color="auto"/>
                    <w:right w:val="single" w:sz="2" w:space="0" w:color="auto"/>
                  </w:tcBorders>
                </w:tcPr>
                <w:p w14:paraId="79AB2009" w14:textId="4279E641" w:rsidR="00DE050C" w:rsidRPr="001C7762" w:rsidRDefault="00DE050C"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5583" w:type="dxa"/>
                  <w:tcBorders>
                    <w:top w:val="single" w:sz="2" w:space="0" w:color="auto"/>
                    <w:left w:val="single" w:sz="2" w:space="0" w:color="auto"/>
                    <w:bottom w:val="single" w:sz="2" w:space="0" w:color="auto"/>
                    <w:right w:val="single" w:sz="2" w:space="0" w:color="auto"/>
                  </w:tcBorders>
                </w:tcPr>
                <w:p w14:paraId="34F904DD" w14:textId="5983357C" w:rsidR="00DE050C" w:rsidRPr="001C7762" w:rsidRDefault="00DE050C" w:rsidP="000D7C1D">
                  <w:pPr>
                    <w:framePr w:hSpace="180" w:wrap="around" w:vAnchor="text" w:hAnchor="text" w:y="1"/>
                    <w:spacing w:before="150" w:after="150"/>
                    <w:suppressOverlap/>
                    <w:jc w:val="both"/>
                    <w:rPr>
                      <w:lang w:val="uk-UA" w:eastAsia="uk-UA"/>
                    </w:rPr>
                  </w:pPr>
                  <w:r w:rsidRPr="001C7762">
                    <w:rPr>
                      <w:lang w:val="uk-UA" w:eastAsia="uk-UA"/>
                    </w:rPr>
                    <w:t>регуляторна база активів, віднесених до категорії 1, що створена після переходу до стимулюючого регулювання, на початок року t, тис. грн.</w:t>
                  </w:r>
                </w:p>
              </w:tc>
            </w:tr>
          </w:tbl>
          <w:p w14:paraId="6DB72543" w14:textId="77777777" w:rsidR="008511CD" w:rsidRPr="001C7762" w:rsidRDefault="008511CD" w:rsidP="00BC5261">
            <w:pPr>
              <w:shd w:val="clear" w:color="auto" w:fill="FFFFFF"/>
              <w:outlineLvl w:val="2"/>
              <w:rPr>
                <w:lang w:val="uk-UA" w:eastAsia="uk-UA"/>
              </w:rPr>
            </w:pPr>
          </w:p>
          <w:p w14:paraId="261D7912" w14:textId="5583F3AB" w:rsidR="008511CD" w:rsidRPr="001C7762" w:rsidRDefault="008511CD" w:rsidP="00BC5261">
            <w:pPr>
              <w:shd w:val="clear" w:color="auto" w:fill="FFFFFF"/>
              <w:spacing w:after="150"/>
              <w:ind w:firstLine="450"/>
              <w:jc w:val="both"/>
              <w:rPr>
                <w:lang w:val="uk-UA" w:eastAsia="uk-UA"/>
              </w:rPr>
            </w:pPr>
            <w:r w:rsidRPr="001C7762">
              <w:rPr>
                <w:lang w:val="uk-UA" w:eastAsia="uk-UA"/>
              </w:rPr>
              <w:lastRenderedPageBreak/>
              <w:t>На початок першого року першого регуляторного періоду впровадження стимулюючого регулювання РБА</w:t>
            </w:r>
            <w:r w:rsidR="00EF2FEE" w:rsidRPr="001C7762">
              <w:rPr>
                <w:vertAlign w:val="superscript"/>
                <w:lang w:val="uk-UA" w:eastAsia="uk-UA"/>
              </w:rPr>
              <w:t>0</w:t>
            </w:r>
            <w:r w:rsidRPr="001C7762">
              <w:rPr>
                <w:vertAlign w:val="subscript"/>
                <w:lang w:val="uk-UA" w:eastAsia="uk-UA"/>
              </w:rPr>
              <w:t>поч</w:t>
            </w:r>
            <w:r w:rsidRPr="001C7762">
              <w:rPr>
                <w:b/>
                <w:bCs/>
                <w:vertAlign w:val="subscript"/>
                <w:lang w:val="uk-UA" w:eastAsia="uk-UA"/>
              </w:rPr>
              <w:t xml:space="preserve"> t</w:t>
            </w:r>
            <w:r w:rsidRPr="001C7762">
              <w:rPr>
                <w:lang w:val="uk-UA" w:eastAsia="uk-UA"/>
              </w:rPr>
              <w:t> дорівнює регуляторній базі активів, яка створена на дату переходу до стимулюючого регулювання (РБА</w:t>
            </w:r>
            <w:r w:rsidR="00EF2FEE" w:rsidRPr="001C7762">
              <w:rPr>
                <w:vertAlign w:val="superscript"/>
                <w:lang w:val="uk-UA" w:eastAsia="uk-UA"/>
              </w:rPr>
              <w:t>0</w:t>
            </w:r>
            <w:r w:rsidRPr="001C7762">
              <w:rPr>
                <w:lang w:val="uk-UA" w:eastAsia="uk-UA"/>
              </w:rPr>
              <w:t>);</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65"/>
              <w:gridCol w:w="1010"/>
              <w:gridCol w:w="50"/>
              <w:gridCol w:w="6007"/>
            </w:tblGrid>
            <w:tr w:rsidR="001C7762" w:rsidRPr="001C7762" w14:paraId="48EE7783" w14:textId="77777777" w:rsidTr="00EE264F">
              <w:tc>
                <w:tcPr>
                  <w:tcW w:w="585" w:type="dxa"/>
                  <w:tcBorders>
                    <w:top w:val="single" w:sz="2" w:space="0" w:color="auto"/>
                    <w:left w:val="single" w:sz="2" w:space="0" w:color="auto"/>
                    <w:bottom w:val="single" w:sz="2" w:space="0" w:color="auto"/>
                    <w:right w:val="single" w:sz="2" w:space="0" w:color="auto"/>
                  </w:tcBorders>
                  <w:hideMark/>
                </w:tcPr>
                <w:p w14:paraId="53BA7996" w14:textId="77777777" w:rsidR="008511CD" w:rsidRPr="001C7762" w:rsidRDefault="008511CD" w:rsidP="000D7C1D">
                  <w:pPr>
                    <w:framePr w:hSpace="180" w:wrap="around" w:vAnchor="text" w:hAnchor="text" w:y="1"/>
                    <w:spacing w:after="150"/>
                    <w:suppressOverlap/>
                    <w:jc w:val="both"/>
                    <w:rPr>
                      <w:lang w:val="uk-UA" w:eastAsia="uk-UA"/>
                    </w:rPr>
                  </w:pPr>
                </w:p>
              </w:tc>
              <w:tc>
                <w:tcPr>
                  <w:tcW w:w="1680" w:type="dxa"/>
                  <w:tcBorders>
                    <w:top w:val="single" w:sz="2" w:space="0" w:color="auto"/>
                    <w:left w:val="single" w:sz="2" w:space="0" w:color="auto"/>
                    <w:bottom w:val="single" w:sz="2" w:space="0" w:color="auto"/>
                    <w:right w:val="single" w:sz="2" w:space="0" w:color="auto"/>
                  </w:tcBorders>
                  <w:hideMark/>
                </w:tcPr>
                <w:p w14:paraId="33D7455C" w14:textId="77777777" w:rsidR="008511CD" w:rsidRPr="001C7762" w:rsidRDefault="008511CD" w:rsidP="000D7C1D">
                  <w:pPr>
                    <w:framePr w:hSpace="180" w:wrap="around" w:vAnchor="text" w:hAnchor="text" w:y="1"/>
                    <w:spacing w:before="150" w:after="150"/>
                    <w:suppressOverlap/>
                    <w:rPr>
                      <w:lang w:val="uk-UA" w:eastAsia="uk-UA"/>
                    </w:rPr>
                  </w:pPr>
                  <w:r w:rsidRPr="001C7762">
                    <w:rPr>
                      <w:noProof/>
                      <w:lang w:val="uk-UA" w:eastAsia="uk-UA"/>
                    </w:rPr>
                    <w:drawing>
                      <wp:inline distT="0" distB="0" distL="0" distR="0" wp14:anchorId="5AE7717D" wp14:editId="7BF9A1A5">
                        <wp:extent cx="638175" cy="198120"/>
                        <wp:effectExtent l="0" t="0" r="9525" b="0"/>
                        <wp:docPr id="1869518775" name="Рисунок 1">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66"/>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38175" cy="198120"/>
                                </a:xfrm>
                                <a:prstGeom prst="rect">
                                  <a:avLst/>
                                </a:prstGeom>
                                <a:noFill/>
                                <a:ln>
                                  <a:noFill/>
                                </a:ln>
                              </pic:spPr>
                            </pic:pic>
                          </a:graphicData>
                        </a:graphic>
                      </wp:inline>
                    </w:drawing>
                  </w:r>
                </w:p>
              </w:tc>
              <w:tc>
                <w:tcPr>
                  <w:tcW w:w="15" w:type="dxa"/>
                  <w:tcBorders>
                    <w:top w:val="single" w:sz="2" w:space="0" w:color="auto"/>
                    <w:left w:val="single" w:sz="2" w:space="0" w:color="auto"/>
                    <w:bottom w:val="single" w:sz="2" w:space="0" w:color="auto"/>
                    <w:right w:val="single" w:sz="2" w:space="0" w:color="auto"/>
                  </w:tcBorders>
                  <w:hideMark/>
                </w:tcPr>
                <w:p w14:paraId="648CBA67"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10170" w:type="dxa"/>
                  <w:tcBorders>
                    <w:top w:val="single" w:sz="2" w:space="0" w:color="auto"/>
                    <w:left w:val="single" w:sz="2" w:space="0" w:color="auto"/>
                    <w:bottom w:val="single" w:sz="2" w:space="0" w:color="auto"/>
                    <w:right w:val="single" w:sz="2" w:space="0" w:color="auto"/>
                  </w:tcBorders>
                  <w:hideMark/>
                </w:tcPr>
                <w:p w14:paraId="05D7F569" w14:textId="77777777" w:rsidR="008511CD" w:rsidRPr="001C7762" w:rsidRDefault="008511CD" w:rsidP="000D7C1D">
                  <w:pPr>
                    <w:framePr w:hSpace="180" w:wrap="around" w:vAnchor="text" w:hAnchor="text" w:y="1"/>
                    <w:spacing w:before="150" w:after="150"/>
                    <w:suppressOverlap/>
                    <w:rPr>
                      <w:lang w:val="uk-UA" w:eastAsia="uk-UA"/>
                    </w:rPr>
                  </w:pPr>
                  <w:r w:rsidRPr="001C7762">
                    <w:rPr>
                      <w:lang w:val="uk-UA" w:eastAsia="uk-UA"/>
                    </w:rPr>
                    <w:t>встановлена НКРЕКП регуляторна норма доходу на регуляторну базу активів, яка створена після переходу до стимулюючого регулювання, відносні одиниці.</w:t>
                  </w:r>
                </w:p>
              </w:tc>
            </w:tr>
          </w:tbl>
          <w:p w14:paraId="687E3109" w14:textId="77777777" w:rsidR="008511CD" w:rsidRPr="001C7762" w:rsidRDefault="008511CD" w:rsidP="00BC5261">
            <w:pPr>
              <w:rPr>
                <w:lang w:val="uk-UA"/>
              </w:rPr>
            </w:pPr>
          </w:p>
        </w:tc>
      </w:tr>
      <w:tr w:rsidR="001C7762" w:rsidRPr="001C7762" w14:paraId="48E3BE45" w14:textId="77777777" w:rsidTr="00F549E8">
        <w:tc>
          <w:tcPr>
            <w:tcW w:w="7655" w:type="dxa"/>
          </w:tcPr>
          <w:p w14:paraId="41D7B07E" w14:textId="77777777" w:rsidR="00355C21" w:rsidRPr="001C7762" w:rsidRDefault="00355C21" w:rsidP="00BC5261">
            <w:pPr>
              <w:shd w:val="clear" w:color="auto" w:fill="FFFFFF"/>
              <w:ind w:firstLine="457"/>
              <w:jc w:val="both"/>
              <w:outlineLvl w:val="2"/>
              <w:rPr>
                <w:lang w:val="uk-UA"/>
              </w:rPr>
            </w:pPr>
          </w:p>
          <w:p w14:paraId="0E04BD37" w14:textId="4E2D7B15" w:rsidR="0053693E" w:rsidRPr="001C7762" w:rsidRDefault="000D7C1D" w:rsidP="00BC5261">
            <w:pPr>
              <w:shd w:val="clear" w:color="auto" w:fill="FFFFFF"/>
              <w:ind w:firstLine="457"/>
              <w:jc w:val="both"/>
              <w:outlineLvl w:val="2"/>
              <w:rPr>
                <w:lang w:val="uk-UA" w:eastAsia="uk-UA"/>
              </w:rPr>
            </w:pPr>
            <w:hyperlink r:id="rId71" w:tgtFrame="_blank" w:history="1">
              <w:r w:rsidR="0053693E" w:rsidRPr="001C7762">
                <w:rPr>
                  <w:lang w:val="uk-UA" w:eastAsia="uk-UA"/>
                </w:rPr>
                <w:t>5.16.</w:t>
              </w:r>
            </w:hyperlink>
            <w:r w:rsidR="0053693E" w:rsidRPr="001C7762">
              <w:rPr>
                <w:lang w:val="uk-UA" w:eastAsia="uk-UA"/>
              </w:rPr>
              <w:t> Регуляторна база активів, віднесених до категорії 1, що створена після переходу до стимулюючого регулювання та на яку нараховується </w:t>
            </w:r>
            <w:r w:rsidR="0053693E" w:rsidRPr="001C7762">
              <w:rPr>
                <w:noProof/>
                <w:lang w:val="uk-UA" w:eastAsia="uk-UA"/>
              </w:rPr>
              <w:drawing>
                <wp:inline distT="0" distB="0" distL="0" distR="0" wp14:anchorId="3D84CF64" wp14:editId="0B55D10A">
                  <wp:extent cx="571500" cy="158750"/>
                  <wp:effectExtent l="0" t="0" r="0" b="0"/>
                  <wp:docPr id="51" name="Рисунок 51" descr="https://ips.ligazakon.net/l_flib1.nsf/LookupFiles/GK40721_IMG_270.GIF/$file/GK40721_IMG_2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Рисунок 51" descr="https://ips.ligazakon.net/l_flib1.nsf/LookupFiles/GK40721_IMG_270.GIF/$file/GK40721_IMG_270.GIF"/>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71500" cy="158750"/>
                          </a:xfrm>
                          <a:prstGeom prst="rect">
                            <a:avLst/>
                          </a:prstGeom>
                          <a:noFill/>
                          <a:ln>
                            <a:noFill/>
                          </a:ln>
                        </pic:spPr>
                      </pic:pic>
                    </a:graphicData>
                  </a:graphic>
                </wp:inline>
              </w:drawing>
            </w:r>
            <w:r w:rsidR="0053693E" w:rsidRPr="001C7762">
              <w:rPr>
                <w:lang w:val="uk-UA" w:eastAsia="uk-UA"/>
              </w:rPr>
              <w:t>, на початок року </w:t>
            </w:r>
            <w:r w:rsidR="0053693E" w:rsidRPr="001C7762">
              <w:rPr>
                <w:noProof/>
                <w:lang w:val="uk-UA" w:eastAsia="uk-UA"/>
              </w:rPr>
              <w:drawing>
                <wp:inline distT="0" distB="0" distL="0" distR="0" wp14:anchorId="2B1505A6" wp14:editId="76411AB6">
                  <wp:extent cx="908050" cy="184150"/>
                  <wp:effectExtent l="0" t="0" r="6350" b="6350"/>
                  <wp:docPr id="50" name="Рисунок 50" descr="https://ips.ligazakon.net/l_flib1.nsf/LookupFiles/GK40721_IMG_271.GIF/$file/GK40721_IMG_2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Рисунок 50" descr="https://ips.ligazakon.net/l_flib1.nsf/LookupFiles/GK40721_IMG_271.GIF/$file/GK40721_IMG_271.GIF"/>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08050" cy="184150"/>
                          </a:xfrm>
                          <a:prstGeom prst="rect">
                            <a:avLst/>
                          </a:prstGeom>
                          <a:noFill/>
                          <a:ln>
                            <a:noFill/>
                          </a:ln>
                        </pic:spPr>
                      </pic:pic>
                    </a:graphicData>
                  </a:graphic>
                </wp:inline>
              </w:drawing>
            </w:r>
            <w:r w:rsidR="0053693E" w:rsidRPr="001C7762">
              <w:rPr>
                <w:lang w:val="uk-UA" w:eastAsia="uk-UA"/>
              </w:rPr>
              <w:t> визначається за формулою</w:t>
            </w:r>
          </w:p>
          <w:p w14:paraId="4AE326B7" w14:textId="77777777" w:rsidR="0053693E" w:rsidRPr="001C7762" w:rsidRDefault="0053693E" w:rsidP="00BC5261">
            <w:pPr>
              <w:shd w:val="clear" w:color="auto" w:fill="FFFFFF"/>
              <w:ind w:firstLine="457"/>
              <w:jc w:val="both"/>
              <w:outlineLvl w:val="2"/>
              <w:rPr>
                <w:lang w:val="uk-UA" w:eastAsia="uk-UA"/>
              </w:rPr>
            </w:pPr>
          </w:p>
          <w:tbl>
            <w:tblPr>
              <w:tblW w:w="10500" w:type="dxa"/>
              <w:jc w:val="center"/>
              <w:tblLayout w:type="fixed"/>
              <w:tblCellMar>
                <w:top w:w="15" w:type="dxa"/>
                <w:left w:w="15" w:type="dxa"/>
                <w:bottom w:w="15" w:type="dxa"/>
                <w:right w:w="15" w:type="dxa"/>
              </w:tblCellMar>
              <w:tblLook w:val="04A0" w:firstRow="1" w:lastRow="0" w:firstColumn="1" w:lastColumn="0" w:noHBand="0" w:noVBand="1"/>
            </w:tblPr>
            <w:tblGrid>
              <w:gridCol w:w="7350"/>
              <w:gridCol w:w="2625"/>
              <w:gridCol w:w="525"/>
            </w:tblGrid>
            <w:tr w:rsidR="001C7762" w:rsidRPr="001C7762" w14:paraId="7793CC53" w14:textId="77777777" w:rsidTr="00EE264F">
              <w:trPr>
                <w:jc w:val="center"/>
              </w:trPr>
              <w:tc>
                <w:tcPr>
                  <w:tcW w:w="3500" w:type="pct"/>
                  <w:shd w:val="clear" w:color="auto" w:fill="auto"/>
                  <w:tcMar>
                    <w:top w:w="0" w:type="dxa"/>
                    <w:left w:w="0" w:type="dxa"/>
                    <w:bottom w:w="0" w:type="dxa"/>
                    <w:right w:w="0" w:type="dxa"/>
                  </w:tcMar>
                  <w:vAlign w:val="center"/>
                  <w:hideMark/>
                </w:tcPr>
                <w:p w14:paraId="66DB962F" w14:textId="0B204A72" w:rsidR="0053693E" w:rsidRPr="001C7762" w:rsidRDefault="0053693E" w:rsidP="000D7C1D">
                  <w:pPr>
                    <w:pStyle w:val="tr"/>
                    <w:framePr w:hSpace="180" w:wrap="around" w:vAnchor="text" w:hAnchor="text" w:y="1"/>
                    <w:spacing w:before="0" w:beforeAutospacing="0" w:after="0" w:afterAutospacing="0"/>
                    <w:suppressOverlap/>
                    <w:jc w:val="right"/>
                  </w:pPr>
                  <w:r w:rsidRPr="001C7762">
                    <w:rPr>
                      <w:noProof/>
                    </w:rPr>
                    <w:drawing>
                      <wp:inline distT="0" distB="0" distL="0" distR="0" wp14:anchorId="60866E5F" wp14:editId="475ABA06">
                        <wp:extent cx="3562350" cy="184150"/>
                        <wp:effectExtent l="0" t="0" r="0" b="6350"/>
                        <wp:docPr id="49" name="Рисунок 49" descr="https://ips.ligazakon.net/l_flib1.nsf/LookupFiles/GK40721_IMG_291.GIF/$file/GK40721_IMG_2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Рисунок 49" descr="https://ips.ligazakon.net/l_flib1.nsf/LookupFiles/GK40721_IMG_291.GIF/$file/GK40721_IMG_291.GIF"/>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562350" cy="184150"/>
                                </a:xfrm>
                                <a:prstGeom prst="rect">
                                  <a:avLst/>
                                </a:prstGeom>
                                <a:noFill/>
                                <a:ln>
                                  <a:noFill/>
                                </a:ln>
                              </pic:spPr>
                            </pic:pic>
                          </a:graphicData>
                        </a:graphic>
                      </wp:inline>
                    </w:drawing>
                  </w:r>
                </w:p>
              </w:tc>
              <w:tc>
                <w:tcPr>
                  <w:tcW w:w="1250" w:type="pct"/>
                  <w:shd w:val="clear" w:color="auto" w:fill="auto"/>
                  <w:tcMar>
                    <w:top w:w="0" w:type="dxa"/>
                    <w:left w:w="0" w:type="dxa"/>
                    <w:bottom w:w="0" w:type="dxa"/>
                    <w:right w:w="0" w:type="dxa"/>
                  </w:tcMar>
                  <w:vAlign w:val="center"/>
                  <w:hideMark/>
                </w:tcPr>
                <w:p w14:paraId="111D738D" w14:textId="2C11F117" w:rsidR="0053693E" w:rsidRPr="001C7762" w:rsidRDefault="0053693E" w:rsidP="000D7C1D">
                  <w:pPr>
                    <w:pStyle w:val="tl"/>
                    <w:framePr w:hSpace="180" w:wrap="around" w:vAnchor="text" w:hAnchor="text" w:y="1"/>
                    <w:spacing w:before="0" w:beforeAutospacing="0" w:after="0" w:afterAutospacing="0"/>
                    <w:suppressOverlap/>
                  </w:pPr>
                  <w:r w:rsidRPr="001C7762">
                    <w:t>, тис. грн,</w:t>
                  </w:r>
                </w:p>
              </w:tc>
              <w:tc>
                <w:tcPr>
                  <w:tcW w:w="250" w:type="pct"/>
                  <w:shd w:val="clear" w:color="auto" w:fill="auto"/>
                  <w:tcMar>
                    <w:top w:w="0" w:type="dxa"/>
                    <w:left w:w="0" w:type="dxa"/>
                    <w:bottom w:w="0" w:type="dxa"/>
                    <w:right w:w="0" w:type="dxa"/>
                  </w:tcMar>
                  <w:vAlign w:val="center"/>
                  <w:hideMark/>
                </w:tcPr>
                <w:p w14:paraId="31E69FF8" w14:textId="77777777" w:rsidR="0053693E" w:rsidRPr="001C7762" w:rsidRDefault="000D7C1D" w:rsidP="000D7C1D">
                  <w:pPr>
                    <w:pStyle w:val="tc"/>
                    <w:framePr w:hSpace="180" w:wrap="around" w:vAnchor="text" w:hAnchor="text" w:y="1"/>
                    <w:spacing w:before="0" w:beforeAutospacing="0" w:after="0" w:afterAutospacing="0"/>
                    <w:suppressOverlap/>
                  </w:pPr>
                  <w:hyperlink r:id="rId75" w:tgtFrame="_blank" w:history="1">
                    <w:r w:rsidR="0053693E" w:rsidRPr="001C7762">
                      <w:rPr>
                        <w:rStyle w:val="a5"/>
                        <w:color w:val="auto"/>
                      </w:rPr>
                      <w:t>(14)</w:t>
                    </w:r>
                  </w:hyperlink>
                </w:p>
              </w:tc>
            </w:tr>
          </w:tbl>
          <w:p w14:paraId="7C12872E" w14:textId="56E2F348" w:rsidR="0053693E" w:rsidRPr="001C7762" w:rsidRDefault="000D7C1D" w:rsidP="00BC5261">
            <w:pPr>
              <w:pStyle w:val="tr"/>
              <w:shd w:val="clear" w:color="auto" w:fill="FFFFFF"/>
              <w:spacing w:before="0" w:beforeAutospacing="0" w:after="0" w:afterAutospacing="0"/>
              <w:jc w:val="right"/>
            </w:pPr>
            <w:hyperlink r:id="rId76" w:tgtFrame="_blank" w:history="1"/>
          </w:p>
          <w:p w14:paraId="6DD8F9CD" w14:textId="3E0D711B" w:rsidR="0053693E" w:rsidRPr="001C7762" w:rsidRDefault="0053693E" w:rsidP="00BC5261">
            <w:pPr>
              <w:shd w:val="clear" w:color="auto" w:fill="FFFFFF"/>
              <w:ind w:firstLine="457"/>
              <w:jc w:val="both"/>
              <w:outlineLvl w:val="2"/>
              <w:rPr>
                <w:lang w:val="uk-UA" w:eastAsia="uk-UA"/>
              </w:rPr>
            </w:pPr>
            <w:r w:rsidRPr="001C7762">
              <w:rPr>
                <w:lang w:val="uk-UA" w:eastAsia="uk-UA"/>
              </w:rPr>
              <w:t>де </w:t>
            </w:r>
            <w:r w:rsidRPr="001C7762">
              <w:rPr>
                <w:noProof/>
                <w:lang w:val="uk-UA" w:eastAsia="uk-UA"/>
              </w:rPr>
              <w:drawing>
                <wp:inline distT="0" distB="0" distL="0" distR="0" wp14:anchorId="20450DC7" wp14:editId="7E9F5AA2">
                  <wp:extent cx="749300" cy="184150"/>
                  <wp:effectExtent l="0" t="0" r="0" b="6350"/>
                  <wp:docPr id="48" name="Рисунок 48" descr="https://ips.ligazakon.net/l_flib1.nsf/LookupFiles/GK40721_IMG_273.GIF/$file/GK40721_IMG_2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Рисунок 48" descr="https://ips.ligazakon.net/l_flib1.nsf/LookupFiles/GK40721_IMG_273.GIF/$file/GK40721_IMG_273.GIF"/>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749300" cy="184150"/>
                          </a:xfrm>
                          <a:prstGeom prst="rect">
                            <a:avLst/>
                          </a:prstGeom>
                          <a:noFill/>
                          <a:ln>
                            <a:noFill/>
                          </a:ln>
                        </pic:spPr>
                      </pic:pic>
                    </a:graphicData>
                  </a:graphic>
                </wp:inline>
              </w:drawing>
            </w:r>
            <w:r w:rsidRPr="001C7762">
              <w:rPr>
                <w:lang w:val="uk-UA" w:eastAsia="uk-UA"/>
              </w:rPr>
              <w:t> - регуляторна база активів, віднесених до категорії 1, що створена після переходу до стимулюючого регулювання, на початок року t-1, тис. грн;</w:t>
            </w:r>
          </w:p>
          <w:p w14:paraId="3014FB44" w14:textId="77777777" w:rsidR="0053693E" w:rsidRPr="001C7762" w:rsidRDefault="0053693E" w:rsidP="00BC5261">
            <w:pPr>
              <w:shd w:val="clear" w:color="auto" w:fill="FFFFFF"/>
              <w:ind w:firstLine="457"/>
              <w:jc w:val="both"/>
              <w:outlineLvl w:val="2"/>
              <w:rPr>
                <w:lang w:val="uk-UA" w:eastAsia="uk-UA"/>
              </w:rPr>
            </w:pPr>
          </w:p>
          <w:p w14:paraId="37F424AF" w14:textId="08FE8C7A" w:rsidR="0053693E" w:rsidRPr="001C7762" w:rsidRDefault="0053693E" w:rsidP="00BC5261">
            <w:pPr>
              <w:shd w:val="clear" w:color="auto" w:fill="FFFFFF"/>
              <w:ind w:firstLine="457"/>
              <w:jc w:val="both"/>
              <w:outlineLvl w:val="2"/>
              <w:rPr>
                <w:lang w:val="uk-UA" w:eastAsia="uk-UA"/>
              </w:rPr>
            </w:pPr>
            <w:r w:rsidRPr="001C7762">
              <w:rPr>
                <w:noProof/>
                <w:lang w:val="uk-UA" w:eastAsia="uk-UA"/>
              </w:rPr>
              <w:drawing>
                <wp:inline distT="0" distB="0" distL="0" distR="0" wp14:anchorId="142E47EA" wp14:editId="4264EC9E">
                  <wp:extent cx="425450" cy="158750"/>
                  <wp:effectExtent l="0" t="0" r="0" b="0"/>
                  <wp:docPr id="47" name="Рисунок 47" descr="https://ips.ligazakon.net/l_flib1.nsf/LookupFiles/GK40721_IMG_289.GIF/$file/GK40721_IMG_2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Рисунок 47" descr="https://ips.ligazakon.net/l_flib1.nsf/LookupFiles/GK40721_IMG_289.GIF/$file/GK40721_IMG_289.GIF"/>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25450" cy="158750"/>
                          </a:xfrm>
                          <a:prstGeom prst="rect">
                            <a:avLst/>
                          </a:prstGeom>
                          <a:noFill/>
                          <a:ln>
                            <a:noFill/>
                          </a:ln>
                        </pic:spPr>
                      </pic:pic>
                    </a:graphicData>
                  </a:graphic>
                </wp:inline>
              </w:drawing>
            </w:r>
            <w:r w:rsidRPr="001C7762">
              <w:rPr>
                <w:lang w:val="uk-UA" w:eastAsia="uk-UA"/>
              </w:rPr>
              <w:t> - залишкова вартість виведених з експлуатації активів (елементів активів), віднесених до категорії 1, із регуляторної бази активів, створеної після переходу до стимулюючого регулювання, у році t-1, тис. грн;</w:t>
            </w:r>
          </w:p>
          <w:p w14:paraId="0B28010F" w14:textId="77777777" w:rsidR="0053693E" w:rsidRPr="001C7762" w:rsidRDefault="0053693E" w:rsidP="00BC5261">
            <w:pPr>
              <w:shd w:val="clear" w:color="auto" w:fill="FFFFFF"/>
              <w:ind w:firstLine="457"/>
              <w:jc w:val="both"/>
              <w:outlineLvl w:val="2"/>
              <w:rPr>
                <w:lang w:val="uk-UA" w:eastAsia="uk-UA"/>
              </w:rPr>
            </w:pPr>
          </w:p>
          <w:p w14:paraId="4E595FB2" w14:textId="3792B3D4" w:rsidR="0053693E" w:rsidRDefault="000D7C1D" w:rsidP="00BC5261">
            <w:pPr>
              <w:shd w:val="clear" w:color="auto" w:fill="FFFFFF"/>
              <w:ind w:firstLine="457"/>
              <w:jc w:val="both"/>
              <w:outlineLvl w:val="2"/>
              <w:rPr>
                <w:lang w:val="uk-UA" w:eastAsia="uk-UA"/>
              </w:rPr>
            </w:pPr>
            <w:r w:rsidRPr="006C1ED4">
              <w:pict w14:anchorId="24C1BD95">
                <v:shape id="_x0000_i1037" type="#_x0000_t75" alt="https://ips.ligazakon.net/l_flib1.nsf/LookupFiles/GK40721_IMG_290.GIF/$file/GK40721_IMG_290.GIF" style="width:24.2pt;height:12.65pt;visibility:visible;mso-wrap-style:square">
                  <v:imagedata r:id="rId79" o:title="GK40721_IMG_290"/>
                </v:shape>
              </w:pict>
            </w:r>
            <w:r w:rsidR="0053693E" w:rsidRPr="001C7762">
              <w:rPr>
                <w:lang w:val="uk-UA" w:eastAsia="uk-UA"/>
              </w:rPr>
              <w:t> - фактична вартість створених та прийнятих на баланс активів, віднесених до категорії 1 (у тому числі створених з дотриманням вимог пункту 3.5 розділу III Порядку визначення регуляторної бази активів);</w:t>
            </w:r>
          </w:p>
          <w:p w14:paraId="2B74062B" w14:textId="74CD4CEF" w:rsidR="000D7C1D" w:rsidRDefault="000D7C1D" w:rsidP="00BC5261">
            <w:pPr>
              <w:shd w:val="clear" w:color="auto" w:fill="FFFFFF"/>
              <w:ind w:firstLine="457"/>
              <w:jc w:val="both"/>
              <w:outlineLvl w:val="2"/>
              <w:rPr>
                <w:lang w:val="uk-UA"/>
              </w:rPr>
            </w:pPr>
          </w:p>
          <w:p w14:paraId="030D6949" w14:textId="348CBDC2" w:rsidR="000D7C1D" w:rsidRDefault="000D7C1D" w:rsidP="00BC5261">
            <w:pPr>
              <w:shd w:val="clear" w:color="auto" w:fill="FFFFFF"/>
              <w:ind w:firstLine="457"/>
              <w:jc w:val="both"/>
              <w:outlineLvl w:val="2"/>
              <w:rPr>
                <w:lang w:val="uk-UA"/>
              </w:rPr>
            </w:pPr>
          </w:p>
          <w:p w14:paraId="165883B6" w14:textId="5CC1AB7E" w:rsidR="000D7C1D" w:rsidRDefault="000D7C1D" w:rsidP="00BC5261">
            <w:pPr>
              <w:shd w:val="clear" w:color="auto" w:fill="FFFFFF"/>
              <w:ind w:firstLine="457"/>
              <w:jc w:val="both"/>
              <w:outlineLvl w:val="2"/>
              <w:rPr>
                <w:lang w:val="uk-UA"/>
              </w:rPr>
            </w:pPr>
          </w:p>
          <w:p w14:paraId="0CDCDA77" w14:textId="407D57F4" w:rsidR="000D7C1D" w:rsidRPr="000D7C1D" w:rsidRDefault="000D7C1D" w:rsidP="00BC5261">
            <w:pPr>
              <w:shd w:val="clear" w:color="auto" w:fill="FFFFFF"/>
              <w:ind w:firstLine="457"/>
              <w:jc w:val="both"/>
              <w:outlineLvl w:val="2"/>
              <w:rPr>
                <w:lang w:val="uk-UA"/>
              </w:rPr>
            </w:pPr>
            <w:r>
              <w:rPr>
                <w:lang w:val="uk-UA"/>
              </w:rPr>
              <w:lastRenderedPageBreak/>
              <w:t>Пункт відсутній</w:t>
            </w:r>
          </w:p>
          <w:p w14:paraId="3C06FF81" w14:textId="77777777" w:rsidR="0053693E" w:rsidRPr="001C7762" w:rsidRDefault="0053693E" w:rsidP="00BC5261">
            <w:pPr>
              <w:shd w:val="clear" w:color="auto" w:fill="FFFFFF"/>
              <w:spacing w:after="150"/>
              <w:ind w:firstLine="450"/>
              <w:jc w:val="both"/>
              <w:rPr>
                <w:lang w:eastAsia="uk-UA"/>
              </w:rPr>
            </w:pPr>
          </w:p>
        </w:tc>
        <w:tc>
          <w:tcPr>
            <w:tcW w:w="7654" w:type="dxa"/>
          </w:tcPr>
          <w:p w14:paraId="68F04C23" w14:textId="77777777" w:rsidR="00355C21" w:rsidRPr="001C7762" w:rsidRDefault="00355C21" w:rsidP="00BC5261">
            <w:pPr>
              <w:shd w:val="clear" w:color="auto" w:fill="FFFFFF"/>
              <w:ind w:firstLine="457"/>
              <w:jc w:val="both"/>
              <w:outlineLvl w:val="2"/>
              <w:rPr>
                <w:lang w:val="uk-UA"/>
              </w:rPr>
            </w:pPr>
          </w:p>
          <w:p w14:paraId="6EC35D70" w14:textId="0A9A9FC7" w:rsidR="0053693E" w:rsidRPr="001C7762" w:rsidRDefault="000D7C1D" w:rsidP="00BC5261">
            <w:pPr>
              <w:shd w:val="clear" w:color="auto" w:fill="FFFFFF"/>
              <w:ind w:firstLine="457"/>
              <w:jc w:val="both"/>
              <w:outlineLvl w:val="2"/>
              <w:rPr>
                <w:lang w:val="uk-UA" w:eastAsia="uk-UA"/>
              </w:rPr>
            </w:pPr>
            <w:hyperlink r:id="rId80" w:tgtFrame="_blank" w:history="1">
              <w:r w:rsidR="0053693E" w:rsidRPr="001C7762">
                <w:rPr>
                  <w:lang w:val="uk-UA" w:eastAsia="uk-UA"/>
                </w:rPr>
                <w:t>5.16.</w:t>
              </w:r>
            </w:hyperlink>
            <w:r w:rsidR="0053693E" w:rsidRPr="001C7762">
              <w:rPr>
                <w:lang w:val="uk-UA" w:eastAsia="uk-UA"/>
              </w:rPr>
              <w:t> Регуляторна база активів, віднесених до категорії 1, що створена після переходу до стимулюючого регулювання та на яку нараховується </w:t>
            </w:r>
            <w:r w:rsidR="0053693E" w:rsidRPr="001C7762">
              <w:rPr>
                <w:noProof/>
                <w:lang w:val="uk-UA" w:eastAsia="uk-UA"/>
              </w:rPr>
              <w:drawing>
                <wp:inline distT="0" distB="0" distL="0" distR="0" wp14:anchorId="57E4866D" wp14:editId="7505DD6F">
                  <wp:extent cx="571500" cy="158750"/>
                  <wp:effectExtent l="0" t="0" r="0" b="0"/>
                  <wp:docPr id="53" name="Рисунок 53" descr="https://ips.ligazakon.net/l_flib1.nsf/LookupFiles/GK40721_IMG_270.GIF/$file/GK40721_IMG_2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Рисунок 51" descr="https://ips.ligazakon.net/l_flib1.nsf/LookupFiles/GK40721_IMG_270.GIF/$file/GK40721_IMG_270.GIF"/>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71500" cy="158750"/>
                          </a:xfrm>
                          <a:prstGeom prst="rect">
                            <a:avLst/>
                          </a:prstGeom>
                          <a:noFill/>
                          <a:ln>
                            <a:noFill/>
                          </a:ln>
                        </pic:spPr>
                      </pic:pic>
                    </a:graphicData>
                  </a:graphic>
                </wp:inline>
              </w:drawing>
            </w:r>
            <w:r w:rsidR="0053693E" w:rsidRPr="001C7762">
              <w:rPr>
                <w:lang w:val="uk-UA" w:eastAsia="uk-UA"/>
              </w:rPr>
              <w:t>, на початок року</w:t>
            </w:r>
            <w:r w:rsidR="00EF2FEE" w:rsidRPr="001C7762">
              <w:rPr>
                <w:lang w:val="uk-UA" w:eastAsia="uk-UA"/>
              </w:rPr>
              <w:t xml:space="preserve"> </w:t>
            </w:r>
            <w:r w:rsidR="00EF2FEE" w:rsidRPr="001C7762">
              <w:rPr>
                <w:lang w:val="en-US" w:eastAsia="uk-UA"/>
              </w:rPr>
              <w:t>t</w:t>
            </w:r>
            <w:r w:rsidR="00EF2FEE" w:rsidRPr="001C7762">
              <w:rPr>
                <w:lang w:eastAsia="uk-UA"/>
              </w:rPr>
              <w:t xml:space="preserve"> (</w:t>
            </w:r>
            <w:r w:rsidR="0053693E" w:rsidRPr="001C7762">
              <w:rPr>
                <w:lang w:val="uk-UA" w:eastAsia="uk-UA"/>
              </w:rPr>
              <w:t> </w:t>
            </w: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m:t>
                  </m:r>
                </m:sub>
                <m:sup>
                  <m:r>
                    <m:rPr>
                      <m:sty m:val="bi"/>
                    </m:rPr>
                    <w:rPr>
                      <w:rFonts w:ascii="Cambria Math" w:hAnsi="Cambria Math"/>
                      <w:lang w:val="uk-UA"/>
                    </w:rPr>
                    <m:t>нов 1 з</m:t>
                  </m:r>
                </m:sup>
              </m:sSubSup>
            </m:oMath>
            <w:r w:rsidR="0053693E" w:rsidRPr="001C7762">
              <w:rPr>
                <w:lang w:val="uk-UA" w:eastAsia="uk-UA"/>
              </w:rPr>
              <w:t> </w:t>
            </w:r>
            <w:r w:rsidR="00EF2FEE" w:rsidRPr="001C7762">
              <w:rPr>
                <w:lang w:eastAsia="uk-UA"/>
              </w:rPr>
              <w:t xml:space="preserve">) </w:t>
            </w:r>
            <w:r w:rsidR="0053693E" w:rsidRPr="001C7762">
              <w:rPr>
                <w:lang w:val="uk-UA" w:eastAsia="uk-UA"/>
              </w:rPr>
              <w:t>визначається за формулою</w:t>
            </w:r>
          </w:p>
          <w:tbl>
            <w:tblPr>
              <w:tblW w:w="4997" w:type="pct"/>
              <w:tblLayout w:type="fixed"/>
              <w:tblCellMar>
                <w:left w:w="0" w:type="dxa"/>
                <w:right w:w="0" w:type="dxa"/>
              </w:tblCellMar>
              <w:tblLook w:val="04A0" w:firstRow="1" w:lastRow="0" w:firstColumn="1" w:lastColumn="0" w:noHBand="0" w:noVBand="1"/>
            </w:tblPr>
            <w:tblGrid>
              <w:gridCol w:w="6567"/>
              <w:gridCol w:w="861"/>
            </w:tblGrid>
            <w:tr w:rsidR="001C7762" w:rsidRPr="001C7762" w14:paraId="5ABBE19D" w14:textId="77777777" w:rsidTr="00EE264F">
              <w:tc>
                <w:tcPr>
                  <w:tcW w:w="6492" w:type="dxa"/>
                  <w:tcBorders>
                    <w:top w:val="single" w:sz="2" w:space="0" w:color="auto"/>
                    <w:left w:val="single" w:sz="2" w:space="0" w:color="auto"/>
                    <w:bottom w:val="single" w:sz="2" w:space="0" w:color="auto"/>
                    <w:right w:val="single" w:sz="2" w:space="0" w:color="auto"/>
                  </w:tcBorders>
                  <w:hideMark/>
                </w:tcPr>
                <w:p w14:paraId="5F42C583" w14:textId="6482A045" w:rsidR="0053693E" w:rsidRPr="001C7762" w:rsidRDefault="0053693E" w:rsidP="000D7C1D">
                  <w:pPr>
                    <w:framePr w:hSpace="180" w:wrap="around" w:vAnchor="text" w:hAnchor="text" w:y="1"/>
                    <w:spacing w:before="150" w:after="150"/>
                    <w:suppressOverlap/>
                    <w:jc w:val="center"/>
                    <w:rPr>
                      <w:b/>
                      <w:lang w:val="uk-UA" w:eastAsia="uk-UA"/>
                    </w:rPr>
                  </w:pP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m:t>
                        </m:r>
                      </m:sub>
                      <m:sup>
                        <m:r>
                          <m:rPr>
                            <m:sty m:val="bi"/>
                          </m:rPr>
                          <w:rPr>
                            <w:rFonts w:ascii="Cambria Math" w:hAnsi="Cambria Math"/>
                            <w:lang w:val="uk-UA"/>
                          </w:rPr>
                          <m:t xml:space="preserve">нов 1 </m:t>
                        </m:r>
                      </m:sup>
                    </m:sSubSup>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t-1</m:t>
                        </m:r>
                      </m:sub>
                      <m:sup>
                        <m:r>
                          <m:rPr>
                            <m:sty m:val="bi"/>
                          </m:rPr>
                          <w:rPr>
                            <w:rFonts w:ascii="Cambria Math" w:hAnsi="Cambria Math"/>
                            <w:lang w:val="uk-UA"/>
                          </w:rPr>
                          <m:t xml:space="preserve">нов 1 </m:t>
                        </m:r>
                      </m:sup>
                    </m:sSubSup>
                    <m:r>
                      <m:rPr>
                        <m:sty m:val="bi"/>
                      </m:rPr>
                      <w:rPr>
                        <w:rFonts w:ascii="Cambria Math" w:hAnsi="Cambria Math"/>
                        <w:lang w:val="uk-UA"/>
                      </w:rPr>
                      <m:t>-В</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 xml:space="preserve"> t-1</m:t>
                        </m:r>
                      </m:sub>
                      <m:sup>
                        <m:r>
                          <m:rPr>
                            <m:sty m:val="bi"/>
                          </m:rPr>
                          <w:rPr>
                            <w:rFonts w:ascii="Cambria Math" w:hAnsi="Cambria Math"/>
                            <w:lang w:val="uk-UA"/>
                          </w:rPr>
                          <m:t xml:space="preserve">нов 1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en-US"/>
                          </w:rPr>
                          <m:t>t</m:t>
                        </m:r>
                        <m:r>
                          <m:rPr>
                            <m:sty m:val="bi"/>
                          </m:rPr>
                          <w:rPr>
                            <w:rFonts w:ascii="Cambria Math" w:hAnsi="Cambria Math"/>
                            <w:lang w:val="uk-UA"/>
                          </w:rPr>
                          <m:t>-</m:t>
                        </m:r>
                        <m:r>
                          <m:rPr>
                            <m:sty m:val="bi"/>
                          </m:rPr>
                          <w:rPr>
                            <w:rFonts w:ascii="Cambria Math" w:hAnsi="Cambria Math"/>
                            <w:lang w:val="en-US"/>
                          </w:rPr>
                          <m:t>1</m:t>
                        </m:r>
                      </m:sub>
                      <m:sup>
                        <m:r>
                          <m:rPr>
                            <m:sty m:val="bi"/>
                          </m:rPr>
                          <w:rPr>
                            <w:rFonts w:ascii="Cambria Math" w:hAnsi="Cambria Math"/>
                            <w:lang w:val="uk-UA"/>
                          </w:rPr>
                          <m:t>нов 1</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 xml:space="preserve">нов 1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ВПt-1</m:t>
                        </m:r>
                      </m:sub>
                      <m:sup>
                        <m:r>
                          <m:rPr>
                            <m:sty m:val="bi"/>
                          </m:rPr>
                          <w:rPr>
                            <w:rFonts w:ascii="Cambria Math" w:hAnsi="Cambria Math"/>
                            <w:lang w:val="uk-UA"/>
                          </w:rPr>
                          <m:t xml:space="preserve">нов 1 </m:t>
                        </m:r>
                      </m:sup>
                    </m:sSubSup>
                  </m:oMath>
                  <w:r w:rsidRPr="001C7762">
                    <w:rPr>
                      <w:b/>
                      <w:lang w:val="uk-UA"/>
                    </w:rPr>
                    <w:t xml:space="preserve">, </w:t>
                  </w:r>
                </w:p>
              </w:tc>
              <w:tc>
                <w:tcPr>
                  <w:tcW w:w="851" w:type="dxa"/>
                  <w:tcBorders>
                    <w:top w:val="single" w:sz="2" w:space="0" w:color="auto"/>
                    <w:left w:val="single" w:sz="2" w:space="0" w:color="auto"/>
                    <w:bottom w:val="single" w:sz="2" w:space="0" w:color="auto"/>
                    <w:right w:val="single" w:sz="2" w:space="0" w:color="auto"/>
                  </w:tcBorders>
                  <w:hideMark/>
                </w:tcPr>
                <w:p w14:paraId="1FA01114" w14:textId="0F70B066" w:rsidR="0053693E" w:rsidRPr="001C7762" w:rsidRDefault="0053693E" w:rsidP="000D7C1D">
                  <w:pPr>
                    <w:framePr w:hSpace="180" w:wrap="around" w:vAnchor="text" w:hAnchor="text" w:y="1"/>
                    <w:spacing w:before="150" w:after="150"/>
                    <w:suppressOverlap/>
                    <w:jc w:val="right"/>
                    <w:rPr>
                      <w:lang w:val="uk-UA" w:eastAsia="uk-UA"/>
                    </w:rPr>
                  </w:pPr>
                  <w:r w:rsidRPr="001C7762">
                    <w:rPr>
                      <w:lang w:val="uk-UA" w:eastAsia="uk-UA"/>
                    </w:rPr>
                    <w:t>тис. грн (1</w:t>
                  </w:r>
                  <w:r w:rsidR="00D47CC5" w:rsidRPr="001C7762">
                    <w:rPr>
                      <w:lang w:val="uk-UA" w:eastAsia="uk-UA"/>
                    </w:rPr>
                    <w:t>4</w:t>
                  </w:r>
                  <w:r w:rsidRPr="001C7762">
                    <w:rPr>
                      <w:lang w:val="uk-UA" w:eastAsia="uk-UA"/>
                    </w:rPr>
                    <w:t>)</w:t>
                  </w:r>
                </w:p>
              </w:tc>
            </w:tr>
          </w:tbl>
          <w:p w14:paraId="49A4A02A" w14:textId="024B6F7B" w:rsidR="000105C1" w:rsidRPr="001C7762" w:rsidRDefault="000105C1" w:rsidP="00BC5261">
            <w:pPr>
              <w:shd w:val="clear" w:color="auto" w:fill="FFFFFF"/>
              <w:ind w:firstLine="457"/>
              <w:jc w:val="both"/>
              <w:outlineLvl w:val="2"/>
              <w:rPr>
                <w:lang w:val="uk-UA" w:eastAsia="uk-UA"/>
              </w:rPr>
            </w:pPr>
            <w:r w:rsidRPr="001C7762">
              <w:rPr>
                <w:lang w:val="uk-UA" w:eastAsia="uk-UA"/>
              </w:rPr>
              <w:t>де </w:t>
            </w: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t-1</m:t>
                  </m:r>
                </m:sub>
                <m:sup>
                  <m:r>
                    <m:rPr>
                      <m:sty m:val="bi"/>
                    </m:rPr>
                    <w:rPr>
                      <w:rFonts w:ascii="Cambria Math" w:hAnsi="Cambria Math"/>
                      <w:lang w:val="uk-UA"/>
                    </w:rPr>
                    <m:t xml:space="preserve">нов 1 </m:t>
                  </m:r>
                </m:sup>
              </m:sSubSup>
            </m:oMath>
            <w:r w:rsidRPr="001C7762">
              <w:rPr>
                <w:lang w:val="uk-UA" w:eastAsia="uk-UA"/>
              </w:rPr>
              <w:t> </w:t>
            </w:r>
            <w:r w:rsidR="00521837" w:rsidRPr="001C7762">
              <w:rPr>
                <w:lang w:val="uk-UA" w:eastAsia="uk-UA"/>
              </w:rPr>
              <w:t>–</w:t>
            </w:r>
            <w:r w:rsidRPr="001C7762">
              <w:rPr>
                <w:lang w:val="uk-UA" w:eastAsia="uk-UA"/>
              </w:rPr>
              <w:t xml:space="preserve"> </w:t>
            </w:r>
            <w:r w:rsidR="00EF2FEE" w:rsidRPr="001C7762">
              <w:rPr>
                <w:lang w:val="uk-UA" w:eastAsia="uk-UA"/>
              </w:rPr>
              <w:t xml:space="preserve">регуляторна база активів, віднесених до категорії 1, що створена після переходу до стимулюючого регулювання, визначена на рівні </w:t>
            </w:r>
            <w:r w:rsidR="00521837" w:rsidRPr="001C7762">
              <w:rPr>
                <w:b/>
                <w:lang w:val="uk-UA" w:eastAsia="uk-UA"/>
              </w:rPr>
              <w:t>залишков</w:t>
            </w:r>
            <w:r w:rsidR="00EF2FEE" w:rsidRPr="001C7762">
              <w:rPr>
                <w:b/>
                <w:lang w:val="uk-UA" w:eastAsia="uk-UA"/>
              </w:rPr>
              <w:t>ої</w:t>
            </w:r>
            <w:r w:rsidR="00521837" w:rsidRPr="001C7762">
              <w:rPr>
                <w:b/>
                <w:lang w:val="uk-UA" w:eastAsia="uk-UA"/>
              </w:rPr>
              <w:t xml:space="preserve"> вартість активів, </w:t>
            </w:r>
            <w:r w:rsidR="00EF2FEE" w:rsidRPr="001C7762">
              <w:rPr>
                <w:b/>
                <w:lang w:val="uk-UA" w:eastAsia="uk-UA"/>
              </w:rPr>
              <w:t>включених</w:t>
            </w:r>
            <w:r w:rsidR="00521837" w:rsidRPr="001C7762">
              <w:rPr>
                <w:b/>
                <w:lang w:val="uk-UA" w:eastAsia="uk-UA"/>
              </w:rPr>
              <w:t xml:space="preserve"> до </w:t>
            </w:r>
            <w:r w:rsidR="00EF2FEE" w:rsidRPr="001C7762">
              <w:rPr>
                <w:b/>
                <w:lang w:val="uk-UA" w:eastAsia="uk-UA"/>
              </w:rPr>
              <w:t>неї</w:t>
            </w:r>
            <w:r w:rsidRPr="001C7762">
              <w:rPr>
                <w:lang w:val="uk-UA" w:eastAsia="uk-UA"/>
              </w:rPr>
              <w:t xml:space="preserve"> на початок року t-1, тис. грн;</w:t>
            </w:r>
          </w:p>
          <w:p w14:paraId="4BA148FE" w14:textId="77777777" w:rsidR="000105C1" w:rsidRPr="001C7762" w:rsidRDefault="000105C1" w:rsidP="00BC5261">
            <w:pPr>
              <w:shd w:val="clear" w:color="auto" w:fill="FFFFFF"/>
              <w:ind w:firstLine="457"/>
              <w:jc w:val="both"/>
              <w:outlineLvl w:val="2"/>
              <w:rPr>
                <w:lang w:val="uk-UA" w:eastAsia="uk-UA"/>
              </w:rPr>
            </w:pPr>
          </w:p>
          <w:p w14:paraId="057A1B08" w14:textId="23007131" w:rsidR="000105C1" w:rsidRPr="001C7762" w:rsidRDefault="00521837" w:rsidP="00BC5261">
            <w:pPr>
              <w:shd w:val="clear" w:color="auto" w:fill="FFFFFF"/>
              <w:ind w:firstLine="457"/>
              <w:jc w:val="both"/>
              <w:outlineLvl w:val="2"/>
              <w:rPr>
                <w:lang w:val="uk-UA" w:eastAsia="uk-UA"/>
              </w:rPr>
            </w:pPr>
            <m:oMath>
              <m:r>
                <m:rPr>
                  <m:sty m:val="bi"/>
                </m:rPr>
                <w:rPr>
                  <w:rFonts w:ascii="Cambria Math" w:hAnsi="Cambria Math"/>
                  <w:lang w:val="uk-UA"/>
                </w:rPr>
                <m:t>В</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 xml:space="preserve"> t-1</m:t>
                  </m:r>
                </m:sub>
                <m:sup>
                  <m:r>
                    <m:rPr>
                      <m:sty m:val="bi"/>
                    </m:rPr>
                    <w:rPr>
                      <w:rFonts w:ascii="Cambria Math" w:hAnsi="Cambria Math"/>
                      <w:lang w:val="uk-UA"/>
                    </w:rPr>
                    <m:t xml:space="preserve">нов 1 </m:t>
                  </m:r>
                </m:sup>
              </m:sSubSup>
            </m:oMath>
            <w:r w:rsidR="000105C1" w:rsidRPr="001C7762">
              <w:rPr>
                <w:lang w:val="uk-UA" w:eastAsia="uk-UA"/>
              </w:rPr>
              <w:t> - залишкова вартість виведених з експлуатації активів (елементів активів), віднесених до категорії 1, із регуляторної бази активів, створеної після переходу до стимулюючого регулювання, у році t-1, тис. грн;</w:t>
            </w:r>
          </w:p>
          <w:p w14:paraId="386BC4D1" w14:textId="77777777" w:rsidR="000105C1" w:rsidRPr="001C7762" w:rsidRDefault="000105C1" w:rsidP="00BC5261">
            <w:pPr>
              <w:shd w:val="clear" w:color="auto" w:fill="FFFFFF"/>
              <w:ind w:firstLine="457"/>
              <w:jc w:val="both"/>
              <w:outlineLvl w:val="2"/>
              <w:rPr>
                <w:lang w:val="uk-UA" w:eastAsia="uk-UA"/>
              </w:rPr>
            </w:pPr>
          </w:p>
          <w:p w14:paraId="196A67A3" w14:textId="0C4293ED" w:rsidR="000105C1" w:rsidRPr="001C7762" w:rsidRDefault="000D7C1D" w:rsidP="00BC5261">
            <w:pPr>
              <w:shd w:val="clear" w:color="auto" w:fill="FFFFFF"/>
              <w:ind w:firstLine="457"/>
              <w:jc w:val="both"/>
              <w:outlineLvl w:val="2"/>
              <w:rPr>
                <w:lang w:val="uk-UA" w:eastAsia="uk-UA"/>
              </w:rPr>
            </w:pPr>
            <m:oMath>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 xml:space="preserve">нов 1 </m:t>
                  </m:r>
                </m:sup>
              </m:sSubSup>
            </m:oMath>
            <w:r w:rsidR="000105C1" w:rsidRPr="001C7762">
              <w:rPr>
                <w:lang w:val="uk-UA" w:eastAsia="uk-UA"/>
              </w:rPr>
              <w:t xml:space="preserve"> - </w:t>
            </w:r>
            <w:r w:rsidR="00F706D8" w:rsidRPr="000D7C1D">
              <w:rPr>
                <w:b/>
                <w:lang w:val="uk-UA" w:eastAsia="uk-UA"/>
              </w:rPr>
              <w:t>первісна</w:t>
            </w:r>
            <w:r w:rsidR="000105C1" w:rsidRPr="000D7C1D">
              <w:rPr>
                <w:lang w:val="uk-UA" w:eastAsia="uk-UA"/>
              </w:rPr>
              <w:t xml:space="preserve"> в</w:t>
            </w:r>
            <w:r w:rsidR="000105C1" w:rsidRPr="001C7762">
              <w:rPr>
                <w:lang w:val="uk-UA" w:eastAsia="uk-UA"/>
              </w:rPr>
              <w:t>артість створених та прийнятих на баланс активів, віднесених до категорії 1 (у тому числі створених з дотриманням вимог пункту 3.5 розділу III Порядку визначення регуляторної бази активів)</w:t>
            </w:r>
            <w:r w:rsidR="00521837" w:rsidRPr="001C7762">
              <w:rPr>
                <w:lang w:val="uk-UA" w:eastAsia="uk-UA"/>
              </w:rPr>
              <w:t xml:space="preserve">, </w:t>
            </w:r>
            <w:r w:rsidR="00521837" w:rsidRPr="001C7762">
              <w:rPr>
                <w:b/>
                <w:lang w:val="uk-UA" w:eastAsia="uk-UA"/>
              </w:rPr>
              <w:t>у році t-1, тис. грн</w:t>
            </w:r>
            <w:r w:rsidR="000105C1" w:rsidRPr="001C7762">
              <w:rPr>
                <w:lang w:val="uk-UA" w:eastAsia="uk-UA"/>
              </w:rPr>
              <w:t>;</w:t>
            </w:r>
          </w:p>
          <w:p w14:paraId="597666AF" w14:textId="77F34758" w:rsidR="00521837" w:rsidRPr="001C7762" w:rsidRDefault="000D7C1D" w:rsidP="00BC5261">
            <w:pPr>
              <w:shd w:val="clear" w:color="auto" w:fill="FFFFFF"/>
              <w:ind w:firstLine="457"/>
              <w:jc w:val="both"/>
              <w:outlineLvl w:val="2"/>
              <w:rPr>
                <w:lang w:val="uk-UA"/>
              </w:rPr>
            </w:pPr>
            <m:oMath>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ВПt-1</m:t>
                  </m:r>
                </m:sub>
                <m:sup>
                  <m:r>
                    <m:rPr>
                      <m:sty m:val="bi"/>
                    </m:rPr>
                    <w:rPr>
                      <w:rFonts w:ascii="Cambria Math" w:hAnsi="Cambria Math"/>
                      <w:lang w:val="uk-UA"/>
                    </w:rPr>
                    <m:t xml:space="preserve">нов 1 </m:t>
                  </m:r>
                </m:sup>
              </m:sSubSup>
            </m:oMath>
            <w:r w:rsidR="00521837" w:rsidRPr="001C7762">
              <w:rPr>
                <w:b/>
                <w:lang w:val="uk-UA"/>
              </w:rPr>
              <w:t xml:space="preserve"> - </w:t>
            </w:r>
            <w:r w:rsidR="00521837" w:rsidRPr="001C7762">
              <w:rPr>
                <w:b/>
                <w:lang w:val="uk-UA" w:eastAsia="uk-UA"/>
              </w:rPr>
              <w:t>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(щодо нерухомого майна – без демонтажу), у році t-1, тис. грн.</w:t>
            </w:r>
          </w:p>
          <w:p w14:paraId="7384CE1A" w14:textId="4324B895" w:rsidR="000105C1" w:rsidRPr="001C7762" w:rsidRDefault="000105C1" w:rsidP="00BC5261">
            <w:pPr>
              <w:shd w:val="clear" w:color="auto" w:fill="FFFFFF"/>
              <w:spacing w:after="150"/>
              <w:ind w:firstLine="450"/>
              <w:jc w:val="both"/>
              <w:rPr>
                <w:lang w:val="uk-UA" w:eastAsia="uk-UA"/>
              </w:rPr>
            </w:pPr>
          </w:p>
        </w:tc>
      </w:tr>
      <w:tr w:rsidR="001C7762" w:rsidRPr="001C7762" w14:paraId="338F18E2" w14:textId="77777777" w:rsidTr="00F549E8">
        <w:tc>
          <w:tcPr>
            <w:tcW w:w="7655" w:type="dxa"/>
          </w:tcPr>
          <w:p w14:paraId="326F6EA2" w14:textId="77777777" w:rsidR="008511CD" w:rsidRPr="001C7762" w:rsidRDefault="000D7C1D" w:rsidP="00355C21">
            <w:pPr>
              <w:pStyle w:val="tj"/>
              <w:shd w:val="clear" w:color="auto" w:fill="FFFFFF"/>
              <w:spacing w:before="0" w:beforeAutospacing="0" w:after="0" w:afterAutospacing="0"/>
              <w:ind w:firstLine="491"/>
              <w:jc w:val="both"/>
            </w:pPr>
            <w:hyperlink r:id="rId81" w:tgtFrame="_blank" w:history="1">
              <w:r w:rsidR="008511CD" w:rsidRPr="001C7762">
                <w:t>5.19. Коригування необхідного доходу відповідно до даних виконання цільового завдання щодо досягнення показників якості послуг на рік t, тис. грн, визначається за формулами:</w:t>
              </w:r>
            </w:hyperlink>
          </w:p>
          <w:tbl>
            <w:tblPr>
              <w:tblpPr w:leftFromText="180" w:rightFromText="180" w:vertAnchor="text" w:horzAnchor="margin" w:tblpY="347"/>
              <w:tblOverlap w:val="never"/>
              <w:tblW w:w="7185" w:type="dxa"/>
              <w:tblLayout w:type="fixed"/>
              <w:tblCellMar>
                <w:top w:w="15" w:type="dxa"/>
                <w:left w:w="15" w:type="dxa"/>
                <w:bottom w:w="15" w:type="dxa"/>
                <w:right w:w="15" w:type="dxa"/>
              </w:tblCellMar>
              <w:tblLook w:val="04A0" w:firstRow="1" w:lastRow="0" w:firstColumn="1" w:lastColumn="0" w:noHBand="0" w:noVBand="1"/>
            </w:tblPr>
            <w:tblGrid>
              <w:gridCol w:w="4833"/>
              <w:gridCol w:w="1711"/>
              <w:gridCol w:w="641"/>
            </w:tblGrid>
            <w:tr w:rsidR="001C7762" w:rsidRPr="001C7762" w14:paraId="15EAD972" w14:textId="77777777" w:rsidTr="00EE264F">
              <w:tc>
                <w:tcPr>
                  <w:tcW w:w="3363" w:type="pct"/>
                  <w:shd w:val="clear" w:color="auto" w:fill="auto"/>
                  <w:tcMar>
                    <w:top w:w="0" w:type="dxa"/>
                    <w:left w:w="0" w:type="dxa"/>
                    <w:bottom w:w="0" w:type="dxa"/>
                    <w:right w:w="0" w:type="dxa"/>
                  </w:tcMar>
                  <w:vAlign w:val="center"/>
                  <w:hideMark/>
                </w:tcPr>
                <w:p w14:paraId="77F400A9" w14:textId="77777777" w:rsidR="008511CD" w:rsidRPr="001C7762" w:rsidRDefault="008511CD" w:rsidP="00355C21">
                  <w:pPr>
                    <w:pStyle w:val="tr"/>
                    <w:spacing w:before="0" w:beforeAutospacing="0" w:after="0" w:afterAutospacing="0"/>
                    <w:ind w:firstLine="491"/>
                    <w:jc w:val="both"/>
                  </w:pPr>
                  <w:r w:rsidRPr="001C7762">
                    <w:rPr>
                      <w:noProof/>
                    </w:rPr>
                    <w:drawing>
                      <wp:inline distT="0" distB="0" distL="0" distR="0" wp14:anchorId="081471AF" wp14:editId="1359FBB4">
                        <wp:extent cx="1468755" cy="221615"/>
                        <wp:effectExtent l="0" t="0" r="0" b="6985"/>
                        <wp:docPr id="23" name="Рисунок 23" descr="https://ips.ligazakon.net/l_flib1.nsf/LookupFiles/GK40721_IMG_294.GIF/$file/GK40721_IMG_294.GIF">
                          <a:hlinkClick xmlns:a="http://schemas.openxmlformats.org/drawingml/2006/main" r:id="rId8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ips.ligazakon.net/l_flib1.nsf/LookupFiles/GK40721_IMG_294.GIF/$file/GK40721_IMG_294.GIF">
                                  <a:hlinkClick r:id="rId82" tgtFrame="&quot;_blank&quot;"/>
                                </pic:cNvPr>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468755" cy="221615"/>
                                </a:xfrm>
                                <a:prstGeom prst="rect">
                                  <a:avLst/>
                                </a:prstGeom>
                                <a:noFill/>
                                <a:ln>
                                  <a:noFill/>
                                </a:ln>
                              </pic:spPr>
                            </pic:pic>
                          </a:graphicData>
                        </a:graphic>
                      </wp:inline>
                    </w:drawing>
                  </w:r>
                </w:p>
              </w:tc>
              <w:tc>
                <w:tcPr>
                  <w:tcW w:w="1191" w:type="pct"/>
                  <w:shd w:val="clear" w:color="auto" w:fill="auto"/>
                  <w:tcMar>
                    <w:top w:w="0" w:type="dxa"/>
                    <w:left w:w="0" w:type="dxa"/>
                    <w:bottom w:w="0" w:type="dxa"/>
                    <w:right w:w="0" w:type="dxa"/>
                  </w:tcMar>
                  <w:vAlign w:val="center"/>
                  <w:hideMark/>
                </w:tcPr>
                <w:p w14:paraId="66CA3BFE" w14:textId="77777777" w:rsidR="008511CD" w:rsidRPr="001C7762" w:rsidRDefault="000D7C1D" w:rsidP="00355C21">
                  <w:pPr>
                    <w:pStyle w:val="tl"/>
                    <w:spacing w:before="0" w:beforeAutospacing="0" w:after="0" w:afterAutospacing="0"/>
                    <w:ind w:firstLine="491"/>
                    <w:jc w:val="both"/>
                  </w:pPr>
                  <w:hyperlink r:id="rId84" w:tgtFrame="_blank" w:history="1">
                    <w:r w:rsidR="008511CD" w:rsidRPr="001C7762">
                      <w:t>, тис. грн,</w:t>
                    </w:r>
                  </w:hyperlink>
                </w:p>
              </w:tc>
              <w:tc>
                <w:tcPr>
                  <w:tcW w:w="446" w:type="pct"/>
                  <w:shd w:val="clear" w:color="auto" w:fill="auto"/>
                  <w:tcMar>
                    <w:top w:w="0" w:type="dxa"/>
                    <w:left w:w="0" w:type="dxa"/>
                    <w:bottom w:w="0" w:type="dxa"/>
                    <w:right w:w="0" w:type="dxa"/>
                  </w:tcMar>
                  <w:vAlign w:val="center"/>
                  <w:hideMark/>
                </w:tcPr>
                <w:p w14:paraId="776C6EFD" w14:textId="77777777" w:rsidR="008511CD" w:rsidRPr="001C7762" w:rsidRDefault="000D7C1D" w:rsidP="00355C21">
                  <w:pPr>
                    <w:pStyle w:val="tr"/>
                    <w:spacing w:before="0" w:beforeAutospacing="0" w:after="0" w:afterAutospacing="0"/>
                    <w:jc w:val="both"/>
                  </w:pPr>
                  <w:hyperlink r:id="rId85" w:tgtFrame="_blank" w:history="1">
                    <w:r w:rsidR="008511CD" w:rsidRPr="001C7762">
                      <w:t>(16)</w:t>
                    </w:r>
                  </w:hyperlink>
                </w:p>
              </w:tc>
            </w:tr>
          </w:tbl>
          <w:p w14:paraId="6DA4B5DD" w14:textId="77777777" w:rsidR="008511CD" w:rsidRPr="001C7762" w:rsidRDefault="008511CD" w:rsidP="00355C21">
            <w:pPr>
              <w:pStyle w:val="tj"/>
              <w:shd w:val="clear" w:color="auto" w:fill="FFFFFF"/>
              <w:spacing w:before="0" w:beforeAutospacing="0" w:after="0" w:afterAutospacing="0"/>
              <w:ind w:firstLine="491"/>
              <w:jc w:val="both"/>
            </w:pPr>
          </w:p>
          <w:p w14:paraId="62E1DC1D" w14:textId="77777777" w:rsidR="008511CD" w:rsidRPr="001C7762" w:rsidRDefault="008511CD" w:rsidP="00355C21">
            <w:pPr>
              <w:pStyle w:val="tj"/>
              <w:shd w:val="clear" w:color="auto" w:fill="FFFFFF"/>
              <w:spacing w:before="0" w:beforeAutospacing="0" w:after="0" w:afterAutospacing="0"/>
              <w:ind w:firstLine="491"/>
              <w:jc w:val="both"/>
            </w:pPr>
            <w:r w:rsidRPr="001C7762">
              <w:t>……………………….</w:t>
            </w:r>
          </w:p>
          <w:p w14:paraId="35D60D96" w14:textId="0DC6360E" w:rsidR="008511CD" w:rsidRPr="001C7762" w:rsidRDefault="000D7C1D" w:rsidP="00355C21">
            <w:pPr>
              <w:jc w:val="both"/>
              <w:rPr>
                <w:lang w:val="uk-UA"/>
              </w:rPr>
            </w:pPr>
            <w:hyperlink r:id="rId86" w:tgtFrame="_blank" w:history="1">
              <w:r w:rsidR="008511CD" w:rsidRPr="001C7762">
                <w:rPr>
                  <w:lang w:val="uk-UA"/>
                </w:rPr>
                <w:t>Коригування необхідного доходу відповідно до даних виконання цільового завдання щодо досягнення показників якості послуг за 2022</w:t>
              </w:r>
            </w:hyperlink>
            <w:r w:rsidR="008511CD" w:rsidRPr="001C7762">
              <w:rPr>
                <w:lang w:val="uk-UA"/>
              </w:rPr>
              <w:t> </w:t>
            </w:r>
            <w:hyperlink r:id="rId87" w:tgtFrame="_blank" w:history="1">
              <w:r w:rsidR="008511CD" w:rsidRPr="001C7762">
                <w:rPr>
                  <w:b/>
                  <w:lang w:val="uk-UA"/>
                </w:rPr>
                <w:t>та 2023</w:t>
              </w:r>
              <w:r w:rsidR="008511CD" w:rsidRPr="001C7762">
                <w:rPr>
                  <w:lang w:val="uk-UA"/>
                </w:rPr>
                <w:t xml:space="preserve"> роки</w:t>
              </w:r>
            </w:hyperlink>
            <w:r w:rsidR="008511CD" w:rsidRPr="001C7762">
              <w:rPr>
                <w:lang w:val="uk-UA"/>
              </w:rPr>
              <w:t> </w:t>
            </w:r>
            <w:hyperlink r:id="rId88" w:tgtFrame="_blank" w:history="1">
              <w:r w:rsidR="008511CD" w:rsidRPr="001C7762">
                <w:rPr>
                  <w:lang w:val="uk-UA"/>
                </w:rPr>
                <w:t>не застосовується.</w:t>
              </w:r>
            </w:hyperlink>
          </w:p>
        </w:tc>
        <w:tc>
          <w:tcPr>
            <w:tcW w:w="7654" w:type="dxa"/>
          </w:tcPr>
          <w:p w14:paraId="7E19D38C" w14:textId="77777777" w:rsidR="008511CD" w:rsidRPr="001C7762" w:rsidRDefault="000D7C1D" w:rsidP="00BC5261">
            <w:pPr>
              <w:pStyle w:val="tj"/>
              <w:shd w:val="clear" w:color="auto" w:fill="FFFFFF"/>
              <w:spacing w:before="0" w:beforeAutospacing="0" w:after="0" w:afterAutospacing="0"/>
              <w:ind w:firstLine="491"/>
            </w:pPr>
            <w:hyperlink r:id="rId89" w:tgtFrame="_blank" w:history="1">
              <w:r w:rsidR="008511CD" w:rsidRPr="001C7762">
                <w:t>5.19. Коригування необхідного доходу відповідно до даних виконання цільового завдання щодо досягнення показників якості послуг на рік t, тис. грн, визначається за формулами:</w:t>
              </w:r>
            </w:hyperlink>
          </w:p>
          <w:tbl>
            <w:tblPr>
              <w:tblpPr w:leftFromText="180" w:rightFromText="180" w:vertAnchor="text" w:horzAnchor="margin" w:tblpY="347"/>
              <w:tblOverlap w:val="never"/>
              <w:tblW w:w="7185" w:type="dxa"/>
              <w:tblLayout w:type="fixed"/>
              <w:tblCellMar>
                <w:top w:w="15" w:type="dxa"/>
                <w:left w:w="15" w:type="dxa"/>
                <w:bottom w:w="15" w:type="dxa"/>
                <w:right w:w="15" w:type="dxa"/>
              </w:tblCellMar>
              <w:tblLook w:val="04A0" w:firstRow="1" w:lastRow="0" w:firstColumn="1" w:lastColumn="0" w:noHBand="0" w:noVBand="1"/>
            </w:tblPr>
            <w:tblGrid>
              <w:gridCol w:w="4833"/>
              <w:gridCol w:w="1711"/>
              <w:gridCol w:w="641"/>
            </w:tblGrid>
            <w:tr w:rsidR="001C7762" w:rsidRPr="001C7762" w14:paraId="44302906" w14:textId="77777777" w:rsidTr="00EE264F">
              <w:tc>
                <w:tcPr>
                  <w:tcW w:w="3363" w:type="pct"/>
                  <w:shd w:val="clear" w:color="auto" w:fill="auto"/>
                  <w:tcMar>
                    <w:top w:w="0" w:type="dxa"/>
                    <w:left w:w="0" w:type="dxa"/>
                    <w:bottom w:w="0" w:type="dxa"/>
                    <w:right w:w="0" w:type="dxa"/>
                  </w:tcMar>
                  <w:vAlign w:val="center"/>
                  <w:hideMark/>
                </w:tcPr>
                <w:p w14:paraId="3FD593AD" w14:textId="77777777" w:rsidR="008511CD" w:rsidRPr="001C7762" w:rsidRDefault="008511CD" w:rsidP="00BC5261">
                  <w:pPr>
                    <w:pStyle w:val="tr"/>
                    <w:spacing w:before="0" w:beforeAutospacing="0" w:after="0" w:afterAutospacing="0"/>
                    <w:ind w:firstLine="491"/>
                    <w:jc w:val="center"/>
                  </w:pPr>
                  <w:r w:rsidRPr="001C7762">
                    <w:rPr>
                      <w:noProof/>
                    </w:rPr>
                    <w:drawing>
                      <wp:inline distT="0" distB="0" distL="0" distR="0" wp14:anchorId="580E2660" wp14:editId="31E30A1E">
                        <wp:extent cx="1468755" cy="221615"/>
                        <wp:effectExtent l="0" t="0" r="0" b="6985"/>
                        <wp:docPr id="24" name="Рисунок 24" descr="https://ips.ligazakon.net/l_flib1.nsf/LookupFiles/GK40721_IMG_294.GIF/$file/GK40721_IMG_294.GIF">
                          <a:hlinkClick xmlns:a="http://schemas.openxmlformats.org/drawingml/2006/main" r:id="rId8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ips.ligazakon.net/l_flib1.nsf/LookupFiles/GK40721_IMG_294.GIF/$file/GK40721_IMG_294.GIF">
                                  <a:hlinkClick r:id="rId82" tgtFrame="&quot;_blank&quot;"/>
                                </pic:cNvPr>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468755" cy="221615"/>
                                </a:xfrm>
                                <a:prstGeom prst="rect">
                                  <a:avLst/>
                                </a:prstGeom>
                                <a:noFill/>
                                <a:ln>
                                  <a:noFill/>
                                </a:ln>
                              </pic:spPr>
                            </pic:pic>
                          </a:graphicData>
                        </a:graphic>
                      </wp:inline>
                    </w:drawing>
                  </w:r>
                </w:p>
              </w:tc>
              <w:tc>
                <w:tcPr>
                  <w:tcW w:w="1191" w:type="pct"/>
                  <w:shd w:val="clear" w:color="auto" w:fill="auto"/>
                  <w:tcMar>
                    <w:top w:w="0" w:type="dxa"/>
                    <w:left w:w="0" w:type="dxa"/>
                    <w:bottom w:w="0" w:type="dxa"/>
                    <w:right w:w="0" w:type="dxa"/>
                  </w:tcMar>
                  <w:vAlign w:val="center"/>
                  <w:hideMark/>
                </w:tcPr>
                <w:p w14:paraId="7F8F2A63" w14:textId="77777777" w:rsidR="008511CD" w:rsidRPr="001C7762" w:rsidRDefault="000D7C1D" w:rsidP="00BC5261">
                  <w:pPr>
                    <w:pStyle w:val="tl"/>
                    <w:spacing w:before="0" w:beforeAutospacing="0" w:after="0" w:afterAutospacing="0"/>
                    <w:ind w:firstLine="491"/>
                  </w:pPr>
                  <w:hyperlink r:id="rId90" w:tgtFrame="_blank" w:history="1">
                    <w:r w:rsidR="008511CD" w:rsidRPr="001C7762">
                      <w:t>, тис. грн,</w:t>
                    </w:r>
                  </w:hyperlink>
                </w:p>
              </w:tc>
              <w:tc>
                <w:tcPr>
                  <w:tcW w:w="446" w:type="pct"/>
                  <w:shd w:val="clear" w:color="auto" w:fill="auto"/>
                  <w:tcMar>
                    <w:top w:w="0" w:type="dxa"/>
                    <w:left w:w="0" w:type="dxa"/>
                    <w:bottom w:w="0" w:type="dxa"/>
                    <w:right w:w="0" w:type="dxa"/>
                  </w:tcMar>
                  <w:vAlign w:val="center"/>
                  <w:hideMark/>
                </w:tcPr>
                <w:p w14:paraId="325A104D" w14:textId="77777777" w:rsidR="008511CD" w:rsidRPr="001C7762" w:rsidRDefault="000D7C1D" w:rsidP="00BC5261">
                  <w:pPr>
                    <w:pStyle w:val="tr"/>
                    <w:spacing w:before="0" w:beforeAutospacing="0" w:after="0" w:afterAutospacing="0"/>
                  </w:pPr>
                  <w:hyperlink r:id="rId91" w:tgtFrame="_blank" w:history="1">
                    <w:r w:rsidR="008511CD" w:rsidRPr="001C7762">
                      <w:t>(16)</w:t>
                    </w:r>
                  </w:hyperlink>
                </w:p>
              </w:tc>
            </w:tr>
          </w:tbl>
          <w:p w14:paraId="06A296DC" w14:textId="77777777" w:rsidR="008511CD" w:rsidRPr="001C7762" w:rsidRDefault="008511CD" w:rsidP="00BC5261">
            <w:pPr>
              <w:pStyle w:val="tj"/>
              <w:shd w:val="clear" w:color="auto" w:fill="FFFFFF"/>
              <w:spacing w:before="0" w:beforeAutospacing="0" w:after="0" w:afterAutospacing="0"/>
              <w:ind w:firstLine="491"/>
            </w:pPr>
          </w:p>
          <w:p w14:paraId="1B620870" w14:textId="6681A892" w:rsidR="008511CD" w:rsidRPr="001C7762" w:rsidRDefault="008511CD" w:rsidP="00355C21">
            <w:pPr>
              <w:pStyle w:val="tj"/>
              <w:shd w:val="clear" w:color="auto" w:fill="FFFFFF"/>
              <w:spacing w:before="0" w:beforeAutospacing="0" w:after="0" w:afterAutospacing="0"/>
              <w:ind w:firstLine="491"/>
              <w:jc w:val="both"/>
            </w:pPr>
            <w:r w:rsidRPr="001C7762">
              <w:t>……………………….</w:t>
            </w:r>
          </w:p>
          <w:p w14:paraId="6FD4034A" w14:textId="0FC69FB2" w:rsidR="008511CD" w:rsidRPr="001C7762" w:rsidRDefault="008511CD" w:rsidP="00355C21">
            <w:pPr>
              <w:jc w:val="both"/>
            </w:pPr>
            <w:r w:rsidRPr="001C7762">
              <w:rPr>
                <w:lang w:val="uk-UA" w:eastAsia="uk-UA"/>
              </w:rPr>
              <w:t>Коригування необхідного доходу відповідно до даних виконання цільового завдання щодо досягнення показників якості послуг за 2022 та 2023 роки не застосовується</w:t>
            </w:r>
            <w:r w:rsidRPr="001C7762">
              <w:rPr>
                <w:b/>
                <w:lang w:val="uk-UA" w:eastAsia="uk-UA"/>
              </w:rPr>
              <w:t>, за 2024 рік - не застосовується до ліцензіатів, наведених у додатку 32 до цього Порядку</w:t>
            </w:r>
            <w:r w:rsidRPr="001C7762">
              <w:rPr>
                <w:lang w:val="uk-UA" w:eastAsia="uk-UA"/>
              </w:rPr>
              <w:t>.</w:t>
            </w:r>
          </w:p>
        </w:tc>
      </w:tr>
      <w:tr w:rsidR="001C7762" w:rsidRPr="001C7762" w14:paraId="1EACB0B9" w14:textId="77777777" w:rsidTr="00F549E8">
        <w:tc>
          <w:tcPr>
            <w:tcW w:w="7655" w:type="dxa"/>
          </w:tcPr>
          <w:p w14:paraId="6DA90690" w14:textId="77777777" w:rsidR="008511CD" w:rsidRPr="001C7762" w:rsidRDefault="008511CD" w:rsidP="00BC5261">
            <w:pPr>
              <w:pStyle w:val="tc"/>
              <w:shd w:val="clear" w:color="auto" w:fill="FFFFFF"/>
              <w:spacing w:before="0" w:beforeAutospacing="0" w:after="0" w:afterAutospacing="0"/>
              <w:jc w:val="center"/>
              <w:rPr>
                <w:b/>
                <w:bCs/>
              </w:rPr>
            </w:pPr>
            <w:r w:rsidRPr="001C7762">
              <w:t>6</w:t>
            </w:r>
            <w:r w:rsidRPr="001C7762">
              <w:rPr>
                <w:b/>
                <w:bCs/>
              </w:rPr>
              <w:t>. Коригування необхідного доходу від здійснення діяльності з розподілу електричної енергії</w:t>
            </w:r>
          </w:p>
          <w:p w14:paraId="086DC345" w14:textId="77777777" w:rsidR="008511CD" w:rsidRPr="001C7762" w:rsidRDefault="008511CD" w:rsidP="00BC5261">
            <w:pPr>
              <w:pStyle w:val="tj"/>
              <w:shd w:val="clear" w:color="auto" w:fill="FFFFFF"/>
              <w:spacing w:before="0" w:beforeAutospacing="0" w:after="0" w:afterAutospacing="0"/>
              <w:jc w:val="both"/>
            </w:pPr>
            <w:r w:rsidRPr="001C7762">
              <w:t>6.1. Коригування необхідного доходу від здійснення діяльності з розподілу електричної енергії здійснюється за результатами заходів контролю за дотриманням Ліцензійних умов та передбачає, зокрема, урахування:</w:t>
            </w:r>
          </w:p>
          <w:p w14:paraId="75E8D267" w14:textId="77777777" w:rsidR="008511CD" w:rsidRPr="001C7762" w:rsidRDefault="008511CD" w:rsidP="00BC5261">
            <w:pPr>
              <w:pStyle w:val="tj"/>
              <w:shd w:val="clear" w:color="auto" w:fill="FFFFFF"/>
              <w:spacing w:before="0" w:beforeAutospacing="0" w:after="0" w:afterAutospacing="0"/>
              <w:jc w:val="both"/>
            </w:pPr>
            <w:r w:rsidRPr="001C7762">
              <w:t>…………………………………</w:t>
            </w:r>
          </w:p>
          <w:p w14:paraId="7FDCBD4A" w14:textId="53ADD8D9" w:rsidR="008511CD" w:rsidRPr="001C7762" w:rsidRDefault="008511CD" w:rsidP="00BC5261">
            <w:pPr>
              <w:shd w:val="clear" w:color="auto" w:fill="FFFFFF"/>
              <w:jc w:val="both"/>
              <w:rPr>
                <w:lang w:val="uk-UA" w:eastAsia="uk-UA"/>
              </w:rPr>
            </w:pPr>
            <w:r w:rsidRPr="001C7762">
              <w:rPr>
                <w:lang w:val="uk-UA" w:eastAsia="uk-UA"/>
              </w:rPr>
              <w:t>3) уточнених операційних неконтрольованих витрат з розподілу електричної енергії за рік t-1, що визначаються за формулою</w:t>
            </w:r>
          </w:p>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6241"/>
              <w:gridCol w:w="1134"/>
            </w:tblGrid>
            <w:tr w:rsidR="001C7762" w:rsidRPr="001C7762" w14:paraId="010C8F02" w14:textId="77777777" w:rsidTr="00EE264F">
              <w:tc>
                <w:tcPr>
                  <w:tcW w:w="6241" w:type="dxa"/>
                </w:tcPr>
                <w:p w14:paraId="4A9E3C59" w14:textId="5C4AE476" w:rsidR="00BC5261" w:rsidRPr="001C7762" w:rsidRDefault="00BC5261" w:rsidP="000D7C1D">
                  <w:pPr>
                    <w:framePr w:hSpace="180" w:wrap="around" w:vAnchor="text" w:hAnchor="text" w:y="1"/>
                    <w:suppressOverlap/>
                    <w:jc w:val="both"/>
                    <w:rPr>
                      <w:lang w:val="uk-UA" w:eastAsia="uk-UA"/>
                    </w:rPr>
                  </w:pPr>
                  <w:r w:rsidRPr="001C7762">
                    <w:rPr>
                      <w:noProof/>
                      <w:lang w:val="uk-UA" w:eastAsia="uk-UA"/>
                    </w:rPr>
                    <w:drawing>
                      <wp:inline distT="0" distB="0" distL="0" distR="0" wp14:anchorId="402B6E17" wp14:editId="5D2B3F6C">
                        <wp:extent cx="2914650" cy="370403"/>
                        <wp:effectExtent l="0" t="0" r="0" b="0"/>
                        <wp:docPr id="2129277865"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277865" name="Рисунок 13"/>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2933372" cy="372782"/>
                                </a:xfrm>
                                <a:prstGeom prst="rect">
                                  <a:avLst/>
                                </a:prstGeom>
                                <a:noFill/>
                                <a:ln>
                                  <a:noFill/>
                                </a:ln>
                              </pic:spPr>
                            </pic:pic>
                          </a:graphicData>
                        </a:graphic>
                      </wp:inline>
                    </w:drawing>
                  </w:r>
                </w:p>
              </w:tc>
              <w:tc>
                <w:tcPr>
                  <w:tcW w:w="1134" w:type="dxa"/>
                </w:tcPr>
                <w:p w14:paraId="337DED7C" w14:textId="7F3FF9D6" w:rsidR="00BC5261" w:rsidRPr="001C7762" w:rsidRDefault="00BC5261" w:rsidP="000D7C1D">
                  <w:pPr>
                    <w:framePr w:hSpace="180" w:wrap="around" w:vAnchor="text" w:hAnchor="text" w:y="1"/>
                    <w:suppressOverlap/>
                    <w:jc w:val="both"/>
                    <w:rPr>
                      <w:lang w:val="uk-UA" w:eastAsia="uk-UA"/>
                    </w:rPr>
                  </w:pPr>
                  <w:r w:rsidRPr="001C7762">
                    <w:rPr>
                      <w:lang w:val="uk-UA" w:eastAsia="uk-UA"/>
                    </w:rPr>
                    <w:t>тис. грн, (23)</w:t>
                  </w:r>
                </w:p>
              </w:tc>
            </w:tr>
          </w:tbl>
          <w:p w14:paraId="3CF5AFD3" w14:textId="77777777" w:rsidR="008511CD" w:rsidRPr="001C7762" w:rsidRDefault="000D7C1D" w:rsidP="00BC5261">
            <w:pPr>
              <w:shd w:val="clear" w:color="auto" w:fill="FFFFFF"/>
              <w:jc w:val="both"/>
              <w:rPr>
                <w:lang w:val="uk-UA" w:eastAsia="uk-UA"/>
              </w:rPr>
            </w:pPr>
            <w:hyperlink r:id="rId93" w:tgtFrame="_blank" w:history="1">
              <w:r w:rsidR="008511CD" w:rsidRPr="001C7762">
                <w:rPr>
                  <w:lang w:val="uk-UA" w:eastAsia="uk-UA"/>
                </w:rPr>
                <w:t>де </w:t>
              </w:r>
              <w:r w:rsidR="008511CD" w:rsidRPr="001C7762">
                <w:rPr>
                  <w:noProof/>
                  <w:lang w:val="uk-UA" w:eastAsia="uk-UA"/>
                </w:rPr>
                <w:drawing>
                  <wp:inline distT="0" distB="0" distL="0" distR="0" wp14:anchorId="5DBBD712" wp14:editId="33BAC641">
                    <wp:extent cx="476250" cy="190500"/>
                    <wp:effectExtent l="0" t="0" r="0" b="0"/>
                    <wp:docPr id="11211806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18068" name="Рисунок 1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008511CD" w:rsidRPr="001C7762">
                <w:rPr>
                  <w:lang w:val="uk-UA" w:eastAsia="uk-UA"/>
                </w:rPr>
                <w:t> - фактичний рівень операційних неконтрольованих витрат у році t-1, тис. грн;</w:t>
              </w:r>
            </w:hyperlink>
          </w:p>
          <w:p w14:paraId="3866F7B6" w14:textId="0DE6B496" w:rsidR="008511CD" w:rsidRPr="001C7762" w:rsidRDefault="008511CD" w:rsidP="00BC5261">
            <w:pPr>
              <w:shd w:val="clear" w:color="auto" w:fill="FFFFFF"/>
              <w:jc w:val="both"/>
              <w:rPr>
                <w:lang w:val="uk-UA" w:eastAsia="uk-UA"/>
              </w:rPr>
            </w:pPr>
            <w:r w:rsidRPr="001C7762">
              <w:rPr>
                <w:noProof/>
                <w:lang w:val="uk-UA" w:eastAsia="uk-UA"/>
              </w:rPr>
              <w:lastRenderedPageBreak/>
              <w:drawing>
                <wp:inline distT="0" distB="0" distL="0" distR="0" wp14:anchorId="6E108249" wp14:editId="1F54889A">
                  <wp:extent cx="476250" cy="257175"/>
                  <wp:effectExtent l="0" t="0" r="0" b="9525"/>
                  <wp:docPr id="1545300238"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300238" name="Рисунок 11"/>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1C7762">
              <w:rPr>
                <w:lang w:val="uk-UA" w:eastAsia="uk-UA"/>
              </w:rPr>
              <w:t> - сума фактичних відрахувань коштів первинним профспілковим організаціям у році t-1, тис. грн;</w:t>
            </w:r>
          </w:p>
          <w:p w14:paraId="6139D496" w14:textId="77777777" w:rsidR="008511CD" w:rsidRPr="001C7762" w:rsidRDefault="000D7C1D" w:rsidP="00BC5261">
            <w:pPr>
              <w:shd w:val="clear" w:color="auto" w:fill="FFFFFF"/>
              <w:jc w:val="both"/>
              <w:rPr>
                <w:lang w:val="uk-UA" w:eastAsia="uk-UA"/>
              </w:rPr>
            </w:pPr>
            <w:hyperlink r:id="rId96" w:tgtFrame="_blank" w:history="1">
              <w:r w:rsidR="008511CD" w:rsidRPr="001C7762">
                <w:rPr>
                  <w:noProof/>
                  <w:lang w:val="uk-UA" w:eastAsia="uk-UA"/>
                </w:rPr>
                <w:drawing>
                  <wp:inline distT="0" distB="0" distL="0" distR="0" wp14:anchorId="194E0E40" wp14:editId="09093F62">
                    <wp:extent cx="495300" cy="190500"/>
                    <wp:effectExtent l="0" t="0" r="0" b="0"/>
                    <wp:docPr id="2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10"/>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495300" cy="190500"/>
                            </a:xfrm>
                            <a:prstGeom prst="rect">
                              <a:avLst/>
                            </a:prstGeom>
                            <a:noFill/>
                            <a:ln>
                              <a:noFill/>
                            </a:ln>
                          </pic:spPr>
                        </pic:pic>
                      </a:graphicData>
                    </a:graphic>
                  </wp:inline>
                </w:drawing>
              </w:r>
              <w:r w:rsidR="008511CD" w:rsidRPr="001C7762">
                <w:rPr>
                  <w:lang w:val="uk-UA" w:eastAsia="uk-UA"/>
                </w:rPr>
                <w:t> - фактичний фонд оплати праці в році t-1, тис. грн;</w:t>
              </w:r>
            </w:hyperlink>
          </w:p>
          <w:p w14:paraId="029D65AC" w14:textId="7A3BAB8A" w:rsidR="008511CD" w:rsidRPr="001C7762" w:rsidRDefault="008511CD" w:rsidP="00BC5261">
            <w:pPr>
              <w:shd w:val="clear" w:color="auto" w:fill="FFFFFF"/>
              <w:jc w:val="both"/>
              <w:rPr>
                <w:lang w:val="uk-UA" w:eastAsia="uk-UA"/>
              </w:rPr>
            </w:pPr>
            <w:r w:rsidRPr="001C7762">
              <w:rPr>
                <w:noProof/>
                <w:lang w:val="uk-UA" w:eastAsia="uk-UA"/>
              </w:rPr>
              <w:drawing>
                <wp:inline distT="0" distB="0" distL="0" distR="0" wp14:anchorId="3343E114" wp14:editId="42D1585C">
                  <wp:extent cx="581025" cy="266700"/>
                  <wp:effectExtent l="0" t="0" r="9525" b="0"/>
                  <wp:docPr id="41647927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479271" name="Рисунок 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81025" cy="266700"/>
                          </a:xfrm>
                          <a:prstGeom prst="rect">
                            <a:avLst/>
                          </a:prstGeom>
                          <a:noFill/>
                          <a:ln>
                            <a:noFill/>
                          </a:ln>
                        </pic:spPr>
                      </pic:pic>
                    </a:graphicData>
                  </a:graphic>
                </wp:inline>
              </w:drawing>
            </w:r>
            <w:r w:rsidRPr="001C7762">
              <w:rPr>
                <w:lang w:val="uk-UA" w:eastAsia="uk-UA"/>
              </w:rPr>
              <w:t> - фактичний рівень єдиного соціального внеску на загальнообов'язкове державне соціальне страхування в році t-1, відносні одиниці;</w:t>
            </w:r>
          </w:p>
          <w:p w14:paraId="6B522F87" w14:textId="77777777" w:rsidR="008511CD" w:rsidRPr="001C7762" w:rsidRDefault="008511CD" w:rsidP="00BC5261">
            <w:pPr>
              <w:shd w:val="clear" w:color="auto" w:fill="FFFFFF"/>
              <w:jc w:val="both"/>
              <w:rPr>
                <w:lang w:val="uk-UA" w:eastAsia="uk-UA"/>
              </w:rPr>
            </w:pPr>
            <w:r w:rsidRPr="001C7762">
              <w:rPr>
                <w:noProof/>
                <w:lang w:val="uk-UA" w:eastAsia="uk-UA"/>
              </w:rPr>
              <w:drawing>
                <wp:inline distT="0" distB="0" distL="0" distR="0" wp14:anchorId="03EA9895" wp14:editId="74379F61">
                  <wp:extent cx="476250" cy="247650"/>
                  <wp:effectExtent l="0" t="0" r="0" b="0"/>
                  <wp:docPr id="115083800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838000" name="Рисунок 8"/>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Pr="001C7762">
              <w:rPr>
                <w:lang w:val="uk-UA" w:eastAsia="uk-UA"/>
              </w:rPr>
              <w:t> - дозволена сума відрахувань коштів первинним профспілковим організаціям</w:t>
            </w:r>
            <w:r w:rsidRPr="001C7762">
              <w:rPr>
                <w:b/>
                <w:bCs/>
                <w:lang w:val="uk-UA" w:eastAsia="uk-UA"/>
              </w:rPr>
              <w:t>, у</w:t>
            </w:r>
            <w:r w:rsidRPr="001C7762">
              <w:rPr>
                <w:lang w:val="uk-UA" w:eastAsia="uk-UA"/>
              </w:rPr>
              <w:t xml:space="preserve"> році t-1 (визначається на рівні 0,3 % від </w:t>
            </w:r>
            <w:r w:rsidRPr="001C7762">
              <w:rPr>
                <w:noProof/>
                <w:lang w:val="uk-UA" w:eastAsia="uk-UA"/>
              </w:rPr>
              <w:drawing>
                <wp:inline distT="0" distB="0" distL="0" distR="0" wp14:anchorId="5839C481" wp14:editId="3B346DB8">
                  <wp:extent cx="619125" cy="238125"/>
                  <wp:effectExtent l="0" t="0" r="9525" b="9525"/>
                  <wp:docPr id="1993780120" name="Рисунок 7">
                    <a:hlinkClick xmlns:a="http://schemas.openxmlformats.org/drawingml/2006/main" r:id="rId10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a:hlinkClick r:id="rId100" tgtFrame="&quot;_blank&quot;"/>
                          </pic:cNvPr>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619125" cy="238125"/>
                          </a:xfrm>
                          <a:prstGeom prst="rect">
                            <a:avLst/>
                          </a:prstGeom>
                          <a:noFill/>
                          <a:ln>
                            <a:noFill/>
                          </a:ln>
                        </pic:spPr>
                      </pic:pic>
                    </a:graphicData>
                  </a:graphic>
                </wp:inline>
              </w:drawing>
            </w:r>
            <w:r w:rsidRPr="001C7762">
              <w:rPr>
                <w:lang w:val="uk-UA" w:eastAsia="uk-UA"/>
              </w:rPr>
              <w:t>), тис. грн;</w:t>
            </w:r>
          </w:p>
          <w:p w14:paraId="12BFA8A6" w14:textId="77777777" w:rsidR="008511CD" w:rsidRPr="001C7762" w:rsidRDefault="008511CD" w:rsidP="00BC5261">
            <w:pPr>
              <w:rPr>
                <w:lang w:val="uk-UA"/>
              </w:rPr>
            </w:pPr>
          </w:p>
        </w:tc>
        <w:tc>
          <w:tcPr>
            <w:tcW w:w="7654" w:type="dxa"/>
          </w:tcPr>
          <w:p w14:paraId="6561F20D" w14:textId="77777777" w:rsidR="008511CD" w:rsidRPr="001C7762" w:rsidRDefault="008511CD" w:rsidP="00BC5261">
            <w:pPr>
              <w:pStyle w:val="tc"/>
              <w:shd w:val="clear" w:color="auto" w:fill="FFFFFF"/>
              <w:spacing w:before="0" w:beforeAutospacing="0" w:after="0" w:afterAutospacing="0"/>
              <w:jc w:val="center"/>
              <w:rPr>
                <w:b/>
                <w:bCs/>
              </w:rPr>
            </w:pPr>
            <w:r w:rsidRPr="001C7762">
              <w:lastRenderedPageBreak/>
              <w:t>6</w:t>
            </w:r>
            <w:r w:rsidRPr="001C7762">
              <w:rPr>
                <w:b/>
                <w:bCs/>
              </w:rPr>
              <w:t>. Коригування необхідного доходу від здійснення діяльності з розподілу електричної енергії</w:t>
            </w:r>
          </w:p>
          <w:p w14:paraId="798FBE20" w14:textId="77777777" w:rsidR="008511CD" w:rsidRPr="001C7762" w:rsidRDefault="008511CD" w:rsidP="00BC5261">
            <w:pPr>
              <w:pStyle w:val="tj"/>
              <w:shd w:val="clear" w:color="auto" w:fill="FFFFFF"/>
              <w:spacing w:before="0" w:beforeAutospacing="0" w:after="0" w:afterAutospacing="0"/>
              <w:jc w:val="both"/>
            </w:pPr>
            <w:r w:rsidRPr="001C7762">
              <w:t>6.1. Коригування необхідного доходу від здійснення діяльності з розподілу електричної енергії здійснюється за результатами заходів контролю за дотриманням Ліцензійних умов та передбачає, зокрема, урахування:</w:t>
            </w:r>
          </w:p>
          <w:p w14:paraId="1A7DD6ED" w14:textId="77777777" w:rsidR="008511CD" w:rsidRPr="001C7762" w:rsidRDefault="008511CD" w:rsidP="00BC5261">
            <w:pPr>
              <w:pStyle w:val="tj"/>
              <w:shd w:val="clear" w:color="auto" w:fill="FFFFFF"/>
              <w:spacing w:before="0" w:beforeAutospacing="0" w:after="0" w:afterAutospacing="0"/>
              <w:jc w:val="both"/>
            </w:pPr>
            <w:r w:rsidRPr="001C7762">
              <w:t>…………………………………</w:t>
            </w:r>
          </w:p>
          <w:p w14:paraId="68AAFAF7" w14:textId="77777777" w:rsidR="008511CD" w:rsidRPr="001C7762" w:rsidRDefault="008511CD" w:rsidP="00BC5261">
            <w:pPr>
              <w:shd w:val="clear" w:color="auto" w:fill="FFFFFF"/>
              <w:jc w:val="both"/>
              <w:rPr>
                <w:lang w:val="uk-UA" w:eastAsia="uk-UA"/>
              </w:rPr>
            </w:pPr>
            <w:r w:rsidRPr="001C7762">
              <w:rPr>
                <w:lang w:val="uk-UA" w:eastAsia="uk-UA"/>
              </w:rPr>
              <w:t>3) уточнених операційних неконтрольованих витрат з розподілу електричної енергії за рік t-1, що визначаються за формулою</w:t>
            </w:r>
          </w:p>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6241"/>
              <w:gridCol w:w="1134"/>
            </w:tblGrid>
            <w:tr w:rsidR="001C7762" w:rsidRPr="001C7762" w14:paraId="34180515" w14:textId="77777777" w:rsidTr="00BF7EAB">
              <w:tc>
                <w:tcPr>
                  <w:tcW w:w="6241" w:type="dxa"/>
                </w:tcPr>
                <w:p w14:paraId="4E6BB963" w14:textId="77777777" w:rsidR="00E6276C" w:rsidRPr="001C7762" w:rsidRDefault="00E6276C" w:rsidP="000D7C1D">
                  <w:pPr>
                    <w:framePr w:hSpace="180" w:wrap="around" w:vAnchor="text" w:hAnchor="text" w:y="1"/>
                    <w:suppressOverlap/>
                    <w:jc w:val="both"/>
                    <w:rPr>
                      <w:lang w:val="uk-UA" w:eastAsia="uk-UA"/>
                    </w:rPr>
                  </w:pPr>
                  <w:r w:rsidRPr="001C7762">
                    <w:rPr>
                      <w:noProof/>
                      <w:lang w:val="uk-UA" w:eastAsia="uk-UA"/>
                    </w:rPr>
                    <w:drawing>
                      <wp:inline distT="0" distB="0" distL="0" distR="0" wp14:anchorId="1887CC0D" wp14:editId="2CABC4E6">
                        <wp:extent cx="2914650" cy="370403"/>
                        <wp:effectExtent l="0" t="0" r="0" b="0"/>
                        <wp:docPr id="199378009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277865" name="Рисунок 13"/>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2933372" cy="372782"/>
                                </a:xfrm>
                                <a:prstGeom prst="rect">
                                  <a:avLst/>
                                </a:prstGeom>
                                <a:noFill/>
                                <a:ln>
                                  <a:noFill/>
                                </a:ln>
                              </pic:spPr>
                            </pic:pic>
                          </a:graphicData>
                        </a:graphic>
                      </wp:inline>
                    </w:drawing>
                  </w:r>
                </w:p>
              </w:tc>
              <w:tc>
                <w:tcPr>
                  <w:tcW w:w="1134" w:type="dxa"/>
                </w:tcPr>
                <w:p w14:paraId="15B3F704" w14:textId="77777777" w:rsidR="00E6276C" w:rsidRPr="001C7762" w:rsidRDefault="00E6276C" w:rsidP="000D7C1D">
                  <w:pPr>
                    <w:framePr w:hSpace="180" w:wrap="around" w:vAnchor="text" w:hAnchor="text" w:y="1"/>
                    <w:suppressOverlap/>
                    <w:jc w:val="both"/>
                    <w:rPr>
                      <w:lang w:val="uk-UA" w:eastAsia="uk-UA"/>
                    </w:rPr>
                  </w:pPr>
                  <w:r w:rsidRPr="001C7762">
                    <w:rPr>
                      <w:lang w:val="uk-UA" w:eastAsia="uk-UA"/>
                    </w:rPr>
                    <w:t>тис. грн, (23)</w:t>
                  </w:r>
                </w:p>
              </w:tc>
            </w:tr>
          </w:tbl>
          <w:p w14:paraId="6D188BA7" w14:textId="1C4E422D" w:rsidR="008511CD" w:rsidRPr="001C7762" w:rsidRDefault="000D7C1D" w:rsidP="00BC5261">
            <w:pPr>
              <w:shd w:val="clear" w:color="auto" w:fill="FFFFFF"/>
              <w:jc w:val="both"/>
              <w:rPr>
                <w:lang w:val="uk-UA" w:eastAsia="uk-UA"/>
              </w:rPr>
            </w:pPr>
            <w:hyperlink r:id="rId102" w:tgtFrame="_blank" w:history="1">
              <w:r w:rsidR="008511CD" w:rsidRPr="001C7762">
                <w:rPr>
                  <w:lang w:val="uk-UA" w:eastAsia="uk-UA"/>
                </w:rPr>
                <w:t>де </w:t>
              </w:r>
              <w:r w:rsidR="008511CD" w:rsidRPr="001C7762">
                <w:rPr>
                  <w:noProof/>
                  <w:lang w:val="uk-UA" w:eastAsia="uk-UA"/>
                </w:rPr>
                <w:drawing>
                  <wp:inline distT="0" distB="0" distL="0" distR="0" wp14:anchorId="06C5F800" wp14:editId="2871E068">
                    <wp:extent cx="476250" cy="190500"/>
                    <wp:effectExtent l="0" t="0" r="0" b="0"/>
                    <wp:docPr id="127448865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488658" name="Рисунок 1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008511CD" w:rsidRPr="001C7762">
                <w:rPr>
                  <w:lang w:val="uk-UA" w:eastAsia="uk-UA"/>
                </w:rPr>
                <w:t> - фактичний рівень операційних неконтрольованих витрат у році t-1, тис. грн;</w:t>
              </w:r>
            </w:hyperlink>
          </w:p>
          <w:p w14:paraId="61B27B3B" w14:textId="77777777" w:rsidR="008511CD" w:rsidRPr="001C7762" w:rsidRDefault="000D7C1D" w:rsidP="00BC5261">
            <w:pPr>
              <w:shd w:val="clear" w:color="auto" w:fill="FFFFFF"/>
              <w:jc w:val="both"/>
              <w:rPr>
                <w:lang w:val="uk-UA" w:eastAsia="uk-UA"/>
              </w:rPr>
            </w:pPr>
            <w:hyperlink r:id="rId103" w:tgtFrame="_blank" w:history="1">
              <w:r w:rsidR="008511CD" w:rsidRPr="001C7762">
                <w:rPr>
                  <w:noProof/>
                  <w:lang w:val="uk-UA" w:eastAsia="uk-UA"/>
                </w:rPr>
                <w:drawing>
                  <wp:inline distT="0" distB="0" distL="0" distR="0" wp14:anchorId="5354534D" wp14:editId="1E2C66D6">
                    <wp:extent cx="476250" cy="257175"/>
                    <wp:effectExtent l="0" t="0" r="0" b="9525"/>
                    <wp:docPr id="1029960635"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960635" name="Рисунок 11"/>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008511CD" w:rsidRPr="001C7762">
                <w:rPr>
                  <w:lang w:val="uk-UA" w:eastAsia="uk-UA"/>
                </w:rPr>
                <w:t> - сума фактичних відрахувань коштів первинним профспілковим організаціям у році t-1, тис. грн;</w:t>
              </w:r>
            </w:hyperlink>
          </w:p>
          <w:p w14:paraId="172E6020" w14:textId="77777777" w:rsidR="008511CD" w:rsidRPr="001C7762" w:rsidRDefault="000D7C1D" w:rsidP="00BC5261">
            <w:pPr>
              <w:shd w:val="clear" w:color="auto" w:fill="FFFFFF"/>
              <w:jc w:val="both"/>
              <w:rPr>
                <w:lang w:val="uk-UA" w:eastAsia="uk-UA"/>
              </w:rPr>
            </w:pPr>
            <w:hyperlink r:id="rId104" w:tgtFrame="_blank" w:history="1">
              <w:r w:rsidR="008511CD" w:rsidRPr="001C7762">
                <w:rPr>
                  <w:noProof/>
                  <w:lang w:val="uk-UA" w:eastAsia="uk-UA"/>
                </w:rPr>
                <w:drawing>
                  <wp:inline distT="0" distB="0" distL="0" distR="0" wp14:anchorId="2EBD0DA6" wp14:editId="24D86F23">
                    <wp:extent cx="495300" cy="190500"/>
                    <wp:effectExtent l="0" t="0" r="0" b="0"/>
                    <wp:docPr id="23486599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865998" name="Рисунок 10"/>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495300" cy="190500"/>
                            </a:xfrm>
                            <a:prstGeom prst="rect">
                              <a:avLst/>
                            </a:prstGeom>
                            <a:noFill/>
                            <a:ln>
                              <a:noFill/>
                            </a:ln>
                          </pic:spPr>
                        </pic:pic>
                      </a:graphicData>
                    </a:graphic>
                  </wp:inline>
                </w:drawing>
              </w:r>
              <w:r w:rsidR="008511CD" w:rsidRPr="001C7762">
                <w:rPr>
                  <w:lang w:val="uk-UA" w:eastAsia="uk-UA"/>
                </w:rPr>
                <w:t> - фактичний фонд оплати праці в році t-1, тис. грн;</w:t>
              </w:r>
            </w:hyperlink>
          </w:p>
          <w:p w14:paraId="692A6F5C" w14:textId="77777777" w:rsidR="008511CD" w:rsidRPr="001C7762" w:rsidRDefault="008511CD" w:rsidP="00BC5261">
            <w:pPr>
              <w:shd w:val="clear" w:color="auto" w:fill="FFFFFF"/>
              <w:jc w:val="both"/>
              <w:rPr>
                <w:lang w:val="uk-UA" w:eastAsia="uk-UA"/>
              </w:rPr>
            </w:pPr>
            <w:r w:rsidRPr="001C7762">
              <w:rPr>
                <w:noProof/>
                <w:lang w:val="uk-UA" w:eastAsia="uk-UA"/>
              </w:rPr>
              <w:drawing>
                <wp:inline distT="0" distB="0" distL="0" distR="0" wp14:anchorId="05D90D3E" wp14:editId="57A929E5">
                  <wp:extent cx="581025" cy="266700"/>
                  <wp:effectExtent l="0" t="0" r="9525" b="0"/>
                  <wp:docPr id="184616190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161907" name="Рисунок 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81025" cy="266700"/>
                          </a:xfrm>
                          <a:prstGeom prst="rect">
                            <a:avLst/>
                          </a:prstGeom>
                          <a:noFill/>
                          <a:ln>
                            <a:noFill/>
                          </a:ln>
                        </pic:spPr>
                      </pic:pic>
                    </a:graphicData>
                  </a:graphic>
                </wp:inline>
              </w:drawing>
            </w:r>
            <w:r w:rsidRPr="001C7762">
              <w:rPr>
                <w:lang w:val="uk-UA" w:eastAsia="uk-UA"/>
              </w:rPr>
              <w:t> - фактичний рівень єдиного соціального внеску на загальнообов'язкове державне соціальне страхування в році t-1, відносні одиниці;</w:t>
            </w:r>
          </w:p>
          <w:p w14:paraId="1BFEFE0E" w14:textId="6DCC74C9" w:rsidR="008511CD" w:rsidRPr="001C7762" w:rsidRDefault="008511CD" w:rsidP="00BC5261">
            <w:pPr>
              <w:shd w:val="clear" w:color="auto" w:fill="FFFFFF"/>
              <w:jc w:val="both"/>
              <w:rPr>
                <w:lang w:val="uk-UA" w:eastAsia="uk-UA"/>
              </w:rPr>
            </w:pPr>
            <w:r w:rsidRPr="001C7762">
              <w:rPr>
                <w:noProof/>
                <w:lang w:val="uk-UA" w:eastAsia="uk-UA"/>
              </w:rPr>
              <w:drawing>
                <wp:inline distT="0" distB="0" distL="0" distR="0" wp14:anchorId="3F9CC2D8" wp14:editId="0FB91F2B">
                  <wp:extent cx="476250" cy="247650"/>
                  <wp:effectExtent l="0" t="0" r="0" b="0"/>
                  <wp:docPr id="163206226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062267" name="Рисунок 8"/>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76250" cy="247650"/>
                          </a:xfrm>
                          <a:prstGeom prst="rect">
                            <a:avLst/>
                          </a:prstGeom>
                          <a:noFill/>
                          <a:ln>
                            <a:noFill/>
                          </a:ln>
                        </pic:spPr>
                      </pic:pic>
                    </a:graphicData>
                  </a:graphic>
                </wp:inline>
              </w:drawing>
            </w:r>
            <w:r w:rsidRPr="001C7762">
              <w:rPr>
                <w:lang w:val="uk-UA" w:eastAsia="uk-UA"/>
              </w:rPr>
              <w:t xml:space="preserve"> - дозволена сума відрахувань коштів первинним профспілковим організаціям </w:t>
            </w:r>
            <w:r w:rsidRPr="001C7762">
              <w:rPr>
                <w:b/>
                <w:bCs/>
                <w:lang w:val="uk-UA" w:eastAsia="uk-UA"/>
              </w:rPr>
              <w:t>(не більше показника</w:t>
            </w:r>
            <w:r w:rsidRPr="001C7762">
              <w:rPr>
                <w:b/>
                <w:bCs/>
                <w:noProof/>
                <w:lang w:val="uk-UA" w:eastAsia="uk-UA"/>
              </w:rPr>
              <w:drawing>
                <wp:inline distT="0" distB="0" distL="0" distR="0" wp14:anchorId="1B275DC1" wp14:editId="504479AC">
                  <wp:extent cx="476250" cy="257175"/>
                  <wp:effectExtent l="0" t="0" r="0" b="9525"/>
                  <wp:docPr id="1739498158" name="Рисунок 11">
                    <a:hlinkClick xmlns:a="http://schemas.openxmlformats.org/drawingml/2006/main" r:id="rId10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a:hlinkClick r:id="rId103" tgtFrame="&quot;_blank&quot;"/>
                          </pic:cNvPr>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1C7762">
              <w:rPr>
                <w:b/>
                <w:bCs/>
                <w:lang w:val="uk-UA" w:eastAsia="uk-UA"/>
              </w:rPr>
              <w:t xml:space="preserve"> ), у</w:t>
            </w:r>
            <w:r w:rsidRPr="001C7762">
              <w:rPr>
                <w:lang w:val="uk-UA" w:eastAsia="uk-UA"/>
              </w:rPr>
              <w:t xml:space="preserve"> році t-1 (визначається на рівні 0,3 % від </w:t>
            </w:r>
            <w:r w:rsidRPr="001C7762">
              <w:rPr>
                <w:noProof/>
                <w:lang w:val="uk-UA" w:eastAsia="uk-UA"/>
              </w:rPr>
              <w:drawing>
                <wp:inline distT="0" distB="0" distL="0" distR="0" wp14:anchorId="6DFC9D0A" wp14:editId="0F217582">
                  <wp:extent cx="619125" cy="238125"/>
                  <wp:effectExtent l="0" t="0" r="9525" b="9525"/>
                  <wp:docPr id="101217711" name="Рисунок 7">
                    <a:hlinkClick xmlns:a="http://schemas.openxmlformats.org/drawingml/2006/main" r:id="rId10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a:hlinkClick r:id="rId100" tgtFrame="&quot;_blank&quot;"/>
                          </pic:cNvPr>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619125" cy="238125"/>
                          </a:xfrm>
                          <a:prstGeom prst="rect">
                            <a:avLst/>
                          </a:prstGeom>
                          <a:noFill/>
                          <a:ln>
                            <a:noFill/>
                          </a:ln>
                        </pic:spPr>
                      </pic:pic>
                    </a:graphicData>
                  </a:graphic>
                </wp:inline>
              </w:drawing>
            </w:r>
            <w:r w:rsidRPr="001C7762">
              <w:rPr>
                <w:lang w:val="uk-UA" w:eastAsia="uk-UA"/>
              </w:rPr>
              <w:t>), тис. грн;</w:t>
            </w:r>
          </w:p>
          <w:p w14:paraId="5DB5B34E" w14:textId="77777777" w:rsidR="008511CD" w:rsidRPr="001C7762" w:rsidRDefault="008511CD" w:rsidP="00BC5261">
            <w:pPr>
              <w:rPr>
                <w:lang w:val="uk-UA"/>
              </w:rPr>
            </w:pPr>
          </w:p>
        </w:tc>
      </w:tr>
      <w:tr w:rsidR="001C7762" w:rsidRPr="001C7762" w14:paraId="277D6F47" w14:textId="77777777" w:rsidTr="00F549E8">
        <w:tc>
          <w:tcPr>
            <w:tcW w:w="7655" w:type="dxa"/>
          </w:tcPr>
          <w:tbl>
            <w:tblPr>
              <w:tblpPr w:leftFromText="180" w:rightFromText="180" w:vertAnchor="text" w:horzAnchor="margin" w:tblpXSpec="center" w:tblpY="1066"/>
              <w:tblOverlap w:val="never"/>
              <w:tblW w:w="6259" w:type="dxa"/>
              <w:tblLayout w:type="fixed"/>
              <w:tblCellMar>
                <w:top w:w="15" w:type="dxa"/>
                <w:left w:w="15" w:type="dxa"/>
                <w:bottom w:w="15" w:type="dxa"/>
                <w:right w:w="15" w:type="dxa"/>
              </w:tblCellMar>
              <w:tblLook w:val="04A0" w:firstRow="1" w:lastRow="0" w:firstColumn="1" w:lastColumn="0" w:noHBand="0" w:noVBand="1"/>
            </w:tblPr>
            <w:tblGrid>
              <w:gridCol w:w="3284"/>
              <w:gridCol w:w="1701"/>
              <w:gridCol w:w="1274"/>
            </w:tblGrid>
            <w:tr w:rsidR="001C7762" w:rsidRPr="001C7762" w14:paraId="7ABFA6EC" w14:textId="77777777" w:rsidTr="00EE264F">
              <w:tc>
                <w:tcPr>
                  <w:tcW w:w="2623" w:type="pct"/>
                  <w:shd w:val="clear" w:color="auto" w:fill="auto"/>
                  <w:tcMar>
                    <w:top w:w="0" w:type="dxa"/>
                    <w:left w:w="0" w:type="dxa"/>
                    <w:bottom w:w="0" w:type="dxa"/>
                    <w:right w:w="0" w:type="dxa"/>
                  </w:tcMar>
                  <w:vAlign w:val="center"/>
                  <w:hideMark/>
                </w:tcPr>
                <w:p w14:paraId="502AEE44" w14:textId="77777777" w:rsidR="008511CD" w:rsidRPr="001C7762" w:rsidRDefault="008511CD" w:rsidP="00BC5261">
                  <w:pPr>
                    <w:pStyle w:val="tr"/>
                    <w:spacing w:before="0" w:beforeAutospacing="0" w:after="0" w:afterAutospacing="0"/>
                    <w:ind w:firstLine="491"/>
                    <w:jc w:val="both"/>
                  </w:pPr>
                  <w:r w:rsidRPr="001C7762">
                    <w:rPr>
                      <w:noProof/>
                    </w:rPr>
                    <w:lastRenderedPageBreak/>
                    <w:drawing>
                      <wp:inline distT="0" distB="0" distL="0" distR="0" wp14:anchorId="339B7E65" wp14:editId="6F4CB065">
                        <wp:extent cx="1447800" cy="207645"/>
                        <wp:effectExtent l="0" t="0" r="0" b="1905"/>
                        <wp:docPr id="26" name="Рисунок 26" descr="https://ips.ligazakon.net/l_flib1.nsf/LookupFiles/GK40721_IMG_310.GIF/$file/GK40721_IMG_310.GIF">
                          <a:hlinkClick xmlns:a="http://schemas.openxmlformats.org/drawingml/2006/main" r:id="rId10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ips.ligazakon.net/l_flib1.nsf/LookupFiles/GK40721_IMG_310.GIF/$file/GK40721_IMG_310.GIF">
                                  <a:hlinkClick r:id="rId105" tgtFrame="&quot;_blank&quot;"/>
                                </pic:cNvPr>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447800" cy="207645"/>
                                </a:xfrm>
                                <a:prstGeom prst="rect">
                                  <a:avLst/>
                                </a:prstGeom>
                                <a:noFill/>
                                <a:ln>
                                  <a:noFill/>
                                </a:ln>
                              </pic:spPr>
                            </pic:pic>
                          </a:graphicData>
                        </a:graphic>
                      </wp:inline>
                    </w:drawing>
                  </w:r>
                </w:p>
              </w:tc>
              <w:tc>
                <w:tcPr>
                  <w:tcW w:w="1359" w:type="pct"/>
                  <w:shd w:val="clear" w:color="auto" w:fill="auto"/>
                  <w:tcMar>
                    <w:top w:w="0" w:type="dxa"/>
                    <w:left w:w="0" w:type="dxa"/>
                    <w:bottom w:w="0" w:type="dxa"/>
                    <w:right w:w="0" w:type="dxa"/>
                  </w:tcMar>
                  <w:vAlign w:val="center"/>
                  <w:hideMark/>
                </w:tcPr>
                <w:p w14:paraId="1A038FAE" w14:textId="77777777" w:rsidR="008511CD" w:rsidRPr="001C7762" w:rsidRDefault="000D7C1D" w:rsidP="00BC5261">
                  <w:pPr>
                    <w:pStyle w:val="tl"/>
                    <w:spacing w:before="0" w:beforeAutospacing="0" w:after="0" w:afterAutospacing="0"/>
                    <w:ind w:firstLine="491"/>
                    <w:jc w:val="both"/>
                  </w:pPr>
                  <w:hyperlink r:id="rId107" w:tgtFrame="_blank" w:history="1">
                    <w:r w:rsidR="008511CD" w:rsidRPr="001C7762">
                      <w:t>, тис. грн,</w:t>
                    </w:r>
                  </w:hyperlink>
                </w:p>
              </w:tc>
              <w:tc>
                <w:tcPr>
                  <w:tcW w:w="1018" w:type="pct"/>
                  <w:shd w:val="clear" w:color="auto" w:fill="auto"/>
                  <w:tcMar>
                    <w:top w:w="0" w:type="dxa"/>
                    <w:left w:w="0" w:type="dxa"/>
                    <w:bottom w:w="0" w:type="dxa"/>
                    <w:right w:w="0" w:type="dxa"/>
                  </w:tcMar>
                  <w:vAlign w:val="center"/>
                  <w:hideMark/>
                </w:tcPr>
                <w:p w14:paraId="15ABCC0C" w14:textId="77777777" w:rsidR="008511CD" w:rsidRPr="001C7762" w:rsidRDefault="000D7C1D" w:rsidP="00BC5261">
                  <w:pPr>
                    <w:pStyle w:val="tr"/>
                    <w:spacing w:before="0" w:beforeAutospacing="0" w:after="0" w:afterAutospacing="0"/>
                    <w:ind w:firstLine="491"/>
                    <w:jc w:val="both"/>
                  </w:pPr>
                  <w:hyperlink r:id="rId108" w:tgtFrame="_blank" w:history="1">
                    <w:r w:rsidR="008511CD" w:rsidRPr="001C7762">
                      <w:t>(33)</w:t>
                    </w:r>
                  </w:hyperlink>
                </w:p>
              </w:tc>
            </w:tr>
          </w:tbl>
          <w:p w14:paraId="25739F47" w14:textId="77777777" w:rsidR="008511CD" w:rsidRPr="001C7762" w:rsidRDefault="000D7C1D" w:rsidP="00BC5261">
            <w:pPr>
              <w:pStyle w:val="tj"/>
              <w:shd w:val="clear" w:color="auto" w:fill="FFFFFF"/>
              <w:spacing w:before="0" w:beforeAutospacing="0" w:after="0" w:afterAutospacing="0"/>
              <w:ind w:firstLine="491"/>
              <w:jc w:val="both"/>
            </w:pPr>
            <w:hyperlink r:id="rId109" w:tgtFrame="_blank" w:history="1">
              <w:r w:rsidR="008511CD" w:rsidRPr="001C7762">
                <w:t>7.25.</w:t>
              </w:r>
            </w:hyperlink>
            <w:r w:rsidR="008511CD" w:rsidRPr="001C7762">
              <w:t> </w:t>
            </w:r>
            <w:hyperlink r:id="rId110" w:tgtFrame="_blank" w:history="1">
              <w:r w:rsidR="008511CD" w:rsidRPr="001C7762">
                <w:t>Коригування необхідного доходу відповідно до даних виконання цільового завдання щодо досягнення показників якості послуг на рік t (</w:t>
              </w:r>
              <w:proofErr w:type="spellStart"/>
              <w:r w:rsidR="008511CD" w:rsidRPr="001C7762">
                <w:t>КЯ</w:t>
              </w:r>
              <w:r w:rsidR="008511CD" w:rsidRPr="001C7762">
                <w:rPr>
                  <w:vertAlign w:val="subscript"/>
                </w:rPr>
                <w:t>t</w:t>
              </w:r>
              <w:proofErr w:type="spellEnd"/>
              <w:r w:rsidR="008511CD" w:rsidRPr="001C7762">
                <w:t>), тис. грн, визначається за формулами:</w:t>
              </w:r>
            </w:hyperlink>
          </w:p>
          <w:p w14:paraId="5FB21DDD" w14:textId="77777777" w:rsidR="008511CD" w:rsidRPr="001C7762" w:rsidRDefault="008511CD" w:rsidP="00BC5261">
            <w:pPr>
              <w:pStyle w:val="tj"/>
              <w:shd w:val="clear" w:color="auto" w:fill="FFFFFF"/>
              <w:spacing w:before="0" w:beforeAutospacing="0" w:after="0" w:afterAutospacing="0"/>
              <w:ind w:firstLine="491"/>
              <w:jc w:val="both"/>
            </w:pPr>
          </w:p>
          <w:p w14:paraId="7EAD0957" w14:textId="40CE710F" w:rsidR="008511CD" w:rsidRPr="001C7762" w:rsidRDefault="000D7C1D" w:rsidP="00BC5261">
            <w:pPr>
              <w:pStyle w:val="tj"/>
              <w:shd w:val="clear" w:color="auto" w:fill="FFFFFF"/>
              <w:spacing w:before="0" w:beforeAutospacing="0" w:after="0" w:afterAutospacing="0"/>
              <w:ind w:firstLine="491"/>
              <w:jc w:val="both"/>
              <w:rPr>
                <w:i/>
              </w:rPr>
            </w:pPr>
            <m:oMathPara>
              <m:oMath>
                <m:sSubSup>
                  <m:sSubSupPr>
                    <m:ctrlPr>
                      <w:rPr>
                        <w:rFonts w:ascii="Cambria Math" w:hAnsi="Cambria Math"/>
                        <w:i/>
                      </w:rPr>
                    </m:ctrlPr>
                  </m:sSubSupPr>
                  <m:e>
                    <m:r>
                      <w:rPr>
                        <w:rFonts w:ascii="Cambria Math" w:hAnsi="Cambria Math"/>
                        <w:lang w:val="en-US"/>
                      </w:rPr>
                      <m:t>SAIDI</m:t>
                    </m:r>
                  </m:e>
                  <m:sub>
                    <m:r>
                      <w:rPr>
                        <w:rFonts w:ascii="Cambria Math" w:hAnsi="Cambria Math"/>
                      </w:rPr>
                      <m:t>t-2</m:t>
                    </m:r>
                  </m:sub>
                  <m:sup>
                    <m:r>
                      <w:rPr>
                        <w:rFonts w:ascii="Cambria Math" w:hAnsi="Cambria Math"/>
                      </w:rPr>
                      <m:t>м(с)</m:t>
                    </m:r>
                  </m:sup>
                </m:sSubSup>
                <m:r>
                  <w:rPr>
                    <w:rFonts w:ascii="Cambria Math" w:hAnsi="Cambria Math"/>
                  </w:rPr>
                  <m:t>=</m:t>
                </m:r>
                <m:sSubSup>
                  <m:sSubSupPr>
                    <m:ctrlPr>
                      <w:rPr>
                        <w:rFonts w:ascii="Cambria Math" w:hAnsi="Cambria Math"/>
                        <w:i/>
                        <w:lang w:val="en-US"/>
                      </w:rPr>
                    </m:ctrlPr>
                  </m:sSubSupPr>
                  <m:e>
                    <m:r>
                      <w:rPr>
                        <w:rFonts w:ascii="Cambria Math" w:hAnsi="Cambria Math"/>
                        <w:lang w:val="en-US"/>
                      </w:rPr>
                      <m:t>SAIDI</m:t>
                    </m:r>
                  </m:e>
                  <m:sub>
                    <m:r>
                      <w:rPr>
                        <w:rFonts w:ascii="Cambria Math" w:hAnsi="Cambria Math"/>
                      </w:rPr>
                      <m:t>0</m:t>
                    </m:r>
                  </m:sub>
                  <m:sup>
                    <m:r>
                      <w:rPr>
                        <w:rFonts w:ascii="Cambria Math" w:hAnsi="Cambria Math"/>
                      </w:rPr>
                      <m:t>м(с)</m:t>
                    </m:r>
                  </m:sup>
                </m:sSubSup>
                <m:r>
                  <w:rPr>
                    <w:rFonts w:ascii="Cambria Math" w:hAnsi="Cambria Math"/>
                  </w:rPr>
                  <m:t>-</m:t>
                </m:r>
                <m:f>
                  <m:fPr>
                    <m:ctrlPr>
                      <w:rPr>
                        <w:rFonts w:ascii="Cambria Math" w:hAnsi="Cambria Math"/>
                        <w:i/>
                        <w:lang w:val="en-US"/>
                      </w:rPr>
                    </m:ctrlPr>
                  </m:fPr>
                  <m:num>
                    <m:sSubSup>
                      <m:sSubSupPr>
                        <m:ctrlPr>
                          <w:rPr>
                            <w:rFonts w:ascii="Cambria Math" w:hAnsi="Cambria Math"/>
                            <w:i/>
                            <w:lang w:val="en-US"/>
                          </w:rPr>
                        </m:ctrlPr>
                      </m:sSubSupPr>
                      <m:e>
                        <m:r>
                          <w:rPr>
                            <w:rFonts w:ascii="Cambria Math" w:hAnsi="Cambria Math"/>
                          </w:rPr>
                          <m:t>(</m:t>
                        </m:r>
                        <m:r>
                          <w:rPr>
                            <w:rFonts w:ascii="Cambria Math" w:hAnsi="Cambria Math"/>
                            <w:lang w:val="en-US"/>
                          </w:rPr>
                          <m:t>SAIDI</m:t>
                        </m:r>
                      </m:e>
                      <m:sub>
                        <m:r>
                          <w:rPr>
                            <w:rFonts w:ascii="Cambria Math" w:hAnsi="Cambria Math"/>
                          </w:rPr>
                          <m:t>0</m:t>
                        </m:r>
                      </m:sub>
                      <m:sup>
                        <m:r>
                          <w:rPr>
                            <w:rFonts w:ascii="Cambria Math" w:hAnsi="Cambria Math"/>
                          </w:rPr>
                          <m:t>м(с)</m:t>
                        </m:r>
                      </m:sup>
                    </m:sSubSup>
                    <m:r>
                      <w:rPr>
                        <w:rFonts w:ascii="Cambria Math" w:hAnsi="Cambria Math"/>
                      </w:rPr>
                      <m:t>-</m:t>
                    </m:r>
                    <m:sSubSup>
                      <m:sSubSupPr>
                        <m:ctrlPr>
                          <w:rPr>
                            <w:rFonts w:ascii="Cambria Math" w:hAnsi="Cambria Math"/>
                            <w:i/>
                            <w:lang w:val="en-US"/>
                          </w:rPr>
                        </m:ctrlPr>
                      </m:sSubSupPr>
                      <m:e>
                        <m:r>
                          <w:rPr>
                            <w:rFonts w:ascii="Cambria Math" w:hAnsi="Cambria Math"/>
                            <w:lang w:val="en-US"/>
                          </w:rPr>
                          <m:t>SAIDI</m:t>
                        </m:r>
                      </m:e>
                      <m:sub>
                        <m:r>
                          <w:rPr>
                            <w:rFonts w:ascii="Cambria Math" w:hAnsi="Cambria Math"/>
                          </w:rPr>
                          <m:t>ц</m:t>
                        </m:r>
                      </m:sub>
                      <m:sup>
                        <m:r>
                          <w:rPr>
                            <w:rFonts w:ascii="Cambria Math" w:hAnsi="Cambria Math"/>
                          </w:rPr>
                          <m:t>м(с)</m:t>
                        </m:r>
                      </m:sup>
                    </m:sSubSup>
                    <m:r>
                      <w:rPr>
                        <w:rFonts w:ascii="Cambria Math" w:hAnsi="Cambria Math"/>
                      </w:rPr>
                      <m:t>)</m:t>
                    </m:r>
                  </m:num>
                  <m:den>
                    <m:r>
                      <m:rPr>
                        <m:sty m:val="bi"/>
                      </m:rPr>
                      <w:rPr>
                        <w:rFonts w:ascii="Cambria Math" w:hAnsi="Cambria Math"/>
                      </w:rPr>
                      <m:t>19</m:t>
                    </m:r>
                    <m:r>
                      <w:rPr>
                        <w:rFonts w:ascii="Cambria Math" w:hAnsi="Cambria Math"/>
                      </w:rPr>
                      <m:t>-1</m:t>
                    </m:r>
                  </m:den>
                </m:f>
                <m:r>
                  <w:rPr>
                    <w:rFonts w:ascii="Cambria Math" w:hAnsi="Cambria Math"/>
                    <w:lang w:val="en-US"/>
                  </w:rPr>
                  <m:t xml:space="preserve">  (37)</m:t>
                </m:r>
              </m:oMath>
            </m:oMathPara>
          </w:p>
          <w:p w14:paraId="49F743F4" w14:textId="77777777" w:rsidR="008511CD" w:rsidRPr="001C7762" w:rsidRDefault="008511CD" w:rsidP="00BC5261">
            <w:pPr>
              <w:pStyle w:val="tj"/>
              <w:shd w:val="clear" w:color="auto" w:fill="FFFFFF"/>
              <w:spacing w:before="0" w:beforeAutospacing="0" w:after="0" w:afterAutospacing="0"/>
              <w:ind w:firstLine="491"/>
              <w:jc w:val="both"/>
            </w:pPr>
          </w:p>
          <w:p w14:paraId="2DF6D1AA" w14:textId="77777777" w:rsidR="008511CD" w:rsidRPr="001C7762" w:rsidRDefault="000D7C1D" w:rsidP="00BC5261">
            <w:pPr>
              <w:pStyle w:val="tj"/>
              <w:shd w:val="clear" w:color="auto" w:fill="FFFFFF"/>
              <w:spacing w:before="0" w:beforeAutospacing="0" w:after="0" w:afterAutospacing="0"/>
              <w:ind w:firstLine="491"/>
              <w:jc w:val="both"/>
              <w:rPr>
                <w:b/>
              </w:rPr>
            </w:pPr>
            <m:oMath>
              <m:sSubSup>
                <m:sSubSupPr>
                  <m:ctrlPr>
                    <w:rPr>
                      <w:rFonts w:ascii="Cambria Math" w:hAnsi="Cambria Math"/>
                      <w:i/>
                      <w:lang w:val="en-US"/>
                    </w:rPr>
                  </m:ctrlPr>
                </m:sSubSupPr>
                <m:e>
                  <m:r>
                    <w:rPr>
                      <w:rFonts w:ascii="Cambria Math" w:hAnsi="Cambria Math"/>
                      <w:lang w:val="en-US"/>
                    </w:rPr>
                    <m:t>SAIDI</m:t>
                  </m:r>
                </m:e>
                <m:sub>
                  <m:r>
                    <w:rPr>
                      <w:rFonts w:ascii="Cambria Math" w:hAnsi="Cambria Math"/>
                    </w:rPr>
                    <m:t>ц</m:t>
                  </m:r>
                </m:sub>
                <m:sup>
                  <m:r>
                    <w:rPr>
                      <w:rFonts w:ascii="Cambria Math" w:hAnsi="Cambria Math"/>
                    </w:rPr>
                    <m:t>м(с)</m:t>
                  </m:r>
                </m:sup>
              </m:sSubSup>
            </m:oMath>
            <w:r w:rsidR="008511CD" w:rsidRPr="001C7762">
              <w:t xml:space="preserve"> - </w:t>
            </w:r>
            <w:r w:rsidR="008511CD" w:rsidRPr="001C7762">
              <w:rPr>
                <w:shd w:val="clear" w:color="auto" w:fill="FFFFFF"/>
              </w:rPr>
              <w:t>цільові показники якості послуг для міської території - 150 хвилин, сільської території - 300 хвилин;</w:t>
            </w:r>
          </w:p>
          <w:p w14:paraId="4F309488" w14:textId="617CFACD" w:rsidR="008511CD" w:rsidRPr="001C7762" w:rsidRDefault="008511CD" w:rsidP="00BC5261">
            <w:pPr>
              <w:pStyle w:val="tj"/>
              <w:shd w:val="clear" w:color="auto" w:fill="FFFFFF"/>
              <w:spacing w:before="0" w:beforeAutospacing="0" w:after="0" w:afterAutospacing="0"/>
              <w:ind w:firstLine="491"/>
              <w:jc w:val="both"/>
            </w:pPr>
          </w:p>
          <w:p w14:paraId="12AE7626" w14:textId="77777777" w:rsidR="008511CD" w:rsidRPr="001C7762" w:rsidRDefault="008511CD" w:rsidP="00BC5261">
            <w:pPr>
              <w:pStyle w:val="tj"/>
              <w:shd w:val="clear" w:color="auto" w:fill="FFFFFF"/>
              <w:spacing w:before="0" w:beforeAutospacing="0" w:after="0" w:afterAutospacing="0"/>
              <w:ind w:firstLine="491"/>
              <w:jc w:val="both"/>
            </w:pPr>
          </w:p>
          <w:p w14:paraId="6E1C563D" w14:textId="77777777" w:rsidR="008511CD" w:rsidRPr="001C7762" w:rsidRDefault="008511CD" w:rsidP="00BC5261">
            <w:pPr>
              <w:pStyle w:val="tj"/>
              <w:shd w:val="clear" w:color="auto" w:fill="FFFFFF"/>
              <w:spacing w:before="0" w:beforeAutospacing="0" w:after="0" w:afterAutospacing="0"/>
              <w:ind w:firstLine="491"/>
              <w:jc w:val="both"/>
            </w:pPr>
          </w:p>
          <w:p w14:paraId="5FAA8DA0" w14:textId="194B5573" w:rsidR="008511CD" w:rsidRPr="001C7762" w:rsidRDefault="008511CD" w:rsidP="00BC5261">
            <w:pPr>
              <w:pStyle w:val="tj"/>
              <w:shd w:val="clear" w:color="auto" w:fill="FFFFFF"/>
              <w:spacing w:before="0" w:beforeAutospacing="0" w:after="0" w:afterAutospacing="0"/>
              <w:ind w:firstLine="491"/>
              <w:jc w:val="both"/>
              <w:rPr>
                <w:shd w:val="clear" w:color="auto" w:fill="FFFFFF"/>
              </w:rPr>
            </w:pPr>
            <w:r w:rsidRPr="001C7762">
              <w:rPr>
                <w:lang w:val="ru-RU"/>
              </w:rPr>
              <w:t xml:space="preserve">19 - </w:t>
            </w:r>
            <w:r w:rsidRPr="001C7762">
              <w:rPr>
                <w:shd w:val="clear" w:color="auto" w:fill="FFFFFF"/>
              </w:rPr>
              <w:t>номер року, починаючи з 2021 року, у якому має бути досягнутий цільовий показник якості послуг.</w:t>
            </w:r>
          </w:p>
          <w:p w14:paraId="66BDEEA8" w14:textId="77777777" w:rsidR="008511CD" w:rsidRPr="001C7762" w:rsidRDefault="008511CD" w:rsidP="00BC5261">
            <w:pPr>
              <w:pStyle w:val="tj"/>
              <w:shd w:val="clear" w:color="auto" w:fill="FFFFFF"/>
              <w:spacing w:before="0" w:beforeAutospacing="0" w:after="0" w:afterAutospacing="0"/>
              <w:ind w:firstLine="491"/>
              <w:jc w:val="both"/>
            </w:pPr>
            <w:r w:rsidRPr="001C7762">
              <w:t>……………………………..</w:t>
            </w:r>
          </w:p>
          <w:p w14:paraId="615EF819" w14:textId="77777777" w:rsidR="008511CD" w:rsidRPr="001C7762" w:rsidRDefault="008511CD" w:rsidP="00BC5261">
            <w:pPr>
              <w:pStyle w:val="tj"/>
              <w:shd w:val="clear" w:color="auto" w:fill="FFFFFF"/>
              <w:spacing w:before="0" w:beforeAutospacing="0" w:after="0" w:afterAutospacing="0"/>
              <w:ind w:firstLine="491"/>
              <w:jc w:val="both"/>
              <w:rPr>
                <w:lang w:val="ru-RU"/>
              </w:rPr>
            </w:pPr>
          </w:p>
          <w:p w14:paraId="5A5BB0AE" w14:textId="3F81551A" w:rsidR="008511CD" w:rsidRPr="001C7762" w:rsidRDefault="000D7C1D" w:rsidP="00BC5261">
            <w:pPr>
              <w:pStyle w:val="tj"/>
              <w:shd w:val="clear" w:color="auto" w:fill="FFFFFF"/>
              <w:spacing w:before="0" w:beforeAutospacing="0" w:after="0" w:afterAutospacing="0"/>
              <w:ind w:firstLine="491"/>
              <w:jc w:val="both"/>
            </w:pPr>
            <w:hyperlink r:id="rId111" w:tgtFrame="_blank" w:history="1">
              <w:r w:rsidR="008511CD" w:rsidRPr="001C7762">
                <w:t>Коригування необхідного доходу відповідно до даних виконання цільового завдання щодо досягнення показників якості послуг за 2022</w:t>
              </w:r>
            </w:hyperlink>
            <w:r w:rsidR="008511CD" w:rsidRPr="001C7762">
              <w:t> </w:t>
            </w:r>
            <w:hyperlink r:id="rId112" w:tgtFrame="_blank" w:history="1">
              <w:r w:rsidR="008511CD" w:rsidRPr="001C7762">
                <w:rPr>
                  <w:b/>
                </w:rPr>
                <w:t>та 2023</w:t>
              </w:r>
              <w:r w:rsidR="008511CD" w:rsidRPr="001C7762">
                <w:t xml:space="preserve"> роки</w:t>
              </w:r>
            </w:hyperlink>
            <w:r w:rsidR="008511CD" w:rsidRPr="001C7762">
              <w:t> </w:t>
            </w:r>
            <w:hyperlink r:id="rId113" w:tgtFrame="_blank" w:history="1">
              <w:r w:rsidR="008511CD" w:rsidRPr="001C7762">
                <w:t>не застосовується.</w:t>
              </w:r>
            </w:hyperlink>
          </w:p>
          <w:p w14:paraId="0A95E5BF" w14:textId="4DF7C106" w:rsidR="008511CD" w:rsidRPr="001C7762" w:rsidRDefault="008511CD" w:rsidP="00BC5261">
            <w:pPr>
              <w:pStyle w:val="tj"/>
              <w:shd w:val="clear" w:color="auto" w:fill="FFFFFF"/>
              <w:spacing w:before="0" w:beforeAutospacing="0" w:after="0" w:afterAutospacing="0"/>
              <w:ind w:firstLine="491"/>
              <w:jc w:val="both"/>
            </w:pPr>
          </w:p>
          <w:p w14:paraId="34B4D753" w14:textId="77777777" w:rsidR="008511CD" w:rsidRPr="001C7762" w:rsidRDefault="008511CD" w:rsidP="00BC5261">
            <w:pPr>
              <w:pStyle w:val="tj"/>
              <w:shd w:val="clear" w:color="auto" w:fill="FFFFFF"/>
              <w:spacing w:before="0" w:beforeAutospacing="0" w:after="0" w:afterAutospacing="0"/>
              <w:ind w:firstLine="491"/>
              <w:jc w:val="both"/>
            </w:pPr>
          </w:p>
          <w:p w14:paraId="718E1ED7" w14:textId="77777777" w:rsidR="008511CD" w:rsidRPr="001C7762" w:rsidRDefault="008511CD" w:rsidP="00BC5261">
            <w:pPr>
              <w:rPr>
                <w:lang w:val="uk-UA"/>
              </w:rPr>
            </w:pPr>
          </w:p>
        </w:tc>
        <w:tc>
          <w:tcPr>
            <w:tcW w:w="7654" w:type="dxa"/>
          </w:tcPr>
          <w:p w14:paraId="6C180C5F" w14:textId="77777777" w:rsidR="008511CD" w:rsidRPr="001C7762" w:rsidRDefault="000D7C1D" w:rsidP="00BC5261">
            <w:pPr>
              <w:pStyle w:val="tj"/>
              <w:shd w:val="clear" w:color="auto" w:fill="FFFFFF"/>
              <w:spacing w:before="0" w:beforeAutospacing="0" w:after="0" w:afterAutospacing="0"/>
              <w:ind w:firstLine="491"/>
              <w:jc w:val="both"/>
            </w:pPr>
            <w:hyperlink r:id="rId114" w:tgtFrame="_blank" w:history="1">
              <w:r w:rsidR="008511CD" w:rsidRPr="001C7762">
                <w:t>7.25.</w:t>
              </w:r>
            </w:hyperlink>
            <w:r w:rsidR="008511CD" w:rsidRPr="001C7762">
              <w:t> Коригування необхідного доходу відповідно до даних виконання цільового завдання щодо досягнення показників якості послуг на рік t (</w:t>
            </w:r>
            <w:proofErr w:type="spellStart"/>
            <w:r w:rsidR="008511CD" w:rsidRPr="001C7762">
              <w:t>КЯ</w:t>
            </w:r>
            <w:r w:rsidR="008511CD" w:rsidRPr="001C7762">
              <w:rPr>
                <w:vertAlign w:val="subscript"/>
              </w:rPr>
              <w:t>t</w:t>
            </w:r>
            <w:proofErr w:type="spellEnd"/>
            <w:r w:rsidR="008511CD" w:rsidRPr="001C7762">
              <w:t>), тис. грн, визначається за формулами:</w:t>
            </w:r>
          </w:p>
          <w:p w14:paraId="719F981D" w14:textId="77777777" w:rsidR="008511CD" w:rsidRPr="001C7762" w:rsidRDefault="008511CD" w:rsidP="00BC5261">
            <w:pPr>
              <w:pStyle w:val="tj"/>
              <w:shd w:val="clear" w:color="auto" w:fill="FFFFFF"/>
              <w:spacing w:before="0" w:beforeAutospacing="0" w:after="0" w:afterAutospacing="0"/>
              <w:ind w:firstLine="491"/>
              <w:jc w:val="both"/>
            </w:pPr>
          </w:p>
          <w:tbl>
            <w:tblPr>
              <w:tblpPr w:leftFromText="180" w:rightFromText="180" w:vertAnchor="text" w:horzAnchor="margin" w:tblpXSpec="center" w:tblpY="-71"/>
              <w:tblOverlap w:val="never"/>
              <w:tblW w:w="6259" w:type="dxa"/>
              <w:tblLayout w:type="fixed"/>
              <w:tblCellMar>
                <w:top w:w="15" w:type="dxa"/>
                <w:left w:w="15" w:type="dxa"/>
                <w:bottom w:w="15" w:type="dxa"/>
                <w:right w:w="15" w:type="dxa"/>
              </w:tblCellMar>
              <w:tblLook w:val="04A0" w:firstRow="1" w:lastRow="0" w:firstColumn="1" w:lastColumn="0" w:noHBand="0" w:noVBand="1"/>
            </w:tblPr>
            <w:tblGrid>
              <w:gridCol w:w="3284"/>
              <w:gridCol w:w="1701"/>
              <w:gridCol w:w="1274"/>
            </w:tblGrid>
            <w:tr w:rsidR="001C7762" w:rsidRPr="001C7762" w14:paraId="70FD9C64" w14:textId="77777777" w:rsidTr="00EE264F">
              <w:tc>
                <w:tcPr>
                  <w:tcW w:w="2623" w:type="pct"/>
                  <w:shd w:val="clear" w:color="auto" w:fill="auto"/>
                  <w:tcMar>
                    <w:top w:w="0" w:type="dxa"/>
                    <w:left w:w="0" w:type="dxa"/>
                    <w:bottom w:w="0" w:type="dxa"/>
                    <w:right w:w="0" w:type="dxa"/>
                  </w:tcMar>
                  <w:vAlign w:val="center"/>
                  <w:hideMark/>
                </w:tcPr>
                <w:p w14:paraId="129B7744" w14:textId="77777777" w:rsidR="008511CD" w:rsidRPr="001C7762" w:rsidRDefault="008511CD" w:rsidP="00BC5261">
                  <w:pPr>
                    <w:pStyle w:val="tr"/>
                    <w:spacing w:before="0" w:beforeAutospacing="0" w:after="0" w:afterAutospacing="0"/>
                    <w:ind w:firstLine="491"/>
                    <w:jc w:val="both"/>
                  </w:pPr>
                  <w:r w:rsidRPr="001C7762">
                    <w:rPr>
                      <w:noProof/>
                    </w:rPr>
                    <w:drawing>
                      <wp:inline distT="0" distB="0" distL="0" distR="0" wp14:anchorId="39EEF8E1" wp14:editId="1FCEA2E9">
                        <wp:extent cx="1447800" cy="207645"/>
                        <wp:effectExtent l="0" t="0" r="0" b="1905"/>
                        <wp:docPr id="27" name="Рисунок 27" descr="https://ips.ligazakon.net/l_flib1.nsf/LookupFiles/GK40721_IMG_310.GIF/$file/GK40721_IMG_310.GIF">
                          <a:hlinkClick xmlns:a="http://schemas.openxmlformats.org/drawingml/2006/main" r:id="rId10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ips.ligazakon.net/l_flib1.nsf/LookupFiles/GK40721_IMG_310.GIF/$file/GK40721_IMG_310.GIF">
                                  <a:hlinkClick r:id="rId105" tgtFrame="&quot;_blank&quot;"/>
                                </pic:cNvPr>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447800" cy="207645"/>
                                </a:xfrm>
                                <a:prstGeom prst="rect">
                                  <a:avLst/>
                                </a:prstGeom>
                                <a:noFill/>
                                <a:ln>
                                  <a:noFill/>
                                </a:ln>
                              </pic:spPr>
                            </pic:pic>
                          </a:graphicData>
                        </a:graphic>
                      </wp:inline>
                    </w:drawing>
                  </w:r>
                </w:p>
              </w:tc>
              <w:tc>
                <w:tcPr>
                  <w:tcW w:w="1359" w:type="pct"/>
                  <w:shd w:val="clear" w:color="auto" w:fill="auto"/>
                  <w:tcMar>
                    <w:top w:w="0" w:type="dxa"/>
                    <w:left w:w="0" w:type="dxa"/>
                    <w:bottom w:w="0" w:type="dxa"/>
                    <w:right w:w="0" w:type="dxa"/>
                  </w:tcMar>
                  <w:vAlign w:val="center"/>
                  <w:hideMark/>
                </w:tcPr>
                <w:p w14:paraId="713B2060" w14:textId="77777777" w:rsidR="008511CD" w:rsidRPr="001C7762" w:rsidRDefault="000D7C1D" w:rsidP="00BC5261">
                  <w:pPr>
                    <w:pStyle w:val="tl"/>
                    <w:spacing w:before="0" w:beforeAutospacing="0" w:after="0" w:afterAutospacing="0"/>
                    <w:ind w:firstLine="491"/>
                    <w:jc w:val="both"/>
                  </w:pPr>
                  <w:hyperlink r:id="rId115" w:tgtFrame="_blank" w:history="1">
                    <w:r w:rsidR="008511CD" w:rsidRPr="001C7762">
                      <w:t>, тис. грн,</w:t>
                    </w:r>
                  </w:hyperlink>
                </w:p>
              </w:tc>
              <w:tc>
                <w:tcPr>
                  <w:tcW w:w="1018" w:type="pct"/>
                  <w:shd w:val="clear" w:color="auto" w:fill="auto"/>
                  <w:tcMar>
                    <w:top w:w="0" w:type="dxa"/>
                    <w:left w:w="0" w:type="dxa"/>
                    <w:bottom w:w="0" w:type="dxa"/>
                    <w:right w:w="0" w:type="dxa"/>
                  </w:tcMar>
                  <w:vAlign w:val="center"/>
                  <w:hideMark/>
                </w:tcPr>
                <w:p w14:paraId="0455F751" w14:textId="77777777" w:rsidR="008511CD" w:rsidRPr="001C7762" w:rsidRDefault="000D7C1D" w:rsidP="00BC5261">
                  <w:pPr>
                    <w:pStyle w:val="tr"/>
                    <w:spacing w:before="0" w:beforeAutospacing="0" w:after="0" w:afterAutospacing="0"/>
                    <w:ind w:firstLine="491"/>
                    <w:jc w:val="both"/>
                  </w:pPr>
                  <w:hyperlink r:id="rId116" w:tgtFrame="_blank" w:history="1">
                    <w:r w:rsidR="008511CD" w:rsidRPr="001C7762">
                      <w:t>(33)</w:t>
                    </w:r>
                  </w:hyperlink>
                </w:p>
              </w:tc>
            </w:tr>
          </w:tbl>
          <w:p w14:paraId="4C658A7C" w14:textId="57E13B50" w:rsidR="008511CD" w:rsidRPr="001C7762" w:rsidRDefault="000D7C1D" w:rsidP="00BC5261">
            <w:pPr>
              <w:pStyle w:val="tj"/>
              <w:shd w:val="clear" w:color="auto" w:fill="FFFFFF"/>
              <w:spacing w:before="0" w:beforeAutospacing="0" w:after="0" w:afterAutospacing="0"/>
              <w:ind w:firstLine="491"/>
              <w:jc w:val="both"/>
              <w:rPr>
                <w:i/>
              </w:rPr>
            </w:pPr>
            <m:oMathPara>
              <m:oMath>
                <m:sSubSup>
                  <m:sSubSupPr>
                    <m:ctrlPr>
                      <w:rPr>
                        <w:rFonts w:ascii="Cambria Math" w:hAnsi="Cambria Math"/>
                        <w:i/>
                      </w:rPr>
                    </m:ctrlPr>
                  </m:sSubSupPr>
                  <m:e>
                    <m:r>
                      <w:rPr>
                        <w:rFonts w:ascii="Cambria Math" w:hAnsi="Cambria Math"/>
                        <w:lang w:val="en-US"/>
                      </w:rPr>
                      <m:t>SAIDI</m:t>
                    </m:r>
                  </m:e>
                  <m:sub>
                    <m:r>
                      <w:rPr>
                        <w:rFonts w:ascii="Cambria Math" w:hAnsi="Cambria Math"/>
                      </w:rPr>
                      <m:t>t-2</m:t>
                    </m:r>
                  </m:sub>
                  <m:sup>
                    <m:r>
                      <w:rPr>
                        <w:rFonts w:ascii="Cambria Math" w:hAnsi="Cambria Math"/>
                      </w:rPr>
                      <m:t>м(с)</m:t>
                    </m:r>
                  </m:sup>
                </m:sSubSup>
                <m:r>
                  <w:rPr>
                    <w:rFonts w:ascii="Cambria Math" w:hAnsi="Cambria Math"/>
                  </w:rPr>
                  <m:t>=</m:t>
                </m:r>
                <m:sSubSup>
                  <m:sSubSupPr>
                    <m:ctrlPr>
                      <w:rPr>
                        <w:rFonts w:ascii="Cambria Math" w:hAnsi="Cambria Math"/>
                        <w:i/>
                        <w:lang w:val="en-US"/>
                      </w:rPr>
                    </m:ctrlPr>
                  </m:sSubSupPr>
                  <m:e>
                    <m:r>
                      <w:rPr>
                        <w:rFonts w:ascii="Cambria Math" w:hAnsi="Cambria Math"/>
                        <w:lang w:val="en-US"/>
                      </w:rPr>
                      <m:t>SAIDI</m:t>
                    </m:r>
                  </m:e>
                  <m:sub>
                    <m:r>
                      <w:rPr>
                        <w:rFonts w:ascii="Cambria Math" w:hAnsi="Cambria Math"/>
                      </w:rPr>
                      <m:t>0</m:t>
                    </m:r>
                  </m:sub>
                  <m:sup>
                    <m:r>
                      <w:rPr>
                        <w:rFonts w:ascii="Cambria Math" w:hAnsi="Cambria Math"/>
                      </w:rPr>
                      <m:t>м(с)</m:t>
                    </m:r>
                  </m:sup>
                </m:sSubSup>
                <m:r>
                  <w:rPr>
                    <w:rFonts w:ascii="Cambria Math" w:hAnsi="Cambria Math"/>
                  </w:rPr>
                  <m:t>-</m:t>
                </m:r>
                <m:f>
                  <m:fPr>
                    <m:ctrlPr>
                      <w:rPr>
                        <w:rFonts w:ascii="Cambria Math" w:hAnsi="Cambria Math"/>
                        <w:i/>
                        <w:lang w:val="en-US"/>
                      </w:rPr>
                    </m:ctrlPr>
                  </m:fPr>
                  <m:num>
                    <m:sSubSup>
                      <m:sSubSupPr>
                        <m:ctrlPr>
                          <w:rPr>
                            <w:rFonts w:ascii="Cambria Math" w:hAnsi="Cambria Math"/>
                            <w:i/>
                            <w:lang w:val="en-US"/>
                          </w:rPr>
                        </m:ctrlPr>
                      </m:sSubSupPr>
                      <m:e>
                        <m:r>
                          <w:rPr>
                            <w:rFonts w:ascii="Cambria Math" w:hAnsi="Cambria Math"/>
                          </w:rPr>
                          <m:t>(</m:t>
                        </m:r>
                        <m:r>
                          <w:rPr>
                            <w:rFonts w:ascii="Cambria Math" w:hAnsi="Cambria Math"/>
                            <w:lang w:val="en-US"/>
                          </w:rPr>
                          <m:t>SAIDI</m:t>
                        </m:r>
                      </m:e>
                      <m:sub>
                        <m:r>
                          <w:rPr>
                            <w:rFonts w:ascii="Cambria Math" w:hAnsi="Cambria Math"/>
                          </w:rPr>
                          <m:t>0</m:t>
                        </m:r>
                      </m:sub>
                      <m:sup>
                        <m:r>
                          <w:rPr>
                            <w:rFonts w:ascii="Cambria Math" w:hAnsi="Cambria Math"/>
                          </w:rPr>
                          <m:t>м(с)</m:t>
                        </m:r>
                      </m:sup>
                    </m:sSubSup>
                    <m:r>
                      <w:rPr>
                        <w:rFonts w:ascii="Cambria Math" w:hAnsi="Cambria Math"/>
                      </w:rPr>
                      <m:t>-</m:t>
                    </m:r>
                    <m:sSubSup>
                      <m:sSubSupPr>
                        <m:ctrlPr>
                          <w:rPr>
                            <w:rFonts w:ascii="Cambria Math" w:hAnsi="Cambria Math"/>
                            <w:i/>
                            <w:lang w:val="en-US"/>
                          </w:rPr>
                        </m:ctrlPr>
                      </m:sSubSupPr>
                      <m:e>
                        <m:r>
                          <w:rPr>
                            <w:rFonts w:ascii="Cambria Math" w:hAnsi="Cambria Math"/>
                            <w:lang w:val="en-US"/>
                          </w:rPr>
                          <m:t>SAIDI</m:t>
                        </m:r>
                      </m:e>
                      <m:sub>
                        <m:r>
                          <w:rPr>
                            <w:rFonts w:ascii="Cambria Math" w:hAnsi="Cambria Math"/>
                          </w:rPr>
                          <m:t>ц</m:t>
                        </m:r>
                      </m:sub>
                      <m:sup>
                        <m:r>
                          <w:rPr>
                            <w:rFonts w:ascii="Cambria Math" w:hAnsi="Cambria Math"/>
                          </w:rPr>
                          <m:t>м(с)</m:t>
                        </m:r>
                      </m:sup>
                    </m:sSubSup>
                    <m:r>
                      <w:rPr>
                        <w:rFonts w:ascii="Cambria Math" w:hAnsi="Cambria Math"/>
                      </w:rPr>
                      <m:t>)</m:t>
                    </m:r>
                  </m:num>
                  <m:den>
                    <m:r>
                      <m:rPr>
                        <m:sty m:val="bi"/>
                      </m:rPr>
                      <w:rPr>
                        <w:rFonts w:ascii="Cambria Math" w:hAnsi="Cambria Math"/>
                      </w:rPr>
                      <m:t>20</m:t>
                    </m:r>
                    <m:r>
                      <w:rPr>
                        <w:rFonts w:ascii="Cambria Math" w:hAnsi="Cambria Math"/>
                      </w:rPr>
                      <m:t>-1</m:t>
                    </m:r>
                  </m:den>
                </m:f>
                <m:r>
                  <w:rPr>
                    <w:rFonts w:ascii="Cambria Math" w:hAnsi="Cambria Math"/>
                    <w:lang w:val="en-US"/>
                  </w:rPr>
                  <m:t xml:space="preserve">  (37)</m:t>
                </m:r>
              </m:oMath>
            </m:oMathPara>
          </w:p>
          <w:p w14:paraId="7281A804" w14:textId="32962A00" w:rsidR="008511CD" w:rsidRPr="001C7762" w:rsidRDefault="008511CD" w:rsidP="00BC5261">
            <w:pPr>
              <w:pStyle w:val="tj"/>
              <w:shd w:val="clear" w:color="auto" w:fill="FFFFFF"/>
              <w:spacing w:before="0" w:beforeAutospacing="0" w:after="0" w:afterAutospacing="0"/>
              <w:ind w:firstLine="491"/>
              <w:jc w:val="both"/>
            </w:pPr>
          </w:p>
          <w:p w14:paraId="5B8D041E" w14:textId="77777777" w:rsidR="008511CD" w:rsidRPr="001C7762" w:rsidRDefault="000D7C1D" w:rsidP="00BC5261">
            <w:pPr>
              <w:pStyle w:val="rvps2"/>
              <w:shd w:val="clear" w:color="auto" w:fill="FFFFFF"/>
              <w:spacing w:before="0" w:beforeAutospacing="0" w:after="0" w:afterAutospacing="0"/>
              <w:ind w:firstLine="488"/>
              <w:jc w:val="both"/>
              <w:rPr>
                <w:b/>
              </w:rPr>
            </w:pPr>
            <m:oMath>
              <m:sSubSup>
                <m:sSubSupPr>
                  <m:ctrlPr>
                    <w:rPr>
                      <w:rFonts w:ascii="Cambria Math" w:hAnsi="Cambria Math"/>
                      <w:i/>
                      <w:lang w:val="en-US"/>
                    </w:rPr>
                  </m:ctrlPr>
                </m:sSubSupPr>
                <m:e>
                  <m:r>
                    <w:rPr>
                      <w:rFonts w:ascii="Cambria Math" w:hAnsi="Cambria Math"/>
                      <w:lang w:val="en-US"/>
                    </w:rPr>
                    <m:t>SAIDI</m:t>
                  </m:r>
                </m:e>
                <m:sub>
                  <m:r>
                    <w:rPr>
                      <w:rFonts w:ascii="Cambria Math" w:hAnsi="Cambria Math"/>
                    </w:rPr>
                    <m:t>ц</m:t>
                  </m:r>
                </m:sub>
                <m:sup>
                  <m:r>
                    <w:rPr>
                      <w:rFonts w:ascii="Cambria Math" w:hAnsi="Cambria Math"/>
                    </w:rPr>
                    <m:t>м(с)</m:t>
                  </m:r>
                </m:sup>
              </m:sSubSup>
            </m:oMath>
            <w:r w:rsidR="008511CD" w:rsidRPr="001C7762">
              <w:t xml:space="preserve"> - </w:t>
            </w:r>
            <w:r w:rsidR="008511CD" w:rsidRPr="001C7762">
              <w:rPr>
                <w:shd w:val="clear" w:color="auto" w:fill="FFFFFF"/>
              </w:rPr>
              <w:t xml:space="preserve">цільові показники якості послуг для міської території - 150 хвилин, сільської території - 300 хвилин. </w:t>
            </w:r>
            <w:r w:rsidR="008511CD" w:rsidRPr="001C7762">
              <w:rPr>
                <w:b/>
                <w:shd w:val="clear" w:color="auto" w:fill="FFFFFF"/>
              </w:rPr>
              <w:t>Розподіл за категоріями населених пунктів (міська/сільська території) фіксується на дату встановлення цільових показників якості послуг;</w:t>
            </w:r>
          </w:p>
          <w:p w14:paraId="6021284A" w14:textId="4BE3D4FB" w:rsidR="008511CD" w:rsidRPr="001C7762" w:rsidRDefault="008511CD" w:rsidP="00BC5261">
            <w:pPr>
              <w:pStyle w:val="tj"/>
              <w:shd w:val="clear" w:color="auto" w:fill="FFFFFF"/>
              <w:spacing w:before="0" w:beforeAutospacing="0" w:after="0" w:afterAutospacing="0"/>
              <w:ind w:firstLine="491"/>
              <w:jc w:val="both"/>
              <w:rPr>
                <w:b/>
              </w:rPr>
            </w:pPr>
          </w:p>
          <w:p w14:paraId="28B3BDC6" w14:textId="620C458E" w:rsidR="008511CD" w:rsidRPr="001C7762" w:rsidRDefault="008511CD" w:rsidP="00BC5261">
            <w:pPr>
              <w:pStyle w:val="tj"/>
              <w:shd w:val="clear" w:color="auto" w:fill="FFFFFF"/>
              <w:spacing w:before="0" w:beforeAutospacing="0" w:after="0" w:afterAutospacing="0"/>
              <w:ind w:firstLine="491"/>
              <w:jc w:val="both"/>
              <w:rPr>
                <w:shd w:val="clear" w:color="auto" w:fill="FFFFFF"/>
              </w:rPr>
            </w:pPr>
            <w:r w:rsidRPr="001C7762">
              <w:rPr>
                <w:b/>
                <w:lang w:val="ru-RU"/>
              </w:rPr>
              <w:t>20</w:t>
            </w:r>
            <w:r w:rsidRPr="001C7762">
              <w:rPr>
                <w:lang w:val="ru-RU"/>
              </w:rPr>
              <w:t xml:space="preserve"> - </w:t>
            </w:r>
            <w:r w:rsidRPr="001C7762">
              <w:rPr>
                <w:shd w:val="clear" w:color="auto" w:fill="FFFFFF"/>
              </w:rPr>
              <w:t>номер року, починаючи з 2021 року, у якому має бути досягнутий цільовий показник якості послуг.</w:t>
            </w:r>
          </w:p>
          <w:p w14:paraId="6E7E8F16" w14:textId="76AD5423" w:rsidR="008511CD" w:rsidRPr="001C7762" w:rsidRDefault="008511CD" w:rsidP="00BC5261">
            <w:pPr>
              <w:pStyle w:val="tj"/>
              <w:shd w:val="clear" w:color="auto" w:fill="FFFFFF"/>
              <w:spacing w:before="0" w:beforeAutospacing="0" w:after="0" w:afterAutospacing="0"/>
              <w:ind w:firstLine="491"/>
              <w:jc w:val="both"/>
            </w:pPr>
            <w:r w:rsidRPr="001C7762">
              <w:t>……………………………..</w:t>
            </w:r>
          </w:p>
          <w:p w14:paraId="63594C54" w14:textId="77777777" w:rsidR="007F6841" w:rsidRPr="001C7762" w:rsidRDefault="007F6841" w:rsidP="007F6841">
            <w:pPr>
              <w:pStyle w:val="tj"/>
              <w:shd w:val="clear" w:color="auto" w:fill="FFFFFF"/>
              <w:spacing w:before="0" w:beforeAutospacing="0" w:after="0" w:afterAutospacing="0"/>
              <w:ind w:firstLine="491"/>
              <w:jc w:val="both"/>
              <w:rPr>
                <w:b/>
              </w:rPr>
            </w:pPr>
          </w:p>
          <w:p w14:paraId="74421DC8" w14:textId="5F025045" w:rsidR="008511CD" w:rsidRPr="001C7762" w:rsidRDefault="008511CD" w:rsidP="007F6841">
            <w:pPr>
              <w:pStyle w:val="tj"/>
              <w:shd w:val="clear" w:color="auto" w:fill="FFFFFF"/>
              <w:spacing w:before="0" w:beforeAutospacing="0" w:after="0" w:afterAutospacing="0"/>
              <w:ind w:firstLine="491"/>
              <w:jc w:val="both"/>
            </w:pPr>
            <w:r w:rsidRPr="001C7762">
              <w:lastRenderedPageBreak/>
              <w:t>Коригування необхідного доходу відповідно до даних виконання цільового завдання щодо досягнення показників якості послуг за 2022 та 2023 роки не застосовується</w:t>
            </w:r>
            <w:r w:rsidRPr="001C7762">
              <w:rPr>
                <w:b/>
              </w:rPr>
              <w:t>, за 2024 рік - не застосовується до ліцензіатів, наведених у додатку 32 до цього Порядку</w:t>
            </w:r>
            <w:r w:rsidRPr="001C7762">
              <w:t>.</w:t>
            </w:r>
          </w:p>
        </w:tc>
      </w:tr>
      <w:tr w:rsidR="001C7762" w:rsidRPr="001C7762" w14:paraId="1B02C440" w14:textId="77777777" w:rsidTr="00F549E8">
        <w:tc>
          <w:tcPr>
            <w:tcW w:w="7655" w:type="dxa"/>
          </w:tcPr>
          <w:p w14:paraId="472FA991" w14:textId="77777777" w:rsidR="008511CD" w:rsidRPr="001C7762" w:rsidRDefault="008511CD" w:rsidP="00BC5261">
            <w:pPr>
              <w:pStyle w:val="tj"/>
              <w:shd w:val="clear" w:color="auto" w:fill="FFFFFF"/>
              <w:spacing w:before="0" w:beforeAutospacing="0" w:after="0" w:afterAutospacing="0"/>
              <w:ind w:firstLine="491"/>
              <w:jc w:val="both"/>
            </w:pPr>
            <w:r w:rsidRPr="001C7762">
              <w:lastRenderedPageBreak/>
              <w:t>Глава 8</w:t>
            </w:r>
          </w:p>
          <w:p w14:paraId="0A88F10D" w14:textId="77777777" w:rsidR="008511CD" w:rsidRPr="001C7762" w:rsidRDefault="008511CD" w:rsidP="00BC5261">
            <w:pPr>
              <w:pStyle w:val="tj"/>
              <w:shd w:val="clear" w:color="auto" w:fill="FFFFFF"/>
              <w:spacing w:before="0" w:beforeAutospacing="0" w:after="0" w:afterAutospacing="0"/>
              <w:ind w:firstLine="491"/>
              <w:jc w:val="both"/>
            </w:pPr>
            <w:r w:rsidRPr="001C7762">
              <w:t>8.1. Тариф на послуги з розподілу електричної енергії розраховується для споживачів </w:t>
            </w:r>
            <w:hyperlink r:id="rId117" w:tgtFrame="_blank" w:history="1">
              <w:r w:rsidRPr="001C7762">
                <w:t>та операторів установок зберігання енергії </w:t>
              </w:r>
            </w:hyperlink>
            <w:r w:rsidRPr="001C7762">
              <w:t>відповідного класу напруги.</w:t>
            </w:r>
          </w:p>
          <w:p w14:paraId="42943D3D" w14:textId="77777777" w:rsidR="008511CD" w:rsidRPr="001C7762" w:rsidRDefault="008511CD" w:rsidP="00BC5261">
            <w:pPr>
              <w:pStyle w:val="tj"/>
              <w:shd w:val="clear" w:color="auto" w:fill="FFFFFF"/>
              <w:spacing w:before="0" w:beforeAutospacing="0" w:after="0" w:afterAutospacing="0"/>
              <w:ind w:firstLine="491"/>
              <w:jc w:val="both"/>
            </w:pPr>
            <w:r w:rsidRPr="001C7762">
              <w:t>………………………………</w:t>
            </w:r>
          </w:p>
          <w:p w14:paraId="4BFE2BDE" w14:textId="77777777" w:rsidR="008511CD" w:rsidRPr="001C7762" w:rsidRDefault="008511CD" w:rsidP="00BC5261">
            <w:pPr>
              <w:pStyle w:val="tj"/>
              <w:shd w:val="clear" w:color="auto" w:fill="FFFFFF"/>
              <w:spacing w:before="120" w:beforeAutospacing="0" w:after="0" w:afterAutospacing="0"/>
              <w:ind w:firstLine="493"/>
              <w:jc w:val="both"/>
            </w:pPr>
            <w:r w:rsidRPr="001C7762">
              <w:t>Базою розподілу прогнозованих витрат/прогнозованого необхідного доходу (за винятком вартості витрат, пов'язаних із закупівлею електричної енергії з метою компенсації технологічних витрат електричної енергії на її розподіл) від здійснення діяльності з розподілу за класами напруги є кількість умовних одиниць енергетичного обладнання</w:t>
            </w:r>
            <w:hyperlink r:id="rId118" w:tgtFrame="_blank" w:history="1">
              <w:r w:rsidRPr="001C7762">
                <w:t>, віднесених до відповідного класу</w:t>
              </w:r>
            </w:hyperlink>
            <w:r w:rsidRPr="001C7762">
              <w:t> напруги.</w:t>
            </w:r>
          </w:p>
          <w:p w14:paraId="70E5D443" w14:textId="6B0E7B87" w:rsidR="008511CD" w:rsidRPr="001C7762" w:rsidRDefault="008511CD" w:rsidP="00BC5261">
            <w:pPr>
              <w:pStyle w:val="tj"/>
              <w:shd w:val="clear" w:color="auto" w:fill="FFFFFF"/>
              <w:spacing w:before="120" w:beforeAutospacing="0" w:after="0" w:afterAutospacing="0"/>
              <w:ind w:firstLine="493"/>
              <w:jc w:val="both"/>
            </w:pPr>
            <w:r w:rsidRPr="001C7762">
              <w:t xml:space="preserve">Для </w:t>
            </w:r>
            <w:r w:rsidRPr="000D7C1D">
              <w:t>ліцензіатів, перелік яких наведено в додатку 30 до цього Порядку, на 2024 рік співвідношення кількості умовних одиниць енергетичного обладнання на 1 та 2 класах напруги фіксується на рівні, врахованому в тарифах 2023 року</w:t>
            </w:r>
            <w:r w:rsidRPr="001C7762">
              <w:t>.</w:t>
            </w:r>
          </w:p>
          <w:p w14:paraId="3DC15C81" w14:textId="77777777" w:rsidR="008511CD" w:rsidRPr="001C7762" w:rsidRDefault="008511CD" w:rsidP="00BC5261">
            <w:pPr>
              <w:rPr>
                <w:lang w:val="uk-UA"/>
              </w:rPr>
            </w:pPr>
          </w:p>
        </w:tc>
        <w:tc>
          <w:tcPr>
            <w:tcW w:w="7654" w:type="dxa"/>
          </w:tcPr>
          <w:p w14:paraId="5BFC5BEE" w14:textId="77777777" w:rsidR="008511CD" w:rsidRPr="001C7762" w:rsidRDefault="008511CD" w:rsidP="00BC5261">
            <w:pPr>
              <w:pStyle w:val="tj"/>
              <w:shd w:val="clear" w:color="auto" w:fill="FFFFFF"/>
              <w:spacing w:before="0" w:beforeAutospacing="0" w:after="0" w:afterAutospacing="0"/>
              <w:ind w:firstLine="491"/>
              <w:jc w:val="both"/>
            </w:pPr>
            <w:r w:rsidRPr="001C7762">
              <w:t>Глава 8</w:t>
            </w:r>
          </w:p>
          <w:p w14:paraId="7B5F946C" w14:textId="77777777" w:rsidR="008511CD" w:rsidRPr="001C7762" w:rsidRDefault="008511CD" w:rsidP="00BC5261">
            <w:pPr>
              <w:pStyle w:val="tj"/>
              <w:shd w:val="clear" w:color="auto" w:fill="FFFFFF"/>
              <w:spacing w:before="0" w:beforeAutospacing="0" w:after="0" w:afterAutospacing="0"/>
              <w:ind w:firstLine="491"/>
              <w:jc w:val="both"/>
            </w:pPr>
            <w:r w:rsidRPr="001C7762">
              <w:t>8.1. Тариф на послуги з розподілу електричної енергії розраховується для споживачів </w:t>
            </w:r>
            <w:hyperlink r:id="rId119" w:tgtFrame="_blank" w:history="1">
              <w:r w:rsidRPr="001C7762">
                <w:t>та операторів установок зберігання енергії </w:t>
              </w:r>
            </w:hyperlink>
            <w:r w:rsidRPr="001C7762">
              <w:t>відповідного класу напруги.</w:t>
            </w:r>
          </w:p>
          <w:p w14:paraId="1CCDE0B5" w14:textId="77777777" w:rsidR="008511CD" w:rsidRPr="001C7762" w:rsidRDefault="008511CD" w:rsidP="00BC5261">
            <w:pPr>
              <w:pStyle w:val="tj"/>
              <w:shd w:val="clear" w:color="auto" w:fill="FFFFFF"/>
              <w:spacing w:before="0" w:beforeAutospacing="0" w:after="0" w:afterAutospacing="0"/>
              <w:ind w:firstLine="491"/>
              <w:jc w:val="both"/>
            </w:pPr>
            <w:r w:rsidRPr="001C7762">
              <w:t>………………………………</w:t>
            </w:r>
          </w:p>
          <w:p w14:paraId="213241C5" w14:textId="77777777" w:rsidR="008511CD" w:rsidRPr="001C7762" w:rsidRDefault="008511CD" w:rsidP="00BC5261">
            <w:pPr>
              <w:pStyle w:val="tj"/>
              <w:shd w:val="clear" w:color="auto" w:fill="FFFFFF"/>
              <w:spacing w:before="120" w:beforeAutospacing="0" w:after="0" w:afterAutospacing="0"/>
              <w:ind w:firstLine="491"/>
              <w:jc w:val="both"/>
            </w:pPr>
            <w:r w:rsidRPr="001C7762">
              <w:t>Базою розподілу прогнозованих витрат/прогнозованого необхідного доходу (за винятком вартості витрат, пов'язаних із закупівлею електричної енергії з метою компенсації технологічних витрат електричної енергії на її розподіл) від здійснення діяльності з розподілу за класами напруги є кількість умовних одиниць енергетичного обладнання</w:t>
            </w:r>
            <w:hyperlink r:id="rId120" w:tgtFrame="_blank" w:history="1">
              <w:r w:rsidRPr="001C7762">
                <w:t>, віднесених до відповідного класу</w:t>
              </w:r>
            </w:hyperlink>
            <w:r w:rsidRPr="001C7762">
              <w:t> напруги.</w:t>
            </w:r>
          </w:p>
          <w:p w14:paraId="3E068400" w14:textId="434AD251" w:rsidR="008511CD" w:rsidRPr="001C7762" w:rsidRDefault="008511CD" w:rsidP="00BC5261">
            <w:pPr>
              <w:rPr>
                <w:lang w:val="uk-UA"/>
              </w:rPr>
            </w:pPr>
            <w:r w:rsidRPr="001C7762">
              <w:rPr>
                <w:lang w:val="uk-UA" w:eastAsia="uk-UA"/>
              </w:rPr>
              <w:t xml:space="preserve">Для ліцензіатів, перелік яких наведено в додатку 30 до цього Порядку, на 2024 </w:t>
            </w:r>
            <w:r w:rsidRPr="001C7762">
              <w:rPr>
                <w:b/>
                <w:lang w:val="uk-UA" w:eastAsia="uk-UA"/>
              </w:rPr>
              <w:t>та 2025 роки</w:t>
            </w:r>
            <w:r w:rsidRPr="001C7762">
              <w:rPr>
                <w:lang w:val="uk-UA" w:eastAsia="uk-UA"/>
              </w:rPr>
              <w:t xml:space="preserve"> співвідношення кількості умовних одиниць енергетичного обладнання на 1 та 2 класах напруги фіксується на рівні, врахованому в тарифах </w:t>
            </w:r>
            <w:r w:rsidRPr="001C7762">
              <w:rPr>
                <w:b/>
                <w:lang w:val="uk-UA" w:eastAsia="uk-UA"/>
              </w:rPr>
              <w:t>2023 року.</w:t>
            </w:r>
          </w:p>
        </w:tc>
      </w:tr>
      <w:tr w:rsidR="001C7762" w:rsidRPr="001C7762" w14:paraId="3A1EF506" w14:textId="77777777" w:rsidTr="00F549E8">
        <w:tc>
          <w:tcPr>
            <w:tcW w:w="7655" w:type="dxa"/>
          </w:tcPr>
          <w:p w14:paraId="4BD818B0" w14:textId="77777777" w:rsidR="008511CD" w:rsidRPr="001C7762" w:rsidRDefault="008511CD" w:rsidP="00BC5261">
            <w:pPr>
              <w:pStyle w:val="rvps2"/>
              <w:spacing w:before="0" w:beforeAutospacing="0" w:after="0" w:afterAutospacing="0"/>
              <w:ind w:firstLine="491"/>
              <w:jc w:val="both"/>
            </w:pPr>
            <w:r w:rsidRPr="001C7762">
              <w:t>8.3. Тариф на послуги з розподілу електричної енергії для споживачів та операторів установок зберігання енергії 1 класу напруги розраховується за формулою</w:t>
            </w:r>
          </w:p>
          <w:p w14:paraId="3C380422" w14:textId="77777777" w:rsidR="008511CD" w:rsidRPr="001C7762" w:rsidRDefault="008511CD" w:rsidP="00BC5261">
            <w:pPr>
              <w:pStyle w:val="rvps2"/>
              <w:spacing w:before="0" w:beforeAutospacing="0" w:after="0" w:afterAutospacing="0"/>
              <w:ind w:firstLine="491"/>
              <w:jc w:val="both"/>
            </w:pPr>
          </w:p>
          <w:tbl>
            <w:tblPr>
              <w:tblW w:w="4700" w:type="pct"/>
              <w:tblLayout w:type="fixed"/>
              <w:tblCellMar>
                <w:left w:w="0" w:type="dxa"/>
                <w:right w:w="0" w:type="dxa"/>
              </w:tblCellMar>
              <w:tblLook w:val="04A0" w:firstRow="1" w:lastRow="0" w:firstColumn="1" w:lastColumn="0" w:noHBand="0" w:noVBand="1"/>
            </w:tblPr>
            <w:tblGrid>
              <w:gridCol w:w="6380"/>
              <w:gridCol w:w="613"/>
            </w:tblGrid>
            <w:tr w:rsidR="001C7762" w:rsidRPr="001C7762" w14:paraId="7B362E29" w14:textId="77777777" w:rsidTr="00EE264F">
              <w:tc>
                <w:tcPr>
                  <w:tcW w:w="4432" w:type="dxa"/>
                  <w:hideMark/>
                </w:tcPr>
                <w:p w14:paraId="4C037148" w14:textId="77777777" w:rsidR="008511CD" w:rsidRPr="001C7762" w:rsidRDefault="008511CD" w:rsidP="000D7C1D">
                  <w:pPr>
                    <w:pStyle w:val="rvps12"/>
                    <w:framePr w:hSpace="180" w:wrap="around" w:vAnchor="text" w:hAnchor="text" w:y="1"/>
                    <w:spacing w:before="0" w:beforeAutospacing="0" w:after="0" w:afterAutospacing="0" w:line="256" w:lineRule="auto"/>
                    <w:ind w:firstLine="491"/>
                    <w:suppressOverlap/>
                    <w:jc w:val="center"/>
                  </w:pPr>
                  <w:bookmarkStart w:id="15" w:name="n358"/>
                  <w:bookmarkStart w:id="16" w:name="n572"/>
                  <w:bookmarkEnd w:id="15"/>
                  <w:bookmarkEnd w:id="16"/>
                  <w:r w:rsidRPr="001C7762">
                    <w:rPr>
                      <w:noProof/>
                    </w:rPr>
                    <w:drawing>
                      <wp:inline distT="0" distB="0" distL="0" distR="0" wp14:anchorId="4B4BEA94" wp14:editId="2EC94045">
                        <wp:extent cx="2036445" cy="311785"/>
                        <wp:effectExtent l="0" t="0" r="190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28"/>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2036445" cy="311785"/>
                                </a:xfrm>
                                <a:prstGeom prst="rect">
                                  <a:avLst/>
                                </a:prstGeom>
                                <a:noFill/>
                                <a:ln>
                                  <a:noFill/>
                                </a:ln>
                              </pic:spPr>
                            </pic:pic>
                          </a:graphicData>
                        </a:graphic>
                      </wp:inline>
                    </w:drawing>
                  </w:r>
                </w:p>
              </w:tc>
              <w:tc>
                <w:tcPr>
                  <w:tcW w:w="426" w:type="dxa"/>
                  <w:hideMark/>
                </w:tcPr>
                <w:p w14:paraId="3B1DA455" w14:textId="77777777" w:rsidR="008511CD" w:rsidRPr="001C7762" w:rsidRDefault="008511CD" w:rsidP="000D7C1D">
                  <w:pPr>
                    <w:pStyle w:val="rvps14"/>
                    <w:framePr w:hSpace="180" w:wrap="around" w:vAnchor="text" w:hAnchor="text" w:y="1"/>
                    <w:spacing w:before="0" w:beforeAutospacing="0" w:after="0" w:afterAutospacing="0" w:line="256" w:lineRule="auto"/>
                    <w:suppressOverlap/>
                  </w:pPr>
                  <w:r w:rsidRPr="001C7762">
                    <w:t>(39)</w:t>
                  </w:r>
                </w:p>
              </w:tc>
            </w:tr>
          </w:tbl>
          <w:p w14:paraId="6895E090" w14:textId="77777777" w:rsidR="008511CD" w:rsidRPr="001C7762" w:rsidRDefault="008511CD" w:rsidP="00BC5261">
            <w:pPr>
              <w:pStyle w:val="rvps2"/>
              <w:spacing w:before="0" w:beforeAutospacing="0" w:after="0" w:afterAutospacing="0"/>
              <w:ind w:firstLine="491"/>
              <w:jc w:val="both"/>
              <w:rPr>
                <w:shd w:val="clear" w:color="auto" w:fill="FFFFFF"/>
              </w:rPr>
            </w:pPr>
            <w:bookmarkStart w:id="17" w:name="n305"/>
            <w:bookmarkStart w:id="18" w:name="n575"/>
            <w:bookmarkEnd w:id="17"/>
            <w:bookmarkEnd w:id="18"/>
            <w:r w:rsidRPr="001C7762">
              <w:t>………………………………</w:t>
            </w:r>
          </w:p>
          <w:p w14:paraId="58D4F650" w14:textId="11EE1BDF" w:rsidR="008511CD" w:rsidRPr="001C7762" w:rsidRDefault="000D7C1D" w:rsidP="00BC5261">
            <w:pPr>
              <w:pStyle w:val="rvps2"/>
              <w:spacing w:before="120" w:beforeAutospacing="0" w:after="0" w:afterAutospacing="0"/>
              <w:ind w:firstLine="493"/>
              <w:jc w:val="both"/>
            </w:pPr>
            <w:r>
              <w:pict w14:anchorId="5F7CA523">
                <v:shape id="_x0000_i1027" type="#_x0000_t75" alt="https://ips.ligazakon.net/l_flib1.nsf/LookupFiles/GK40721_IMG_326.GIF/$file/GK40721_IMG_326.GIF" href="https://ips.ligazakon.net/document/view/gk55262?ed=2023_11_29&amp;an=37" target="&quot;_blank&quot;" style="width:21.3pt;height:14.4pt;visibility:visible;mso-wrap-style:square" o:button="t">
                  <v:imagedata r:id="rId122" o:title="GK40721_IMG_326"/>
                </v:shape>
              </w:pict>
            </w:r>
            <w:r w:rsidR="008511CD" w:rsidRPr="001C7762">
              <w:t xml:space="preserve">- прогнозований обсяг електричної енергії, що розподіляється на 1 класі напруги (крім ліцензіатів, перелік яких наведено в додатку 30 </w:t>
            </w:r>
            <w:r w:rsidR="008511CD" w:rsidRPr="001C7762">
              <w:lastRenderedPageBreak/>
              <w:t xml:space="preserve">до цього Порядку, для яких на </w:t>
            </w:r>
            <w:r w:rsidR="008511CD" w:rsidRPr="001C7762">
              <w:rPr>
                <w:b/>
              </w:rPr>
              <w:t>2024 рік</w:t>
            </w:r>
            <w:r w:rsidR="008511CD" w:rsidRPr="001C7762">
              <w:t xml:space="preserve"> </w:t>
            </w:r>
            <w:r w:rsidR="008511CD" w:rsidRPr="001C7762">
              <w:rPr>
                <w:noProof/>
                <w:shd w:val="clear" w:color="auto" w:fill="FFFFFF"/>
              </w:rPr>
              <w:drawing>
                <wp:inline distT="0" distB="0" distL="0" distR="0" wp14:anchorId="6BA8C0F1" wp14:editId="52DC5003">
                  <wp:extent cx="276802" cy="186502"/>
                  <wp:effectExtent l="0" t="0" r="0" b="4445"/>
                  <wp:docPr id="34" name="Рисунок 34" descr="https://ips.ligazakon.net/l_flib1.nsf/LookupFiles/GK40721_IMG_326.GIF/$file/GK40721_IMG_3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Рисунок 34" descr="https://ips.ligazakon.net/l_flib1.nsf/LookupFiles/GK40721_IMG_326.GIF/$file/GK40721_IMG_326.GIF"/>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79136" cy="188075"/>
                          </a:xfrm>
                          <a:prstGeom prst="rect">
                            <a:avLst/>
                          </a:prstGeom>
                          <a:noFill/>
                          <a:ln>
                            <a:noFill/>
                          </a:ln>
                        </pic:spPr>
                      </pic:pic>
                    </a:graphicData>
                  </a:graphic>
                </wp:inline>
              </w:drawing>
            </w:r>
            <w:r w:rsidR="008511CD" w:rsidRPr="001C7762">
              <w:t xml:space="preserve"> фіксується на рівні, врахованому в тарифах </w:t>
            </w:r>
            <w:r w:rsidR="008511CD" w:rsidRPr="001C7762">
              <w:rPr>
                <w:b/>
              </w:rPr>
              <w:t>2023 року</w:t>
            </w:r>
            <w:r w:rsidR="008511CD" w:rsidRPr="001C7762">
              <w:t xml:space="preserve">), </w:t>
            </w:r>
            <w:proofErr w:type="spellStart"/>
            <w:r w:rsidR="008511CD" w:rsidRPr="001C7762">
              <w:t>МВт·год</w:t>
            </w:r>
            <w:proofErr w:type="spellEnd"/>
            <w:r w:rsidR="008511CD" w:rsidRPr="001C7762">
              <w:t>.</w:t>
            </w:r>
          </w:p>
          <w:p w14:paraId="7CFA3A85" w14:textId="37473F42" w:rsidR="008511CD" w:rsidRPr="001C7762" w:rsidRDefault="008511CD" w:rsidP="00BC5261">
            <w:pPr>
              <w:pStyle w:val="tj"/>
              <w:shd w:val="clear" w:color="auto" w:fill="FFFFFF"/>
              <w:spacing w:before="120" w:beforeAutospacing="0" w:after="0" w:afterAutospacing="0"/>
              <w:ind w:firstLine="493"/>
              <w:jc w:val="both"/>
            </w:pPr>
            <w:r w:rsidRPr="001C7762">
              <w:t>Обсяг електричної енергії, що розподіляється на 1 класі напруги, складається з обсягу корисного відпуску електричної енергії на 1 класі напруги, а також обсягу трансформації електричної енергії з 1 на 2 клас напруги.</w:t>
            </w:r>
          </w:p>
          <w:p w14:paraId="26A3E9E4" w14:textId="77777777" w:rsidR="008511CD" w:rsidRPr="001C7762" w:rsidRDefault="008511CD" w:rsidP="00BC5261">
            <w:pPr>
              <w:pStyle w:val="tj"/>
              <w:shd w:val="clear" w:color="auto" w:fill="FFFFFF"/>
              <w:spacing w:before="120" w:beforeAutospacing="0" w:after="0" w:afterAutospacing="0"/>
              <w:ind w:firstLine="493"/>
              <w:jc w:val="both"/>
            </w:pPr>
            <w:r w:rsidRPr="001C7762">
              <w:t>Прогнозований обсяг електричної енергії, що розподіляється на 1 класі напруги, розраховується за формулою</w:t>
            </w:r>
          </w:p>
          <w:p w14:paraId="7950A71E" w14:textId="77777777" w:rsidR="008511CD" w:rsidRPr="001C7762" w:rsidRDefault="008511CD" w:rsidP="00BC5261">
            <w:pPr>
              <w:pStyle w:val="tc"/>
              <w:shd w:val="clear" w:color="auto" w:fill="FFFFFF"/>
              <w:spacing w:before="120" w:beforeAutospacing="0" w:after="0" w:afterAutospacing="0"/>
              <w:ind w:firstLine="493"/>
              <w:jc w:val="center"/>
            </w:pPr>
            <w:r w:rsidRPr="001C7762">
              <w:rPr>
                <w:noProof/>
              </w:rPr>
              <w:drawing>
                <wp:inline distT="0" distB="0" distL="0" distR="0" wp14:anchorId="21A55CD9" wp14:editId="5FE7B4DE">
                  <wp:extent cx="1121641" cy="196875"/>
                  <wp:effectExtent l="0" t="0" r="2540" b="0"/>
                  <wp:docPr id="44" name="Рисунок 44" descr="https://ips.ligazakon.net/l_flib1.nsf/LookupFiles/GK40721_IMG_146.gif/$file/GK40721_IMG_1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ips.ligazakon.net/l_flib1.nsf/LookupFiles/GK40721_IMG_146.gif/$file/GK40721_IMG_146.gif"/>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135083" cy="199234"/>
                          </a:xfrm>
                          <a:prstGeom prst="rect">
                            <a:avLst/>
                          </a:prstGeom>
                          <a:noFill/>
                          <a:ln>
                            <a:noFill/>
                          </a:ln>
                        </pic:spPr>
                      </pic:pic>
                    </a:graphicData>
                  </a:graphic>
                </wp:inline>
              </w:drawing>
            </w:r>
            <w:r w:rsidRPr="001C7762">
              <w:t xml:space="preserve">, </w:t>
            </w:r>
            <w:proofErr w:type="spellStart"/>
            <w:r w:rsidRPr="001C7762">
              <w:t>МВт·год</w:t>
            </w:r>
            <w:proofErr w:type="spellEnd"/>
            <w:r w:rsidRPr="001C7762">
              <w:t>, (</w:t>
            </w:r>
            <w:hyperlink r:id="rId125" w:tgtFrame="_blank" w:history="1">
              <w:r w:rsidRPr="001C7762">
                <w:t>40</w:t>
              </w:r>
            </w:hyperlink>
            <w:r w:rsidRPr="001C7762">
              <w:t>)</w:t>
            </w:r>
          </w:p>
          <w:p w14:paraId="26281B31" w14:textId="3FD9E57E" w:rsidR="008511CD" w:rsidRPr="001C7762" w:rsidRDefault="000D7C1D" w:rsidP="00BC5261">
            <w:pPr>
              <w:pStyle w:val="tj"/>
              <w:shd w:val="clear" w:color="auto" w:fill="FFFFFF"/>
              <w:spacing w:before="120" w:beforeAutospacing="0" w:after="0" w:afterAutospacing="0"/>
              <w:ind w:firstLine="493"/>
              <w:jc w:val="both"/>
            </w:pPr>
            <w:hyperlink r:id="rId126" w:tgtFrame="_blank" w:history="1">
              <w:r w:rsidR="008511CD" w:rsidRPr="001C7762">
                <w:t>де </w:t>
              </w:r>
              <w:r w:rsidR="008511CD" w:rsidRPr="001C7762">
                <w:rPr>
                  <w:noProof/>
                </w:rPr>
                <w:drawing>
                  <wp:inline distT="0" distB="0" distL="0" distR="0" wp14:anchorId="57127FCA" wp14:editId="68F66877">
                    <wp:extent cx="258806" cy="214803"/>
                    <wp:effectExtent l="0" t="0" r="8255" b="0"/>
                    <wp:docPr id="43" name="Рисунок 43" descr="https://ips.ligazakon.net/l_flib1.nsf/LookupFiles/GK40721_IMG_286.GIF/$file/GK40721_IMG_2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Рисунок 43" descr="https://ips.ligazakon.net/l_flib1.nsf/LookupFiles/GK40721_IMG_286.GIF/$file/GK40721_IMG_286.GIF"/>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259530" cy="215404"/>
                            </a:xfrm>
                            <a:prstGeom prst="rect">
                              <a:avLst/>
                            </a:prstGeom>
                            <a:noFill/>
                            <a:ln>
                              <a:noFill/>
                            </a:ln>
                          </pic:spPr>
                        </pic:pic>
                      </a:graphicData>
                    </a:graphic>
                  </wp:inline>
                </w:drawing>
              </w:r>
              <w:r w:rsidR="008511CD" w:rsidRPr="001C7762">
                <w:t> - прогнозований обсяг корисного відпуску електричної енергії на 1 класі напруги</w:t>
              </w:r>
            </w:hyperlink>
            <w:r w:rsidR="008511CD" w:rsidRPr="001C7762">
              <w:t xml:space="preserve"> (крім ліцензіатів, перелік яких наведено в додатку 30 до цього Порядку, для яких на </w:t>
            </w:r>
            <w:r w:rsidR="008511CD" w:rsidRPr="001C7762">
              <w:rPr>
                <w:b/>
              </w:rPr>
              <w:t>2024 рік</w:t>
            </w:r>
            <w:r w:rsidR="008511CD" w:rsidRPr="001C7762">
              <w:t> </w:t>
            </w:r>
            <w:r w:rsidR="008511CD" w:rsidRPr="001C7762">
              <w:rPr>
                <w:noProof/>
              </w:rPr>
              <w:drawing>
                <wp:inline distT="0" distB="0" distL="0" distR="0" wp14:anchorId="280F65F5" wp14:editId="1AFCC4AD">
                  <wp:extent cx="235470" cy="155018"/>
                  <wp:effectExtent l="0" t="0" r="0" b="0"/>
                  <wp:docPr id="42" name="Рисунок 42" descr="https://ips.ligazakon.net/l_flib1.nsf/LookupFiles/GK40721_IMG_327.GIF/$file/GK40721_IMG_3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Рисунок 42" descr="https://ips.ligazakon.net/l_flib1.nsf/LookupFiles/GK40721_IMG_327.GIF/$file/GK40721_IMG_327.GIF"/>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236513" cy="155705"/>
                          </a:xfrm>
                          <a:prstGeom prst="rect">
                            <a:avLst/>
                          </a:prstGeom>
                          <a:noFill/>
                          <a:ln>
                            <a:noFill/>
                          </a:ln>
                        </pic:spPr>
                      </pic:pic>
                    </a:graphicData>
                  </a:graphic>
                </wp:inline>
              </w:drawing>
            </w:r>
            <w:r w:rsidR="008511CD" w:rsidRPr="001C7762">
              <w:t xml:space="preserve"> фіксується на рівні, врахованому в тарифах </w:t>
            </w:r>
            <w:r w:rsidR="008511CD" w:rsidRPr="001C7762">
              <w:rPr>
                <w:b/>
              </w:rPr>
              <w:t>2023 року</w:t>
            </w:r>
            <w:r w:rsidR="008511CD" w:rsidRPr="001C7762">
              <w:t>)</w:t>
            </w:r>
            <w:hyperlink r:id="rId129" w:tgtFrame="_blank" w:history="1">
              <w:r w:rsidR="008511CD" w:rsidRPr="001C7762">
                <w:t xml:space="preserve">, </w:t>
              </w:r>
              <w:proofErr w:type="spellStart"/>
              <w:r w:rsidR="008511CD" w:rsidRPr="001C7762">
                <w:t>МВт·год</w:t>
              </w:r>
              <w:proofErr w:type="spellEnd"/>
              <w:r w:rsidR="008511CD" w:rsidRPr="001C7762">
                <w:t>;</w:t>
              </w:r>
            </w:hyperlink>
          </w:p>
          <w:p w14:paraId="6BA7F2DA" w14:textId="77777777" w:rsidR="008511CD" w:rsidRPr="001C7762" w:rsidRDefault="008511CD" w:rsidP="00BC5261">
            <w:pPr>
              <w:pStyle w:val="tj"/>
              <w:shd w:val="clear" w:color="auto" w:fill="FFFFFF"/>
              <w:spacing w:before="120" w:beforeAutospacing="0" w:after="0" w:afterAutospacing="0"/>
              <w:ind w:firstLine="493"/>
              <w:jc w:val="both"/>
            </w:pPr>
            <w:r w:rsidRPr="001C7762">
              <w:t> </w:t>
            </w:r>
            <w:r w:rsidRPr="001C7762">
              <w:rPr>
                <w:noProof/>
              </w:rPr>
              <w:drawing>
                <wp:inline distT="0" distB="0" distL="0" distR="0" wp14:anchorId="0075B857" wp14:editId="3F2D8FFD">
                  <wp:extent cx="251024" cy="194021"/>
                  <wp:effectExtent l="0" t="0" r="0" b="0"/>
                  <wp:docPr id="41" name="Рисунок 41" descr="https://ips.ligazakon.net/l_flib1.nsf/LookupFiles/GK40721_IMG_148.gif/$file/GK40721_IMG_1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ips.ligazakon.net/l_flib1.nsf/LookupFiles/GK40721_IMG_148.gif/$file/GK40721_IMG_148.gif"/>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251834" cy="194647"/>
                          </a:xfrm>
                          <a:prstGeom prst="rect">
                            <a:avLst/>
                          </a:prstGeom>
                          <a:noFill/>
                          <a:ln>
                            <a:noFill/>
                          </a:ln>
                        </pic:spPr>
                      </pic:pic>
                    </a:graphicData>
                  </a:graphic>
                </wp:inline>
              </w:drawing>
            </w:r>
            <w:r w:rsidRPr="001C7762">
              <w:t> - прогнозований обсяг електричної енергії, яка трансформується з 1 на 2 клас напруги, розраховується за формулою</w:t>
            </w:r>
          </w:p>
          <w:tbl>
            <w:tblPr>
              <w:tblW w:w="7500" w:type="dxa"/>
              <w:jc w:val="center"/>
              <w:tblLayout w:type="fixed"/>
              <w:tblCellMar>
                <w:top w:w="15" w:type="dxa"/>
                <w:left w:w="15" w:type="dxa"/>
                <w:bottom w:w="15" w:type="dxa"/>
                <w:right w:w="15" w:type="dxa"/>
              </w:tblCellMar>
              <w:tblLook w:val="04A0" w:firstRow="1" w:lastRow="0" w:firstColumn="1" w:lastColumn="0" w:noHBand="0" w:noVBand="1"/>
            </w:tblPr>
            <w:tblGrid>
              <w:gridCol w:w="4050"/>
              <w:gridCol w:w="3450"/>
            </w:tblGrid>
            <w:tr w:rsidR="001C7762" w:rsidRPr="001C7762" w14:paraId="094D793D" w14:textId="77777777" w:rsidTr="00EE264F">
              <w:trPr>
                <w:trHeight w:val="580"/>
                <w:jc w:val="center"/>
              </w:trPr>
              <w:tc>
                <w:tcPr>
                  <w:tcW w:w="2700" w:type="pct"/>
                  <w:shd w:val="clear" w:color="auto" w:fill="auto"/>
                  <w:tcMar>
                    <w:top w:w="0" w:type="dxa"/>
                    <w:left w:w="0" w:type="dxa"/>
                    <w:bottom w:w="0" w:type="dxa"/>
                    <w:right w:w="0" w:type="dxa"/>
                  </w:tcMar>
                  <w:vAlign w:val="center"/>
                  <w:hideMark/>
                </w:tcPr>
                <w:p w14:paraId="251C7D0C" w14:textId="77777777" w:rsidR="008511CD" w:rsidRPr="001C7762" w:rsidRDefault="008511CD" w:rsidP="000D7C1D">
                  <w:pPr>
                    <w:pStyle w:val="tr"/>
                    <w:framePr w:hSpace="180" w:wrap="around" w:vAnchor="text" w:hAnchor="text" w:y="1"/>
                    <w:spacing w:before="120" w:beforeAutospacing="0" w:after="0" w:afterAutospacing="0"/>
                    <w:ind w:firstLine="493"/>
                    <w:suppressOverlap/>
                    <w:jc w:val="right"/>
                  </w:pPr>
                  <w:r w:rsidRPr="001C7762">
                    <w:rPr>
                      <w:noProof/>
                    </w:rPr>
                    <w:drawing>
                      <wp:inline distT="0" distB="0" distL="0" distR="0" wp14:anchorId="51F9A118" wp14:editId="70A60642">
                        <wp:extent cx="1184564" cy="319157"/>
                        <wp:effectExtent l="0" t="0" r="0" b="5080"/>
                        <wp:docPr id="40" name="Рисунок 40" descr="https://ips.ligazakon.net/l_flib1.nsf/LookupFiles/GK40721_IMG_149.gif/$file/GK40721_IMG_1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ips.ligazakon.net/l_flib1.nsf/LookupFiles/GK40721_IMG_149.gif/$file/GK40721_IMG_149.gif"/>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1198878" cy="323014"/>
                                </a:xfrm>
                                <a:prstGeom prst="rect">
                                  <a:avLst/>
                                </a:prstGeom>
                                <a:noFill/>
                                <a:ln>
                                  <a:noFill/>
                                </a:ln>
                              </pic:spPr>
                            </pic:pic>
                          </a:graphicData>
                        </a:graphic>
                      </wp:inline>
                    </w:drawing>
                  </w:r>
                </w:p>
              </w:tc>
              <w:tc>
                <w:tcPr>
                  <w:tcW w:w="2300" w:type="pct"/>
                  <w:shd w:val="clear" w:color="auto" w:fill="auto"/>
                  <w:tcMar>
                    <w:top w:w="0" w:type="dxa"/>
                    <w:left w:w="0" w:type="dxa"/>
                    <w:bottom w:w="0" w:type="dxa"/>
                    <w:right w:w="0" w:type="dxa"/>
                  </w:tcMar>
                  <w:vAlign w:val="center"/>
                  <w:hideMark/>
                </w:tcPr>
                <w:p w14:paraId="50F605E8" w14:textId="77777777" w:rsidR="008511CD" w:rsidRPr="001C7762" w:rsidRDefault="008511CD" w:rsidP="000D7C1D">
                  <w:pPr>
                    <w:pStyle w:val="tj"/>
                    <w:framePr w:hSpace="180" w:wrap="around" w:vAnchor="text" w:hAnchor="text" w:y="1"/>
                    <w:spacing w:before="120" w:beforeAutospacing="0" w:after="0" w:afterAutospacing="0"/>
                    <w:ind w:firstLine="493"/>
                    <w:suppressOverlap/>
                    <w:jc w:val="both"/>
                  </w:pPr>
                  <w:r w:rsidRPr="001C7762">
                    <w:t xml:space="preserve">, </w:t>
                  </w:r>
                  <w:proofErr w:type="spellStart"/>
                  <w:r w:rsidRPr="001C7762">
                    <w:t>МВт·год</w:t>
                  </w:r>
                  <w:proofErr w:type="spellEnd"/>
                  <w:r w:rsidRPr="001C7762">
                    <w:t>, (</w:t>
                  </w:r>
                  <w:hyperlink r:id="rId132" w:tgtFrame="_blank" w:history="1">
                    <w:r w:rsidRPr="001C7762">
                      <w:t>41</w:t>
                    </w:r>
                  </w:hyperlink>
                  <w:r w:rsidRPr="001C7762">
                    <w:t>)</w:t>
                  </w:r>
                </w:p>
              </w:tc>
            </w:tr>
          </w:tbl>
          <w:p w14:paraId="7C30D879" w14:textId="77777777" w:rsidR="008511CD" w:rsidRPr="001C7762" w:rsidRDefault="008511CD" w:rsidP="00BC5261">
            <w:pPr>
              <w:pStyle w:val="tj"/>
              <w:shd w:val="clear" w:color="auto" w:fill="FFFFFF"/>
              <w:spacing w:before="120" w:beforeAutospacing="0" w:after="0" w:afterAutospacing="0"/>
              <w:ind w:firstLine="493"/>
              <w:jc w:val="both"/>
            </w:pPr>
            <w:r w:rsidRPr="001C7762">
              <w:t>де </w:t>
            </w:r>
            <w:r w:rsidRPr="001C7762">
              <w:rPr>
                <w:noProof/>
              </w:rPr>
              <w:drawing>
                <wp:inline distT="0" distB="0" distL="0" distR="0" wp14:anchorId="2C4B0B70" wp14:editId="56028C19">
                  <wp:extent cx="220812" cy="194137"/>
                  <wp:effectExtent l="0" t="0" r="8255" b="0"/>
                  <wp:docPr id="39" name="Рисунок 39" descr="https://ips.ligazakon.net/l_flib1.nsf/LookupFiles/GK40721_IMG_150.gif/$file/GK40721_IMG_1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ips.ligazakon.net/l_flib1.nsf/LookupFiles/GK40721_IMG_150.gif/$file/GK40721_IMG_150.gif"/>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223870" cy="196825"/>
                          </a:xfrm>
                          <a:prstGeom prst="rect">
                            <a:avLst/>
                          </a:prstGeom>
                          <a:noFill/>
                          <a:ln>
                            <a:noFill/>
                          </a:ln>
                        </pic:spPr>
                      </pic:pic>
                    </a:graphicData>
                  </a:graphic>
                </wp:inline>
              </w:drawing>
            </w:r>
            <w:r w:rsidRPr="001C7762">
              <w:t> - прогнозований обсяг електричної енергії, що розподіляється на 2 класі напруги </w:t>
            </w:r>
            <w:hyperlink r:id="rId134" w:tgtFrame="_blank" w:history="1">
              <w:r w:rsidRPr="001C7762">
                <w:t xml:space="preserve">(крім ліцензіатів, перелік яких наведено в додатку 30 до цього Порядку, для яких на </w:t>
              </w:r>
              <w:r w:rsidRPr="001C7762">
                <w:rPr>
                  <w:b/>
                </w:rPr>
                <w:t>2024 рік</w:t>
              </w:r>
              <w:r w:rsidRPr="001C7762">
                <w:t> </w:t>
              </w:r>
              <w:r w:rsidRPr="001C7762">
                <w:rPr>
                  <w:noProof/>
                </w:rPr>
                <w:drawing>
                  <wp:inline distT="0" distB="0" distL="0" distR="0" wp14:anchorId="3AC56EB4" wp14:editId="07568BEB">
                    <wp:extent cx="252188" cy="166024"/>
                    <wp:effectExtent l="0" t="0" r="0" b="5715"/>
                    <wp:docPr id="38" name="Рисунок 38" descr="https://ips.ligazakon.net/l_flib1.nsf/LookupFiles/GK40721_IMG_328.GIF/$file/GK40721_IMG_3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Рисунок 38" descr="https://ips.ligazakon.net/l_flib1.nsf/LookupFiles/GK40721_IMG_328.GIF/$file/GK40721_IMG_328.GIF"/>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252628" cy="166314"/>
                            </a:xfrm>
                            <a:prstGeom prst="rect">
                              <a:avLst/>
                            </a:prstGeom>
                            <a:noFill/>
                            <a:ln>
                              <a:noFill/>
                            </a:ln>
                          </pic:spPr>
                        </pic:pic>
                      </a:graphicData>
                    </a:graphic>
                  </wp:inline>
                </w:drawing>
              </w:r>
              <w:r w:rsidRPr="001C7762">
                <w:t xml:space="preserve"> фіксується на рівні, врахованому в тарифах </w:t>
              </w:r>
              <w:r w:rsidRPr="001C7762">
                <w:rPr>
                  <w:b/>
                </w:rPr>
                <w:t>2023 року</w:t>
              </w:r>
              <w:r w:rsidRPr="001C7762">
                <w:t>)</w:t>
              </w:r>
            </w:hyperlink>
            <w:r w:rsidRPr="001C7762">
              <w:t xml:space="preserve">, </w:t>
            </w:r>
            <w:proofErr w:type="spellStart"/>
            <w:r w:rsidRPr="001C7762">
              <w:t>МВт·год</w:t>
            </w:r>
            <w:proofErr w:type="spellEnd"/>
            <w:r w:rsidRPr="001C7762">
              <w:t>;</w:t>
            </w:r>
          </w:p>
          <w:p w14:paraId="24181ED9" w14:textId="78ED8673" w:rsidR="008511CD" w:rsidRPr="001C7762" w:rsidRDefault="008511CD" w:rsidP="00BC5261">
            <w:pPr>
              <w:rPr>
                <w:lang w:val="uk-UA"/>
              </w:rPr>
            </w:pPr>
            <w:r w:rsidRPr="001C7762">
              <w:rPr>
                <w:lang w:val="uk-UA"/>
              </w:rPr>
              <w:t> </w:t>
            </w:r>
            <w:r w:rsidRPr="001C7762">
              <w:rPr>
                <w:noProof/>
                <w:lang w:val="uk-UA"/>
              </w:rPr>
              <w:drawing>
                <wp:inline distT="0" distB="0" distL="0" distR="0" wp14:anchorId="596F413F" wp14:editId="1C26E362">
                  <wp:extent cx="491836" cy="173496"/>
                  <wp:effectExtent l="0" t="0" r="3810" b="0"/>
                  <wp:docPr id="37" name="Рисунок 37" descr="https://ips.ligazakon.net/l_flib1.nsf/LookupFiles/GK40721_IMG_151.gif/$file/GK40721_IMG_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ips.ligazakon.net/l_flib1.nsf/LookupFiles/GK40721_IMG_151.gif/$file/GK40721_IMG_151.gif"/>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95544" cy="174804"/>
                          </a:xfrm>
                          <a:prstGeom prst="rect">
                            <a:avLst/>
                          </a:prstGeom>
                          <a:noFill/>
                          <a:ln>
                            <a:noFill/>
                          </a:ln>
                        </pic:spPr>
                      </pic:pic>
                    </a:graphicData>
                  </a:graphic>
                </wp:inline>
              </w:drawing>
            </w:r>
            <w:r w:rsidRPr="001C7762">
              <w:rPr>
                <w:lang w:val="uk-UA"/>
              </w:rPr>
              <w:t> - прогнозований обсяг електричної енергії, що надходить від генеруючих компаній безпосередньо на 2 клас напруги на рік t </w:t>
            </w:r>
            <w:hyperlink r:id="rId137" w:tgtFrame="_blank" w:history="1">
              <w:r w:rsidRPr="001C7762">
                <w:rPr>
                  <w:lang w:val="uk-UA"/>
                </w:rPr>
                <w:t xml:space="preserve">(крім ліцензіатів, перелік яких наведено в додатку 30 до цього Порядку, для яких на </w:t>
              </w:r>
              <w:r w:rsidRPr="001C7762">
                <w:rPr>
                  <w:b/>
                  <w:lang w:val="uk-UA"/>
                </w:rPr>
                <w:t>2024 рік</w:t>
              </w:r>
              <w:r w:rsidRPr="001C7762">
                <w:rPr>
                  <w:lang w:val="uk-UA"/>
                </w:rPr>
                <w:t> </w:t>
              </w:r>
              <w:r w:rsidRPr="001C7762">
                <w:rPr>
                  <w:noProof/>
                  <w:lang w:val="uk-UA"/>
                </w:rPr>
                <w:drawing>
                  <wp:inline distT="0" distB="0" distL="0" distR="0" wp14:anchorId="1AEDE3BF" wp14:editId="1E425DB6">
                    <wp:extent cx="505691" cy="168386"/>
                    <wp:effectExtent l="0" t="0" r="8890" b="3175"/>
                    <wp:docPr id="36" name="Рисунок 36" descr="https://ips.ligazakon.net/l_flib1.nsf/LookupFiles/GK40721_IMG_329.GIF/$file/GK40721_IMG_3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Рисунок 36" descr="https://ips.ligazakon.net/l_flib1.nsf/LookupFiles/GK40721_IMG_329.GIF/$file/GK40721_IMG_329.GIF"/>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509517" cy="169660"/>
                            </a:xfrm>
                            <a:prstGeom prst="rect">
                              <a:avLst/>
                            </a:prstGeom>
                            <a:noFill/>
                            <a:ln>
                              <a:noFill/>
                            </a:ln>
                          </pic:spPr>
                        </pic:pic>
                      </a:graphicData>
                    </a:graphic>
                  </wp:inline>
                </w:drawing>
              </w:r>
              <w:r w:rsidRPr="001C7762">
                <w:rPr>
                  <w:lang w:val="uk-UA"/>
                </w:rPr>
                <w:t xml:space="preserve"> фіксується на рівні, врахованому в тарифах </w:t>
              </w:r>
              <w:r w:rsidRPr="001C7762">
                <w:rPr>
                  <w:b/>
                  <w:lang w:val="uk-UA"/>
                </w:rPr>
                <w:t>2023 року</w:t>
              </w:r>
              <w:r w:rsidRPr="001C7762">
                <w:rPr>
                  <w:lang w:val="uk-UA"/>
                </w:rPr>
                <w:t>)</w:t>
              </w:r>
            </w:hyperlink>
            <w:r w:rsidRPr="001C7762">
              <w:rPr>
                <w:lang w:val="uk-UA"/>
              </w:rPr>
              <w:t xml:space="preserve">, </w:t>
            </w:r>
            <w:proofErr w:type="spellStart"/>
            <w:r w:rsidRPr="001C7762">
              <w:rPr>
                <w:lang w:val="uk-UA"/>
              </w:rPr>
              <w:t>МВт·год</w:t>
            </w:r>
            <w:proofErr w:type="spellEnd"/>
            <w:r w:rsidRPr="001C7762">
              <w:rPr>
                <w:lang w:val="uk-UA"/>
              </w:rPr>
              <w:t>.</w:t>
            </w:r>
          </w:p>
        </w:tc>
        <w:tc>
          <w:tcPr>
            <w:tcW w:w="7654" w:type="dxa"/>
          </w:tcPr>
          <w:p w14:paraId="3EFCE679" w14:textId="77777777" w:rsidR="008511CD" w:rsidRPr="001C7762" w:rsidRDefault="008511CD" w:rsidP="00BC5261">
            <w:pPr>
              <w:pStyle w:val="rvps2"/>
              <w:spacing w:before="0" w:beforeAutospacing="0" w:after="0" w:afterAutospacing="0"/>
              <w:ind w:firstLine="491"/>
              <w:jc w:val="both"/>
            </w:pPr>
            <w:r w:rsidRPr="001C7762">
              <w:lastRenderedPageBreak/>
              <w:t>8.3. Тариф на послуги з розподілу електричної енергії для споживачів та операторів установок зберігання енергії 1 класу напруги розраховується за формулою</w:t>
            </w:r>
          </w:p>
          <w:p w14:paraId="07228827" w14:textId="77777777" w:rsidR="008511CD" w:rsidRPr="001C7762" w:rsidRDefault="008511CD" w:rsidP="00BC5261">
            <w:pPr>
              <w:pStyle w:val="rvps2"/>
              <w:spacing w:before="0" w:beforeAutospacing="0" w:after="0" w:afterAutospacing="0"/>
              <w:ind w:firstLine="491"/>
              <w:jc w:val="both"/>
            </w:pPr>
          </w:p>
          <w:tbl>
            <w:tblPr>
              <w:tblW w:w="4700" w:type="pct"/>
              <w:tblLayout w:type="fixed"/>
              <w:tblCellMar>
                <w:left w:w="0" w:type="dxa"/>
                <w:right w:w="0" w:type="dxa"/>
              </w:tblCellMar>
              <w:tblLook w:val="04A0" w:firstRow="1" w:lastRow="0" w:firstColumn="1" w:lastColumn="0" w:noHBand="0" w:noVBand="1"/>
            </w:tblPr>
            <w:tblGrid>
              <w:gridCol w:w="6379"/>
              <w:gridCol w:w="613"/>
            </w:tblGrid>
            <w:tr w:rsidR="001C7762" w:rsidRPr="001C7762" w14:paraId="5016681F" w14:textId="77777777" w:rsidTr="00EE264F">
              <w:tc>
                <w:tcPr>
                  <w:tcW w:w="4432" w:type="dxa"/>
                  <w:hideMark/>
                </w:tcPr>
                <w:p w14:paraId="52CDEBA0" w14:textId="77777777" w:rsidR="008511CD" w:rsidRPr="001C7762" w:rsidRDefault="008511CD" w:rsidP="000D7C1D">
                  <w:pPr>
                    <w:pStyle w:val="rvps12"/>
                    <w:framePr w:hSpace="180" w:wrap="around" w:vAnchor="text" w:hAnchor="text" w:y="1"/>
                    <w:spacing w:before="0" w:beforeAutospacing="0" w:after="0" w:afterAutospacing="0" w:line="256" w:lineRule="auto"/>
                    <w:ind w:firstLine="491"/>
                    <w:suppressOverlap/>
                    <w:jc w:val="center"/>
                  </w:pPr>
                  <w:r w:rsidRPr="001C7762">
                    <w:rPr>
                      <w:noProof/>
                    </w:rPr>
                    <w:drawing>
                      <wp:inline distT="0" distB="0" distL="0" distR="0" wp14:anchorId="531B7EDB" wp14:editId="57533947">
                        <wp:extent cx="2036445" cy="311785"/>
                        <wp:effectExtent l="0" t="0" r="1905"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Рисунок 45"/>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2036445" cy="311785"/>
                                </a:xfrm>
                                <a:prstGeom prst="rect">
                                  <a:avLst/>
                                </a:prstGeom>
                                <a:noFill/>
                                <a:ln>
                                  <a:noFill/>
                                </a:ln>
                              </pic:spPr>
                            </pic:pic>
                          </a:graphicData>
                        </a:graphic>
                      </wp:inline>
                    </w:drawing>
                  </w:r>
                </w:p>
              </w:tc>
              <w:tc>
                <w:tcPr>
                  <w:tcW w:w="426" w:type="dxa"/>
                  <w:hideMark/>
                </w:tcPr>
                <w:p w14:paraId="40D54074" w14:textId="77777777" w:rsidR="008511CD" w:rsidRPr="001C7762" w:rsidRDefault="008511CD" w:rsidP="000D7C1D">
                  <w:pPr>
                    <w:pStyle w:val="rvps14"/>
                    <w:framePr w:hSpace="180" w:wrap="around" w:vAnchor="text" w:hAnchor="text" w:y="1"/>
                    <w:spacing w:before="0" w:beforeAutospacing="0" w:after="0" w:afterAutospacing="0" w:line="256" w:lineRule="auto"/>
                    <w:suppressOverlap/>
                  </w:pPr>
                  <w:r w:rsidRPr="001C7762">
                    <w:t>(39)</w:t>
                  </w:r>
                </w:p>
              </w:tc>
            </w:tr>
          </w:tbl>
          <w:p w14:paraId="06A56021" w14:textId="77777777" w:rsidR="008511CD" w:rsidRPr="001C7762" w:rsidRDefault="008511CD" w:rsidP="00BC5261">
            <w:pPr>
              <w:pStyle w:val="rvps2"/>
              <w:spacing w:before="0" w:beforeAutospacing="0" w:after="0" w:afterAutospacing="0"/>
              <w:ind w:firstLine="491"/>
              <w:jc w:val="both"/>
            </w:pPr>
            <w:r w:rsidRPr="001C7762">
              <w:t>………………………………</w:t>
            </w:r>
          </w:p>
          <w:p w14:paraId="116596ED" w14:textId="77777777" w:rsidR="008511CD" w:rsidRPr="001C7762" w:rsidRDefault="008511CD" w:rsidP="00BC5261">
            <w:pPr>
              <w:pStyle w:val="rvps2"/>
              <w:spacing w:before="120" w:beforeAutospacing="0" w:after="0" w:afterAutospacing="0"/>
              <w:ind w:firstLine="493"/>
              <w:jc w:val="both"/>
            </w:pPr>
            <w:r w:rsidRPr="001C7762">
              <w:rPr>
                <w:noProof/>
              </w:rPr>
              <w:drawing>
                <wp:inline distT="0" distB="0" distL="0" distR="0" wp14:anchorId="502CEDAD" wp14:editId="76AFF4E7">
                  <wp:extent cx="274320" cy="182880"/>
                  <wp:effectExtent l="0" t="0" r="0" b="7620"/>
                  <wp:docPr id="226436" name="Рисунок 226436" descr="https://ips.ligazakon.net/l_flib1.nsf/LookupFiles/GK40721_IMG_326.GIF/$file/GK40721_IMG_3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436" name="Рисунок 226436" descr="https://ips.ligazakon.net/l_flib1.nsf/LookupFiles/GK40721_IMG_326.GIF/$file/GK40721_IMG_326.GIF"/>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74320" cy="182880"/>
                          </a:xfrm>
                          <a:prstGeom prst="rect">
                            <a:avLst/>
                          </a:prstGeom>
                          <a:noFill/>
                          <a:ln>
                            <a:noFill/>
                          </a:ln>
                        </pic:spPr>
                      </pic:pic>
                    </a:graphicData>
                  </a:graphic>
                </wp:inline>
              </w:drawing>
            </w:r>
            <w:r w:rsidRPr="001C7762">
              <w:t xml:space="preserve">- прогнозований обсяг електричної енергії, що розподіляється на 1 класі напруги (крім ліцензіатів, перелік яких наведено в додатку 30 </w:t>
            </w:r>
            <w:r w:rsidRPr="001C7762">
              <w:lastRenderedPageBreak/>
              <w:t>до цього Порядку, для яких на 2024</w:t>
            </w:r>
            <w:r w:rsidRPr="001C7762">
              <w:rPr>
                <w:b/>
              </w:rPr>
              <w:t xml:space="preserve"> та 2025 роки</w:t>
            </w:r>
            <w:r w:rsidRPr="001C7762">
              <w:t xml:space="preserve"> </w:t>
            </w:r>
            <w:r w:rsidRPr="001C7762">
              <w:rPr>
                <w:noProof/>
                <w:shd w:val="clear" w:color="auto" w:fill="FFFFFF"/>
              </w:rPr>
              <w:drawing>
                <wp:inline distT="0" distB="0" distL="0" distR="0" wp14:anchorId="2A78B944" wp14:editId="4352999F">
                  <wp:extent cx="276802" cy="186502"/>
                  <wp:effectExtent l="0" t="0" r="0" b="4445"/>
                  <wp:docPr id="58" name="Рисунок 58" descr="https://ips.ligazakon.net/l_flib1.nsf/LookupFiles/GK40721_IMG_326.GIF/$file/GK40721_IMG_3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Рисунок 58" descr="https://ips.ligazakon.net/l_flib1.nsf/LookupFiles/GK40721_IMG_326.GIF/$file/GK40721_IMG_326.GIF"/>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79136" cy="188075"/>
                          </a:xfrm>
                          <a:prstGeom prst="rect">
                            <a:avLst/>
                          </a:prstGeom>
                          <a:noFill/>
                          <a:ln>
                            <a:noFill/>
                          </a:ln>
                        </pic:spPr>
                      </pic:pic>
                    </a:graphicData>
                  </a:graphic>
                </wp:inline>
              </w:drawing>
            </w:r>
            <w:r w:rsidRPr="001C7762">
              <w:t xml:space="preserve"> фіксується на рівні, врахованому в тарифах </w:t>
            </w:r>
            <w:r w:rsidRPr="001C7762">
              <w:rPr>
                <w:b/>
              </w:rPr>
              <w:t>2023 року</w:t>
            </w:r>
            <w:r w:rsidRPr="001C7762">
              <w:t xml:space="preserve">), </w:t>
            </w:r>
            <w:proofErr w:type="spellStart"/>
            <w:r w:rsidRPr="001C7762">
              <w:t>МВт·год</w:t>
            </w:r>
            <w:proofErr w:type="spellEnd"/>
            <w:r w:rsidRPr="001C7762">
              <w:t>.</w:t>
            </w:r>
          </w:p>
          <w:p w14:paraId="015BB9C6" w14:textId="368E4292" w:rsidR="008511CD" w:rsidRPr="001C7762" w:rsidRDefault="008511CD" w:rsidP="00BC5261">
            <w:pPr>
              <w:pStyle w:val="tj"/>
              <w:shd w:val="clear" w:color="auto" w:fill="FFFFFF"/>
              <w:spacing w:before="120" w:beforeAutospacing="0" w:after="0" w:afterAutospacing="0"/>
              <w:ind w:firstLine="493"/>
              <w:jc w:val="both"/>
            </w:pPr>
            <w:r w:rsidRPr="001C7762">
              <w:t>Обсяг електричної енергії, що розподіляється на 1 класі напруги, складається з обсягу корисного відпуску електричної енергії на 1 класі напруги, а також обсягу трансформації електричної енергії з 1 на 2 клас напруги.</w:t>
            </w:r>
          </w:p>
          <w:p w14:paraId="36F292D5" w14:textId="77777777" w:rsidR="008511CD" w:rsidRPr="001C7762" w:rsidRDefault="008511CD" w:rsidP="00BC5261">
            <w:pPr>
              <w:pStyle w:val="tj"/>
              <w:shd w:val="clear" w:color="auto" w:fill="FFFFFF"/>
              <w:spacing w:before="120" w:beforeAutospacing="0" w:after="0" w:afterAutospacing="0"/>
              <w:ind w:firstLine="493"/>
              <w:jc w:val="both"/>
            </w:pPr>
            <w:r w:rsidRPr="001C7762">
              <w:t>Прогнозований обсяг електричної енергії, що розподіляється на 1 класі напруги, розраховується за формулою</w:t>
            </w:r>
          </w:p>
          <w:p w14:paraId="12F7CE2C" w14:textId="77777777" w:rsidR="008511CD" w:rsidRPr="001C7762" w:rsidRDefault="008511CD" w:rsidP="00BC5261">
            <w:pPr>
              <w:pStyle w:val="tc"/>
              <w:shd w:val="clear" w:color="auto" w:fill="FFFFFF"/>
              <w:spacing w:before="120" w:beforeAutospacing="0" w:after="0" w:afterAutospacing="0"/>
              <w:ind w:firstLine="493"/>
              <w:jc w:val="center"/>
            </w:pPr>
            <w:r w:rsidRPr="001C7762">
              <w:rPr>
                <w:noProof/>
              </w:rPr>
              <w:drawing>
                <wp:inline distT="0" distB="0" distL="0" distR="0" wp14:anchorId="5D85D2BD" wp14:editId="71F27419">
                  <wp:extent cx="1121641" cy="196875"/>
                  <wp:effectExtent l="0" t="0" r="2540" b="0"/>
                  <wp:docPr id="59" name="Рисунок 59" descr="https://ips.ligazakon.net/l_flib1.nsf/LookupFiles/GK40721_IMG_146.gif/$file/GK40721_IMG_1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ips.ligazakon.net/l_flib1.nsf/LookupFiles/GK40721_IMG_146.gif/$file/GK40721_IMG_146.gif"/>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135083" cy="199234"/>
                          </a:xfrm>
                          <a:prstGeom prst="rect">
                            <a:avLst/>
                          </a:prstGeom>
                          <a:noFill/>
                          <a:ln>
                            <a:noFill/>
                          </a:ln>
                        </pic:spPr>
                      </pic:pic>
                    </a:graphicData>
                  </a:graphic>
                </wp:inline>
              </w:drawing>
            </w:r>
            <w:r w:rsidRPr="001C7762">
              <w:t xml:space="preserve">, </w:t>
            </w:r>
            <w:proofErr w:type="spellStart"/>
            <w:r w:rsidRPr="001C7762">
              <w:t>МВт·год</w:t>
            </w:r>
            <w:proofErr w:type="spellEnd"/>
            <w:r w:rsidRPr="001C7762">
              <w:t>, (</w:t>
            </w:r>
            <w:hyperlink r:id="rId139" w:tgtFrame="_blank" w:history="1">
              <w:r w:rsidRPr="001C7762">
                <w:t>40</w:t>
              </w:r>
            </w:hyperlink>
            <w:r w:rsidRPr="001C7762">
              <w:t>)</w:t>
            </w:r>
          </w:p>
          <w:p w14:paraId="47AD364A" w14:textId="525B7DFA" w:rsidR="008511CD" w:rsidRPr="001C7762" w:rsidRDefault="000D7C1D" w:rsidP="00BC5261">
            <w:pPr>
              <w:pStyle w:val="tj"/>
              <w:shd w:val="clear" w:color="auto" w:fill="FFFFFF"/>
              <w:spacing w:before="120" w:beforeAutospacing="0" w:after="0" w:afterAutospacing="0"/>
              <w:ind w:firstLine="493"/>
              <w:jc w:val="both"/>
            </w:pPr>
            <w:hyperlink r:id="rId140" w:tgtFrame="_blank" w:history="1">
              <w:r w:rsidR="008511CD" w:rsidRPr="001C7762">
                <w:t>де </w:t>
              </w:r>
              <w:r w:rsidR="008511CD" w:rsidRPr="001C7762">
                <w:rPr>
                  <w:noProof/>
                </w:rPr>
                <w:drawing>
                  <wp:inline distT="0" distB="0" distL="0" distR="0" wp14:anchorId="7D5CE24F" wp14:editId="50129437">
                    <wp:extent cx="258806" cy="214803"/>
                    <wp:effectExtent l="0" t="0" r="8255" b="0"/>
                    <wp:docPr id="60" name="Рисунок 60" descr="https://ips.ligazakon.net/l_flib1.nsf/LookupFiles/GK40721_IMG_286.GIF/$file/GK40721_IMG_2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Рисунок 60" descr="https://ips.ligazakon.net/l_flib1.nsf/LookupFiles/GK40721_IMG_286.GIF/$file/GK40721_IMG_286.GIF"/>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259530" cy="215404"/>
                            </a:xfrm>
                            <a:prstGeom prst="rect">
                              <a:avLst/>
                            </a:prstGeom>
                            <a:noFill/>
                            <a:ln>
                              <a:noFill/>
                            </a:ln>
                          </pic:spPr>
                        </pic:pic>
                      </a:graphicData>
                    </a:graphic>
                  </wp:inline>
                </w:drawing>
              </w:r>
              <w:r w:rsidR="008511CD" w:rsidRPr="001C7762">
                <w:t> - прогнозований обсяг корисного відпуску електричної енергії на 1 класі напруги</w:t>
              </w:r>
            </w:hyperlink>
            <w:r w:rsidR="008511CD" w:rsidRPr="001C7762">
              <w:t> (крім ліцензіатів, перелік яких наведено в додатку 30 до цього Порядку, для яких на 2024</w:t>
            </w:r>
            <w:r w:rsidR="008511CD" w:rsidRPr="001C7762">
              <w:rPr>
                <w:b/>
              </w:rPr>
              <w:t xml:space="preserve"> та 2025 роки</w:t>
            </w:r>
            <w:r w:rsidR="008511CD" w:rsidRPr="001C7762">
              <w:t> </w:t>
            </w:r>
            <w:r w:rsidR="008511CD" w:rsidRPr="001C7762">
              <w:rPr>
                <w:noProof/>
              </w:rPr>
              <w:drawing>
                <wp:inline distT="0" distB="0" distL="0" distR="0" wp14:anchorId="3E79456E" wp14:editId="73CCECE6">
                  <wp:extent cx="235470" cy="155018"/>
                  <wp:effectExtent l="0" t="0" r="0" b="0"/>
                  <wp:docPr id="61" name="Рисунок 61" descr="https://ips.ligazakon.net/l_flib1.nsf/LookupFiles/GK40721_IMG_327.GIF/$file/GK40721_IMG_3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Рисунок 61" descr="https://ips.ligazakon.net/l_flib1.nsf/LookupFiles/GK40721_IMG_327.GIF/$file/GK40721_IMG_327.GIF"/>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236513" cy="155705"/>
                          </a:xfrm>
                          <a:prstGeom prst="rect">
                            <a:avLst/>
                          </a:prstGeom>
                          <a:noFill/>
                          <a:ln>
                            <a:noFill/>
                          </a:ln>
                        </pic:spPr>
                      </pic:pic>
                    </a:graphicData>
                  </a:graphic>
                </wp:inline>
              </w:drawing>
            </w:r>
            <w:r w:rsidR="008511CD" w:rsidRPr="001C7762">
              <w:t xml:space="preserve"> фіксується на рівні, врахованому в тарифах </w:t>
            </w:r>
            <w:r w:rsidR="008511CD" w:rsidRPr="001C7762">
              <w:rPr>
                <w:b/>
              </w:rPr>
              <w:t>2023 року</w:t>
            </w:r>
            <w:r w:rsidR="008511CD" w:rsidRPr="001C7762">
              <w:t>)</w:t>
            </w:r>
            <w:hyperlink r:id="rId141" w:tgtFrame="_blank" w:history="1">
              <w:r w:rsidR="008511CD" w:rsidRPr="001C7762">
                <w:t xml:space="preserve">, </w:t>
              </w:r>
              <w:proofErr w:type="spellStart"/>
              <w:r w:rsidR="008511CD" w:rsidRPr="001C7762">
                <w:t>МВт·год</w:t>
              </w:r>
              <w:proofErr w:type="spellEnd"/>
              <w:r w:rsidR="008511CD" w:rsidRPr="001C7762">
                <w:t>;</w:t>
              </w:r>
            </w:hyperlink>
          </w:p>
          <w:p w14:paraId="5B089996" w14:textId="77777777" w:rsidR="008511CD" w:rsidRPr="001C7762" w:rsidRDefault="008511CD" w:rsidP="00BC5261">
            <w:pPr>
              <w:pStyle w:val="tj"/>
              <w:shd w:val="clear" w:color="auto" w:fill="FFFFFF"/>
              <w:spacing w:before="120" w:beforeAutospacing="0" w:after="0" w:afterAutospacing="0"/>
              <w:ind w:firstLine="493"/>
              <w:jc w:val="both"/>
            </w:pPr>
            <w:r w:rsidRPr="001C7762">
              <w:t> </w:t>
            </w:r>
            <w:r w:rsidRPr="001C7762">
              <w:rPr>
                <w:noProof/>
              </w:rPr>
              <w:drawing>
                <wp:inline distT="0" distB="0" distL="0" distR="0" wp14:anchorId="5CF336AA" wp14:editId="7984FEA2">
                  <wp:extent cx="251024" cy="194021"/>
                  <wp:effectExtent l="0" t="0" r="0" b="0"/>
                  <wp:docPr id="62" name="Рисунок 62" descr="https://ips.ligazakon.net/l_flib1.nsf/LookupFiles/GK40721_IMG_148.gif/$file/GK40721_IMG_1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ips.ligazakon.net/l_flib1.nsf/LookupFiles/GK40721_IMG_148.gif/$file/GK40721_IMG_148.gif"/>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251834" cy="194647"/>
                          </a:xfrm>
                          <a:prstGeom prst="rect">
                            <a:avLst/>
                          </a:prstGeom>
                          <a:noFill/>
                          <a:ln>
                            <a:noFill/>
                          </a:ln>
                        </pic:spPr>
                      </pic:pic>
                    </a:graphicData>
                  </a:graphic>
                </wp:inline>
              </w:drawing>
            </w:r>
            <w:r w:rsidRPr="001C7762">
              <w:t> - прогнозований обсяг електричної енергії, яка трансформується з 1 на 2 клас напруги, розраховується за формулою</w:t>
            </w:r>
          </w:p>
          <w:tbl>
            <w:tblPr>
              <w:tblW w:w="7500" w:type="dxa"/>
              <w:jc w:val="center"/>
              <w:tblLayout w:type="fixed"/>
              <w:tblCellMar>
                <w:top w:w="15" w:type="dxa"/>
                <w:left w:w="15" w:type="dxa"/>
                <w:bottom w:w="15" w:type="dxa"/>
                <w:right w:w="15" w:type="dxa"/>
              </w:tblCellMar>
              <w:tblLook w:val="04A0" w:firstRow="1" w:lastRow="0" w:firstColumn="1" w:lastColumn="0" w:noHBand="0" w:noVBand="1"/>
            </w:tblPr>
            <w:tblGrid>
              <w:gridCol w:w="4050"/>
              <w:gridCol w:w="3450"/>
            </w:tblGrid>
            <w:tr w:rsidR="001C7762" w:rsidRPr="001C7762" w14:paraId="798CFAC3" w14:textId="77777777" w:rsidTr="00EE264F">
              <w:trPr>
                <w:trHeight w:val="580"/>
                <w:jc w:val="center"/>
              </w:trPr>
              <w:tc>
                <w:tcPr>
                  <w:tcW w:w="2700" w:type="pct"/>
                  <w:shd w:val="clear" w:color="auto" w:fill="auto"/>
                  <w:tcMar>
                    <w:top w:w="0" w:type="dxa"/>
                    <w:left w:w="0" w:type="dxa"/>
                    <w:bottom w:w="0" w:type="dxa"/>
                    <w:right w:w="0" w:type="dxa"/>
                  </w:tcMar>
                  <w:vAlign w:val="center"/>
                  <w:hideMark/>
                </w:tcPr>
                <w:p w14:paraId="73F8EE20" w14:textId="77777777" w:rsidR="008511CD" w:rsidRPr="001C7762" w:rsidRDefault="008511CD" w:rsidP="000D7C1D">
                  <w:pPr>
                    <w:pStyle w:val="tr"/>
                    <w:framePr w:hSpace="180" w:wrap="around" w:vAnchor="text" w:hAnchor="text" w:y="1"/>
                    <w:spacing w:before="120" w:beforeAutospacing="0" w:after="0" w:afterAutospacing="0"/>
                    <w:ind w:firstLine="493"/>
                    <w:suppressOverlap/>
                    <w:jc w:val="right"/>
                  </w:pPr>
                  <w:r w:rsidRPr="001C7762">
                    <w:rPr>
                      <w:noProof/>
                    </w:rPr>
                    <w:drawing>
                      <wp:inline distT="0" distB="0" distL="0" distR="0" wp14:anchorId="7E2975BF" wp14:editId="17972BFB">
                        <wp:extent cx="1184564" cy="319157"/>
                        <wp:effectExtent l="0" t="0" r="0" b="5080"/>
                        <wp:docPr id="63" name="Рисунок 63" descr="https://ips.ligazakon.net/l_flib1.nsf/LookupFiles/GK40721_IMG_149.gif/$file/GK40721_IMG_1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ips.ligazakon.net/l_flib1.nsf/LookupFiles/GK40721_IMG_149.gif/$file/GK40721_IMG_149.gif"/>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1198878" cy="323014"/>
                                </a:xfrm>
                                <a:prstGeom prst="rect">
                                  <a:avLst/>
                                </a:prstGeom>
                                <a:noFill/>
                                <a:ln>
                                  <a:noFill/>
                                </a:ln>
                              </pic:spPr>
                            </pic:pic>
                          </a:graphicData>
                        </a:graphic>
                      </wp:inline>
                    </w:drawing>
                  </w:r>
                </w:p>
              </w:tc>
              <w:tc>
                <w:tcPr>
                  <w:tcW w:w="2300" w:type="pct"/>
                  <w:shd w:val="clear" w:color="auto" w:fill="auto"/>
                  <w:tcMar>
                    <w:top w:w="0" w:type="dxa"/>
                    <w:left w:w="0" w:type="dxa"/>
                    <w:bottom w:w="0" w:type="dxa"/>
                    <w:right w:w="0" w:type="dxa"/>
                  </w:tcMar>
                  <w:vAlign w:val="center"/>
                  <w:hideMark/>
                </w:tcPr>
                <w:p w14:paraId="2FD42B46" w14:textId="77777777" w:rsidR="008511CD" w:rsidRPr="001C7762" w:rsidRDefault="008511CD" w:rsidP="000D7C1D">
                  <w:pPr>
                    <w:pStyle w:val="tj"/>
                    <w:framePr w:hSpace="180" w:wrap="around" w:vAnchor="text" w:hAnchor="text" w:y="1"/>
                    <w:spacing w:before="120" w:beforeAutospacing="0" w:after="0" w:afterAutospacing="0"/>
                    <w:ind w:firstLine="493"/>
                    <w:suppressOverlap/>
                    <w:jc w:val="both"/>
                  </w:pPr>
                  <w:r w:rsidRPr="001C7762">
                    <w:t xml:space="preserve">, </w:t>
                  </w:r>
                  <w:proofErr w:type="spellStart"/>
                  <w:r w:rsidRPr="001C7762">
                    <w:t>МВт·год</w:t>
                  </w:r>
                  <w:proofErr w:type="spellEnd"/>
                  <w:r w:rsidRPr="001C7762">
                    <w:t>, (</w:t>
                  </w:r>
                  <w:hyperlink r:id="rId142" w:tgtFrame="_blank" w:history="1">
                    <w:r w:rsidRPr="001C7762">
                      <w:t>41</w:t>
                    </w:r>
                  </w:hyperlink>
                  <w:r w:rsidRPr="001C7762">
                    <w:t>)</w:t>
                  </w:r>
                </w:p>
              </w:tc>
            </w:tr>
          </w:tbl>
          <w:p w14:paraId="307CFEFB" w14:textId="77777777" w:rsidR="008511CD" w:rsidRPr="001C7762" w:rsidRDefault="008511CD" w:rsidP="00BC5261">
            <w:pPr>
              <w:pStyle w:val="tj"/>
              <w:shd w:val="clear" w:color="auto" w:fill="FFFFFF"/>
              <w:spacing w:before="120" w:beforeAutospacing="0" w:after="0" w:afterAutospacing="0"/>
              <w:ind w:firstLine="493"/>
              <w:jc w:val="both"/>
            </w:pPr>
            <w:r w:rsidRPr="001C7762">
              <w:t>де </w:t>
            </w:r>
            <w:r w:rsidRPr="001C7762">
              <w:rPr>
                <w:noProof/>
              </w:rPr>
              <w:drawing>
                <wp:inline distT="0" distB="0" distL="0" distR="0" wp14:anchorId="1D7EFEF2" wp14:editId="2C075DAF">
                  <wp:extent cx="220812" cy="194137"/>
                  <wp:effectExtent l="0" t="0" r="8255" b="0"/>
                  <wp:docPr id="226432" name="Рисунок 226432" descr="https://ips.ligazakon.net/l_flib1.nsf/LookupFiles/GK40721_IMG_150.gif/$file/GK40721_IMG_1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ips.ligazakon.net/l_flib1.nsf/LookupFiles/GK40721_IMG_150.gif/$file/GK40721_IMG_150.gif"/>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223870" cy="196825"/>
                          </a:xfrm>
                          <a:prstGeom prst="rect">
                            <a:avLst/>
                          </a:prstGeom>
                          <a:noFill/>
                          <a:ln>
                            <a:noFill/>
                          </a:ln>
                        </pic:spPr>
                      </pic:pic>
                    </a:graphicData>
                  </a:graphic>
                </wp:inline>
              </w:drawing>
            </w:r>
            <w:r w:rsidRPr="001C7762">
              <w:t> - прогнозований обсяг електричної енергії, що розподіляється на 2 класі напруги </w:t>
            </w:r>
            <w:hyperlink r:id="rId143" w:tgtFrame="_blank" w:history="1">
              <w:r w:rsidRPr="001C7762">
                <w:t>(крім ліцензіатів, перелік яких наведено в додатку 30 до цього Порядку, для яких на 2024</w:t>
              </w:r>
              <w:r w:rsidRPr="001C7762">
                <w:rPr>
                  <w:b/>
                </w:rPr>
                <w:t xml:space="preserve"> та 2025 роки</w:t>
              </w:r>
              <w:r w:rsidRPr="001C7762">
                <w:t> </w:t>
              </w:r>
              <w:r w:rsidRPr="001C7762">
                <w:rPr>
                  <w:noProof/>
                </w:rPr>
                <w:drawing>
                  <wp:inline distT="0" distB="0" distL="0" distR="0" wp14:anchorId="31A1DF43" wp14:editId="2545F1B6">
                    <wp:extent cx="252188" cy="166024"/>
                    <wp:effectExtent l="0" t="0" r="0" b="5715"/>
                    <wp:docPr id="226433" name="Рисунок 226433" descr="https://ips.ligazakon.net/l_flib1.nsf/LookupFiles/GK40721_IMG_328.GIF/$file/GK40721_IMG_3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433" name="Рисунок 226433" descr="https://ips.ligazakon.net/l_flib1.nsf/LookupFiles/GK40721_IMG_328.GIF/$file/GK40721_IMG_328.GIF"/>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252628" cy="166314"/>
                            </a:xfrm>
                            <a:prstGeom prst="rect">
                              <a:avLst/>
                            </a:prstGeom>
                            <a:noFill/>
                            <a:ln>
                              <a:noFill/>
                            </a:ln>
                          </pic:spPr>
                        </pic:pic>
                      </a:graphicData>
                    </a:graphic>
                  </wp:inline>
                </w:drawing>
              </w:r>
              <w:r w:rsidRPr="001C7762">
                <w:t xml:space="preserve"> фіксується на рівні, врахованому в тарифах </w:t>
              </w:r>
              <w:r w:rsidRPr="001C7762">
                <w:rPr>
                  <w:b/>
                </w:rPr>
                <w:t>2023 року</w:t>
              </w:r>
              <w:r w:rsidRPr="001C7762">
                <w:t>)</w:t>
              </w:r>
            </w:hyperlink>
            <w:r w:rsidRPr="001C7762">
              <w:t xml:space="preserve">, </w:t>
            </w:r>
            <w:proofErr w:type="spellStart"/>
            <w:r w:rsidRPr="001C7762">
              <w:t>МВт·год</w:t>
            </w:r>
            <w:proofErr w:type="spellEnd"/>
            <w:r w:rsidRPr="001C7762">
              <w:t>;</w:t>
            </w:r>
          </w:p>
          <w:p w14:paraId="4C642CFE" w14:textId="464EABA4" w:rsidR="008511CD" w:rsidRPr="001C7762" w:rsidRDefault="008511CD" w:rsidP="00BC5261">
            <w:pPr>
              <w:rPr>
                <w:lang w:val="uk-UA"/>
              </w:rPr>
            </w:pPr>
            <w:r w:rsidRPr="001C7762">
              <w:rPr>
                <w:lang w:val="uk-UA"/>
              </w:rPr>
              <w:t> </w:t>
            </w:r>
            <w:r w:rsidRPr="001C7762">
              <w:rPr>
                <w:noProof/>
                <w:lang w:val="uk-UA"/>
              </w:rPr>
              <w:drawing>
                <wp:inline distT="0" distB="0" distL="0" distR="0" wp14:anchorId="312E95F2" wp14:editId="633B4160">
                  <wp:extent cx="491836" cy="173496"/>
                  <wp:effectExtent l="0" t="0" r="3810" b="0"/>
                  <wp:docPr id="226434" name="Рисунок 226434" descr="https://ips.ligazakon.net/l_flib1.nsf/LookupFiles/GK40721_IMG_151.gif/$file/GK40721_IMG_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ips.ligazakon.net/l_flib1.nsf/LookupFiles/GK40721_IMG_151.gif/$file/GK40721_IMG_151.gif"/>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495544" cy="174804"/>
                          </a:xfrm>
                          <a:prstGeom prst="rect">
                            <a:avLst/>
                          </a:prstGeom>
                          <a:noFill/>
                          <a:ln>
                            <a:noFill/>
                          </a:ln>
                        </pic:spPr>
                      </pic:pic>
                    </a:graphicData>
                  </a:graphic>
                </wp:inline>
              </w:drawing>
            </w:r>
            <w:r w:rsidRPr="001C7762">
              <w:rPr>
                <w:lang w:val="uk-UA"/>
              </w:rPr>
              <w:t> - прогнозований обсяг електричної енергії, що надходить від генеруючих компаній безпосередньо на 2 клас напруги на рік t </w:t>
            </w:r>
            <w:hyperlink r:id="rId144" w:tgtFrame="_blank" w:history="1">
              <w:r w:rsidRPr="001C7762">
                <w:rPr>
                  <w:lang w:val="uk-UA"/>
                </w:rPr>
                <w:t>(крім ліцензіатів, перелік яких наведено в додатку 30 до цього Порядку, для яких на 2024</w:t>
              </w:r>
              <w:r w:rsidRPr="001C7762">
                <w:rPr>
                  <w:b/>
                  <w:lang w:val="uk-UA"/>
                </w:rPr>
                <w:t xml:space="preserve"> та 2025 роки</w:t>
              </w:r>
              <w:r w:rsidRPr="001C7762">
                <w:rPr>
                  <w:lang w:val="uk-UA"/>
                </w:rPr>
                <w:t> </w:t>
              </w:r>
              <w:r w:rsidRPr="001C7762">
                <w:rPr>
                  <w:noProof/>
                  <w:lang w:val="uk-UA"/>
                </w:rPr>
                <w:drawing>
                  <wp:inline distT="0" distB="0" distL="0" distR="0" wp14:anchorId="7347DF42" wp14:editId="7311D074">
                    <wp:extent cx="505691" cy="168386"/>
                    <wp:effectExtent l="0" t="0" r="8890" b="3175"/>
                    <wp:docPr id="226435" name="Рисунок 226435" descr="https://ips.ligazakon.net/l_flib1.nsf/LookupFiles/GK40721_IMG_329.GIF/$file/GK40721_IMG_3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435" name="Рисунок 226435" descr="https://ips.ligazakon.net/l_flib1.nsf/LookupFiles/GK40721_IMG_329.GIF/$file/GK40721_IMG_329.GIF"/>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509517" cy="169660"/>
                            </a:xfrm>
                            <a:prstGeom prst="rect">
                              <a:avLst/>
                            </a:prstGeom>
                            <a:noFill/>
                            <a:ln>
                              <a:noFill/>
                            </a:ln>
                          </pic:spPr>
                        </pic:pic>
                      </a:graphicData>
                    </a:graphic>
                  </wp:inline>
                </w:drawing>
              </w:r>
              <w:r w:rsidRPr="001C7762">
                <w:rPr>
                  <w:lang w:val="uk-UA"/>
                </w:rPr>
                <w:t xml:space="preserve"> фіксується на рівні, врахованому в тарифах </w:t>
              </w:r>
              <w:r w:rsidRPr="001C7762">
                <w:rPr>
                  <w:b/>
                  <w:lang w:val="uk-UA"/>
                </w:rPr>
                <w:t>2023 року</w:t>
              </w:r>
              <w:r w:rsidRPr="001C7762">
                <w:rPr>
                  <w:lang w:val="uk-UA"/>
                </w:rPr>
                <w:t>)</w:t>
              </w:r>
            </w:hyperlink>
            <w:r w:rsidRPr="001C7762">
              <w:rPr>
                <w:lang w:val="uk-UA"/>
              </w:rPr>
              <w:t xml:space="preserve">, </w:t>
            </w:r>
            <w:proofErr w:type="spellStart"/>
            <w:r w:rsidRPr="001C7762">
              <w:rPr>
                <w:lang w:val="uk-UA"/>
              </w:rPr>
              <w:t>МВт·год</w:t>
            </w:r>
            <w:proofErr w:type="spellEnd"/>
            <w:r w:rsidRPr="001C7762">
              <w:rPr>
                <w:lang w:val="uk-UA"/>
              </w:rPr>
              <w:t>.</w:t>
            </w:r>
          </w:p>
        </w:tc>
      </w:tr>
      <w:tr w:rsidR="001C7762" w:rsidRPr="001C7762" w14:paraId="69284C3B" w14:textId="77777777" w:rsidTr="00F549E8">
        <w:tc>
          <w:tcPr>
            <w:tcW w:w="7655" w:type="dxa"/>
          </w:tcPr>
          <w:p w14:paraId="32C7BA85" w14:textId="2856894E" w:rsidR="008511CD" w:rsidRPr="00BE0731" w:rsidRDefault="0061390A" w:rsidP="00BC5261">
            <w:pPr>
              <w:rPr>
                <w:lang w:val="uk-UA"/>
              </w:rPr>
            </w:pPr>
            <w:proofErr w:type="spellStart"/>
            <w:r>
              <w:lastRenderedPageBreak/>
              <w:t>Д</w:t>
            </w:r>
            <w:r w:rsidRPr="001C7762">
              <w:t>одатки</w:t>
            </w:r>
            <w:proofErr w:type="spellEnd"/>
            <w:r w:rsidRPr="001C7762">
              <w:t xml:space="preserve"> 7 – 12, 14 – 16, 28 та 29 </w:t>
            </w:r>
          </w:p>
        </w:tc>
        <w:tc>
          <w:tcPr>
            <w:tcW w:w="7654" w:type="dxa"/>
          </w:tcPr>
          <w:p w14:paraId="7C166394" w14:textId="7B12933B" w:rsidR="008511CD" w:rsidRPr="001C7762" w:rsidRDefault="00BE0731" w:rsidP="00BC5261">
            <w:pPr>
              <w:pStyle w:val="rvps2"/>
              <w:widowControl w:val="0"/>
              <w:shd w:val="clear" w:color="auto" w:fill="FFFFFF"/>
              <w:spacing w:before="0" w:beforeAutospacing="0" w:after="0" w:afterAutospacing="0"/>
              <w:ind w:firstLine="306"/>
            </w:pPr>
            <w:r>
              <w:t>Д</w:t>
            </w:r>
            <w:r w:rsidR="00BF7EAB" w:rsidRPr="001C7762">
              <w:t>одатки 7 – 12, 14 – 16, 28 та 29 викласти в новій редакції</w:t>
            </w:r>
          </w:p>
          <w:p w14:paraId="334B41CE" w14:textId="77777777" w:rsidR="008511CD" w:rsidRPr="001C7762" w:rsidRDefault="008511CD" w:rsidP="00BC5261">
            <w:pPr>
              <w:rPr>
                <w:lang w:val="uk-UA"/>
              </w:rPr>
            </w:pPr>
          </w:p>
        </w:tc>
      </w:tr>
      <w:tr w:rsidR="001C7762" w:rsidRPr="001C7762" w14:paraId="5CDF63F4" w14:textId="77777777" w:rsidTr="00F549E8">
        <w:tc>
          <w:tcPr>
            <w:tcW w:w="7655" w:type="dxa"/>
          </w:tcPr>
          <w:p w14:paraId="00ED966F" w14:textId="53686454" w:rsidR="008511CD" w:rsidRPr="001C7762" w:rsidRDefault="008511CD" w:rsidP="00BC5261">
            <w:pPr>
              <w:rPr>
                <w:lang w:val="uk-UA"/>
              </w:rPr>
            </w:pPr>
            <w:r w:rsidRPr="001C7762">
              <w:rPr>
                <w:b/>
                <w:lang w:val="uk-UA" w:eastAsia="uk-UA"/>
              </w:rPr>
              <w:t>Додаток відсутній</w:t>
            </w:r>
          </w:p>
        </w:tc>
        <w:tc>
          <w:tcPr>
            <w:tcW w:w="7654" w:type="dxa"/>
          </w:tcPr>
          <w:p w14:paraId="66DDC1A8" w14:textId="77777777" w:rsidR="008511CD" w:rsidRPr="001C7762" w:rsidRDefault="008511CD" w:rsidP="007F6841">
            <w:pPr>
              <w:pStyle w:val="tl"/>
              <w:shd w:val="clear" w:color="auto" w:fill="FFFFFF"/>
              <w:spacing w:before="0" w:beforeAutospacing="0" w:after="0" w:afterAutospacing="0"/>
              <w:jc w:val="both"/>
              <w:rPr>
                <w:b/>
              </w:rPr>
            </w:pPr>
            <w:r w:rsidRPr="001C7762">
              <w:rPr>
                <w:b/>
              </w:rPr>
              <w:t>Додаток 32 до Порядку встановлення (формування) тарифів на послуги з розподілу електричної енергії</w:t>
            </w:r>
          </w:p>
          <w:p w14:paraId="645B2D62" w14:textId="6B8D6BA9" w:rsidR="008511CD" w:rsidRPr="001C7762" w:rsidRDefault="008511CD" w:rsidP="007F6841">
            <w:pPr>
              <w:pStyle w:val="3"/>
              <w:shd w:val="clear" w:color="auto" w:fill="FFFFFF"/>
              <w:spacing w:before="0" w:after="0"/>
              <w:jc w:val="both"/>
              <w:outlineLvl w:val="2"/>
              <w:rPr>
                <w:rFonts w:ascii="Times New Roman" w:hAnsi="Times New Roman"/>
                <w:b w:val="0"/>
                <w:bCs w:val="0"/>
                <w:sz w:val="24"/>
                <w:szCs w:val="24"/>
                <w:lang w:val="ru-RU" w:eastAsia="uk-UA"/>
              </w:rPr>
            </w:pPr>
            <w:r w:rsidRPr="001C7762">
              <w:rPr>
                <w:rFonts w:ascii="Times New Roman" w:hAnsi="Times New Roman"/>
                <w:bCs w:val="0"/>
                <w:sz w:val="24"/>
                <w:szCs w:val="24"/>
                <w:lang w:eastAsia="uk-UA"/>
              </w:rPr>
              <w:t>ПЕРЕЛІК операторів систем розподілу, до яких не застосовується коригування необхідного доходу відповідно до даних виконання цільового завдання щодо досягнення показників якості послуг за 2024 рік</w:t>
            </w:r>
          </w:p>
          <w:p w14:paraId="18E90343" w14:textId="77777777" w:rsidR="008511CD" w:rsidRPr="001C7762" w:rsidRDefault="008511CD" w:rsidP="007F6841">
            <w:pPr>
              <w:pStyle w:val="tj"/>
              <w:shd w:val="clear" w:color="auto" w:fill="FFFFFF"/>
              <w:spacing w:before="0" w:beforeAutospacing="0" w:after="0" w:afterAutospacing="0"/>
              <w:jc w:val="both"/>
              <w:rPr>
                <w:b/>
              </w:rPr>
            </w:pPr>
            <w:r w:rsidRPr="001C7762">
              <w:rPr>
                <w:b/>
              </w:rPr>
              <w:t>АТ «ДТЕК ДНІПРОВСЬКІ ЕЛЕКТРОМЕРЕЖІ»</w:t>
            </w:r>
          </w:p>
          <w:p w14:paraId="3E2EE214" w14:textId="77777777" w:rsidR="008511CD" w:rsidRPr="001C7762" w:rsidRDefault="008511CD" w:rsidP="007F6841">
            <w:pPr>
              <w:pStyle w:val="tj"/>
              <w:shd w:val="clear" w:color="auto" w:fill="FFFFFF"/>
              <w:spacing w:before="0" w:beforeAutospacing="0" w:after="0" w:afterAutospacing="0"/>
              <w:jc w:val="both"/>
              <w:rPr>
                <w:b/>
              </w:rPr>
            </w:pPr>
            <w:r w:rsidRPr="001C7762">
              <w:rPr>
                <w:b/>
              </w:rPr>
              <w:t>АТ «ДТЕК ДОНЕЦЬКІ ЕЛЕКТРОМЕРЕЖІ»;</w:t>
            </w:r>
          </w:p>
          <w:p w14:paraId="27A3F0B5" w14:textId="77777777" w:rsidR="008511CD" w:rsidRPr="001C7762" w:rsidRDefault="008511CD" w:rsidP="007F6841">
            <w:pPr>
              <w:pStyle w:val="tj"/>
              <w:shd w:val="clear" w:color="auto" w:fill="FFFFFF"/>
              <w:spacing w:before="0" w:beforeAutospacing="0" w:after="0" w:afterAutospacing="0"/>
              <w:jc w:val="both"/>
              <w:rPr>
                <w:b/>
              </w:rPr>
            </w:pPr>
            <w:r w:rsidRPr="001C7762">
              <w:rPr>
                <w:b/>
              </w:rPr>
              <w:t>ПАТ «ЗАПОРІЖЖЯОБЛЕНЕРГО»;</w:t>
            </w:r>
          </w:p>
          <w:p w14:paraId="5756289E" w14:textId="77777777" w:rsidR="008511CD" w:rsidRPr="001C7762" w:rsidRDefault="008511CD" w:rsidP="007F6841">
            <w:pPr>
              <w:pStyle w:val="tj"/>
              <w:shd w:val="clear" w:color="auto" w:fill="FFFFFF"/>
              <w:spacing w:before="0" w:beforeAutospacing="0" w:after="0" w:afterAutospacing="0"/>
              <w:jc w:val="both"/>
              <w:rPr>
                <w:b/>
              </w:rPr>
            </w:pPr>
            <w:r w:rsidRPr="001C7762">
              <w:rPr>
                <w:b/>
              </w:rPr>
              <w:t>АТ «МИКОЛАЇВОБЛЕНЕРГО»;</w:t>
            </w:r>
          </w:p>
          <w:p w14:paraId="1F611F93" w14:textId="77777777" w:rsidR="008511CD" w:rsidRPr="001C7762" w:rsidRDefault="008511CD" w:rsidP="007F6841">
            <w:pPr>
              <w:pStyle w:val="tj"/>
              <w:shd w:val="clear" w:color="auto" w:fill="FFFFFF"/>
              <w:spacing w:before="0" w:beforeAutospacing="0" w:after="0" w:afterAutospacing="0"/>
              <w:jc w:val="both"/>
              <w:rPr>
                <w:b/>
              </w:rPr>
            </w:pPr>
            <w:r w:rsidRPr="001C7762">
              <w:rPr>
                <w:b/>
              </w:rPr>
              <w:t>АТ «СУМИОБЛЕНЕРГО»;</w:t>
            </w:r>
          </w:p>
          <w:p w14:paraId="6C050CA3" w14:textId="77777777" w:rsidR="008511CD" w:rsidRPr="001C7762" w:rsidRDefault="008511CD" w:rsidP="007F6841">
            <w:pPr>
              <w:pStyle w:val="tj"/>
              <w:shd w:val="clear" w:color="auto" w:fill="FFFFFF"/>
              <w:spacing w:before="0" w:beforeAutospacing="0" w:after="0" w:afterAutospacing="0"/>
              <w:jc w:val="both"/>
              <w:rPr>
                <w:b/>
              </w:rPr>
            </w:pPr>
            <w:r w:rsidRPr="001C7762">
              <w:rPr>
                <w:b/>
              </w:rPr>
              <w:t>АТ «ХАРКІВОБЛЕНЕРГО»;</w:t>
            </w:r>
          </w:p>
          <w:p w14:paraId="18C2B8F0" w14:textId="77777777" w:rsidR="008511CD" w:rsidRPr="001C7762" w:rsidRDefault="008511CD" w:rsidP="007F6841">
            <w:pPr>
              <w:pStyle w:val="tj"/>
              <w:shd w:val="clear" w:color="auto" w:fill="FFFFFF"/>
              <w:spacing w:before="0" w:beforeAutospacing="0" w:after="0" w:afterAutospacing="0"/>
              <w:jc w:val="both"/>
              <w:rPr>
                <w:b/>
              </w:rPr>
            </w:pPr>
            <w:r w:rsidRPr="001C7762">
              <w:rPr>
                <w:b/>
              </w:rPr>
              <w:t>АТ «ХЕРСОНОБЛЕНЕРГО»;</w:t>
            </w:r>
          </w:p>
          <w:p w14:paraId="013D7C13" w14:textId="77777777" w:rsidR="008511CD" w:rsidRPr="001C7762" w:rsidRDefault="008511CD" w:rsidP="007F6841">
            <w:pPr>
              <w:pStyle w:val="tj"/>
              <w:shd w:val="clear" w:color="auto" w:fill="FFFFFF"/>
              <w:spacing w:before="0" w:beforeAutospacing="0" w:after="0" w:afterAutospacing="0"/>
              <w:jc w:val="both"/>
              <w:rPr>
                <w:b/>
              </w:rPr>
            </w:pPr>
            <w:r w:rsidRPr="001C7762">
              <w:rPr>
                <w:b/>
              </w:rPr>
              <w:t>АТ «ЧЕРНІГІВОБЛЕНЕРГО»;</w:t>
            </w:r>
          </w:p>
          <w:p w14:paraId="2ECD90D0" w14:textId="77777777" w:rsidR="008511CD" w:rsidRPr="001C7762" w:rsidRDefault="008511CD" w:rsidP="007F6841">
            <w:pPr>
              <w:pStyle w:val="tj"/>
              <w:shd w:val="clear" w:color="auto" w:fill="FFFFFF"/>
              <w:spacing w:before="0" w:beforeAutospacing="0" w:after="0" w:afterAutospacing="0"/>
              <w:jc w:val="both"/>
              <w:rPr>
                <w:b/>
              </w:rPr>
            </w:pPr>
            <w:r w:rsidRPr="001C7762">
              <w:rPr>
                <w:b/>
              </w:rPr>
              <w:t>ТОВ «ДТЕК ВИСОКОВОЛЬТНІ МЕРЕЖІ»;</w:t>
            </w:r>
          </w:p>
          <w:p w14:paraId="1F393FFA" w14:textId="2B68299B" w:rsidR="008511CD" w:rsidRPr="001C7762" w:rsidRDefault="008511CD" w:rsidP="007F6841">
            <w:pPr>
              <w:pStyle w:val="tj"/>
              <w:shd w:val="clear" w:color="auto" w:fill="FFFFFF"/>
              <w:spacing w:before="0" w:beforeAutospacing="0" w:after="0" w:afterAutospacing="0"/>
              <w:jc w:val="both"/>
              <w:rPr>
                <w:b/>
              </w:rPr>
            </w:pPr>
            <w:r w:rsidRPr="001C7762">
              <w:rPr>
                <w:b/>
              </w:rPr>
              <w:t xml:space="preserve">ПРАТ «ПЕЕМ «ЦЕК»; </w:t>
            </w:r>
          </w:p>
          <w:p w14:paraId="72581293" w14:textId="77777777" w:rsidR="008511CD" w:rsidRPr="001C7762" w:rsidRDefault="008511CD" w:rsidP="007F6841">
            <w:pPr>
              <w:pStyle w:val="tj"/>
              <w:shd w:val="clear" w:color="auto" w:fill="FFFFFF"/>
              <w:spacing w:before="0" w:beforeAutospacing="0" w:after="0" w:afterAutospacing="0"/>
              <w:jc w:val="both"/>
              <w:rPr>
                <w:b/>
              </w:rPr>
            </w:pPr>
            <w:r w:rsidRPr="001C7762">
              <w:rPr>
                <w:b/>
              </w:rPr>
              <w:t>ДПЕМ ПРАТ «АТОМСЕРВІС»;</w:t>
            </w:r>
          </w:p>
          <w:p w14:paraId="37CD952A" w14:textId="1B7C30AD" w:rsidR="008511CD" w:rsidRPr="001C7762" w:rsidRDefault="008511CD" w:rsidP="007F6841">
            <w:pPr>
              <w:pStyle w:val="tj"/>
              <w:shd w:val="clear" w:color="auto" w:fill="FFFFFF"/>
              <w:spacing w:before="0" w:beforeAutospacing="0" w:after="0" w:afterAutospacing="0"/>
              <w:jc w:val="both"/>
              <w:rPr>
                <w:b/>
              </w:rPr>
            </w:pPr>
            <w:r w:rsidRPr="001C7762">
              <w:rPr>
                <w:b/>
              </w:rPr>
              <w:t>ПРАТ «ДТЕК ПЕМ-ЕНЕРГОВУГІЛЛЯ»;</w:t>
            </w:r>
          </w:p>
          <w:p w14:paraId="64E042F3" w14:textId="77777777" w:rsidR="008511CD" w:rsidRPr="001C7762" w:rsidRDefault="008511CD" w:rsidP="007F6841">
            <w:pPr>
              <w:pStyle w:val="tj"/>
              <w:shd w:val="clear" w:color="auto" w:fill="FFFFFF"/>
              <w:spacing w:before="0" w:beforeAutospacing="0" w:after="0" w:afterAutospacing="0"/>
              <w:jc w:val="both"/>
              <w:rPr>
                <w:b/>
              </w:rPr>
            </w:pPr>
            <w:r w:rsidRPr="001C7762">
              <w:rPr>
                <w:b/>
              </w:rPr>
              <w:t>ТОВ «ЛУГАНСЬКЕ ЕНЕРГЕТИЧНЕ ОБ'ЄДНАННЯ»;</w:t>
            </w:r>
          </w:p>
          <w:p w14:paraId="0A754430" w14:textId="77777777" w:rsidR="008511CD" w:rsidRPr="001C7762" w:rsidRDefault="008511CD" w:rsidP="007F6841">
            <w:pPr>
              <w:pStyle w:val="tj"/>
              <w:shd w:val="clear" w:color="auto" w:fill="FFFFFF"/>
              <w:spacing w:before="0" w:beforeAutospacing="0" w:after="0" w:afterAutospacing="0"/>
              <w:jc w:val="both"/>
              <w:rPr>
                <w:b/>
              </w:rPr>
            </w:pPr>
            <w:r w:rsidRPr="001C7762">
              <w:rPr>
                <w:b/>
              </w:rPr>
              <w:t>ДП «РЕГІОНАЛЬНІ ЕЛЕКТРИЧНІ МЕРЕЖІ»;</w:t>
            </w:r>
          </w:p>
          <w:p w14:paraId="4FC5AC18" w14:textId="77777777" w:rsidR="008511CD" w:rsidRPr="001C7762" w:rsidRDefault="008511CD" w:rsidP="007F6841">
            <w:pPr>
              <w:pStyle w:val="tj"/>
              <w:shd w:val="clear" w:color="auto" w:fill="FFFFFF"/>
              <w:spacing w:before="0" w:beforeAutospacing="0" w:after="0" w:afterAutospacing="0"/>
              <w:jc w:val="both"/>
              <w:rPr>
                <w:b/>
              </w:rPr>
            </w:pPr>
            <w:r w:rsidRPr="001C7762">
              <w:rPr>
                <w:b/>
              </w:rPr>
              <w:t>АТ «УКРЗАЛІЗНИЦЯ».</w:t>
            </w:r>
          </w:p>
          <w:p w14:paraId="35B0DB72" w14:textId="77777777" w:rsidR="008511CD" w:rsidRPr="001C7762" w:rsidRDefault="008511CD" w:rsidP="007F6841">
            <w:pPr>
              <w:jc w:val="both"/>
              <w:rPr>
                <w:lang w:val="uk-UA"/>
              </w:rPr>
            </w:pPr>
          </w:p>
        </w:tc>
      </w:tr>
      <w:tr w:rsidR="001C7762" w:rsidRPr="001C7762" w14:paraId="7DCDCAA9" w14:textId="77777777" w:rsidTr="00F549E8">
        <w:tc>
          <w:tcPr>
            <w:tcW w:w="15309" w:type="dxa"/>
            <w:gridSpan w:val="2"/>
          </w:tcPr>
          <w:p w14:paraId="414B38C6" w14:textId="03FB8ED8" w:rsidR="008511CD" w:rsidRPr="001C7762" w:rsidRDefault="008511CD" w:rsidP="00BC5261">
            <w:pPr>
              <w:jc w:val="center"/>
              <w:rPr>
                <w:i/>
                <w:lang w:val="uk-UA"/>
              </w:rPr>
            </w:pPr>
            <w:r w:rsidRPr="001C7762">
              <w:rPr>
                <w:b/>
                <w:bCs/>
                <w:lang w:val="uk-UA"/>
              </w:rPr>
              <w:t xml:space="preserve">Постанова НКРЕ від </w:t>
            </w:r>
            <w:r w:rsidRPr="001C7762">
              <w:rPr>
                <w:b/>
                <w:bCs/>
                <w:shd w:val="clear" w:color="auto" w:fill="FFFFFF"/>
                <w:lang w:val="uk-UA"/>
              </w:rPr>
              <w:t>23.07.2013  № 1009 «Про встановлення параметрів регулювання, що мають довгостроковий строк дії, для цілей стимулюючого регулювання»</w:t>
            </w:r>
          </w:p>
        </w:tc>
      </w:tr>
      <w:tr w:rsidR="001C7762" w:rsidRPr="001C7762" w14:paraId="2A249B72" w14:textId="77777777" w:rsidTr="00F549E8">
        <w:tc>
          <w:tcPr>
            <w:tcW w:w="7655" w:type="dxa"/>
          </w:tcPr>
          <w:p w14:paraId="403499B4" w14:textId="77777777" w:rsidR="008511CD" w:rsidRPr="001C7762" w:rsidRDefault="008511CD" w:rsidP="000D7C1D">
            <w:pPr>
              <w:shd w:val="clear" w:color="auto" w:fill="FFFFFF"/>
              <w:ind w:firstLine="488"/>
              <w:jc w:val="both"/>
              <w:rPr>
                <w:lang w:val="uk-UA" w:eastAsia="uk-UA"/>
              </w:rPr>
            </w:pPr>
            <w:r w:rsidRPr="001C7762">
              <w:rPr>
                <w:lang w:val="uk-UA" w:eastAsia="uk-UA"/>
              </w:rPr>
              <w:t>1. Установити на перший регуляторний період (</w:t>
            </w:r>
            <w:r w:rsidRPr="001C7762">
              <w:rPr>
                <w:b/>
                <w:lang w:val="uk-UA" w:eastAsia="uk-UA"/>
              </w:rPr>
              <w:t>4</w:t>
            </w:r>
            <w:r w:rsidRPr="001C7762">
              <w:rPr>
                <w:lang w:val="uk-UA" w:eastAsia="uk-UA"/>
              </w:rPr>
              <w:t xml:space="preserve"> роки) параметри регулювання, що мають довгостроковий строк дії, для цілей стимулюючого регулювання для суб'єктів господарювання, які мають ліцензію на провадження господарської діяльності з розподілу електричної енергії (далі – ліцензіати), на рівні:</w:t>
            </w:r>
          </w:p>
          <w:p w14:paraId="3CF97139" w14:textId="77777777" w:rsidR="008511CD" w:rsidRPr="001C7762" w:rsidRDefault="008511CD" w:rsidP="000D7C1D">
            <w:pPr>
              <w:shd w:val="clear" w:color="auto" w:fill="FFFFFF"/>
              <w:ind w:firstLine="488"/>
              <w:jc w:val="both"/>
              <w:rPr>
                <w:lang w:val="uk-UA" w:eastAsia="uk-UA"/>
              </w:rPr>
            </w:pPr>
          </w:p>
          <w:p w14:paraId="48796196" w14:textId="77777777" w:rsidR="008511CD" w:rsidRPr="001C7762" w:rsidRDefault="008511CD" w:rsidP="000D7C1D">
            <w:pPr>
              <w:shd w:val="clear" w:color="auto" w:fill="FFFFFF"/>
              <w:ind w:firstLine="488"/>
              <w:jc w:val="both"/>
              <w:rPr>
                <w:lang w:val="uk-UA" w:eastAsia="uk-UA"/>
              </w:rPr>
            </w:pPr>
            <w:r w:rsidRPr="001C7762">
              <w:rPr>
                <w:lang w:val="uk-UA" w:eastAsia="uk-UA"/>
              </w:rPr>
              <w:lastRenderedPageBreak/>
              <w:t>1) регуляторна норма доходу на регуляторну базу активів, яка створена на дату переходу до стимулюючого регулювання, - 0,03 відносних одиниць, крім ліцензіатів:</w:t>
            </w:r>
          </w:p>
          <w:p w14:paraId="73A19513" w14:textId="77777777" w:rsidR="008511CD" w:rsidRPr="001C7762" w:rsidRDefault="008511CD" w:rsidP="000D7C1D">
            <w:pPr>
              <w:shd w:val="clear" w:color="auto" w:fill="FFFFFF"/>
              <w:ind w:firstLine="488"/>
              <w:jc w:val="both"/>
              <w:rPr>
                <w:lang w:val="uk-UA" w:eastAsia="uk-UA"/>
              </w:rPr>
            </w:pPr>
            <w:r w:rsidRPr="001C7762">
              <w:rPr>
                <w:lang w:val="uk-UA" w:eastAsia="uk-UA"/>
              </w:rPr>
              <w:t xml:space="preserve">перелік яких наведено в додатку 30 до постанови НКРЕКП </w:t>
            </w:r>
            <w:r w:rsidRPr="001C7762">
              <w:rPr>
                <w:lang w:val="uk-UA" w:eastAsia="uk-UA"/>
              </w:rPr>
              <w:br/>
              <w:t>від 05 жовтня 2018 року N 1175 "Про затвердження Порядку встановлення (формування) тарифів на послуги з розподілу електричної енергії" (далі - Порядок встановлення (формування) тарифів) та частина основних фондів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N 309, зареєстрованим в Міністерстві юстиції України 23 грудня 2022 року за N 1668/39004;</w:t>
            </w:r>
          </w:p>
          <w:p w14:paraId="18E0F516" w14:textId="77777777" w:rsidR="008511CD" w:rsidRPr="001C7762" w:rsidRDefault="008511CD" w:rsidP="000D7C1D">
            <w:pPr>
              <w:shd w:val="clear" w:color="auto" w:fill="FFFFFF"/>
              <w:ind w:firstLine="488"/>
              <w:jc w:val="both"/>
              <w:rPr>
                <w:lang w:val="uk-UA" w:eastAsia="uk-UA"/>
              </w:rPr>
            </w:pPr>
            <w:r w:rsidRPr="001C7762">
              <w:rPr>
                <w:lang w:val="uk-UA" w:eastAsia="uk-UA"/>
              </w:rPr>
              <w:t xml:space="preserve">контролером або кінцевим </w:t>
            </w:r>
            <w:proofErr w:type="spellStart"/>
            <w:r w:rsidRPr="001C7762">
              <w:rPr>
                <w:lang w:val="uk-UA" w:eastAsia="uk-UA"/>
              </w:rPr>
              <w:t>бенефіціарним</w:t>
            </w:r>
            <w:proofErr w:type="spellEnd"/>
            <w:r w:rsidRPr="001C7762">
              <w:rPr>
                <w:lang w:val="uk-UA" w:eastAsia="uk-UA"/>
              </w:rPr>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09271826" w14:textId="77777777" w:rsidR="008511CD" w:rsidRPr="001C7762" w:rsidRDefault="008511CD" w:rsidP="000D7C1D">
            <w:pPr>
              <w:shd w:val="clear" w:color="auto" w:fill="FFFFFF"/>
              <w:ind w:firstLine="488"/>
              <w:jc w:val="both"/>
              <w:rPr>
                <w:lang w:val="uk-UA" w:eastAsia="uk-UA"/>
              </w:rPr>
            </w:pPr>
            <w:r w:rsidRPr="001C7762">
              <w:rPr>
                <w:lang w:val="uk-UA" w:eastAsia="uk-UA"/>
              </w:rPr>
              <w:t xml:space="preserve">для яких регуляторна норма доходу на регуляторну базу активів, яка створена на дату переходу до стимулюючого регулювання, у </w:t>
            </w:r>
            <w:r w:rsidRPr="001C7762">
              <w:rPr>
                <w:b/>
                <w:lang w:val="uk-UA" w:eastAsia="uk-UA"/>
              </w:rPr>
              <w:t>2024 році</w:t>
            </w:r>
            <w:r w:rsidRPr="001C7762">
              <w:rPr>
                <w:lang w:val="uk-UA" w:eastAsia="uk-UA"/>
              </w:rPr>
              <w:t xml:space="preserve"> становить 0 відносних одиниць; </w:t>
            </w:r>
          </w:p>
          <w:p w14:paraId="3BD62466" w14:textId="77777777" w:rsidR="008511CD" w:rsidRPr="001C7762" w:rsidRDefault="008511CD" w:rsidP="000D7C1D">
            <w:pPr>
              <w:shd w:val="clear" w:color="auto" w:fill="FFFFFF"/>
              <w:ind w:firstLine="488"/>
              <w:jc w:val="both"/>
              <w:rPr>
                <w:lang w:val="uk-UA" w:eastAsia="uk-UA"/>
              </w:rPr>
            </w:pPr>
          </w:p>
          <w:p w14:paraId="213F388B" w14:textId="77777777" w:rsidR="008511CD" w:rsidRPr="001C7762" w:rsidRDefault="008511CD" w:rsidP="000D7C1D">
            <w:pPr>
              <w:pStyle w:val="rvps2"/>
              <w:shd w:val="clear" w:color="auto" w:fill="FFFFFF"/>
              <w:spacing w:before="0" w:beforeAutospacing="0" w:after="0" w:afterAutospacing="0"/>
              <w:ind w:firstLine="488"/>
              <w:jc w:val="both"/>
            </w:pPr>
            <w:r w:rsidRPr="001C7762">
              <w:t xml:space="preserve">2) регуляторна норма доходу на регуляторну базу активів, яка створена після переходу на стимулююче регулювання, - 0,1674 відносних одиниць (для 2023 </w:t>
            </w:r>
            <w:r w:rsidRPr="001C7762">
              <w:rPr>
                <w:b/>
              </w:rPr>
              <w:t>та 2024</w:t>
            </w:r>
            <w:r w:rsidRPr="001C7762">
              <w:t xml:space="preserve"> років – 0,03 відносних одиниць), крім ліцензіатів:</w:t>
            </w:r>
          </w:p>
          <w:p w14:paraId="1168FE05" w14:textId="77777777" w:rsidR="008511CD" w:rsidRPr="001C7762" w:rsidRDefault="008511CD" w:rsidP="000D7C1D">
            <w:pPr>
              <w:pStyle w:val="rvps2"/>
              <w:shd w:val="clear" w:color="auto" w:fill="FFFFFF"/>
              <w:spacing w:before="0" w:beforeAutospacing="0" w:after="0" w:afterAutospacing="0"/>
              <w:ind w:firstLine="488"/>
              <w:jc w:val="both"/>
            </w:pPr>
            <w:r w:rsidRPr="001C7762">
              <w:t>перелік яких наведено в додатку 30 до Порядку встановлення (формування) тарифів;</w:t>
            </w:r>
          </w:p>
          <w:p w14:paraId="03E5D146" w14:textId="77777777" w:rsidR="008511CD" w:rsidRPr="001C7762" w:rsidRDefault="008511CD" w:rsidP="000D7C1D">
            <w:pPr>
              <w:pStyle w:val="rvps2"/>
              <w:shd w:val="clear" w:color="auto" w:fill="FFFFFF"/>
              <w:spacing w:before="0" w:beforeAutospacing="0" w:after="0" w:afterAutospacing="0"/>
              <w:ind w:firstLine="488"/>
              <w:jc w:val="both"/>
            </w:pPr>
            <w:r w:rsidRPr="001C7762">
              <w:t xml:space="preserve">контролером або кінцевим </w:t>
            </w:r>
            <w:proofErr w:type="spellStart"/>
            <w:r w:rsidRPr="001C7762">
              <w:t>бенефіціарним</w:t>
            </w:r>
            <w:proofErr w:type="spellEnd"/>
            <w:r w:rsidRPr="001C7762">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229A1A89" w14:textId="77777777" w:rsidR="008511CD" w:rsidRPr="001C7762" w:rsidRDefault="008511CD" w:rsidP="000D7C1D">
            <w:pPr>
              <w:pStyle w:val="rvps2"/>
              <w:shd w:val="clear" w:color="auto" w:fill="FFFFFF"/>
              <w:spacing w:before="0" w:beforeAutospacing="0" w:after="0" w:afterAutospacing="0"/>
              <w:ind w:firstLine="488"/>
              <w:jc w:val="both"/>
            </w:pPr>
            <w:r w:rsidRPr="001C7762">
              <w:t xml:space="preserve">для яких регуляторна норма доходу на регуляторну базу активів, яка створена після переходу на стимулююче регулювання, у </w:t>
            </w:r>
            <w:r w:rsidRPr="001C7762">
              <w:rPr>
                <w:b/>
              </w:rPr>
              <w:t>2024 році</w:t>
            </w:r>
            <w:r w:rsidRPr="001C7762">
              <w:t xml:space="preserve"> становить 0 відносних одиниць;</w:t>
            </w:r>
          </w:p>
          <w:p w14:paraId="0CF8C4C7" w14:textId="77777777" w:rsidR="008511CD" w:rsidRPr="001C7762" w:rsidRDefault="008511CD" w:rsidP="000D7C1D">
            <w:pPr>
              <w:shd w:val="clear" w:color="auto" w:fill="FFFFFF"/>
              <w:ind w:firstLine="488"/>
              <w:jc w:val="both"/>
              <w:rPr>
                <w:lang w:val="uk-UA" w:eastAsia="uk-UA"/>
              </w:rPr>
            </w:pPr>
          </w:p>
          <w:p w14:paraId="3EA1B2F3" w14:textId="77777777" w:rsidR="008511CD" w:rsidRPr="001C7762" w:rsidRDefault="008511CD" w:rsidP="000D7C1D">
            <w:pPr>
              <w:shd w:val="clear" w:color="auto" w:fill="FFFFFF"/>
              <w:ind w:firstLine="488"/>
              <w:jc w:val="both"/>
              <w:rPr>
                <w:lang w:val="uk-UA" w:eastAsia="uk-UA"/>
              </w:rPr>
            </w:pPr>
            <w:r w:rsidRPr="001C7762">
              <w:rPr>
                <w:lang w:val="uk-UA" w:eastAsia="uk-UA"/>
              </w:rPr>
              <w:t xml:space="preserve">3) загальний показник ефективності - 1 % (для 2023 </w:t>
            </w:r>
            <w:r w:rsidRPr="001C7762">
              <w:rPr>
                <w:b/>
                <w:lang w:val="uk-UA" w:eastAsia="uk-UA"/>
              </w:rPr>
              <w:t>та 2024</w:t>
            </w:r>
            <w:r w:rsidRPr="001C7762">
              <w:rPr>
                <w:lang w:val="uk-UA" w:eastAsia="uk-UA"/>
              </w:rPr>
              <w:t xml:space="preserve"> років –0 %);</w:t>
            </w:r>
          </w:p>
          <w:p w14:paraId="5C5AF801" w14:textId="77777777" w:rsidR="008511CD" w:rsidRPr="001C7762" w:rsidRDefault="008511CD" w:rsidP="000D7C1D">
            <w:pPr>
              <w:shd w:val="clear" w:color="auto" w:fill="FFFFFF"/>
              <w:ind w:firstLine="488"/>
              <w:jc w:val="both"/>
              <w:rPr>
                <w:lang w:val="uk-UA" w:eastAsia="uk-UA"/>
              </w:rPr>
            </w:pPr>
            <w:r w:rsidRPr="001C7762">
              <w:rPr>
                <w:lang w:val="uk-UA" w:eastAsia="uk-UA"/>
              </w:rPr>
              <w:t>………………………</w:t>
            </w:r>
          </w:p>
          <w:p w14:paraId="28E93580" w14:textId="77777777" w:rsidR="008511CD" w:rsidRPr="001C7762" w:rsidRDefault="008511CD" w:rsidP="000D7C1D">
            <w:pPr>
              <w:pStyle w:val="rvps2"/>
              <w:shd w:val="clear" w:color="auto" w:fill="FFFFFF"/>
              <w:spacing w:before="0" w:beforeAutospacing="0" w:after="0" w:afterAutospacing="0"/>
              <w:ind w:firstLine="488"/>
              <w:jc w:val="both"/>
            </w:pPr>
            <w:r w:rsidRPr="001C7762">
              <w:t xml:space="preserve">5) показник ефективності технологічних витрат електроенергії </w:t>
            </w:r>
            <w:r w:rsidRPr="001C7762">
              <w:br/>
              <w:t xml:space="preserve">на 1 класі напруги - 0,01 відносних одиниць (для 2023 </w:t>
            </w:r>
            <w:r w:rsidRPr="001C7762">
              <w:rPr>
                <w:b/>
              </w:rPr>
              <w:t>та 2024</w:t>
            </w:r>
            <w:r w:rsidRPr="001C7762">
              <w:t xml:space="preserve"> років – 0 відносних одиниць);</w:t>
            </w:r>
          </w:p>
          <w:p w14:paraId="15B64200" w14:textId="77777777" w:rsidR="008511CD" w:rsidRPr="001C7762" w:rsidRDefault="008511CD" w:rsidP="000D7C1D">
            <w:pPr>
              <w:pStyle w:val="rvps2"/>
              <w:shd w:val="clear" w:color="auto" w:fill="FFFFFF"/>
              <w:spacing w:before="0" w:beforeAutospacing="0" w:after="0" w:afterAutospacing="0"/>
              <w:ind w:firstLine="488"/>
              <w:jc w:val="both"/>
            </w:pPr>
          </w:p>
          <w:p w14:paraId="0C0EACF4" w14:textId="77777777" w:rsidR="008511CD" w:rsidRPr="001C7762" w:rsidRDefault="008511CD" w:rsidP="000D7C1D">
            <w:pPr>
              <w:pStyle w:val="rvps2"/>
              <w:shd w:val="clear" w:color="auto" w:fill="FFFFFF"/>
              <w:spacing w:before="0" w:beforeAutospacing="0" w:after="0" w:afterAutospacing="0"/>
              <w:ind w:firstLine="488"/>
              <w:jc w:val="both"/>
            </w:pPr>
            <w:r w:rsidRPr="001C7762">
              <w:t xml:space="preserve">6) показник ефективності технологічних витрат електроенергії на 2 класі напруги - 0,035 відносних одиниць (для 2023 </w:t>
            </w:r>
            <w:r w:rsidRPr="001C7762">
              <w:rPr>
                <w:b/>
              </w:rPr>
              <w:t>та 2024</w:t>
            </w:r>
            <w:r w:rsidRPr="001C7762">
              <w:t xml:space="preserve"> років – 0 відносних одиниць);</w:t>
            </w:r>
          </w:p>
          <w:p w14:paraId="2A0DD3E6" w14:textId="77777777" w:rsidR="008511CD" w:rsidRPr="001C7762" w:rsidRDefault="008511CD" w:rsidP="000D7C1D">
            <w:pPr>
              <w:pStyle w:val="rvps2"/>
              <w:shd w:val="clear" w:color="auto" w:fill="FFFFFF"/>
              <w:spacing w:before="0" w:beforeAutospacing="0" w:after="0" w:afterAutospacing="0"/>
              <w:ind w:firstLine="488"/>
              <w:jc w:val="both"/>
            </w:pPr>
          </w:p>
          <w:p w14:paraId="6F86EE6D" w14:textId="77777777" w:rsidR="008511CD" w:rsidRPr="001C7762" w:rsidRDefault="008511CD" w:rsidP="000D7C1D">
            <w:pPr>
              <w:pStyle w:val="rvps2"/>
              <w:shd w:val="clear" w:color="auto" w:fill="FFFFFF"/>
              <w:spacing w:before="0" w:beforeAutospacing="0" w:after="0" w:afterAutospacing="0"/>
              <w:ind w:firstLine="488"/>
              <w:jc w:val="both"/>
            </w:pPr>
            <w:r w:rsidRPr="001C7762">
              <w:t>7) цільовий показник якості послуг для міської території - </w:t>
            </w:r>
            <w:hyperlink r:id="rId145" w:tgtFrame="_blank" w:history="1">
              <w:r w:rsidRPr="001C7762">
                <w:t>150</w:t>
              </w:r>
            </w:hyperlink>
            <w:r w:rsidRPr="001C7762">
              <w:t> хвилин;</w:t>
            </w:r>
          </w:p>
          <w:p w14:paraId="0DF621CB" w14:textId="77777777" w:rsidR="008511CD" w:rsidRPr="001C7762" w:rsidRDefault="008511CD" w:rsidP="000D7C1D">
            <w:pPr>
              <w:pStyle w:val="rvps2"/>
              <w:shd w:val="clear" w:color="auto" w:fill="FFFFFF"/>
              <w:spacing w:before="0" w:beforeAutospacing="0" w:after="0" w:afterAutospacing="0"/>
              <w:ind w:firstLine="488"/>
              <w:jc w:val="both"/>
            </w:pPr>
            <w:r w:rsidRPr="001C7762">
              <w:t>8) цільовий показник якості послуг для сільської території - </w:t>
            </w:r>
            <w:hyperlink r:id="rId146" w:tgtFrame="_blank" w:history="1">
              <w:r w:rsidRPr="001C7762">
                <w:t>300</w:t>
              </w:r>
            </w:hyperlink>
            <w:r w:rsidRPr="001C7762">
              <w:t> хвилин;</w:t>
            </w:r>
          </w:p>
          <w:p w14:paraId="642778FE" w14:textId="77777777" w:rsidR="007F6841" w:rsidRPr="001C7762" w:rsidRDefault="007F6841" w:rsidP="000D7C1D">
            <w:pPr>
              <w:shd w:val="clear" w:color="auto" w:fill="FFFFFF"/>
              <w:ind w:firstLine="488"/>
              <w:jc w:val="both"/>
              <w:rPr>
                <w:lang w:val="uk-UA" w:eastAsia="uk-UA"/>
              </w:rPr>
            </w:pPr>
          </w:p>
          <w:p w14:paraId="5C488888" w14:textId="77777777" w:rsidR="007F6841" w:rsidRPr="001C7762" w:rsidRDefault="007F6841" w:rsidP="000D7C1D">
            <w:pPr>
              <w:shd w:val="clear" w:color="auto" w:fill="FFFFFF"/>
              <w:ind w:firstLine="488"/>
              <w:jc w:val="both"/>
              <w:rPr>
                <w:lang w:val="uk-UA" w:eastAsia="uk-UA"/>
              </w:rPr>
            </w:pPr>
          </w:p>
          <w:p w14:paraId="5E45798F" w14:textId="77777777" w:rsidR="007F6841" w:rsidRPr="001C7762" w:rsidRDefault="007F6841" w:rsidP="000D7C1D">
            <w:pPr>
              <w:shd w:val="clear" w:color="auto" w:fill="FFFFFF"/>
              <w:ind w:firstLine="488"/>
              <w:jc w:val="both"/>
              <w:rPr>
                <w:lang w:val="uk-UA" w:eastAsia="uk-UA"/>
              </w:rPr>
            </w:pPr>
          </w:p>
          <w:p w14:paraId="367B327A" w14:textId="65AAA33E" w:rsidR="008511CD" w:rsidRPr="001C7762" w:rsidRDefault="008511CD" w:rsidP="000D7C1D">
            <w:pPr>
              <w:shd w:val="clear" w:color="auto" w:fill="FFFFFF"/>
              <w:ind w:firstLine="488"/>
              <w:jc w:val="both"/>
              <w:rPr>
                <w:lang w:val="uk-UA" w:eastAsia="uk-UA"/>
              </w:rPr>
            </w:pPr>
            <w:r w:rsidRPr="001C7762">
              <w:rPr>
                <w:lang w:val="uk-UA" w:eastAsia="uk-UA"/>
              </w:rPr>
              <w:t>……………………</w:t>
            </w:r>
          </w:p>
          <w:p w14:paraId="0470F12A" w14:textId="77777777" w:rsidR="008511CD" w:rsidRPr="001C7762" w:rsidRDefault="008511CD" w:rsidP="000D7C1D">
            <w:pPr>
              <w:shd w:val="clear" w:color="auto" w:fill="FFFFFF"/>
              <w:ind w:firstLine="488"/>
              <w:jc w:val="both"/>
              <w:rPr>
                <w:lang w:val="uk-UA" w:eastAsia="uk-UA"/>
              </w:rPr>
            </w:pPr>
          </w:p>
          <w:p w14:paraId="2F4C41F8" w14:textId="7E6BB0F7" w:rsidR="008511CD" w:rsidRPr="001C7762" w:rsidRDefault="008511CD" w:rsidP="000D7C1D">
            <w:pPr>
              <w:shd w:val="clear" w:color="auto" w:fill="FFFFFF"/>
              <w:ind w:firstLine="488"/>
              <w:jc w:val="both"/>
              <w:rPr>
                <w:lang w:val="uk-UA" w:eastAsia="uk-UA"/>
              </w:rPr>
            </w:pPr>
            <w:r w:rsidRPr="001C7762">
              <w:rPr>
                <w:lang w:val="uk-UA" w:eastAsia="uk-UA"/>
              </w:rPr>
              <w:t xml:space="preserve">11) рік з початку переходу на стимулююче регулювання, у якому має бути досягнуто встановлений цільовий показник якості послуг, - </w:t>
            </w:r>
            <w:r w:rsidRPr="001C7762">
              <w:rPr>
                <w:b/>
                <w:lang w:val="uk-UA" w:eastAsia="uk-UA"/>
              </w:rPr>
              <w:t>14</w:t>
            </w:r>
            <w:r w:rsidRPr="001C7762">
              <w:rPr>
                <w:lang w:val="uk-UA" w:eastAsia="uk-UA"/>
              </w:rPr>
              <w:t>-й рік;</w:t>
            </w:r>
          </w:p>
          <w:p w14:paraId="5CD2749D" w14:textId="77777777" w:rsidR="008511CD" w:rsidRPr="001C7762" w:rsidRDefault="008511CD" w:rsidP="000D7C1D">
            <w:pPr>
              <w:rPr>
                <w:lang w:val="uk-UA"/>
              </w:rPr>
            </w:pPr>
          </w:p>
        </w:tc>
        <w:tc>
          <w:tcPr>
            <w:tcW w:w="7654" w:type="dxa"/>
          </w:tcPr>
          <w:p w14:paraId="1B8BA428" w14:textId="77777777" w:rsidR="008511CD" w:rsidRPr="001C7762" w:rsidRDefault="008511CD" w:rsidP="000D7C1D">
            <w:pPr>
              <w:shd w:val="clear" w:color="auto" w:fill="FFFFFF"/>
              <w:ind w:firstLine="488"/>
              <w:jc w:val="both"/>
              <w:rPr>
                <w:lang w:val="uk-UA" w:eastAsia="uk-UA"/>
              </w:rPr>
            </w:pPr>
            <w:r w:rsidRPr="001C7762">
              <w:rPr>
                <w:lang w:val="uk-UA" w:eastAsia="uk-UA"/>
              </w:rPr>
              <w:lastRenderedPageBreak/>
              <w:t>1. Установити на перший регуляторний період (</w:t>
            </w:r>
            <w:r w:rsidRPr="001C7762">
              <w:rPr>
                <w:b/>
                <w:lang w:val="uk-UA" w:eastAsia="uk-UA"/>
              </w:rPr>
              <w:t>5</w:t>
            </w:r>
            <w:r w:rsidRPr="001C7762">
              <w:rPr>
                <w:lang w:val="uk-UA" w:eastAsia="uk-UA"/>
              </w:rPr>
              <w:t xml:space="preserve"> років) параметри регулювання, що мають довгостроковий строк дії, для цілей стимулюючого регулювання для суб'єктів господарювання, які мають ліцензію на провадження господарської діяльності з розподілу електричної енергії (далі – ліцензіати), на рівні:</w:t>
            </w:r>
          </w:p>
          <w:p w14:paraId="57255CEF" w14:textId="77777777" w:rsidR="008511CD" w:rsidRPr="001C7762" w:rsidRDefault="008511CD" w:rsidP="000D7C1D">
            <w:pPr>
              <w:shd w:val="clear" w:color="auto" w:fill="FFFFFF"/>
              <w:ind w:firstLine="488"/>
              <w:jc w:val="both"/>
              <w:rPr>
                <w:lang w:val="uk-UA" w:eastAsia="uk-UA"/>
              </w:rPr>
            </w:pPr>
          </w:p>
          <w:p w14:paraId="4F6B24D3" w14:textId="77777777" w:rsidR="008511CD" w:rsidRPr="001C7762" w:rsidRDefault="008511CD" w:rsidP="000D7C1D">
            <w:pPr>
              <w:shd w:val="clear" w:color="auto" w:fill="FFFFFF"/>
              <w:ind w:firstLine="488"/>
              <w:jc w:val="both"/>
              <w:rPr>
                <w:lang w:val="uk-UA" w:eastAsia="uk-UA"/>
              </w:rPr>
            </w:pPr>
            <w:r w:rsidRPr="001C7762">
              <w:rPr>
                <w:lang w:val="uk-UA" w:eastAsia="uk-UA"/>
              </w:rPr>
              <w:lastRenderedPageBreak/>
              <w:t>1) регуляторна норма доходу на регуляторну базу активів, яка створена на дату переходу до стимулюючого регулювання, - 0,03 відносних одиниць, крім ліцензіатів:</w:t>
            </w:r>
          </w:p>
          <w:p w14:paraId="5C7090FC" w14:textId="77777777" w:rsidR="008511CD" w:rsidRPr="001C7762" w:rsidRDefault="008511CD" w:rsidP="000D7C1D">
            <w:pPr>
              <w:shd w:val="clear" w:color="auto" w:fill="FFFFFF"/>
              <w:ind w:firstLine="488"/>
              <w:jc w:val="both"/>
              <w:rPr>
                <w:lang w:val="uk-UA" w:eastAsia="uk-UA"/>
              </w:rPr>
            </w:pPr>
            <w:r w:rsidRPr="001C7762">
              <w:rPr>
                <w:lang w:val="uk-UA" w:eastAsia="uk-UA"/>
              </w:rPr>
              <w:t xml:space="preserve">перелік яких наведено в додатку 30 до постанови НКРЕКП </w:t>
            </w:r>
            <w:r w:rsidRPr="001C7762">
              <w:rPr>
                <w:lang w:val="uk-UA" w:eastAsia="uk-UA"/>
              </w:rPr>
              <w:br/>
              <w:t>від 05 жовтня 2018 року N 1175 "Про затвердження Порядку встановлення (формування) тарифів на послуги з розподілу електричної енергії" (далі - Порядок встановлення (формування) тарифів) та частина основних фондів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N 309, зареєстрованим в Міністерстві юстиції України 23 грудня 2022 року за N 1668/39004;</w:t>
            </w:r>
          </w:p>
          <w:p w14:paraId="657707AF" w14:textId="77777777" w:rsidR="008511CD" w:rsidRPr="001C7762" w:rsidRDefault="008511CD" w:rsidP="000D7C1D">
            <w:pPr>
              <w:shd w:val="clear" w:color="auto" w:fill="FFFFFF"/>
              <w:ind w:firstLine="488"/>
              <w:jc w:val="both"/>
              <w:rPr>
                <w:lang w:val="uk-UA" w:eastAsia="uk-UA"/>
              </w:rPr>
            </w:pPr>
            <w:r w:rsidRPr="001C7762">
              <w:rPr>
                <w:lang w:val="uk-UA" w:eastAsia="uk-UA"/>
              </w:rPr>
              <w:t xml:space="preserve">контролером або кінцевим </w:t>
            </w:r>
            <w:proofErr w:type="spellStart"/>
            <w:r w:rsidRPr="001C7762">
              <w:rPr>
                <w:lang w:val="uk-UA" w:eastAsia="uk-UA"/>
              </w:rPr>
              <w:t>бенефіціарним</w:t>
            </w:r>
            <w:proofErr w:type="spellEnd"/>
            <w:r w:rsidRPr="001C7762">
              <w:rPr>
                <w:lang w:val="uk-UA" w:eastAsia="uk-UA"/>
              </w:rPr>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226EB33F" w14:textId="77777777" w:rsidR="008511CD" w:rsidRPr="001C7762" w:rsidRDefault="008511CD" w:rsidP="000D7C1D">
            <w:pPr>
              <w:shd w:val="clear" w:color="auto" w:fill="FFFFFF"/>
              <w:ind w:firstLine="488"/>
              <w:jc w:val="both"/>
              <w:rPr>
                <w:lang w:val="uk-UA" w:eastAsia="uk-UA"/>
              </w:rPr>
            </w:pPr>
            <w:r w:rsidRPr="001C7762">
              <w:rPr>
                <w:lang w:val="uk-UA" w:eastAsia="uk-UA"/>
              </w:rPr>
              <w:t>для яких регуляторна норма доходу на регуляторну базу активів, яка створена на дату переходу до стимулюючого регулювання, у 2024</w:t>
            </w:r>
            <w:r w:rsidRPr="001C7762">
              <w:rPr>
                <w:b/>
                <w:lang w:val="uk-UA" w:eastAsia="uk-UA"/>
              </w:rPr>
              <w:t xml:space="preserve"> та 2025 роках </w:t>
            </w:r>
            <w:r w:rsidRPr="001C7762">
              <w:rPr>
                <w:lang w:val="uk-UA" w:eastAsia="uk-UA"/>
              </w:rPr>
              <w:t xml:space="preserve">становить 0 відносних одиниць; </w:t>
            </w:r>
          </w:p>
          <w:p w14:paraId="0D302DB5" w14:textId="77777777" w:rsidR="008511CD" w:rsidRPr="001C7762" w:rsidRDefault="008511CD" w:rsidP="000D7C1D">
            <w:pPr>
              <w:shd w:val="clear" w:color="auto" w:fill="FFFFFF"/>
              <w:ind w:firstLine="488"/>
              <w:jc w:val="both"/>
              <w:rPr>
                <w:lang w:val="uk-UA" w:eastAsia="uk-UA"/>
              </w:rPr>
            </w:pPr>
          </w:p>
          <w:p w14:paraId="0C563C0B" w14:textId="77777777" w:rsidR="008511CD" w:rsidRPr="001C7762" w:rsidRDefault="008511CD" w:rsidP="000D7C1D">
            <w:pPr>
              <w:pStyle w:val="rvps2"/>
              <w:shd w:val="clear" w:color="auto" w:fill="FFFFFF"/>
              <w:spacing w:before="0" w:beforeAutospacing="0" w:after="0" w:afterAutospacing="0"/>
              <w:ind w:firstLine="488"/>
              <w:jc w:val="both"/>
            </w:pPr>
            <w:r w:rsidRPr="001C7762">
              <w:t xml:space="preserve">2) регуляторна норма доходу на регуляторну базу активів, яка створена після переходу на стимулююче регулювання, - 0,1674 відносних одиниць (для 2023 </w:t>
            </w:r>
            <w:r w:rsidRPr="001C7762">
              <w:rPr>
                <w:b/>
              </w:rPr>
              <w:t>– 2025</w:t>
            </w:r>
            <w:r w:rsidRPr="001C7762">
              <w:t xml:space="preserve"> років – 0,03 відносних одиниць), крім ліцензіатів:</w:t>
            </w:r>
          </w:p>
          <w:p w14:paraId="634A29D1" w14:textId="77777777" w:rsidR="008511CD" w:rsidRPr="001C7762" w:rsidRDefault="008511CD" w:rsidP="000D7C1D">
            <w:pPr>
              <w:pStyle w:val="rvps2"/>
              <w:shd w:val="clear" w:color="auto" w:fill="FFFFFF"/>
              <w:spacing w:before="0" w:beforeAutospacing="0" w:after="0" w:afterAutospacing="0"/>
              <w:ind w:firstLine="488"/>
              <w:jc w:val="both"/>
            </w:pPr>
            <w:r w:rsidRPr="001C7762">
              <w:t>перелік яких наведено в додатку 30 до Порядку встановлення (формування) тарифів;</w:t>
            </w:r>
          </w:p>
          <w:p w14:paraId="2F331D21" w14:textId="77777777" w:rsidR="008511CD" w:rsidRPr="001C7762" w:rsidRDefault="008511CD" w:rsidP="000D7C1D">
            <w:pPr>
              <w:pStyle w:val="rvps2"/>
              <w:shd w:val="clear" w:color="auto" w:fill="FFFFFF"/>
              <w:spacing w:before="0" w:beforeAutospacing="0" w:after="0" w:afterAutospacing="0"/>
              <w:ind w:firstLine="488"/>
              <w:jc w:val="both"/>
            </w:pPr>
            <w:r w:rsidRPr="001C7762">
              <w:t xml:space="preserve">контролером або кінцевим </w:t>
            </w:r>
            <w:proofErr w:type="spellStart"/>
            <w:r w:rsidRPr="001C7762">
              <w:t>бенефіціарним</w:t>
            </w:r>
            <w:proofErr w:type="spellEnd"/>
            <w:r w:rsidRPr="001C7762">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56F14B89" w14:textId="77777777" w:rsidR="008511CD" w:rsidRPr="001C7762" w:rsidRDefault="008511CD" w:rsidP="000D7C1D">
            <w:pPr>
              <w:pStyle w:val="rvps2"/>
              <w:shd w:val="clear" w:color="auto" w:fill="FFFFFF"/>
              <w:spacing w:before="0" w:beforeAutospacing="0" w:after="0" w:afterAutospacing="0"/>
              <w:ind w:firstLine="488"/>
              <w:jc w:val="both"/>
            </w:pPr>
            <w:r w:rsidRPr="001C7762">
              <w:t xml:space="preserve">для яких регуляторна норма доходу на регуляторну базу активів, яка створена після переходу на стимулююче регулювання, у </w:t>
            </w:r>
            <w:r w:rsidRPr="001C7762">
              <w:rPr>
                <w:b/>
              </w:rPr>
              <w:t>2024 та 2025 роках</w:t>
            </w:r>
            <w:r w:rsidRPr="001C7762">
              <w:t xml:space="preserve"> становить 0 відносних одиниць;</w:t>
            </w:r>
          </w:p>
          <w:p w14:paraId="01EBAABA" w14:textId="77777777" w:rsidR="008511CD" w:rsidRPr="001C7762" w:rsidRDefault="008511CD" w:rsidP="000D7C1D">
            <w:pPr>
              <w:shd w:val="clear" w:color="auto" w:fill="FFFFFF"/>
              <w:ind w:firstLine="488"/>
              <w:jc w:val="both"/>
              <w:rPr>
                <w:lang w:val="uk-UA" w:eastAsia="uk-UA"/>
              </w:rPr>
            </w:pPr>
          </w:p>
          <w:p w14:paraId="490160E2" w14:textId="77777777" w:rsidR="008511CD" w:rsidRPr="001C7762" w:rsidRDefault="008511CD" w:rsidP="000D7C1D">
            <w:pPr>
              <w:shd w:val="clear" w:color="auto" w:fill="FFFFFF"/>
              <w:ind w:firstLine="488"/>
              <w:jc w:val="both"/>
              <w:rPr>
                <w:lang w:val="uk-UA" w:eastAsia="uk-UA"/>
              </w:rPr>
            </w:pPr>
            <w:r w:rsidRPr="001C7762">
              <w:rPr>
                <w:lang w:val="uk-UA" w:eastAsia="uk-UA"/>
              </w:rPr>
              <w:t xml:space="preserve">3) загальний показник ефективності - 1 % (для 2023 </w:t>
            </w:r>
            <w:r w:rsidRPr="001C7762">
              <w:rPr>
                <w:b/>
                <w:lang w:val="uk-UA" w:eastAsia="uk-UA"/>
              </w:rPr>
              <w:t>– 2025</w:t>
            </w:r>
            <w:r w:rsidRPr="001C7762">
              <w:rPr>
                <w:lang w:val="uk-UA" w:eastAsia="uk-UA"/>
              </w:rPr>
              <w:t xml:space="preserve"> років –0 %);</w:t>
            </w:r>
          </w:p>
          <w:p w14:paraId="54EEAA99" w14:textId="77777777" w:rsidR="008511CD" w:rsidRPr="001C7762" w:rsidRDefault="008511CD" w:rsidP="000D7C1D">
            <w:pPr>
              <w:shd w:val="clear" w:color="auto" w:fill="FFFFFF"/>
              <w:ind w:firstLine="488"/>
              <w:jc w:val="both"/>
              <w:rPr>
                <w:lang w:val="uk-UA" w:eastAsia="uk-UA"/>
              </w:rPr>
            </w:pPr>
            <w:r w:rsidRPr="001C7762">
              <w:rPr>
                <w:lang w:val="uk-UA" w:eastAsia="uk-UA"/>
              </w:rPr>
              <w:t>………………………</w:t>
            </w:r>
          </w:p>
          <w:p w14:paraId="03153D2C" w14:textId="77777777" w:rsidR="008511CD" w:rsidRPr="001C7762" w:rsidRDefault="008511CD" w:rsidP="000D7C1D">
            <w:pPr>
              <w:pStyle w:val="rvps2"/>
              <w:shd w:val="clear" w:color="auto" w:fill="FFFFFF"/>
              <w:spacing w:before="0" w:beforeAutospacing="0" w:after="0" w:afterAutospacing="0"/>
              <w:ind w:firstLine="488"/>
              <w:jc w:val="both"/>
            </w:pPr>
            <w:r w:rsidRPr="001C7762">
              <w:t xml:space="preserve">5) показник ефективності технологічних витрат електроенергії </w:t>
            </w:r>
            <w:r w:rsidRPr="001C7762">
              <w:br/>
              <w:t xml:space="preserve">на 1 класі напруги - 0,01 відносних одиниць (для 2023 </w:t>
            </w:r>
            <w:r w:rsidRPr="001C7762">
              <w:rPr>
                <w:b/>
              </w:rPr>
              <w:t>– 2025</w:t>
            </w:r>
            <w:r w:rsidRPr="001C7762">
              <w:t xml:space="preserve"> років – 0 відносних одиниць);</w:t>
            </w:r>
          </w:p>
          <w:p w14:paraId="60D87A3A" w14:textId="77777777" w:rsidR="008511CD" w:rsidRPr="001C7762" w:rsidRDefault="008511CD" w:rsidP="000D7C1D">
            <w:pPr>
              <w:pStyle w:val="rvps2"/>
              <w:shd w:val="clear" w:color="auto" w:fill="FFFFFF"/>
              <w:spacing w:before="0" w:beforeAutospacing="0" w:after="0" w:afterAutospacing="0"/>
              <w:ind w:firstLine="488"/>
              <w:jc w:val="both"/>
            </w:pPr>
          </w:p>
          <w:p w14:paraId="6BD5FA95" w14:textId="77777777" w:rsidR="008511CD" w:rsidRPr="001C7762" w:rsidRDefault="008511CD" w:rsidP="000D7C1D">
            <w:pPr>
              <w:pStyle w:val="rvps2"/>
              <w:shd w:val="clear" w:color="auto" w:fill="FFFFFF"/>
              <w:spacing w:before="0" w:beforeAutospacing="0" w:after="0" w:afterAutospacing="0"/>
              <w:ind w:firstLine="488"/>
              <w:jc w:val="both"/>
            </w:pPr>
            <w:r w:rsidRPr="001C7762">
              <w:t xml:space="preserve">6) показник ефективності технологічних витрат електроенергії на 2 класі напруги - 0,035 відносних одиниць (для 2023 </w:t>
            </w:r>
            <w:r w:rsidRPr="001C7762">
              <w:rPr>
                <w:b/>
              </w:rPr>
              <w:t>– 2025</w:t>
            </w:r>
            <w:r w:rsidRPr="001C7762">
              <w:t xml:space="preserve"> років – 0 відносних одиниць);</w:t>
            </w:r>
          </w:p>
          <w:p w14:paraId="0AFB0C1C" w14:textId="77777777" w:rsidR="008511CD" w:rsidRPr="001C7762" w:rsidRDefault="008511CD" w:rsidP="000D7C1D">
            <w:pPr>
              <w:pStyle w:val="rvps2"/>
              <w:shd w:val="clear" w:color="auto" w:fill="FFFFFF"/>
              <w:spacing w:before="0" w:beforeAutospacing="0" w:after="0" w:afterAutospacing="0"/>
              <w:ind w:firstLine="488"/>
              <w:jc w:val="both"/>
            </w:pPr>
          </w:p>
          <w:p w14:paraId="5C0C49E3" w14:textId="77777777" w:rsidR="008511CD" w:rsidRPr="001C7762" w:rsidRDefault="008511CD" w:rsidP="000D7C1D">
            <w:pPr>
              <w:pStyle w:val="rvps2"/>
              <w:shd w:val="clear" w:color="auto" w:fill="FFFFFF"/>
              <w:spacing w:before="0" w:beforeAutospacing="0" w:after="0" w:afterAutospacing="0"/>
              <w:ind w:firstLine="488"/>
              <w:jc w:val="both"/>
            </w:pPr>
            <w:r w:rsidRPr="001C7762">
              <w:t>7) цільовий показник якості послуг для міської території - </w:t>
            </w:r>
            <w:hyperlink r:id="rId147" w:tgtFrame="_blank" w:history="1">
              <w:r w:rsidRPr="001C7762">
                <w:t>150</w:t>
              </w:r>
            </w:hyperlink>
            <w:r w:rsidRPr="001C7762">
              <w:t> хвилин;</w:t>
            </w:r>
          </w:p>
          <w:p w14:paraId="4307262F" w14:textId="1C47BAAD" w:rsidR="008511CD" w:rsidRPr="001C7762" w:rsidRDefault="008511CD" w:rsidP="000D7C1D">
            <w:pPr>
              <w:pStyle w:val="rvps2"/>
              <w:shd w:val="clear" w:color="auto" w:fill="FFFFFF"/>
              <w:spacing w:before="0" w:beforeAutospacing="0" w:after="0" w:afterAutospacing="0"/>
              <w:ind w:firstLine="488"/>
              <w:jc w:val="both"/>
            </w:pPr>
            <w:r w:rsidRPr="001C7762">
              <w:t>8) цільовий показник якості послуг для сільської території - </w:t>
            </w:r>
            <w:hyperlink r:id="rId148" w:tgtFrame="_blank" w:history="1">
              <w:r w:rsidRPr="001C7762">
                <w:t>300</w:t>
              </w:r>
            </w:hyperlink>
            <w:r w:rsidRPr="001C7762">
              <w:t> хвилин.</w:t>
            </w:r>
          </w:p>
          <w:p w14:paraId="06D14117" w14:textId="3A262DB8" w:rsidR="008511CD" w:rsidRPr="001C7762" w:rsidRDefault="008511CD" w:rsidP="000D7C1D">
            <w:pPr>
              <w:pStyle w:val="rvps2"/>
              <w:shd w:val="clear" w:color="auto" w:fill="FFFFFF"/>
              <w:spacing w:before="0" w:beforeAutospacing="0" w:after="0" w:afterAutospacing="0"/>
              <w:ind w:firstLine="488"/>
              <w:jc w:val="both"/>
              <w:rPr>
                <w:b/>
              </w:rPr>
            </w:pPr>
            <w:r w:rsidRPr="001C7762">
              <w:rPr>
                <w:b/>
                <w:shd w:val="clear" w:color="auto" w:fill="FFFFFF"/>
              </w:rPr>
              <w:t>Розподіл за категоріями населених пунктів (міська/сільська території) фіксується на дату встановлення цільових показників якості послуг;</w:t>
            </w:r>
          </w:p>
          <w:p w14:paraId="0450AA27" w14:textId="77777777" w:rsidR="008511CD" w:rsidRPr="001C7762" w:rsidRDefault="008511CD" w:rsidP="000D7C1D">
            <w:pPr>
              <w:shd w:val="clear" w:color="auto" w:fill="FFFFFF"/>
              <w:ind w:firstLine="488"/>
              <w:jc w:val="both"/>
              <w:rPr>
                <w:lang w:val="uk-UA" w:eastAsia="uk-UA"/>
              </w:rPr>
            </w:pPr>
            <w:r w:rsidRPr="001C7762">
              <w:rPr>
                <w:lang w:val="uk-UA" w:eastAsia="uk-UA"/>
              </w:rPr>
              <w:t>……………………</w:t>
            </w:r>
          </w:p>
          <w:p w14:paraId="259C3BD0" w14:textId="77777777" w:rsidR="008511CD" w:rsidRPr="001C7762" w:rsidRDefault="008511CD" w:rsidP="000D7C1D">
            <w:pPr>
              <w:shd w:val="clear" w:color="auto" w:fill="FFFFFF"/>
              <w:ind w:firstLine="488"/>
              <w:jc w:val="both"/>
              <w:outlineLvl w:val="2"/>
              <w:rPr>
                <w:lang w:val="uk-UA" w:eastAsia="uk-UA"/>
              </w:rPr>
            </w:pPr>
          </w:p>
          <w:p w14:paraId="75AF6364" w14:textId="77777777" w:rsidR="008511CD" w:rsidRPr="001C7762" w:rsidRDefault="008511CD" w:rsidP="000D7C1D">
            <w:pPr>
              <w:shd w:val="clear" w:color="auto" w:fill="FFFFFF"/>
              <w:ind w:firstLine="488"/>
              <w:jc w:val="both"/>
              <w:outlineLvl w:val="2"/>
              <w:rPr>
                <w:lang w:val="uk-UA" w:eastAsia="uk-UA"/>
              </w:rPr>
            </w:pPr>
            <w:r w:rsidRPr="001C7762">
              <w:rPr>
                <w:lang w:val="uk-UA" w:eastAsia="uk-UA"/>
              </w:rPr>
              <w:t xml:space="preserve">11) рік з початку переходу на стимулююче регулювання, у якому має бути досягнуто встановлений цільовий показник якості послуг, - </w:t>
            </w:r>
            <w:r w:rsidRPr="001C7762">
              <w:rPr>
                <w:b/>
                <w:lang w:val="uk-UA" w:eastAsia="uk-UA"/>
              </w:rPr>
              <w:t>15</w:t>
            </w:r>
            <w:r w:rsidRPr="001C7762">
              <w:rPr>
                <w:lang w:val="uk-UA" w:eastAsia="uk-UA"/>
              </w:rPr>
              <w:t>-й рік;</w:t>
            </w:r>
          </w:p>
          <w:p w14:paraId="509405BA" w14:textId="77777777" w:rsidR="008511CD" w:rsidRPr="001C7762" w:rsidRDefault="008511CD" w:rsidP="000D7C1D">
            <w:pPr>
              <w:shd w:val="clear" w:color="auto" w:fill="FFFFFF"/>
              <w:ind w:firstLine="488"/>
              <w:jc w:val="both"/>
              <w:outlineLvl w:val="2"/>
              <w:rPr>
                <w:lang w:val="uk-UA" w:eastAsia="uk-UA"/>
              </w:rPr>
            </w:pPr>
          </w:p>
          <w:p w14:paraId="10D08254" w14:textId="77777777" w:rsidR="008511CD" w:rsidRPr="001C7762" w:rsidRDefault="008511CD" w:rsidP="000D7C1D">
            <w:pPr>
              <w:rPr>
                <w:lang w:val="uk-UA"/>
              </w:rPr>
            </w:pPr>
          </w:p>
        </w:tc>
      </w:tr>
      <w:tr w:rsidR="001C7762" w:rsidRPr="001C7762" w14:paraId="6BC47CDE" w14:textId="77777777" w:rsidTr="00F549E8">
        <w:tc>
          <w:tcPr>
            <w:tcW w:w="15309" w:type="dxa"/>
            <w:gridSpan w:val="2"/>
          </w:tcPr>
          <w:p w14:paraId="22A69590" w14:textId="63C9478E" w:rsidR="008511CD" w:rsidRPr="001C7762" w:rsidRDefault="008511CD" w:rsidP="00BC5261">
            <w:pPr>
              <w:jc w:val="center"/>
              <w:rPr>
                <w:lang w:val="uk-UA"/>
              </w:rPr>
            </w:pPr>
            <w:r w:rsidRPr="001C7762">
              <w:rPr>
                <w:b/>
                <w:bCs/>
                <w:lang w:val="uk-UA"/>
              </w:rPr>
              <w:lastRenderedPageBreak/>
              <w:t>Постанова НКРЕКП від 05.10.2018  № 1176 Про затвердження Методики розрахунку тарифу на послуги постачальника універсальних послуг</w:t>
            </w:r>
          </w:p>
        </w:tc>
      </w:tr>
      <w:tr w:rsidR="001C7762" w:rsidRPr="001C7762" w14:paraId="225E653D" w14:textId="77777777" w:rsidTr="00F549E8">
        <w:tc>
          <w:tcPr>
            <w:tcW w:w="7655" w:type="dxa"/>
          </w:tcPr>
          <w:p w14:paraId="172D1319" w14:textId="77777777" w:rsidR="008511CD" w:rsidRPr="001C7762" w:rsidRDefault="008511CD" w:rsidP="00BC5261">
            <w:pPr>
              <w:pStyle w:val="3"/>
              <w:shd w:val="clear" w:color="auto" w:fill="FFFFFF"/>
              <w:spacing w:before="0" w:after="0"/>
              <w:ind w:firstLine="493"/>
              <w:outlineLvl w:val="2"/>
              <w:rPr>
                <w:rFonts w:ascii="Times New Roman" w:hAnsi="Times New Roman"/>
                <w:bCs w:val="0"/>
                <w:sz w:val="24"/>
                <w:szCs w:val="24"/>
                <w:lang w:eastAsia="uk-UA"/>
              </w:rPr>
            </w:pPr>
            <w:r w:rsidRPr="001C7762">
              <w:rPr>
                <w:rFonts w:ascii="Times New Roman" w:hAnsi="Times New Roman"/>
                <w:bCs w:val="0"/>
                <w:sz w:val="24"/>
                <w:szCs w:val="24"/>
                <w:lang w:eastAsia="uk-UA"/>
              </w:rPr>
              <w:t>9. Порядок розрахунку тарифів</w:t>
            </w:r>
          </w:p>
          <w:p w14:paraId="374252BD" w14:textId="77777777" w:rsidR="008511CD" w:rsidRPr="001C7762" w:rsidRDefault="008511CD" w:rsidP="00BC5261">
            <w:pPr>
              <w:rPr>
                <w:lang w:val="uk-UA" w:eastAsia="uk-UA"/>
              </w:rPr>
            </w:pPr>
          </w:p>
          <w:p w14:paraId="066D0065" w14:textId="77777777" w:rsidR="008511CD" w:rsidRPr="001C7762" w:rsidRDefault="008511CD" w:rsidP="00BC5261">
            <w:pPr>
              <w:pStyle w:val="tj"/>
              <w:shd w:val="clear" w:color="auto" w:fill="FFFFFF"/>
              <w:spacing w:before="0" w:beforeAutospacing="0" w:after="0" w:afterAutospacing="0"/>
              <w:ind w:firstLine="493"/>
              <w:jc w:val="both"/>
            </w:pPr>
            <w:r w:rsidRPr="001C7762">
              <w:t>9.1. Тариф на послуги постачальника універсальних послуг розраховується за формулою</w:t>
            </w:r>
          </w:p>
          <w:tbl>
            <w:tblPr>
              <w:tblW w:w="6000" w:type="dxa"/>
              <w:jc w:val="center"/>
              <w:tblLayout w:type="fixed"/>
              <w:tblCellMar>
                <w:top w:w="15" w:type="dxa"/>
                <w:left w:w="15" w:type="dxa"/>
                <w:bottom w:w="15" w:type="dxa"/>
                <w:right w:w="15" w:type="dxa"/>
              </w:tblCellMar>
              <w:tblLook w:val="04A0" w:firstRow="1" w:lastRow="0" w:firstColumn="1" w:lastColumn="0" w:noHBand="0" w:noVBand="1"/>
            </w:tblPr>
            <w:tblGrid>
              <w:gridCol w:w="3000"/>
              <w:gridCol w:w="3000"/>
            </w:tblGrid>
            <w:tr w:rsidR="001C7762" w:rsidRPr="001C7762" w14:paraId="75BB66DD" w14:textId="77777777" w:rsidTr="00EE264F">
              <w:trPr>
                <w:jc w:val="center"/>
              </w:trPr>
              <w:tc>
                <w:tcPr>
                  <w:tcW w:w="480" w:type="dxa"/>
                  <w:shd w:val="clear" w:color="auto" w:fill="auto"/>
                  <w:tcMar>
                    <w:top w:w="0" w:type="dxa"/>
                    <w:left w:w="0" w:type="dxa"/>
                    <w:bottom w:w="0" w:type="dxa"/>
                    <w:right w:w="0" w:type="dxa"/>
                  </w:tcMar>
                  <w:vAlign w:val="center"/>
                  <w:hideMark/>
                </w:tcPr>
                <w:p w14:paraId="1EB4CD1A" w14:textId="77777777" w:rsidR="008511CD" w:rsidRPr="001C7762" w:rsidRDefault="008511CD" w:rsidP="000D7C1D">
                  <w:pPr>
                    <w:pStyle w:val="tr"/>
                    <w:framePr w:hSpace="180" w:wrap="around" w:vAnchor="text" w:hAnchor="text" w:y="1"/>
                    <w:spacing w:before="0" w:beforeAutospacing="0" w:after="0" w:afterAutospacing="0"/>
                    <w:ind w:firstLine="493"/>
                    <w:suppressOverlap/>
                    <w:jc w:val="both"/>
                  </w:pPr>
                  <w:r w:rsidRPr="001C7762">
                    <w:lastRenderedPageBreak/>
                    <w:t>  </w:t>
                  </w:r>
                  <w:r w:rsidRPr="001C7762">
                    <w:rPr>
                      <w:noProof/>
                    </w:rPr>
                    <w:drawing>
                      <wp:inline distT="0" distB="0" distL="0" distR="0" wp14:anchorId="2E409871" wp14:editId="7F24F74C">
                        <wp:extent cx="1272540" cy="481502"/>
                        <wp:effectExtent l="0" t="0" r="3810" b="0"/>
                        <wp:docPr id="11" name="Рисунок 11" descr="https://ips.ligazakon.net/l_flib1.nsf/LookupFiles/GK40708_IMG_004.gif/$file/GK40708_IMG_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ips.ligazakon.net/l_flib1.nsf/LookupFiles/GK40708_IMG_004.gif/$file/GK40708_IMG_004.gif"/>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1280918" cy="484672"/>
                                </a:xfrm>
                                <a:prstGeom prst="rect">
                                  <a:avLst/>
                                </a:prstGeom>
                                <a:noFill/>
                                <a:ln>
                                  <a:noFill/>
                                </a:ln>
                              </pic:spPr>
                            </pic:pic>
                          </a:graphicData>
                        </a:graphic>
                      </wp:inline>
                    </w:drawing>
                  </w:r>
                </w:p>
              </w:tc>
              <w:tc>
                <w:tcPr>
                  <w:tcW w:w="480" w:type="dxa"/>
                  <w:shd w:val="clear" w:color="auto" w:fill="auto"/>
                  <w:tcMar>
                    <w:top w:w="0" w:type="dxa"/>
                    <w:left w:w="0" w:type="dxa"/>
                    <w:bottom w:w="0" w:type="dxa"/>
                    <w:right w:w="0" w:type="dxa"/>
                  </w:tcMar>
                  <w:vAlign w:val="center"/>
                  <w:hideMark/>
                </w:tcPr>
                <w:p w14:paraId="192D30F2" w14:textId="77777777" w:rsidR="008511CD" w:rsidRPr="001C7762" w:rsidRDefault="008511CD" w:rsidP="000D7C1D">
                  <w:pPr>
                    <w:pStyle w:val="tl"/>
                    <w:framePr w:hSpace="180" w:wrap="around" w:vAnchor="text" w:hAnchor="text" w:y="1"/>
                    <w:spacing w:before="0" w:beforeAutospacing="0" w:after="0" w:afterAutospacing="0"/>
                    <w:ind w:firstLine="493"/>
                    <w:suppressOverlap/>
                    <w:jc w:val="both"/>
                  </w:pPr>
                  <w:r w:rsidRPr="001C7762">
                    <w:t>, грн/</w:t>
                  </w:r>
                  <w:proofErr w:type="spellStart"/>
                  <w:r w:rsidRPr="001C7762">
                    <w:t>МВт·год</w:t>
                  </w:r>
                  <w:proofErr w:type="spellEnd"/>
                  <w:r w:rsidRPr="001C7762">
                    <w:t>, (7)</w:t>
                  </w:r>
                </w:p>
              </w:tc>
            </w:tr>
          </w:tbl>
          <w:p w14:paraId="316619E8" w14:textId="77777777" w:rsidR="008511CD" w:rsidRPr="001C7762" w:rsidRDefault="008511CD" w:rsidP="00BC5261">
            <w:pPr>
              <w:pStyle w:val="tj"/>
              <w:shd w:val="clear" w:color="auto" w:fill="FFFFFF"/>
              <w:spacing w:before="0" w:beforeAutospacing="0" w:after="0" w:afterAutospacing="0"/>
              <w:ind w:firstLine="493"/>
              <w:jc w:val="both"/>
            </w:pPr>
            <w:r w:rsidRPr="001C7762">
              <w:t>де ТУП - тариф на послуги постачальника універсальних послуг, грн/</w:t>
            </w:r>
            <w:proofErr w:type="spellStart"/>
            <w:r w:rsidRPr="001C7762">
              <w:t>МВт·год</w:t>
            </w:r>
            <w:proofErr w:type="spellEnd"/>
            <w:r w:rsidRPr="001C7762">
              <w:t>;</w:t>
            </w:r>
          </w:p>
          <w:p w14:paraId="34FCA93B" w14:textId="77777777" w:rsidR="008511CD" w:rsidRPr="001C7762" w:rsidRDefault="008511CD" w:rsidP="00BC5261">
            <w:pPr>
              <w:pStyle w:val="tj"/>
              <w:shd w:val="clear" w:color="auto" w:fill="FFFFFF"/>
              <w:spacing w:before="0" w:beforeAutospacing="0" w:after="0" w:afterAutospacing="0"/>
              <w:ind w:firstLine="493"/>
              <w:jc w:val="both"/>
            </w:pPr>
            <w:r w:rsidRPr="001C7762">
              <w:t>НДУП - прогнозований необхідний дохід від провадження діяльності з надання послуг постачальника універсальних послуг, грн;</w:t>
            </w:r>
          </w:p>
          <w:p w14:paraId="5BF50F01" w14:textId="77777777" w:rsidR="008511CD" w:rsidRPr="001C7762" w:rsidRDefault="008511CD" w:rsidP="00BC5261">
            <w:pPr>
              <w:pStyle w:val="tj"/>
              <w:shd w:val="clear" w:color="auto" w:fill="FFFFFF"/>
              <w:spacing w:before="0" w:beforeAutospacing="0" w:after="0" w:afterAutospacing="0"/>
              <w:ind w:firstLine="493"/>
              <w:jc w:val="both"/>
            </w:pPr>
            <w:r w:rsidRPr="001C7762">
              <w:t> </w:t>
            </w:r>
            <w:r w:rsidRPr="001C7762">
              <w:rPr>
                <w:noProof/>
              </w:rPr>
              <w:drawing>
                <wp:inline distT="0" distB="0" distL="0" distR="0" wp14:anchorId="48300D0E" wp14:editId="7671A208">
                  <wp:extent cx="373380" cy="220980"/>
                  <wp:effectExtent l="0" t="0" r="7620" b="7620"/>
                  <wp:docPr id="10" name="Рисунок 10" descr="https://ips.ligazakon.net/l_flib1.nsf/LookupFiles/GK40708_IMG_005.gif/$file/GK40708_IMG_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ips.ligazakon.net/l_flib1.nsf/LookupFiles/GK40708_IMG_005.gif/$file/GK40708_IMG_005.gif"/>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373380" cy="220980"/>
                          </a:xfrm>
                          <a:prstGeom prst="rect">
                            <a:avLst/>
                          </a:prstGeom>
                          <a:noFill/>
                          <a:ln>
                            <a:noFill/>
                          </a:ln>
                        </pic:spPr>
                      </pic:pic>
                    </a:graphicData>
                  </a:graphic>
                </wp:inline>
              </w:drawing>
            </w:r>
            <w:r w:rsidRPr="001C7762">
              <w:t> - прогнозовані обсяги постачання електричної енергії постачальником універсальних послуг побутовим споживачам </w:t>
            </w:r>
            <w:hyperlink r:id="rId151" w:tgtFrame="_blank" w:history="1">
              <w:r w:rsidRPr="001C7762">
                <w:t>(крім постачальників універсальних послуг, перелік яких наведено у додатку 5 до цієї Методики, частина територій здійснення діяльності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w:t>
              </w:r>
            </w:hyperlink>
            <w:r w:rsidRPr="001C7762">
              <w:t> </w:t>
            </w:r>
            <w:hyperlink r:id="rId152" w:tgtFrame="_blank" w:history="1">
              <w:r w:rsidRPr="001C7762">
                <w:t>наказом Міністерства з питань реінтеграції тимчасово окупованих територій України від 22 грудня 2022 року N 309</w:t>
              </w:r>
            </w:hyperlink>
            <w:hyperlink r:id="rId153" w:tgtFrame="_blank" w:history="1">
              <w:r w:rsidRPr="001C7762">
                <w:t xml:space="preserve">, зареєстрованим в Міністерстві юстиції України 23 грудня 2022 року за N 1668/39004 (далі - Перелік територій до наказу N 309), для яких </w:t>
              </w:r>
              <w:proofErr w:type="spellStart"/>
              <w:r w:rsidRPr="001C7762">
                <w:t>WУПп</w:t>
              </w:r>
              <w:proofErr w:type="spellEnd"/>
              <w:r w:rsidRPr="001C7762">
                <w:t xml:space="preserve"> на </w:t>
              </w:r>
              <w:r w:rsidRPr="001C7762">
                <w:rPr>
                  <w:b/>
                </w:rPr>
                <w:t>2024 рік</w:t>
              </w:r>
              <w:r w:rsidRPr="001C7762">
                <w:t xml:space="preserve"> фіксується на рівні, врахованому в діючих тарифах)</w:t>
              </w:r>
            </w:hyperlink>
            <w:r w:rsidRPr="001C7762">
              <w:t xml:space="preserve">, </w:t>
            </w:r>
            <w:proofErr w:type="spellStart"/>
            <w:r w:rsidRPr="001C7762">
              <w:t>МВт·год</w:t>
            </w:r>
            <w:proofErr w:type="spellEnd"/>
            <w:r w:rsidRPr="001C7762">
              <w:t>;</w:t>
            </w:r>
          </w:p>
          <w:p w14:paraId="634D79A5" w14:textId="77777777" w:rsidR="008511CD" w:rsidRPr="001C7762" w:rsidRDefault="008511CD" w:rsidP="00BC5261">
            <w:pPr>
              <w:pStyle w:val="tj"/>
              <w:shd w:val="clear" w:color="auto" w:fill="FFFFFF"/>
              <w:spacing w:before="0" w:beforeAutospacing="0" w:after="0" w:afterAutospacing="0"/>
              <w:ind w:firstLine="493"/>
              <w:jc w:val="both"/>
            </w:pPr>
            <w:r w:rsidRPr="001C7762">
              <w:t> </w:t>
            </w:r>
            <w:r w:rsidRPr="001C7762">
              <w:rPr>
                <w:noProof/>
              </w:rPr>
              <w:drawing>
                <wp:inline distT="0" distB="0" distL="0" distR="0" wp14:anchorId="006205D8" wp14:editId="4B86E98A">
                  <wp:extent cx="350520" cy="220980"/>
                  <wp:effectExtent l="0" t="0" r="0" b="7620"/>
                  <wp:docPr id="9" name="Рисунок 9" descr="https://ips.ligazakon.net/l_flib1.nsf/LookupFiles/GK40708_IMG_006.gif/$file/GK40708_IMG_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ps.ligazakon.net/l_flib1.nsf/LookupFiles/GK40708_IMG_006.gif/$file/GK40708_IMG_006.gif"/>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350520" cy="220980"/>
                          </a:xfrm>
                          <a:prstGeom prst="rect">
                            <a:avLst/>
                          </a:prstGeom>
                          <a:noFill/>
                          <a:ln>
                            <a:noFill/>
                          </a:ln>
                        </pic:spPr>
                      </pic:pic>
                    </a:graphicData>
                  </a:graphic>
                </wp:inline>
              </w:drawing>
            </w:r>
            <w:r w:rsidRPr="001C7762">
              <w:t> - прогнозовані обсяги постачання електричної енергії постачальником універсальних послуг малим непобутовим споживачам </w:t>
            </w:r>
            <w:hyperlink r:id="rId155" w:tgtFrame="_blank" w:history="1">
              <w:r w:rsidRPr="001C7762">
                <w:t>(крім постачальників універсальних послуг, перелік яких наведено у додатку 5 до цієї Методики, частина територій здійснення діяльності яких знаходиться на територіях, на яких ведуться (велися) бойові дії або тимчасово окупованих Російською Федерацією, з урахуванням</w:t>
              </w:r>
            </w:hyperlink>
            <w:r w:rsidRPr="001C7762">
              <w:t> </w:t>
            </w:r>
            <w:hyperlink r:id="rId156" w:tgtFrame="_blank" w:history="1">
              <w:r w:rsidRPr="001C7762">
                <w:t>Переліку територій до наказу N 309</w:t>
              </w:r>
            </w:hyperlink>
            <w:hyperlink r:id="rId157" w:tgtFrame="_blank" w:history="1">
              <w:r w:rsidRPr="001C7762">
                <w:t xml:space="preserve">, для яких </w:t>
              </w:r>
              <w:proofErr w:type="spellStart"/>
              <w:r w:rsidRPr="001C7762">
                <w:t>WУПмн</w:t>
              </w:r>
              <w:proofErr w:type="spellEnd"/>
              <w:r w:rsidRPr="001C7762">
                <w:t xml:space="preserve"> на </w:t>
              </w:r>
              <w:r w:rsidRPr="001C7762">
                <w:rPr>
                  <w:b/>
                </w:rPr>
                <w:t>2024 рік</w:t>
              </w:r>
              <w:r w:rsidRPr="001C7762">
                <w:t xml:space="preserve"> фіксується на рівні, врахованому в діючих тарифах)</w:t>
              </w:r>
            </w:hyperlink>
            <w:r w:rsidRPr="001C7762">
              <w:t xml:space="preserve">, </w:t>
            </w:r>
            <w:proofErr w:type="spellStart"/>
            <w:r w:rsidRPr="001C7762">
              <w:t>МВт·год</w:t>
            </w:r>
            <w:proofErr w:type="spellEnd"/>
            <w:r w:rsidRPr="001C7762">
              <w:t>.</w:t>
            </w:r>
          </w:p>
          <w:p w14:paraId="2D48CDB4" w14:textId="77777777" w:rsidR="008511CD" w:rsidRPr="001C7762" w:rsidRDefault="008511CD" w:rsidP="00BC5261">
            <w:pPr>
              <w:rPr>
                <w:lang w:val="uk-UA"/>
              </w:rPr>
            </w:pPr>
          </w:p>
        </w:tc>
        <w:tc>
          <w:tcPr>
            <w:tcW w:w="7654" w:type="dxa"/>
          </w:tcPr>
          <w:p w14:paraId="11BA2436" w14:textId="77777777" w:rsidR="008511CD" w:rsidRPr="001C7762" w:rsidRDefault="008511CD" w:rsidP="00BC5261">
            <w:pPr>
              <w:pStyle w:val="3"/>
              <w:shd w:val="clear" w:color="auto" w:fill="FFFFFF"/>
              <w:spacing w:before="0" w:after="0"/>
              <w:ind w:firstLine="493"/>
              <w:outlineLvl w:val="2"/>
              <w:rPr>
                <w:rFonts w:ascii="Times New Roman" w:hAnsi="Times New Roman"/>
                <w:bCs w:val="0"/>
                <w:sz w:val="24"/>
                <w:szCs w:val="24"/>
                <w:lang w:eastAsia="uk-UA"/>
              </w:rPr>
            </w:pPr>
            <w:r w:rsidRPr="001C7762">
              <w:rPr>
                <w:rFonts w:ascii="Times New Roman" w:hAnsi="Times New Roman"/>
                <w:bCs w:val="0"/>
                <w:sz w:val="24"/>
                <w:szCs w:val="24"/>
                <w:lang w:eastAsia="uk-UA"/>
              </w:rPr>
              <w:lastRenderedPageBreak/>
              <w:t>9. Порядок розрахунку тарифів</w:t>
            </w:r>
          </w:p>
          <w:p w14:paraId="2D0BDBA6" w14:textId="77777777" w:rsidR="008511CD" w:rsidRPr="001C7762" w:rsidRDefault="008511CD" w:rsidP="00BC5261">
            <w:pPr>
              <w:rPr>
                <w:lang w:val="uk-UA" w:eastAsia="uk-UA"/>
              </w:rPr>
            </w:pPr>
          </w:p>
          <w:p w14:paraId="3AF63357" w14:textId="77777777" w:rsidR="008511CD" w:rsidRPr="001C7762" w:rsidRDefault="008511CD" w:rsidP="00BC5261">
            <w:pPr>
              <w:pStyle w:val="tj"/>
              <w:shd w:val="clear" w:color="auto" w:fill="FFFFFF"/>
              <w:spacing w:before="0" w:beforeAutospacing="0" w:after="0" w:afterAutospacing="0"/>
              <w:ind w:firstLine="493"/>
              <w:jc w:val="both"/>
            </w:pPr>
            <w:r w:rsidRPr="001C7762">
              <w:t>9.1. Тариф на послуги постачальника універсальних послуг розраховується за формулою</w:t>
            </w:r>
          </w:p>
          <w:tbl>
            <w:tblPr>
              <w:tblW w:w="6000" w:type="dxa"/>
              <w:jc w:val="center"/>
              <w:tblLayout w:type="fixed"/>
              <w:tblCellMar>
                <w:top w:w="15" w:type="dxa"/>
                <w:left w:w="15" w:type="dxa"/>
                <w:bottom w:w="15" w:type="dxa"/>
                <w:right w:w="15" w:type="dxa"/>
              </w:tblCellMar>
              <w:tblLook w:val="04A0" w:firstRow="1" w:lastRow="0" w:firstColumn="1" w:lastColumn="0" w:noHBand="0" w:noVBand="1"/>
            </w:tblPr>
            <w:tblGrid>
              <w:gridCol w:w="3000"/>
              <w:gridCol w:w="3000"/>
            </w:tblGrid>
            <w:tr w:rsidR="001C7762" w:rsidRPr="001C7762" w14:paraId="2BE16652" w14:textId="77777777" w:rsidTr="00EE264F">
              <w:trPr>
                <w:jc w:val="center"/>
              </w:trPr>
              <w:tc>
                <w:tcPr>
                  <w:tcW w:w="480" w:type="dxa"/>
                  <w:shd w:val="clear" w:color="auto" w:fill="auto"/>
                  <w:tcMar>
                    <w:top w:w="0" w:type="dxa"/>
                    <w:left w:w="0" w:type="dxa"/>
                    <w:bottom w:w="0" w:type="dxa"/>
                    <w:right w:w="0" w:type="dxa"/>
                  </w:tcMar>
                  <w:vAlign w:val="center"/>
                  <w:hideMark/>
                </w:tcPr>
                <w:p w14:paraId="121C67C0" w14:textId="77777777" w:rsidR="008511CD" w:rsidRPr="001C7762" w:rsidRDefault="008511CD" w:rsidP="000D7C1D">
                  <w:pPr>
                    <w:pStyle w:val="tr"/>
                    <w:framePr w:hSpace="180" w:wrap="around" w:vAnchor="text" w:hAnchor="text" w:y="1"/>
                    <w:spacing w:before="0" w:beforeAutospacing="0" w:after="0" w:afterAutospacing="0"/>
                    <w:ind w:firstLine="493"/>
                    <w:suppressOverlap/>
                    <w:jc w:val="both"/>
                  </w:pPr>
                  <w:r w:rsidRPr="001C7762">
                    <w:lastRenderedPageBreak/>
                    <w:t>  </w:t>
                  </w:r>
                  <w:r w:rsidRPr="001C7762">
                    <w:rPr>
                      <w:noProof/>
                    </w:rPr>
                    <w:drawing>
                      <wp:inline distT="0" distB="0" distL="0" distR="0" wp14:anchorId="09A301AE" wp14:editId="4D841394">
                        <wp:extent cx="1272540" cy="481502"/>
                        <wp:effectExtent l="0" t="0" r="3810" b="0"/>
                        <wp:docPr id="12" name="Рисунок 12" descr="https://ips.ligazakon.net/l_flib1.nsf/LookupFiles/GK40708_IMG_004.gif/$file/GK40708_IMG_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ips.ligazakon.net/l_flib1.nsf/LookupFiles/GK40708_IMG_004.gif/$file/GK40708_IMG_004.gif"/>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1280918" cy="484672"/>
                                </a:xfrm>
                                <a:prstGeom prst="rect">
                                  <a:avLst/>
                                </a:prstGeom>
                                <a:noFill/>
                                <a:ln>
                                  <a:noFill/>
                                </a:ln>
                              </pic:spPr>
                            </pic:pic>
                          </a:graphicData>
                        </a:graphic>
                      </wp:inline>
                    </w:drawing>
                  </w:r>
                </w:p>
              </w:tc>
              <w:tc>
                <w:tcPr>
                  <w:tcW w:w="480" w:type="dxa"/>
                  <w:shd w:val="clear" w:color="auto" w:fill="auto"/>
                  <w:tcMar>
                    <w:top w:w="0" w:type="dxa"/>
                    <w:left w:w="0" w:type="dxa"/>
                    <w:bottom w:w="0" w:type="dxa"/>
                    <w:right w:w="0" w:type="dxa"/>
                  </w:tcMar>
                  <w:vAlign w:val="center"/>
                  <w:hideMark/>
                </w:tcPr>
                <w:p w14:paraId="66C4EDBD" w14:textId="77777777" w:rsidR="008511CD" w:rsidRPr="001C7762" w:rsidRDefault="008511CD" w:rsidP="000D7C1D">
                  <w:pPr>
                    <w:pStyle w:val="tl"/>
                    <w:framePr w:hSpace="180" w:wrap="around" w:vAnchor="text" w:hAnchor="text" w:y="1"/>
                    <w:spacing w:before="0" w:beforeAutospacing="0" w:after="0" w:afterAutospacing="0"/>
                    <w:ind w:firstLine="493"/>
                    <w:suppressOverlap/>
                    <w:jc w:val="both"/>
                  </w:pPr>
                  <w:r w:rsidRPr="001C7762">
                    <w:t>, грн/</w:t>
                  </w:r>
                  <w:proofErr w:type="spellStart"/>
                  <w:r w:rsidRPr="001C7762">
                    <w:t>МВт·год</w:t>
                  </w:r>
                  <w:proofErr w:type="spellEnd"/>
                  <w:r w:rsidRPr="001C7762">
                    <w:t>, (7)</w:t>
                  </w:r>
                </w:p>
              </w:tc>
            </w:tr>
          </w:tbl>
          <w:p w14:paraId="011F1888" w14:textId="77777777" w:rsidR="008511CD" w:rsidRPr="001C7762" w:rsidRDefault="008511CD" w:rsidP="00BC5261">
            <w:pPr>
              <w:pStyle w:val="tj"/>
              <w:shd w:val="clear" w:color="auto" w:fill="FFFFFF"/>
              <w:spacing w:before="0" w:beforeAutospacing="0" w:after="0" w:afterAutospacing="0"/>
              <w:ind w:firstLine="493"/>
              <w:jc w:val="both"/>
            </w:pPr>
            <w:r w:rsidRPr="001C7762">
              <w:t>де ТУП - тариф на послуги постачальника універсальних послуг, грн/</w:t>
            </w:r>
            <w:proofErr w:type="spellStart"/>
            <w:r w:rsidRPr="001C7762">
              <w:t>МВт·год</w:t>
            </w:r>
            <w:proofErr w:type="spellEnd"/>
            <w:r w:rsidRPr="001C7762">
              <w:t>;</w:t>
            </w:r>
          </w:p>
          <w:p w14:paraId="20FCCA7D" w14:textId="77777777" w:rsidR="008511CD" w:rsidRPr="001C7762" w:rsidRDefault="008511CD" w:rsidP="00BC5261">
            <w:pPr>
              <w:pStyle w:val="tj"/>
              <w:shd w:val="clear" w:color="auto" w:fill="FFFFFF"/>
              <w:spacing w:before="0" w:beforeAutospacing="0" w:after="0" w:afterAutospacing="0"/>
              <w:ind w:firstLine="493"/>
              <w:jc w:val="both"/>
            </w:pPr>
            <w:r w:rsidRPr="001C7762">
              <w:t>НДУП - прогнозований необхідний дохід від провадження діяльності з надання послуг постачальника універсальних послуг, грн;</w:t>
            </w:r>
          </w:p>
          <w:p w14:paraId="1CF0CFEA" w14:textId="77777777" w:rsidR="008511CD" w:rsidRPr="001C7762" w:rsidRDefault="008511CD" w:rsidP="00BC5261">
            <w:pPr>
              <w:pStyle w:val="tj"/>
              <w:shd w:val="clear" w:color="auto" w:fill="FFFFFF"/>
              <w:spacing w:before="0" w:beforeAutospacing="0" w:after="0" w:afterAutospacing="0"/>
              <w:ind w:firstLine="493"/>
              <w:jc w:val="both"/>
            </w:pPr>
            <w:r w:rsidRPr="001C7762">
              <w:t> </w:t>
            </w:r>
            <w:r w:rsidRPr="001C7762">
              <w:rPr>
                <w:noProof/>
              </w:rPr>
              <w:drawing>
                <wp:inline distT="0" distB="0" distL="0" distR="0" wp14:anchorId="5EEFE46A" wp14:editId="341A9392">
                  <wp:extent cx="373380" cy="220980"/>
                  <wp:effectExtent l="0" t="0" r="7620" b="7620"/>
                  <wp:docPr id="13" name="Рисунок 13" descr="https://ips.ligazakon.net/l_flib1.nsf/LookupFiles/GK40708_IMG_005.gif/$file/GK40708_IMG_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ips.ligazakon.net/l_flib1.nsf/LookupFiles/GK40708_IMG_005.gif/$file/GK40708_IMG_005.gif"/>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373380" cy="220980"/>
                          </a:xfrm>
                          <a:prstGeom prst="rect">
                            <a:avLst/>
                          </a:prstGeom>
                          <a:noFill/>
                          <a:ln>
                            <a:noFill/>
                          </a:ln>
                        </pic:spPr>
                      </pic:pic>
                    </a:graphicData>
                  </a:graphic>
                </wp:inline>
              </w:drawing>
            </w:r>
            <w:r w:rsidRPr="001C7762">
              <w:t> - прогнозовані обсяги постачання електричної енергії постачальником універсальних послуг побутовим споживачам </w:t>
            </w:r>
            <w:hyperlink r:id="rId158" w:tgtFrame="_blank" w:history="1">
              <w:r w:rsidRPr="001C7762">
                <w:t>(крім постачальників універсальних послуг, перелік яких наведено у додатку 5 до цієї Методики, частина територій здійснення діяльності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w:t>
              </w:r>
            </w:hyperlink>
            <w:r w:rsidRPr="001C7762">
              <w:t> </w:t>
            </w:r>
            <w:hyperlink r:id="rId159" w:tgtFrame="_blank" w:history="1">
              <w:r w:rsidRPr="001C7762">
                <w:t>наказом Міністерства з питань реінтеграції тимчасово окупованих територій України від 22 грудня 2022 року N 309</w:t>
              </w:r>
            </w:hyperlink>
            <w:hyperlink r:id="rId160" w:tgtFrame="_blank" w:history="1">
              <w:r w:rsidRPr="001C7762">
                <w:t xml:space="preserve">, зареєстрованим в Міністерстві юстиції України 23 грудня 2022 року за N 1668/39004 (далі - Перелік територій до наказу N 309), для яких </w:t>
              </w:r>
              <w:proofErr w:type="spellStart"/>
              <w:r w:rsidRPr="001C7762">
                <w:t>WУПп</w:t>
              </w:r>
              <w:proofErr w:type="spellEnd"/>
              <w:r w:rsidRPr="001C7762">
                <w:t xml:space="preserve"> на 2024 </w:t>
              </w:r>
              <w:r w:rsidRPr="001C7762">
                <w:rPr>
                  <w:b/>
                </w:rPr>
                <w:t>та 2025 роки</w:t>
              </w:r>
              <w:r w:rsidRPr="001C7762">
                <w:t xml:space="preserve"> фіксується на рівні, врахованому в діючих тарифах)</w:t>
              </w:r>
            </w:hyperlink>
            <w:r w:rsidRPr="001C7762">
              <w:t xml:space="preserve">, </w:t>
            </w:r>
            <w:proofErr w:type="spellStart"/>
            <w:r w:rsidRPr="001C7762">
              <w:t>МВт·год</w:t>
            </w:r>
            <w:proofErr w:type="spellEnd"/>
            <w:r w:rsidRPr="001C7762">
              <w:t>;</w:t>
            </w:r>
          </w:p>
          <w:p w14:paraId="5D651351" w14:textId="1ADE4104" w:rsidR="008511CD" w:rsidRDefault="008511CD" w:rsidP="00BC5261">
            <w:pPr>
              <w:pStyle w:val="tj"/>
              <w:shd w:val="clear" w:color="auto" w:fill="FFFFFF"/>
              <w:spacing w:before="0" w:beforeAutospacing="0" w:after="0" w:afterAutospacing="0"/>
              <w:ind w:firstLine="493"/>
              <w:jc w:val="both"/>
            </w:pPr>
            <w:r w:rsidRPr="001C7762">
              <w:t> </w:t>
            </w:r>
            <w:r w:rsidRPr="001C7762">
              <w:rPr>
                <w:noProof/>
              </w:rPr>
              <w:drawing>
                <wp:inline distT="0" distB="0" distL="0" distR="0" wp14:anchorId="7A9C1271" wp14:editId="507C610D">
                  <wp:extent cx="350520" cy="220980"/>
                  <wp:effectExtent l="0" t="0" r="0" b="7620"/>
                  <wp:docPr id="14" name="Рисунок 14" descr="https://ips.ligazakon.net/l_flib1.nsf/LookupFiles/GK40708_IMG_006.gif/$file/GK40708_IMG_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ps.ligazakon.net/l_flib1.nsf/LookupFiles/GK40708_IMG_006.gif/$file/GK40708_IMG_006.gif"/>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350520" cy="220980"/>
                          </a:xfrm>
                          <a:prstGeom prst="rect">
                            <a:avLst/>
                          </a:prstGeom>
                          <a:noFill/>
                          <a:ln>
                            <a:noFill/>
                          </a:ln>
                        </pic:spPr>
                      </pic:pic>
                    </a:graphicData>
                  </a:graphic>
                </wp:inline>
              </w:drawing>
            </w:r>
            <w:r w:rsidRPr="001C7762">
              <w:t> - прогнозовані обсяги постачання електричної енергії постачальником універсальних послуг малим непобутовим споживачам </w:t>
            </w:r>
            <w:hyperlink r:id="rId161" w:tgtFrame="_blank" w:history="1">
              <w:r w:rsidRPr="001C7762">
                <w:t>(крім постачальників універсальних послуг, перелік яких наведено у додатку 5 до цієї Методики, частина територій здійснення діяльності яких знаходиться на територіях, на яких ведуться (велися) бойові дії або тимчасово окупованих Російською Федерацією, з урахуванням</w:t>
              </w:r>
            </w:hyperlink>
            <w:r w:rsidRPr="001C7762">
              <w:t> </w:t>
            </w:r>
            <w:hyperlink r:id="rId162" w:tgtFrame="_blank" w:history="1">
              <w:r w:rsidRPr="001C7762">
                <w:t>Переліку територій до наказу N 309</w:t>
              </w:r>
            </w:hyperlink>
            <w:hyperlink r:id="rId163" w:tgtFrame="_blank" w:history="1">
              <w:r w:rsidRPr="001C7762">
                <w:t xml:space="preserve">, для яких </w:t>
              </w:r>
              <w:proofErr w:type="spellStart"/>
              <w:r w:rsidRPr="001C7762">
                <w:t>WУПмн</w:t>
              </w:r>
              <w:proofErr w:type="spellEnd"/>
              <w:r w:rsidRPr="001C7762">
                <w:t xml:space="preserve"> на 2024 </w:t>
              </w:r>
              <w:r w:rsidRPr="001C7762">
                <w:rPr>
                  <w:b/>
                </w:rPr>
                <w:t>та 2025 роки</w:t>
              </w:r>
              <w:r w:rsidRPr="001C7762">
                <w:t xml:space="preserve"> фіксується на рівні, врахованому в діючих тарифах)</w:t>
              </w:r>
            </w:hyperlink>
            <w:r w:rsidRPr="001C7762">
              <w:t xml:space="preserve">, </w:t>
            </w:r>
            <w:proofErr w:type="spellStart"/>
            <w:r w:rsidRPr="001C7762">
              <w:t>МВт·год</w:t>
            </w:r>
            <w:proofErr w:type="spellEnd"/>
            <w:r w:rsidRPr="001C7762">
              <w:t>.</w:t>
            </w:r>
          </w:p>
          <w:p w14:paraId="5B70FB76" w14:textId="77777777" w:rsidR="0061390A" w:rsidRPr="001C7762" w:rsidRDefault="0061390A" w:rsidP="00BC5261">
            <w:pPr>
              <w:pStyle w:val="tj"/>
              <w:shd w:val="clear" w:color="auto" w:fill="FFFFFF"/>
              <w:spacing w:before="0" w:beforeAutospacing="0" w:after="0" w:afterAutospacing="0"/>
              <w:ind w:firstLine="493"/>
              <w:jc w:val="both"/>
            </w:pPr>
            <w:bookmarkStart w:id="19" w:name="_GoBack"/>
            <w:bookmarkEnd w:id="19"/>
          </w:p>
          <w:p w14:paraId="5D084C27" w14:textId="77777777" w:rsidR="008511CD" w:rsidRPr="001C7762" w:rsidRDefault="008511CD" w:rsidP="00BC5261">
            <w:pPr>
              <w:rPr>
                <w:lang w:val="uk-UA"/>
              </w:rPr>
            </w:pPr>
          </w:p>
        </w:tc>
      </w:tr>
      <w:tr w:rsidR="001C7762" w:rsidRPr="001C7762" w14:paraId="2324A9DB" w14:textId="77777777" w:rsidTr="00F549E8">
        <w:tc>
          <w:tcPr>
            <w:tcW w:w="15309" w:type="dxa"/>
            <w:gridSpan w:val="2"/>
          </w:tcPr>
          <w:p w14:paraId="18B998B9" w14:textId="63731D10" w:rsidR="008511CD" w:rsidRPr="001C7762" w:rsidRDefault="008511CD" w:rsidP="00BC5261">
            <w:pPr>
              <w:jc w:val="center"/>
              <w:rPr>
                <w:lang w:val="uk-UA"/>
              </w:rPr>
            </w:pPr>
            <w:r w:rsidRPr="001C7762">
              <w:rPr>
                <w:b/>
                <w:bCs/>
                <w:lang w:val="uk-UA" w:eastAsia="uk-UA"/>
              </w:rPr>
              <w:lastRenderedPageBreak/>
              <w:t>Постанова НКРЕКП  від 27.07.2017 № 981 «Про затвердження Положення про порядок подання, визначення та затвердження економічних коефіцієнтів нормативних та прогнозованих технологічних витрат електроенергії»</w:t>
            </w:r>
          </w:p>
        </w:tc>
      </w:tr>
      <w:tr w:rsidR="001C7762" w:rsidRPr="001C7762" w14:paraId="30BDD782" w14:textId="77777777" w:rsidTr="00F549E8">
        <w:tc>
          <w:tcPr>
            <w:tcW w:w="7655" w:type="dxa"/>
          </w:tcPr>
          <w:p w14:paraId="1E28AE88" w14:textId="77777777" w:rsidR="008511CD" w:rsidRPr="001C7762" w:rsidRDefault="008511CD" w:rsidP="00BC5261">
            <w:pPr>
              <w:shd w:val="clear" w:color="auto" w:fill="FFFFFF"/>
              <w:spacing w:after="150"/>
              <w:ind w:firstLine="450"/>
              <w:jc w:val="both"/>
              <w:rPr>
                <w:lang w:val="uk-UA" w:eastAsia="uk-UA"/>
              </w:rPr>
            </w:pPr>
            <w:r w:rsidRPr="001C7762">
              <w:rPr>
                <w:lang w:val="uk-UA" w:eastAsia="uk-UA"/>
              </w:rPr>
              <w:t>2.7. ЕКПТВЕ 2 класу напруги (</w:t>
            </w:r>
            <w:r w:rsidRPr="001C7762">
              <w:rPr>
                <w:b/>
                <w:bCs/>
                <w:lang w:val="uk-UA" w:eastAsia="uk-UA"/>
              </w:rPr>
              <w:t>К</w:t>
            </w:r>
            <w:r w:rsidRPr="001C7762">
              <w:rPr>
                <w:b/>
                <w:bCs/>
                <w:vertAlign w:val="superscript"/>
                <w:lang w:val="uk-UA" w:eastAsia="uk-UA"/>
              </w:rPr>
              <w:t>m</w:t>
            </w:r>
            <w:r w:rsidRPr="001C7762">
              <w:rPr>
                <w:b/>
                <w:bCs/>
                <w:vertAlign w:val="subscript"/>
                <w:lang w:val="uk-UA" w:eastAsia="uk-UA"/>
              </w:rPr>
              <w:t>П2</w:t>
            </w:r>
            <w:r w:rsidRPr="001C7762">
              <w:rPr>
                <w:lang w:val="uk-UA" w:eastAsia="uk-UA"/>
              </w:rPr>
              <w:t>) визначається за формулою</w:t>
            </w:r>
          </w:p>
          <w:tbl>
            <w:tblPr>
              <w:tblW w:w="7351" w:type="dxa"/>
              <w:tblBorders>
                <w:top w:val="outset" w:sz="2" w:space="0" w:color="auto"/>
                <w:left w:val="outset" w:sz="2" w:space="0" w:color="auto"/>
                <w:bottom w:val="outset" w:sz="2" w:space="0" w:color="auto"/>
                <w:right w:val="outset" w:sz="2" w:space="0" w:color="auto"/>
              </w:tblBorders>
              <w:tblLayout w:type="fixed"/>
              <w:tblLook w:val="04A0" w:firstRow="1" w:lastRow="0" w:firstColumn="1" w:lastColumn="0" w:noHBand="0" w:noVBand="1"/>
            </w:tblPr>
            <w:tblGrid>
              <w:gridCol w:w="260"/>
              <w:gridCol w:w="834"/>
              <w:gridCol w:w="117"/>
              <w:gridCol w:w="5731"/>
              <w:gridCol w:w="409"/>
            </w:tblGrid>
            <w:tr w:rsidR="001C7762" w:rsidRPr="001C7762" w14:paraId="6E3EAED5" w14:textId="77777777" w:rsidTr="00EE264F">
              <w:tc>
                <w:tcPr>
                  <w:tcW w:w="6942" w:type="dxa"/>
                  <w:gridSpan w:val="4"/>
                  <w:tcBorders>
                    <w:top w:val="nil"/>
                    <w:left w:val="nil"/>
                    <w:bottom w:val="nil"/>
                    <w:right w:val="nil"/>
                  </w:tcBorders>
                  <w:tcMar>
                    <w:top w:w="15" w:type="dxa"/>
                    <w:left w:w="15" w:type="dxa"/>
                    <w:bottom w:w="15" w:type="dxa"/>
                    <w:right w:w="15" w:type="dxa"/>
                  </w:tcMar>
                  <w:hideMark/>
                </w:tcPr>
                <w:p w14:paraId="19BC4929" w14:textId="4EA161F2" w:rsidR="008511CD" w:rsidRPr="001C7762" w:rsidRDefault="000D7C1D" w:rsidP="000D7C1D">
                  <w:pPr>
                    <w:framePr w:hSpace="180" w:wrap="around" w:vAnchor="text" w:hAnchor="text" w:y="1"/>
                    <w:spacing w:before="150" w:after="150"/>
                    <w:suppressOverlap/>
                    <w:jc w:val="center"/>
                    <w:rPr>
                      <w:lang w:val="uk-UA" w:eastAsia="uk-UA"/>
                    </w:rPr>
                  </w:pPr>
                  <w:r>
                    <w:rPr>
                      <w:b/>
                      <w:noProof/>
                      <w:lang w:val="uk-UA"/>
                    </w:rPr>
                    <w:pict w14:anchorId="4F056CB8">
                      <v:shape id="_x0000_i1028" type="#_x0000_t75" href="https://zakon.rada.gov.ua/laws/file/imgs/84/p468741n324.emf" style="width:180.3pt;height:50.1pt;visibility:visible;mso-wrap-style:square" o:button="t">
                        <v:fill o:detectmouseclick="t"/>
                        <v:imagedata r:id="rId164" o:title=""/>
                      </v:shape>
                    </w:pict>
                  </w:r>
                </w:p>
              </w:tc>
              <w:tc>
                <w:tcPr>
                  <w:tcW w:w="409" w:type="dxa"/>
                  <w:tcBorders>
                    <w:top w:val="nil"/>
                    <w:left w:val="nil"/>
                    <w:bottom w:val="nil"/>
                    <w:right w:val="nil"/>
                  </w:tcBorders>
                  <w:tcMar>
                    <w:top w:w="15" w:type="dxa"/>
                    <w:left w:w="15" w:type="dxa"/>
                    <w:bottom w:w="15" w:type="dxa"/>
                    <w:right w:w="15" w:type="dxa"/>
                  </w:tcMar>
                  <w:hideMark/>
                </w:tcPr>
                <w:p w14:paraId="674F74BF" w14:textId="77777777" w:rsidR="008511CD" w:rsidRPr="001C7762" w:rsidRDefault="008511CD" w:rsidP="000D7C1D">
                  <w:pPr>
                    <w:framePr w:hSpace="180" w:wrap="around" w:vAnchor="text" w:hAnchor="text" w:y="1"/>
                    <w:spacing w:before="150" w:after="150"/>
                    <w:ind w:left="-351" w:firstLine="351"/>
                    <w:suppressOverlap/>
                    <w:jc w:val="right"/>
                    <w:rPr>
                      <w:lang w:val="uk-UA" w:eastAsia="uk-UA"/>
                    </w:rPr>
                  </w:pPr>
                  <w:r w:rsidRPr="001C7762">
                    <w:rPr>
                      <w:lang w:val="uk-UA" w:eastAsia="uk-UA"/>
                    </w:rPr>
                    <w:t>(1)</w:t>
                  </w:r>
                </w:p>
              </w:tc>
            </w:tr>
            <w:tr w:rsidR="001C7762" w:rsidRPr="001C7762" w14:paraId="67A840CE" w14:textId="77777777" w:rsidTr="00EE264F">
              <w:tc>
                <w:tcPr>
                  <w:tcW w:w="260" w:type="dxa"/>
                  <w:tcBorders>
                    <w:top w:val="nil"/>
                    <w:left w:val="nil"/>
                    <w:bottom w:val="nil"/>
                    <w:right w:val="nil"/>
                  </w:tcBorders>
                  <w:tcMar>
                    <w:top w:w="15" w:type="dxa"/>
                    <w:left w:w="15" w:type="dxa"/>
                    <w:bottom w:w="15" w:type="dxa"/>
                    <w:right w:w="15" w:type="dxa"/>
                  </w:tcMar>
                  <w:hideMark/>
                </w:tcPr>
                <w:p w14:paraId="75C60D59" w14:textId="77777777" w:rsidR="008511CD" w:rsidRPr="001C7762" w:rsidRDefault="008511CD" w:rsidP="000D7C1D">
                  <w:pPr>
                    <w:framePr w:hSpace="180" w:wrap="around" w:vAnchor="text" w:hAnchor="text" w:y="1"/>
                    <w:suppressOverlap/>
                    <w:rPr>
                      <w:lang w:val="uk-UA" w:eastAsia="uk-UA"/>
                    </w:rPr>
                  </w:pPr>
                </w:p>
              </w:tc>
              <w:tc>
                <w:tcPr>
                  <w:tcW w:w="834" w:type="dxa"/>
                  <w:tcBorders>
                    <w:top w:val="nil"/>
                    <w:left w:val="nil"/>
                    <w:bottom w:val="nil"/>
                    <w:right w:val="nil"/>
                  </w:tcBorders>
                  <w:tcMar>
                    <w:top w:w="15" w:type="dxa"/>
                    <w:left w:w="15" w:type="dxa"/>
                    <w:bottom w:w="15" w:type="dxa"/>
                    <w:right w:w="15" w:type="dxa"/>
                  </w:tcMar>
                  <w:hideMark/>
                </w:tcPr>
                <w:p w14:paraId="49FB05CB" w14:textId="77777777" w:rsidR="008511CD" w:rsidRPr="001C7762" w:rsidRDefault="008511CD" w:rsidP="000D7C1D">
                  <w:pPr>
                    <w:framePr w:hSpace="180" w:wrap="around" w:vAnchor="text" w:hAnchor="text" w:y="1"/>
                    <w:spacing w:before="150" w:after="150"/>
                    <w:suppressOverlap/>
                    <w:rPr>
                      <w:lang w:val="uk-UA" w:eastAsia="uk-UA"/>
                    </w:rPr>
                  </w:pPr>
                  <w:r w:rsidRPr="001C7762">
                    <w:rPr>
                      <w:b/>
                      <w:bCs/>
                      <w:lang w:val="uk-UA" w:eastAsia="uk-UA"/>
                    </w:rPr>
                    <w:t>ПЕ</w:t>
                  </w:r>
                  <w:r w:rsidRPr="001C7762">
                    <w:rPr>
                      <w:b/>
                      <w:bCs/>
                      <w:vertAlign w:val="subscript"/>
                      <w:lang w:val="uk-UA" w:eastAsia="uk-UA"/>
                    </w:rPr>
                    <w:t>2тве</w:t>
                  </w:r>
                </w:p>
              </w:tc>
              <w:tc>
                <w:tcPr>
                  <w:tcW w:w="117" w:type="dxa"/>
                  <w:tcBorders>
                    <w:top w:val="nil"/>
                    <w:left w:val="nil"/>
                    <w:bottom w:val="nil"/>
                    <w:right w:val="nil"/>
                  </w:tcBorders>
                  <w:tcMar>
                    <w:top w:w="15" w:type="dxa"/>
                    <w:left w:w="15" w:type="dxa"/>
                    <w:bottom w:w="15" w:type="dxa"/>
                    <w:right w:w="15" w:type="dxa"/>
                  </w:tcMar>
                  <w:hideMark/>
                </w:tcPr>
                <w:p w14:paraId="3E1A1D54"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6140" w:type="dxa"/>
                  <w:gridSpan w:val="2"/>
                  <w:tcBorders>
                    <w:top w:val="nil"/>
                    <w:left w:val="nil"/>
                    <w:bottom w:val="nil"/>
                    <w:right w:val="nil"/>
                  </w:tcBorders>
                  <w:tcMar>
                    <w:top w:w="15" w:type="dxa"/>
                    <w:left w:w="15" w:type="dxa"/>
                    <w:bottom w:w="15" w:type="dxa"/>
                    <w:right w:w="15" w:type="dxa"/>
                  </w:tcMar>
                  <w:hideMark/>
                </w:tcPr>
                <w:p w14:paraId="0AE3FE87" w14:textId="77777777" w:rsidR="008511CD" w:rsidRPr="001C7762" w:rsidRDefault="008511CD" w:rsidP="000D7C1D">
                  <w:pPr>
                    <w:framePr w:hSpace="180" w:wrap="around" w:vAnchor="text" w:hAnchor="text" w:y="1"/>
                    <w:spacing w:before="150" w:after="150"/>
                    <w:suppressOverlap/>
                    <w:jc w:val="both"/>
                    <w:rPr>
                      <w:lang w:val="uk-UA" w:eastAsia="uk-UA"/>
                    </w:rPr>
                  </w:pPr>
                  <w:r w:rsidRPr="001C7762">
                    <w:rPr>
                      <w:lang w:val="uk-UA" w:eastAsia="uk-UA"/>
                    </w:rPr>
                    <w:t xml:space="preserve">показник ефективності технологічних витрат електричної енергії, параметр регулювання, що має довготерміновий строк дії, який встановлюється НКРЕКП на регуляторний період на 2 класі напруги, %. Якщо оператор системи розподілу не переходить на стимулююче регулювання, то значення дорівнює 1 (на 2023 </w:t>
                  </w:r>
                  <w:r w:rsidRPr="001C7762">
                    <w:rPr>
                      <w:b/>
                      <w:bCs/>
                      <w:lang w:val="uk-UA" w:eastAsia="uk-UA"/>
                    </w:rPr>
                    <w:t>та 2024 роки</w:t>
                  </w:r>
                  <w:r w:rsidRPr="001C7762">
                    <w:rPr>
                      <w:lang w:val="uk-UA" w:eastAsia="uk-UA"/>
                    </w:rPr>
                    <w:t xml:space="preserve"> значення дорівнює 0);</w:t>
                  </w:r>
                </w:p>
              </w:tc>
            </w:tr>
          </w:tbl>
          <w:p w14:paraId="7A5BC901" w14:textId="77777777" w:rsidR="008511CD" w:rsidRPr="001C7762" w:rsidRDefault="008511CD" w:rsidP="00BC5261">
            <w:pPr>
              <w:rPr>
                <w:lang w:val="uk-UA"/>
              </w:rPr>
            </w:pPr>
          </w:p>
        </w:tc>
        <w:tc>
          <w:tcPr>
            <w:tcW w:w="7654" w:type="dxa"/>
          </w:tcPr>
          <w:p w14:paraId="5502D05E" w14:textId="77777777" w:rsidR="008511CD" w:rsidRPr="001C7762" w:rsidRDefault="008511CD" w:rsidP="00BC5261">
            <w:pPr>
              <w:shd w:val="clear" w:color="auto" w:fill="FFFFFF"/>
              <w:spacing w:after="150"/>
              <w:ind w:firstLine="450"/>
              <w:jc w:val="both"/>
              <w:rPr>
                <w:lang w:val="uk-UA" w:eastAsia="uk-UA"/>
              </w:rPr>
            </w:pPr>
            <w:r w:rsidRPr="001C7762">
              <w:rPr>
                <w:lang w:val="uk-UA" w:eastAsia="uk-UA"/>
              </w:rPr>
              <w:t>2.7. ЕКПТВЕ 2 класу напруги (</w:t>
            </w:r>
            <w:r w:rsidRPr="001C7762">
              <w:rPr>
                <w:b/>
                <w:bCs/>
                <w:lang w:val="uk-UA" w:eastAsia="uk-UA"/>
              </w:rPr>
              <w:t>К</w:t>
            </w:r>
            <w:r w:rsidRPr="001C7762">
              <w:rPr>
                <w:b/>
                <w:bCs/>
                <w:vertAlign w:val="superscript"/>
                <w:lang w:val="uk-UA" w:eastAsia="uk-UA"/>
              </w:rPr>
              <w:t>m</w:t>
            </w:r>
            <w:r w:rsidRPr="001C7762">
              <w:rPr>
                <w:b/>
                <w:bCs/>
                <w:vertAlign w:val="subscript"/>
                <w:lang w:val="uk-UA" w:eastAsia="uk-UA"/>
              </w:rPr>
              <w:t>П2</w:t>
            </w:r>
            <w:r w:rsidRPr="001C7762">
              <w:rPr>
                <w:lang w:val="uk-UA" w:eastAsia="uk-UA"/>
              </w:rPr>
              <w:t>) визначається за формулою</w:t>
            </w:r>
          </w:p>
          <w:tbl>
            <w:tblPr>
              <w:tblW w:w="7545" w:type="dxa"/>
              <w:tblBorders>
                <w:top w:val="outset" w:sz="2" w:space="0" w:color="auto"/>
                <w:left w:val="outset" w:sz="2" w:space="0" w:color="auto"/>
                <w:bottom w:val="outset" w:sz="2" w:space="0" w:color="auto"/>
                <w:right w:val="outset" w:sz="2" w:space="0" w:color="auto"/>
              </w:tblBorders>
              <w:tblLayout w:type="fixed"/>
              <w:tblLook w:val="04A0" w:firstRow="1" w:lastRow="0" w:firstColumn="1" w:lastColumn="0" w:noHBand="0" w:noVBand="1"/>
            </w:tblPr>
            <w:tblGrid>
              <w:gridCol w:w="260"/>
              <w:gridCol w:w="834"/>
              <w:gridCol w:w="117"/>
              <w:gridCol w:w="5925"/>
              <w:gridCol w:w="240"/>
              <w:gridCol w:w="169"/>
            </w:tblGrid>
            <w:tr w:rsidR="001C7762" w:rsidRPr="001C7762" w14:paraId="338F1CCA" w14:textId="77777777" w:rsidTr="00EE264F">
              <w:trPr>
                <w:gridAfter w:val="1"/>
                <w:wAfter w:w="169" w:type="dxa"/>
              </w:trPr>
              <w:tc>
                <w:tcPr>
                  <w:tcW w:w="7136" w:type="dxa"/>
                  <w:gridSpan w:val="4"/>
                  <w:tcBorders>
                    <w:top w:val="nil"/>
                    <w:left w:val="nil"/>
                    <w:bottom w:val="nil"/>
                    <w:right w:val="nil"/>
                  </w:tcBorders>
                  <w:tcMar>
                    <w:top w:w="15" w:type="dxa"/>
                    <w:left w:w="15" w:type="dxa"/>
                    <w:bottom w:w="15" w:type="dxa"/>
                    <w:right w:w="15" w:type="dxa"/>
                  </w:tcMar>
                  <w:hideMark/>
                </w:tcPr>
                <w:p w14:paraId="68008B73" w14:textId="23BB1411" w:rsidR="008511CD" w:rsidRPr="001C7762" w:rsidRDefault="000D7C1D" w:rsidP="000D7C1D">
                  <w:pPr>
                    <w:framePr w:hSpace="180" w:wrap="around" w:vAnchor="text" w:hAnchor="text" w:y="1"/>
                    <w:spacing w:before="150" w:after="150"/>
                    <w:suppressOverlap/>
                    <w:jc w:val="center"/>
                    <w:rPr>
                      <w:lang w:val="uk-UA" w:eastAsia="uk-UA"/>
                    </w:rPr>
                  </w:pPr>
                  <w:r>
                    <w:rPr>
                      <w:b/>
                      <w:noProof/>
                      <w:lang w:val="uk-UA"/>
                    </w:rPr>
                    <w:pict w14:anchorId="3CCB0EC8">
                      <v:shape id="_x0000_i1029" type="#_x0000_t75" href="https://zakon.rada.gov.ua/laws/file/imgs/84/p468741n324.emf" style="width:180.3pt;height:50.1pt;visibility:visible;mso-wrap-style:square" o:button="t">
                        <v:fill o:detectmouseclick="t"/>
                        <v:imagedata r:id="rId164" o:title=""/>
                      </v:shape>
                    </w:pict>
                  </w:r>
                </w:p>
              </w:tc>
              <w:tc>
                <w:tcPr>
                  <w:tcW w:w="240" w:type="dxa"/>
                  <w:tcBorders>
                    <w:top w:val="nil"/>
                    <w:left w:val="nil"/>
                    <w:bottom w:val="nil"/>
                    <w:right w:val="nil"/>
                  </w:tcBorders>
                  <w:tcMar>
                    <w:top w:w="15" w:type="dxa"/>
                    <w:left w:w="15" w:type="dxa"/>
                    <w:bottom w:w="15" w:type="dxa"/>
                    <w:right w:w="15" w:type="dxa"/>
                  </w:tcMar>
                  <w:hideMark/>
                </w:tcPr>
                <w:p w14:paraId="77F2AACB" w14:textId="77777777" w:rsidR="008511CD" w:rsidRPr="001C7762" w:rsidRDefault="008511CD" w:rsidP="000D7C1D">
                  <w:pPr>
                    <w:framePr w:hSpace="180" w:wrap="around" w:vAnchor="text" w:hAnchor="text" w:y="1"/>
                    <w:spacing w:before="150" w:after="150"/>
                    <w:suppressOverlap/>
                    <w:jc w:val="right"/>
                    <w:rPr>
                      <w:lang w:val="uk-UA" w:eastAsia="uk-UA"/>
                    </w:rPr>
                  </w:pPr>
                  <w:r w:rsidRPr="001C7762">
                    <w:rPr>
                      <w:lang w:val="uk-UA" w:eastAsia="uk-UA"/>
                    </w:rPr>
                    <w:t>(1)</w:t>
                  </w:r>
                </w:p>
              </w:tc>
            </w:tr>
            <w:tr w:rsidR="001C7762" w:rsidRPr="001C7762" w14:paraId="7699C821" w14:textId="77777777" w:rsidTr="00EE264F">
              <w:tc>
                <w:tcPr>
                  <w:tcW w:w="260" w:type="dxa"/>
                  <w:tcBorders>
                    <w:top w:val="nil"/>
                    <w:left w:val="nil"/>
                    <w:bottom w:val="nil"/>
                    <w:right w:val="nil"/>
                  </w:tcBorders>
                  <w:tcMar>
                    <w:top w:w="15" w:type="dxa"/>
                    <w:left w:w="15" w:type="dxa"/>
                    <w:bottom w:w="15" w:type="dxa"/>
                    <w:right w:w="15" w:type="dxa"/>
                  </w:tcMar>
                  <w:hideMark/>
                </w:tcPr>
                <w:p w14:paraId="145052B8" w14:textId="77777777" w:rsidR="008511CD" w:rsidRPr="001C7762" w:rsidRDefault="008511CD" w:rsidP="000D7C1D">
                  <w:pPr>
                    <w:framePr w:hSpace="180" w:wrap="around" w:vAnchor="text" w:hAnchor="text" w:y="1"/>
                    <w:suppressOverlap/>
                    <w:rPr>
                      <w:lang w:val="uk-UA" w:eastAsia="uk-UA"/>
                    </w:rPr>
                  </w:pPr>
                </w:p>
              </w:tc>
              <w:tc>
                <w:tcPr>
                  <w:tcW w:w="834" w:type="dxa"/>
                  <w:tcBorders>
                    <w:top w:val="nil"/>
                    <w:left w:val="nil"/>
                    <w:bottom w:val="nil"/>
                    <w:right w:val="nil"/>
                  </w:tcBorders>
                  <w:tcMar>
                    <w:top w:w="15" w:type="dxa"/>
                    <w:left w:w="15" w:type="dxa"/>
                    <w:bottom w:w="15" w:type="dxa"/>
                    <w:right w:w="15" w:type="dxa"/>
                  </w:tcMar>
                  <w:hideMark/>
                </w:tcPr>
                <w:p w14:paraId="68820E72" w14:textId="77777777" w:rsidR="008511CD" w:rsidRPr="001C7762" w:rsidRDefault="008511CD" w:rsidP="000D7C1D">
                  <w:pPr>
                    <w:framePr w:hSpace="180" w:wrap="around" w:vAnchor="text" w:hAnchor="text" w:y="1"/>
                    <w:spacing w:before="150" w:after="150"/>
                    <w:suppressOverlap/>
                    <w:rPr>
                      <w:lang w:val="uk-UA" w:eastAsia="uk-UA"/>
                    </w:rPr>
                  </w:pPr>
                  <w:r w:rsidRPr="001C7762">
                    <w:rPr>
                      <w:b/>
                      <w:bCs/>
                      <w:lang w:val="uk-UA" w:eastAsia="uk-UA"/>
                    </w:rPr>
                    <w:t>ПЕ</w:t>
                  </w:r>
                  <w:r w:rsidRPr="001C7762">
                    <w:rPr>
                      <w:b/>
                      <w:bCs/>
                      <w:vertAlign w:val="subscript"/>
                      <w:lang w:val="uk-UA" w:eastAsia="uk-UA"/>
                    </w:rPr>
                    <w:t>2тве</w:t>
                  </w:r>
                </w:p>
              </w:tc>
              <w:tc>
                <w:tcPr>
                  <w:tcW w:w="117" w:type="dxa"/>
                  <w:tcBorders>
                    <w:top w:val="nil"/>
                    <w:left w:val="nil"/>
                    <w:bottom w:val="nil"/>
                    <w:right w:val="nil"/>
                  </w:tcBorders>
                  <w:tcMar>
                    <w:top w:w="15" w:type="dxa"/>
                    <w:left w:w="15" w:type="dxa"/>
                    <w:bottom w:w="15" w:type="dxa"/>
                    <w:right w:w="15" w:type="dxa"/>
                  </w:tcMar>
                  <w:hideMark/>
                </w:tcPr>
                <w:p w14:paraId="60710EB1" w14:textId="77777777" w:rsidR="008511CD" w:rsidRPr="001C7762" w:rsidRDefault="008511CD" w:rsidP="000D7C1D">
                  <w:pPr>
                    <w:framePr w:hSpace="180" w:wrap="around" w:vAnchor="text" w:hAnchor="text" w:y="1"/>
                    <w:spacing w:before="150" w:after="150"/>
                    <w:suppressOverlap/>
                    <w:jc w:val="center"/>
                    <w:rPr>
                      <w:lang w:val="uk-UA" w:eastAsia="uk-UA"/>
                    </w:rPr>
                  </w:pPr>
                  <w:r w:rsidRPr="001C7762">
                    <w:rPr>
                      <w:lang w:val="uk-UA" w:eastAsia="uk-UA"/>
                    </w:rPr>
                    <w:t>-</w:t>
                  </w:r>
                </w:p>
              </w:tc>
              <w:tc>
                <w:tcPr>
                  <w:tcW w:w="6334" w:type="dxa"/>
                  <w:gridSpan w:val="3"/>
                  <w:tcBorders>
                    <w:top w:val="nil"/>
                    <w:left w:val="nil"/>
                    <w:bottom w:val="nil"/>
                    <w:right w:val="nil"/>
                  </w:tcBorders>
                  <w:tcMar>
                    <w:top w:w="15" w:type="dxa"/>
                    <w:left w:w="15" w:type="dxa"/>
                    <w:bottom w:w="15" w:type="dxa"/>
                    <w:right w:w="15" w:type="dxa"/>
                  </w:tcMar>
                  <w:hideMark/>
                </w:tcPr>
                <w:p w14:paraId="6C4D8FFD" w14:textId="77777777" w:rsidR="008511CD" w:rsidRPr="001C7762" w:rsidRDefault="008511CD" w:rsidP="000D7C1D">
                  <w:pPr>
                    <w:framePr w:hSpace="180" w:wrap="around" w:vAnchor="text" w:hAnchor="text" w:y="1"/>
                    <w:spacing w:before="150" w:after="150"/>
                    <w:suppressOverlap/>
                    <w:jc w:val="both"/>
                    <w:rPr>
                      <w:lang w:val="uk-UA" w:eastAsia="uk-UA"/>
                    </w:rPr>
                  </w:pPr>
                  <w:r w:rsidRPr="001C7762">
                    <w:rPr>
                      <w:lang w:val="uk-UA" w:eastAsia="uk-UA"/>
                    </w:rPr>
                    <w:t>показник ефективності технологічних витрат електричної енергії, параметр регулювання, що має довготерміновий строк дії, який встановлюється НКРЕКП на регуляторний період на 2 класі напруги, %. Якщо оператор системи розподілу не переходить на стимулююче регулювання, то значення дорівнює 1 (на 2023 -</w:t>
                  </w:r>
                  <w:r w:rsidRPr="001C7762">
                    <w:rPr>
                      <w:b/>
                      <w:bCs/>
                      <w:lang w:val="uk-UA" w:eastAsia="uk-UA"/>
                    </w:rPr>
                    <w:t xml:space="preserve"> 2025 роки</w:t>
                  </w:r>
                  <w:r w:rsidRPr="001C7762">
                    <w:rPr>
                      <w:lang w:val="uk-UA" w:eastAsia="uk-UA"/>
                    </w:rPr>
                    <w:t xml:space="preserve"> значення дорівнює 0);</w:t>
                  </w:r>
                </w:p>
              </w:tc>
            </w:tr>
          </w:tbl>
          <w:p w14:paraId="2E3B371B" w14:textId="77777777" w:rsidR="008511CD" w:rsidRPr="001C7762" w:rsidRDefault="008511CD" w:rsidP="00BC5261">
            <w:pPr>
              <w:rPr>
                <w:lang w:val="uk-UA"/>
              </w:rPr>
            </w:pPr>
          </w:p>
        </w:tc>
      </w:tr>
      <w:tr w:rsidR="001C7762" w:rsidRPr="001C7762" w14:paraId="327D5E24" w14:textId="77777777" w:rsidTr="00F549E8">
        <w:tc>
          <w:tcPr>
            <w:tcW w:w="7655" w:type="dxa"/>
          </w:tcPr>
          <w:p w14:paraId="4B8BE4D1" w14:textId="77777777" w:rsidR="009B7C36" w:rsidRPr="001C7762" w:rsidRDefault="009B7C36" w:rsidP="009B7C36">
            <w:pPr>
              <w:shd w:val="clear" w:color="auto" w:fill="FFFFFF"/>
              <w:spacing w:after="150"/>
              <w:ind w:firstLine="450"/>
              <w:jc w:val="both"/>
              <w:rPr>
                <w:lang w:val="uk-UA" w:eastAsia="uk-UA"/>
              </w:rPr>
            </w:pPr>
            <w:r w:rsidRPr="001C7762">
              <w:rPr>
                <w:lang w:eastAsia="uk-UA"/>
              </w:rPr>
              <w:t xml:space="preserve">2.8. ЕКПТВЕ 1 </w:t>
            </w:r>
            <w:proofErr w:type="spellStart"/>
            <w:r w:rsidRPr="001C7762">
              <w:rPr>
                <w:lang w:eastAsia="uk-UA"/>
              </w:rPr>
              <w:t>класу</w:t>
            </w:r>
            <w:proofErr w:type="spellEnd"/>
            <w:r w:rsidRPr="001C7762">
              <w:rPr>
                <w:lang w:eastAsia="uk-UA"/>
              </w:rPr>
              <w:t xml:space="preserve"> </w:t>
            </w:r>
            <w:proofErr w:type="spellStart"/>
            <w:r w:rsidRPr="001C7762">
              <w:rPr>
                <w:lang w:eastAsia="uk-UA"/>
              </w:rPr>
              <w:t>напруги</w:t>
            </w:r>
            <w:proofErr w:type="spellEnd"/>
            <w:r w:rsidRPr="001C7762">
              <w:rPr>
                <w:lang w:eastAsia="uk-UA"/>
              </w:rPr>
              <w:t xml:space="preserve"> (</w:t>
            </w:r>
            <w:r w:rsidRPr="001C7762">
              <w:rPr>
                <w:b/>
                <w:bCs/>
                <w:lang w:eastAsia="uk-UA"/>
              </w:rPr>
              <w:t>К</w:t>
            </w:r>
            <w:r w:rsidRPr="001C7762">
              <w:rPr>
                <w:b/>
                <w:bCs/>
                <w:vertAlign w:val="superscript"/>
                <w:lang w:eastAsia="uk-UA"/>
              </w:rPr>
              <w:t>m</w:t>
            </w:r>
            <w:r w:rsidRPr="001C7762">
              <w:rPr>
                <w:b/>
                <w:bCs/>
                <w:vertAlign w:val="subscript"/>
                <w:lang w:eastAsia="uk-UA"/>
              </w:rPr>
              <w:t>П1</w:t>
            </w:r>
            <w:r w:rsidRPr="001C7762">
              <w:rPr>
                <w:lang w:eastAsia="uk-UA"/>
              </w:rPr>
              <w:t xml:space="preserve">) </w:t>
            </w:r>
            <w:proofErr w:type="spellStart"/>
            <w:r w:rsidRPr="001C7762">
              <w:rPr>
                <w:lang w:eastAsia="uk-UA"/>
              </w:rPr>
              <w:t>визначається</w:t>
            </w:r>
            <w:proofErr w:type="spellEnd"/>
            <w:r w:rsidRPr="001C7762">
              <w:rPr>
                <w:lang w:eastAsia="uk-UA"/>
              </w:rPr>
              <w:t xml:space="preserve"> за формулою</w:t>
            </w:r>
          </w:p>
          <w:tbl>
            <w:tblPr>
              <w:tblW w:w="5000" w:type="pct"/>
              <w:tblBorders>
                <w:top w:val="outset" w:sz="2" w:space="0" w:color="auto"/>
                <w:left w:val="outset" w:sz="2" w:space="0" w:color="auto"/>
                <w:bottom w:val="outset" w:sz="2" w:space="0" w:color="auto"/>
                <w:right w:val="outset" w:sz="2" w:space="0" w:color="auto"/>
              </w:tblBorders>
              <w:tblLayout w:type="fixed"/>
              <w:tblLook w:val="04A0" w:firstRow="1" w:lastRow="0" w:firstColumn="1" w:lastColumn="0" w:noHBand="0" w:noVBand="1"/>
            </w:tblPr>
            <w:tblGrid>
              <w:gridCol w:w="716"/>
              <w:gridCol w:w="80"/>
              <w:gridCol w:w="5383"/>
              <w:gridCol w:w="1260"/>
            </w:tblGrid>
            <w:tr w:rsidR="001C7762" w:rsidRPr="001C7762" w14:paraId="3D8E01B2" w14:textId="77777777" w:rsidTr="009B7C36">
              <w:trPr>
                <w:gridAfter w:val="1"/>
                <w:wAfter w:w="2539" w:type="dxa"/>
              </w:trPr>
              <w:tc>
                <w:tcPr>
                  <w:tcW w:w="12360" w:type="dxa"/>
                  <w:gridSpan w:val="3"/>
                  <w:tcBorders>
                    <w:top w:val="nil"/>
                    <w:left w:val="nil"/>
                    <w:bottom w:val="nil"/>
                    <w:right w:val="nil"/>
                  </w:tcBorders>
                  <w:tcMar>
                    <w:top w:w="15" w:type="dxa"/>
                    <w:left w:w="15" w:type="dxa"/>
                    <w:bottom w:w="15" w:type="dxa"/>
                    <w:right w:w="15" w:type="dxa"/>
                  </w:tcMar>
                  <w:hideMark/>
                </w:tcPr>
                <w:p w14:paraId="50D60516" w14:textId="6FF6DDB4" w:rsidR="009B7C36" w:rsidRPr="001C7762" w:rsidRDefault="009B7C36" w:rsidP="000D7C1D">
                  <w:pPr>
                    <w:framePr w:hSpace="180" w:wrap="around" w:vAnchor="text" w:hAnchor="text" w:y="1"/>
                    <w:spacing w:before="150" w:after="150"/>
                    <w:suppressOverlap/>
                    <w:jc w:val="center"/>
                    <w:rPr>
                      <w:lang w:eastAsia="uk-UA"/>
                    </w:rPr>
                  </w:pPr>
                  <w:r w:rsidRPr="001C7762">
                    <w:rPr>
                      <w:noProof/>
                      <w:lang w:eastAsia="uk-UA"/>
                    </w:rPr>
                    <w:drawing>
                      <wp:inline distT="0" distB="0" distL="0" distR="0" wp14:anchorId="0346BB4B" wp14:editId="428B2AD4">
                        <wp:extent cx="4133850" cy="590550"/>
                        <wp:effectExtent l="0" t="0" r="0" b="0"/>
                        <wp:docPr id="32" name="Рисунок 32">
                          <a:hlinkClick xmlns:a="http://schemas.openxmlformats.org/drawingml/2006/main" r:id="rId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8830748">
                                  <a:hlinkClick r:id="rId165"/>
                                </pic:cNvPr>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4133850" cy="590550"/>
                                </a:xfrm>
                                <a:prstGeom prst="rect">
                                  <a:avLst/>
                                </a:prstGeom>
                                <a:noFill/>
                                <a:ln>
                                  <a:noFill/>
                                </a:ln>
                              </pic:spPr>
                            </pic:pic>
                          </a:graphicData>
                        </a:graphic>
                      </wp:inline>
                    </w:drawing>
                  </w:r>
                </w:p>
              </w:tc>
            </w:tr>
            <w:tr w:rsidR="001C7762" w:rsidRPr="001C7762" w14:paraId="7DC48218" w14:textId="77777777" w:rsidTr="009B7C36">
              <w:tc>
                <w:tcPr>
                  <w:tcW w:w="1399" w:type="dxa"/>
                  <w:tcBorders>
                    <w:top w:val="nil"/>
                    <w:left w:val="nil"/>
                    <w:bottom w:val="nil"/>
                    <w:right w:val="nil"/>
                  </w:tcBorders>
                  <w:shd w:val="clear" w:color="auto" w:fill="FFFFFF"/>
                  <w:tcMar>
                    <w:top w:w="15" w:type="dxa"/>
                    <w:left w:w="15" w:type="dxa"/>
                    <w:bottom w:w="15" w:type="dxa"/>
                    <w:right w:w="15" w:type="dxa"/>
                  </w:tcMar>
                  <w:hideMark/>
                </w:tcPr>
                <w:p w14:paraId="0BE3E84D" w14:textId="77777777" w:rsidR="009B7C36" w:rsidRPr="001C7762" w:rsidRDefault="009B7C36" w:rsidP="000D7C1D">
                  <w:pPr>
                    <w:framePr w:hSpace="180" w:wrap="around" w:vAnchor="text" w:hAnchor="text" w:y="1"/>
                    <w:spacing w:before="150" w:after="150"/>
                    <w:suppressOverlap/>
                    <w:rPr>
                      <w:lang w:eastAsia="uk-UA"/>
                    </w:rPr>
                  </w:pPr>
                  <w:r w:rsidRPr="001C7762">
                    <w:rPr>
                      <w:lang w:eastAsia="uk-UA"/>
                    </w:rPr>
                    <w:t>ПЕ</w:t>
                  </w:r>
                  <w:r w:rsidRPr="001C7762">
                    <w:rPr>
                      <w:b/>
                      <w:bCs/>
                      <w:vertAlign w:val="subscript"/>
                      <w:lang w:eastAsia="uk-UA"/>
                    </w:rPr>
                    <w:t>1тве</w:t>
                  </w:r>
                </w:p>
              </w:tc>
              <w:tc>
                <w:tcPr>
                  <w:tcW w:w="110" w:type="dxa"/>
                  <w:tcBorders>
                    <w:top w:val="nil"/>
                    <w:left w:val="nil"/>
                    <w:bottom w:val="nil"/>
                    <w:right w:val="nil"/>
                  </w:tcBorders>
                  <w:shd w:val="clear" w:color="auto" w:fill="FFFFFF"/>
                  <w:tcMar>
                    <w:top w:w="15" w:type="dxa"/>
                    <w:left w:w="15" w:type="dxa"/>
                    <w:bottom w:w="15" w:type="dxa"/>
                    <w:right w:w="15" w:type="dxa"/>
                  </w:tcMar>
                  <w:hideMark/>
                </w:tcPr>
                <w:p w14:paraId="41539542" w14:textId="77777777" w:rsidR="009B7C36" w:rsidRPr="001C7762" w:rsidRDefault="009B7C36" w:rsidP="000D7C1D">
                  <w:pPr>
                    <w:framePr w:hSpace="180" w:wrap="around" w:vAnchor="text" w:hAnchor="text" w:y="1"/>
                    <w:spacing w:before="150" w:after="150"/>
                    <w:suppressOverlap/>
                    <w:jc w:val="center"/>
                    <w:rPr>
                      <w:lang w:eastAsia="uk-UA"/>
                    </w:rPr>
                  </w:pPr>
                  <w:r w:rsidRPr="001C7762">
                    <w:rPr>
                      <w:lang w:eastAsia="uk-UA"/>
                    </w:rPr>
                    <w:t>-</w:t>
                  </w:r>
                </w:p>
              </w:tc>
              <w:tc>
                <w:tcPr>
                  <w:tcW w:w="8464" w:type="dxa"/>
                  <w:gridSpan w:val="2"/>
                  <w:tcBorders>
                    <w:top w:val="nil"/>
                    <w:left w:val="nil"/>
                    <w:bottom w:val="nil"/>
                    <w:right w:val="nil"/>
                  </w:tcBorders>
                  <w:shd w:val="clear" w:color="auto" w:fill="FFFFFF"/>
                  <w:tcMar>
                    <w:top w:w="15" w:type="dxa"/>
                    <w:left w:w="15" w:type="dxa"/>
                    <w:bottom w:w="15" w:type="dxa"/>
                    <w:right w:w="15" w:type="dxa"/>
                  </w:tcMar>
                  <w:hideMark/>
                </w:tcPr>
                <w:p w14:paraId="3E91E329" w14:textId="77777777" w:rsidR="009B7C36" w:rsidRPr="001C7762" w:rsidRDefault="009B7C36" w:rsidP="000D7C1D">
                  <w:pPr>
                    <w:framePr w:hSpace="180" w:wrap="around" w:vAnchor="text" w:hAnchor="text" w:y="1"/>
                    <w:spacing w:before="150" w:after="150"/>
                    <w:suppressOverlap/>
                    <w:rPr>
                      <w:lang w:eastAsia="uk-UA"/>
                    </w:rPr>
                  </w:pPr>
                  <w:proofErr w:type="spellStart"/>
                  <w:r w:rsidRPr="001C7762">
                    <w:rPr>
                      <w:lang w:eastAsia="uk-UA"/>
                    </w:rPr>
                    <w:t>показник</w:t>
                  </w:r>
                  <w:proofErr w:type="spellEnd"/>
                  <w:r w:rsidRPr="001C7762">
                    <w:rPr>
                      <w:lang w:eastAsia="uk-UA"/>
                    </w:rPr>
                    <w:t xml:space="preserve"> </w:t>
                  </w:r>
                  <w:proofErr w:type="spellStart"/>
                  <w:r w:rsidRPr="001C7762">
                    <w:rPr>
                      <w:lang w:eastAsia="uk-UA"/>
                    </w:rPr>
                    <w:t>ефективності</w:t>
                  </w:r>
                  <w:proofErr w:type="spellEnd"/>
                  <w:r w:rsidRPr="001C7762">
                    <w:rPr>
                      <w:lang w:eastAsia="uk-UA"/>
                    </w:rPr>
                    <w:t xml:space="preserve"> </w:t>
                  </w:r>
                  <w:proofErr w:type="spellStart"/>
                  <w:r w:rsidRPr="001C7762">
                    <w:rPr>
                      <w:lang w:eastAsia="uk-UA"/>
                    </w:rPr>
                    <w:t>технологічних</w:t>
                  </w:r>
                  <w:proofErr w:type="spellEnd"/>
                  <w:r w:rsidRPr="001C7762">
                    <w:rPr>
                      <w:lang w:eastAsia="uk-UA"/>
                    </w:rPr>
                    <w:t xml:space="preserve"> </w:t>
                  </w:r>
                  <w:proofErr w:type="spellStart"/>
                  <w:r w:rsidRPr="001C7762">
                    <w:rPr>
                      <w:lang w:eastAsia="uk-UA"/>
                    </w:rPr>
                    <w:t>витрат</w:t>
                  </w:r>
                  <w:proofErr w:type="spellEnd"/>
                  <w:r w:rsidRPr="001C7762">
                    <w:rPr>
                      <w:lang w:eastAsia="uk-UA"/>
                    </w:rPr>
                    <w:t xml:space="preserve"> </w:t>
                  </w:r>
                  <w:proofErr w:type="spellStart"/>
                  <w:r w:rsidRPr="001C7762">
                    <w:rPr>
                      <w:lang w:eastAsia="uk-UA"/>
                    </w:rPr>
                    <w:t>електричної</w:t>
                  </w:r>
                  <w:proofErr w:type="spellEnd"/>
                  <w:r w:rsidRPr="001C7762">
                    <w:rPr>
                      <w:lang w:eastAsia="uk-UA"/>
                    </w:rPr>
                    <w:t xml:space="preserve"> </w:t>
                  </w:r>
                  <w:proofErr w:type="spellStart"/>
                  <w:r w:rsidRPr="001C7762">
                    <w:rPr>
                      <w:lang w:eastAsia="uk-UA"/>
                    </w:rPr>
                    <w:t>енергії</w:t>
                  </w:r>
                  <w:proofErr w:type="spellEnd"/>
                  <w:r w:rsidRPr="001C7762">
                    <w:rPr>
                      <w:lang w:eastAsia="uk-UA"/>
                    </w:rPr>
                    <w:t xml:space="preserve">, параметр </w:t>
                  </w:r>
                  <w:proofErr w:type="spellStart"/>
                  <w:r w:rsidRPr="001C7762">
                    <w:rPr>
                      <w:lang w:eastAsia="uk-UA"/>
                    </w:rPr>
                    <w:t>регулювання</w:t>
                  </w:r>
                  <w:proofErr w:type="spellEnd"/>
                  <w:r w:rsidRPr="001C7762">
                    <w:rPr>
                      <w:lang w:eastAsia="uk-UA"/>
                    </w:rPr>
                    <w:t xml:space="preserve">, </w:t>
                  </w:r>
                  <w:proofErr w:type="spellStart"/>
                  <w:r w:rsidRPr="001C7762">
                    <w:rPr>
                      <w:lang w:eastAsia="uk-UA"/>
                    </w:rPr>
                    <w:t>що</w:t>
                  </w:r>
                  <w:proofErr w:type="spellEnd"/>
                  <w:r w:rsidRPr="001C7762">
                    <w:rPr>
                      <w:lang w:eastAsia="uk-UA"/>
                    </w:rPr>
                    <w:t xml:space="preserve"> </w:t>
                  </w:r>
                  <w:proofErr w:type="spellStart"/>
                  <w:r w:rsidRPr="001C7762">
                    <w:rPr>
                      <w:lang w:eastAsia="uk-UA"/>
                    </w:rPr>
                    <w:t>має</w:t>
                  </w:r>
                  <w:proofErr w:type="spellEnd"/>
                  <w:r w:rsidRPr="001C7762">
                    <w:rPr>
                      <w:lang w:eastAsia="uk-UA"/>
                    </w:rPr>
                    <w:t xml:space="preserve"> </w:t>
                  </w:r>
                  <w:proofErr w:type="spellStart"/>
                  <w:r w:rsidRPr="001C7762">
                    <w:rPr>
                      <w:lang w:eastAsia="uk-UA"/>
                    </w:rPr>
                    <w:t>довготерміновий</w:t>
                  </w:r>
                  <w:proofErr w:type="spellEnd"/>
                  <w:r w:rsidRPr="001C7762">
                    <w:rPr>
                      <w:lang w:eastAsia="uk-UA"/>
                    </w:rPr>
                    <w:t xml:space="preserve"> строк </w:t>
                  </w:r>
                  <w:proofErr w:type="spellStart"/>
                  <w:r w:rsidRPr="001C7762">
                    <w:rPr>
                      <w:lang w:eastAsia="uk-UA"/>
                    </w:rPr>
                    <w:t>дії</w:t>
                  </w:r>
                  <w:proofErr w:type="spellEnd"/>
                  <w:r w:rsidRPr="001C7762">
                    <w:rPr>
                      <w:lang w:eastAsia="uk-UA"/>
                    </w:rPr>
                    <w:t xml:space="preserve">, </w:t>
                  </w:r>
                  <w:proofErr w:type="spellStart"/>
                  <w:r w:rsidRPr="001C7762">
                    <w:rPr>
                      <w:lang w:eastAsia="uk-UA"/>
                    </w:rPr>
                    <w:t>який</w:t>
                  </w:r>
                  <w:proofErr w:type="spellEnd"/>
                  <w:r w:rsidRPr="001C7762">
                    <w:rPr>
                      <w:lang w:eastAsia="uk-UA"/>
                    </w:rPr>
                    <w:t xml:space="preserve"> </w:t>
                  </w:r>
                  <w:proofErr w:type="spellStart"/>
                  <w:r w:rsidRPr="001C7762">
                    <w:rPr>
                      <w:lang w:eastAsia="uk-UA"/>
                    </w:rPr>
                    <w:t>встановлюється</w:t>
                  </w:r>
                  <w:proofErr w:type="spellEnd"/>
                  <w:r w:rsidRPr="001C7762">
                    <w:rPr>
                      <w:lang w:eastAsia="uk-UA"/>
                    </w:rPr>
                    <w:t xml:space="preserve"> НКРЕКП на </w:t>
                  </w:r>
                  <w:proofErr w:type="spellStart"/>
                  <w:r w:rsidRPr="001C7762">
                    <w:rPr>
                      <w:lang w:eastAsia="uk-UA"/>
                    </w:rPr>
                    <w:t>регуляторний</w:t>
                  </w:r>
                  <w:proofErr w:type="spellEnd"/>
                  <w:r w:rsidRPr="001C7762">
                    <w:rPr>
                      <w:lang w:eastAsia="uk-UA"/>
                    </w:rPr>
                    <w:t xml:space="preserve"> </w:t>
                  </w:r>
                  <w:proofErr w:type="spellStart"/>
                  <w:r w:rsidRPr="001C7762">
                    <w:rPr>
                      <w:lang w:eastAsia="uk-UA"/>
                    </w:rPr>
                    <w:t>період</w:t>
                  </w:r>
                  <w:proofErr w:type="spellEnd"/>
                  <w:r w:rsidRPr="001C7762">
                    <w:rPr>
                      <w:lang w:eastAsia="uk-UA"/>
                    </w:rPr>
                    <w:t xml:space="preserve"> на 1 </w:t>
                  </w:r>
                  <w:proofErr w:type="spellStart"/>
                  <w:r w:rsidRPr="001C7762">
                    <w:rPr>
                      <w:lang w:eastAsia="uk-UA"/>
                    </w:rPr>
                    <w:t>класі</w:t>
                  </w:r>
                  <w:proofErr w:type="spellEnd"/>
                  <w:r w:rsidRPr="001C7762">
                    <w:rPr>
                      <w:lang w:eastAsia="uk-UA"/>
                    </w:rPr>
                    <w:t xml:space="preserve"> </w:t>
                  </w:r>
                  <w:proofErr w:type="spellStart"/>
                  <w:r w:rsidRPr="001C7762">
                    <w:rPr>
                      <w:lang w:eastAsia="uk-UA"/>
                    </w:rPr>
                    <w:t>напруги</w:t>
                  </w:r>
                  <w:proofErr w:type="spellEnd"/>
                  <w:r w:rsidRPr="001C7762">
                    <w:rPr>
                      <w:lang w:eastAsia="uk-UA"/>
                    </w:rPr>
                    <w:t xml:space="preserve">, %. </w:t>
                  </w:r>
                  <w:proofErr w:type="spellStart"/>
                  <w:r w:rsidRPr="001C7762">
                    <w:rPr>
                      <w:lang w:eastAsia="uk-UA"/>
                    </w:rPr>
                    <w:t>Якщо</w:t>
                  </w:r>
                  <w:proofErr w:type="spellEnd"/>
                  <w:r w:rsidRPr="001C7762">
                    <w:rPr>
                      <w:lang w:eastAsia="uk-UA"/>
                    </w:rPr>
                    <w:t xml:space="preserve"> оператор </w:t>
                  </w:r>
                  <w:proofErr w:type="spellStart"/>
                  <w:r w:rsidRPr="001C7762">
                    <w:rPr>
                      <w:lang w:eastAsia="uk-UA"/>
                    </w:rPr>
                    <w:t>системи</w:t>
                  </w:r>
                  <w:proofErr w:type="spellEnd"/>
                  <w:r w:rsidRPr="001C7762">
                    <w:rPr>
                      <w:lang w:eastAsia="uk-UA"/>
                    </w:rPr>
                    <w:t xml:space="preserve"> </w:t>
                  </w:r>
                  <w:proofErr w:type="spellStart"/>
                  <w:r w:rsidRPr="001C7762">
                    <w:rPr>
                      <w:lang w:eastAsia="uk-UA"/>
                    </w:rPr>
                    <w:t>розподілу</w:t>
                  </w:r>
                  <w:proofErr w:type="spellEnd"/>
                  <w:r w:rsidRPr="001C7762">
                    <w:rPr>
                      <w:lang w:eastAsia="uk-UA"/>
                    </w:rPr>
                    <w:t xml:space="preserve"> не переходить на </w:t>
                  </w:r>
                  <w:proofErr w:type="spellStart"/>
                  <w:r w:rsidRPr="001C7762">
                    <w:rPr>
                      <w:lang w:eastAsia="uk-UA"/>
                    </w:rPr>
                    <w:t>стимулююче</w:t>
                  </w:r>
                  <w:proofErr w:type="spellEnd"/>
                  <w:r w:rsidRPr="001C7762">
                    <w:rPr>
                      <w:lang w:eastAsia="uk-UA"/>
                    </w:rPr>
                    <w:t xml:space="preserve"> </w:t>
                  </w:r>
                  <w:proofErr w:type="spellStart"/>
                  <w:r w:rsidRPr="001C7762">
                    <w:rPr>
                      <w:lang w:eastAsia="uk-UA"/>
                    </w:rPr>
                    <w:t>регулювання</w:t>
                  </w:r>
                  <w:proofErr w:type="spellEnd"/>
                  <w:r w:rsidRPr="001C7762">
                    <w:rPr>
                      <w:lang w:eastAsia="uk-UA"/>
                    </w:rPr>
                    <w:t xml:space="preserve">, то </w:t>
                  </w:r>
                  <w:proofErr w:type="spellStart"/>
                  <w:r w:rsidRPr="001C7762">
                    <w:rPr>
                      <w:lang w:eastAsia="uk-UA"/>
                    </w:rPr>
                    <w:t>значення</w:t>
                  </w:r>
                  <w:proofErr w:type="spellEnd"/>
                  <w:r w:rsidRPr="001C7762">
                    <w:rPr>
                      <w:lang w:eastAsia="uk-UA"/>
                    </w:rPr>
                    <w:t xml:space="preserve"> </w:t>
                  </w:r>
                  <w:proofErr w:type="spellStart"/>
                  <w:r w:rsidRPr="001C7762">
                    <w:rPr>
                      <w:lang w:eastAsia="uk-UA"/>
                    </w:rPr>
                    <w:t>дорівнює</w:t>
                  </w:r>
                  <w:proofErr w:type="spellEnd"/>
                  <w:r w:rsidRPr="001C7762">
                    <w:rPr>
                      <w:lang w:eastAsia="uk-UA"/>
                    </w:rPr>
                    <w:t xml:space="preserve"> 0,5 (на 2023 </w:t>
                  </w:r>
                  <w:r w:rsidRPr="001C7762">
                    <w:rPr>
                      <w:b/>
                      <w:bCs/>
                      <w:lang w:eastAsia="uk-UA"/>
                    </w:rPr>
                    <w:t>та 2024 роки</w:t>
                  </w:r>
                  <w:r w:rsidRPr="001C7762">
                    <w:rPr>
                      <w:lang w:eastAsia="uk-UA"/>
                    </w:rPr>
                    <w:t xml:space="preserve"> </w:t>
                  </w:r>
                  <w:proofErr w:type="spellStart"/>
                  <w:r w:rsidRPr="001C7762">
                    <w:rPr>
                      <w:lang w:eastAsia="uk-UA"/>
                    </w:rPr>
                    <w:t>значення</w:t>
                  </w:r>
                  <w:proofErr w:type="spellEnd"/>
                  <w:r w:rsidRPr="001C7762">
                    <w:rPr>
                      <w:lang w:eastAsia="uk-UA"/>
                    </w:rPr>
                    <w:t xml:space="preserve"> </w:t>
                  </w:r>
                  <w:proofErr w:type="spellStart"/>
                  <w:r w:rsidRPr="001C7762">
                    <w:rPr>
                      <w:lang w:eastAsia="uk-UA"/>
                    </w:rPr>
                    <w:t>дорівнює</w:t>
                  </w:r>
                  <w:proofErr w:type="spellEnd"/>
                  <w:r w:rsidRPr="001C7762">
                    <w:rPr>
                      <w:lang w:eastAsia="uk-UA"/>
                    </w:rPr>
                    <w:t xml:space="preserve"> 0);</w:t>
                  </w:r>
                </w:p>
              </w:tc>
            </w:tr>
          </w:tbl>
          <w:p w14:paraId="7FD8162D" w14:textId="77777777" w:rsidR="008511CD" w:rsidRPr="001C7762" w:rsidRDefault="008511CD" w:rsidP="00BC5261"/>
        </w:tc>
        <w:tc>
          <w:tcPr>
            <w:tcW w:w="7654" w:type="dxa"/>
          </w:tcPr>
          <w:p w14:paraId="1930FD9B" w14:textId="77777777" w:rsidR="009B7C36" w:rsidRPr="001C7762" w:rsidRDefault="009B7C36" w:rsidP="009B7C36">
            <w:pPr>
              <w:shd w:val="clear" w:color="auto" w:fill="FFFFFF"/>
              <w:spacing w:after="150"/>
              <w:ind w:firstLine="450"/>
              <w:jc w:val="both"/>
              <w:rPr>
                <w:lang w:val="uk-UA" w:eastAsia="uk-UA"/>
              </w:rPr>
            </w:pPr>
            <w:r w:rsidRPr="001C7762">
              <w:rPr>
                <w:lang w:eastAsia="uk-UA"/>
              </w:rPr>
              <w:t xml:space="preserve">2.8. ЕКПТВЕ 1 </w:t>
            </w:r>
            <w:proofErr w:type="spellStart"/>
            <w:r w:rsidRPr="001C7762">
              <w:rPr>
                <w:lang w:eastAsia="uk-UA"/>
              </w:rPr>
              <w:t>класу</w:t>
            </w:r>
            <w:proofErr w:type="spellEnd"/>
            <w:r w:rsidRPr="001C7762">
              <w:rPr>
                <w:lang w:eastAsia="uk-UA"/>
              </w:rPr>
              <w:t xml:space="preserve"> </w:t>
            </w:r>
            <w:proofErr w:type="spellStart"/>
            <w:r w:rsidRPr="001C7762">
              <w:rPr>
                <w:lang w:eastAsia="uk-UA"/>
              </w:rPr>
              <w:t>напруги</w:t>
            </w:r>
            <w:proofErr w:type="spellEnd"/>
            <w:r w:rsidRPr="001C7762">
              <w:rPr>
                <w:lang w:eastAsia="uk-UA"/>
              </w:rPr>
              <w:t xml:space="preserve"> (</w:t>
            </w:r>
            <w:r w:rsidRPr="001C7762">
              <w:rPr>
                <w:b/>
                <w:bCs/>
                <w:lang w:eastAsia="uk-UA"/>
              </w:rPr>
              <w:t>К</w:t>
            </w:r>
            <w:r w:rsidRPr="001C7762">
              <w:rPr>
                <w:b/>
                <w:bCs/>
                <w:vertAlign w:val="superscript"/>
                <w:lang w:eastAsia="uk-UA"/>
              </w:rPr>
              <w:t>m</w:t>
            </w:r>
            <w:r w:rsidRPr="001C7762">
              <w:rPr>
                <w:b/>
                <w:bCs/>
                <w:vertAlign w:val="subscript"/>
                <w:lang w:eastAsia="uk-UA"/>
              </w:rPr>
              <w:t>П1</w:t>
            </w:r>
            <w:r w:rsidRPr="001C7762">
              <w:rPr>
                <w:lang w:eastAsia="uk-UA"/>
              </w:rPr>
              <w:t xml:space="preserve">) </w:t>
            </w:r>
            <w:proofErr w:type="spellStart"/>
            <w:r w:rsidRPr="001C7762">
              <w:rPr>
                <w:lang w:eastAsia="uk-UA"/>
              </w:rPr>
              <w:t>визначається</w:t>
            </w:r>
            <w:proofErr w:type="spellEnd"/>
            <w:r w:rsidRPr="001C7762">
              <w:rPr>
                <w:lang w:eastAsia="uk-UA"/>
              </w:rPr>
              <w:t xml:space="preserve"> за формулою</w:t>
            </w:r>
          </w:p>
          <w:tbl>
            <w:tblPr>
              <w:tblW w:w="5000" w:type="pct"/>
              <w:tblBorders>
                <w:top w:val="outset" w:sz="2" w:space="0" w:color="auto"/>
                <w:left w:val="outset" w:sz="2" w:space="0" w:color="auto"/>
                <w:bottom w:val="outset" w:sz="2" w:space="0" w:color="auto"/>
                <w:right w:val="outset" w:sz="2" w:space="0" w:color="auto"/>
              </w:tblBorders>
              <w:tblLayout w:type="fixed"/>
              <w:tblLook w:val="04A0" w:firstRow="1" w:lastRow="0" w:firstColumn="1" w:lastColumn="0" w:noHBand="0" w:noVBand="1"/>
            </w:tblPr>
            <w:tblGrid>
              <w:gridCol w:w="716"/>
              <w:gridCol w:w="80"/>
              <w:gridCol w:w="5382"/>
              <w:gridCol w:w="1260"/>
            </w:tblGrid>
            <w:tr w:rsidR="001C7762" w:rsidRPr="001C7762" w14:paraId="01974F58" w14:textId="77777777" w:rsidTr="009B7C36">
              <w:trPr>
                <w:gridAfter w:val="1"/>
                <w:wAfter w:w="2539" w:type="dxa"/>
              </w:trPr>
              <w:tc>
                <w:tcPr>
                  <w:tcW w:w="12360" w:type="dxa"/>
                  <w:gridSpan w:val="3"/>
                  <w:tcBorders>
                    <w:top w:val="nil"/>
                    <w:left w:val="nil"/>
                    <w:bottom w:val="nil"/>
                    <w:right w:val="nil"/>
                  </w:tcBorders>
                  <w:tcMar>
                    <w:top w:w="15" w:type="dxa"/>
                    <w:left w:w="15" w:type="dxa"/>
                    <w:bottom w:w="15" w:type="dxa"/>
                    <w:right w:w="15" w:type="dxa"/>
                  </w:tcMar>
                  <w:hideMark/>
                </w:tcPr>
                <w:p w14:paraId="077DD66A" w14:textId="24BA14A5" w:rsidR="009B7C36" w:rsidRPr="001C7762" w:rsidRDefault="009B7C36" w:rsidP="000D7C1D">
                  <w:pPr>
                    <w:framePr w:hSpace="180" w:wrap="around" w:vAnchor="text" w:hAnchor="text" w:y="1"/>
                    <w:spacing w:before="150" w:after="150"/>
                    <w:suppressOverlap/>
                    <w:jc w:val="center"/>
                    <w:rPr>
                      <w:lang w:eastAsia="uk-UA"/>
                    </w:rPr>
                  </w:pPr>
                  <w:r w:rsidRPr="001C7762">
                    <w:rPr>
                      <w:noProof/>
                      <w:lang w:eastAsia="uk-UA"/>
                    </w:rPr>
                    <w:drawing>
                      <wp:inline distT="0" distB="0" distL="0" distR="0" wp14:anchorId="5BE271B4" wp14:editId="1826D4B0">
                        <wp:extent cx="4133850" cy="590550"/>
                        <wp:effectExtent l="0" t="0" r="0" b="0"/>
                        <wp:docPr id="31" name="Рисунок 31">
                          <a:hlinkClick xmlns:a="http://schemas.openxmlformats.org/drawingml/2006/main" r:id="rId1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a:hlinkClick r:id="rId165"/>
                                </pic:cNvPr>
                                <pic:cNvPicPr>
                                  <a:picLocks noChangeAspect="1" noChangeArrowheads="1"/>
                                </pic:cNvPicPr>
                              </pic:nvPicPr>
                              <pic:blipFill>
                                <a:blip r:embed="rId166">
                                  <a:extLst>
                                    <a:ext uri="{28A0092B-C50C-407E-A947-70E740481C1C}">
                                      <a14:useLocalDpi xmlns:a14="http://schemas.microsoft.com/office/drawing/2010/main" val="0"/>
                                    </a:ext>
                                  </a:extLst>
                                </a:blip>
                                <a:srcRect/>
                                <a:stretch>
                                  <a:fillRect/>
                                </a:stretch>
                              </pic:blipFill>
                              <pic:spPr bwMode="auto">
                                <a:xfrm>
                                  <a:off x="0" y="0"/>
                                  <a:ext cx="4133850" cy="590550"/>
                                </a:xfrm>
                                <a:prstGeom prst="rect">
                                  <a:avLst/>
                                </a:prstGeom>
                                <a:noFill/>
                                <a:ln>
                                  <a:noFill/>
                                </a:ln>
                              </pic:spPr>
                            </pic:pic>
                          </a:graphicData>
                        </a:graphic>
                      </wp:inline>
                    </w:drawing>
                  </w:r>
                </w:p>
              </w:tc>
            </w:tr>
            <w:tr w:rsidR="001C7762" w:rsidRPr="001C7762" w14:paraId="53EF56B4" w14:textId="77777777" w:rsidTr="009B7C36">
              <w:tc>
                <w:tcPr>
                  <w:tcW w:w="1399" w:type="dxa"/>
                  <w:tcBorders>
                    <w:top w:val="nil"/>
                    <w:left w:val="nil"/>
                    <w:bottom w:val="nil"/>
                    <w:right w:val="nil"/>
                  </w:tcBorders>
                  <w:shd w:val="clear" w:color="auto" w:fill="FFFFFF"/>
                  <w:tcMar>
                    <w:top w:w="15" w:type="dxa"/>
                    <w:left w:w="15" w:type="dxa"/>
                    <w:bottom w:w="15" w:type="dxa"/>
                    <w:right w:w="15" w:type="dxa"/>
                  </w:tcMar>
                  <w:hideMark/>
                </w:tcPr>
                <w:p w14:paraId="24CB843D" w14:textId="77777777" w:rsidR="009B7C36" w:rsidRPr="001C7762" w:rsidRDefault="009B7C36" w:rsidP="000D7C1D">
                  <w:pPr>
                    <w:framePr w:hSpace="180" w:wrap="around" w:vAnchor="text" w:hAnchor="text" w:y="1"/>
                    <w:spacing w:before="150" w:after="150"/>
                    <w:suppressOverlap/>
                    <w:rPr>
                      <w:lang w:eastAsia="uk-UA"/>
                    </w:rPr>
                  </w:pPr>
                  <w:r w:rsidRPr="001C7762">
                    <w:rPr>
                      <w:lang w:eastAsia="uk-UA"/>
                    </w:rPr>
                    <w:t>ПЕ</w:t>
                  </w:r>
                  <w:r w:rsidRPr="001C7762">
                    <w:rPr>
                      <w:b/>
                      <w:bCs/>
                      <w:vertAlign w:val="subscript"/>
                      <w:lang w:eastAsia="uk-UA"/>
                    </w:rPr>
                    <w:t>1тве</w:t>
                  </w:r>
                </w:p>
              </w:tc>
              <w:tc>
                <w:tcPr>
                  <w:tcW w:w="110" w:type="dxa"/>
                  <w:tcBorders>
                    <w:top w:val="nil"/>
                    <w:left w:val="nil"/>
                    <w:bottom w:val="nil"/>
                    <w:right w:val="nil"/>
                  </w:tcBorders>
                  <w:shd w:val="clear" w:color="auto" w:fill="FFFFFF"/>
                  <w:tcMar>
                    <w:top w:w="15" w:type="dxa"/>
                    <w:left w:w="15" w:type="dxa"/>
                    <w:bottom w:w="15" w:type="dxa"/>
                    <w:right w:w="15" w:type="dxa"/>
                  </w:tcMar>
                  <w:hideMark/>
                </w:tcPr>
                <w:p w14:paraId="2E9CE484" w14:textId="77777777" w:rsidR="009B7C36" w:rsidRPr="001C7762" w:rsidRDefault="009B7C36" w:rsidP="000D7C1D">
                  <w:pPr>
                    <w:framePr w:hSpace="180" w:wrap="around" w:vAnchor="text" w:hAnchor="text" w:y="1"/>
                    <w:spacing w:before="150" w:after="150"/>
                    <w:suppressOverlap/>
                    <w:jc w:val="center"/>
                    <w:rPr>
                      <w:lang w:eastAsia="uk-UA"/>
                    </w:rPr>
                  </w:pPr>
                  <w:r w:rsidRPr="001C7762">
                    <w:rPr>
                      <w:lang w:eastAsia="uk-UA"/>
                    </w:rPr>
                    <w:t>-</w:t>
                  </w:r>
                </w:p>
              </w:tc>
              <w:tc>
                <w:tcPr>
                  <w:tcW w:w="8464" w:type="dxa"/>
                  <w:gridSpan w:val="2"/>
                  <w:tcBorders>
                    <w:top w:val="nil"/>
                    <w:left w:val="nil"/>
                    <w:bottom w:val="nil"/>
                    <w:right w:val="nil"/>
                  </w:tcBorders>
                  <w:shd w:val="clear" w:color="auto" w:fill="FFFFFF"/>
                  <w:tcMar>
                    <w:top w:w="15" w:type="dxa"/>
                    <w:left w:w="15" w:type="dxa"/>
                    <w:bottom w:w="15" w:type="dxa"/>
                    <w:right w:w="15" w:type="dxa"/>
                  </w:tcMar>
                  <w:hideMark/>
                </w:tcPr>
                <w:p w14:paraId="53F75E73" w14:textId="77777777" w:rsidR="009B7C36" w:rsidRPr="001C7762" w:rsidRDefault="009B7C36" w:rsidP="000D7C1D">
                  <w:pPr>
                    <w:framePr w:hSpace="180" w:wrap="around" w:vAnchor="text" w:hAnchor="text" w:y="1"/>
                    <w:spacing w:before="150" w:after="150"/>
                    <w:suppressOverlap/>
                    <w:rPr>
                      <w:lang w:eastAsia="uk-UA"/>
                    </w:rPr>
                  </w:pPr>
                  <w:proofErr w:type="spellStart"/>
                  <w:r w:rsidRPr="001C7762">
                    <w:rPr>
                      <w:lang w:eastAsia="uk-UA"/>
                    </w:rPr>
                    <w:t>показник</w:t>
                  </w:r>
                  <w:proofErr w:type="spellEnd"/>
                  <w:r w:rsidRPr="001C7762">
                    <w:rPr>
                      <w:lang w:eastAsia="uk-UA"/>
                    </w:rPr>
                    <w:t xml:space="preserve"> </w:t>
                  </w:r>
                  <w:proofErr w:type="spellStart"/>
                  <w:r w:rsidRPr="001C7762">
                    <w:rPr>
                      <w:lang w:eastAsia="uk-UA"/>
                    </w:rPr>
                    <w:t>ефективності</w:t>
                  </w:r>
                  <w:proofErr w:type="spellEnd"/>
                  <w:r w:rsidRPr="001C7762">
                    <w:rPr>
                      <w:lang w:eastAsia="uk-UA"/>
                    </w:rPr>
                    <w:t xml:space="preserve"> </w:t>
                  </w:r>
                  <w:proofErr w:type="spellStart"/>
                  <w:r w:rsidRPr="001C7762">
                    <w:rPr>
                      <w:lang w:eastAsia="uk-UA"/>
                    </w:rPr>
                    <w:t>технологічних</w:t>
                  </w:r>
                  <w:proofErr w:type="spellEnd"/>
                  <w:r w:rsidRPr="001C7762">
                    <w:rPr>
                      <w:lang w:eastAsia="uk-UA"/>
                    </w:rPr>
                    <w:t xml:space="preserve"> </w:t>
                  </w:r>
                  <w:proofErr w:type="spellStart"/>
                  <w:r w:rsidRPr="001C7762">
                    <w:rPr>
                      <w:lang w:eastAsia="uk-UA"/>
                    </w:rPr>
                    <w:t>витрат</w:t>
                  </w:r>
                  <w:proofErr w:type="spellEnd"/>
                  <w:r w:rsidRPr="001C7762">
                    <w:rPr>
                      <w:lang w:eastAsia="uk-UA"/>
                    </w:rPr>
                    <w:t xml:space="preserve"> </w:t>
                  </w:r>
                  <w:proofErr w:type="spellStart"/>
                  <w:r w:rsidRPr="001C7762">
                    <w:rPr>
                      <w:lang w:eastAsia="uk-UA"/>
                    </w:rPr>
                    <w:t>електричної</w:t>
                  </w:r>
                  <w:proofErr w:type="spellEnd"/>
                  <w:r w:rsidRPr="001C7762">
                    <w:rPr>
                      <w:lang w:eastAsia="uk-UA"/>
                    </w:rPr>
                    <w:t xml:space="preserve"> </w:t>
                  </w:r>
                  <w:proofErr w:type="spellStart"/>
                  <w:r w:rsidRPr="001C7762">
                    <w:rPr>
                      <w:lang w:eastAsia="uk-UA"/>
                    </w:rPr>
                    <w:t>енергії</w:t>
                  </w:r>
                  <w:proofErr w:type="spellEnd"/>
                  <w:r w:rsidRPr="001C7762">
                    <w:rPr>
                      <w:lang w:eastAsia="uk-UA"/>
                    </w:rPr>
                    <w:t xml:space="preserve">, параметр </w:t>
                  </w:r>
                  <w:proofErr w:type="spellStart"/>
                  <w:r w:rsidRPr="001C7762">
                    <w:rPr>
                      <w:lang w:eastAsia="uk-UA"/>
                    </w:rPr>
                    <w:t>регулювання</w:t>
                  </w:r>
                  <w:proofErr w:type="spellEnd"/>
                  <w:r w:rsidRPr="001C7762">
                    <w:rPr>
                      <w:lang w:eastAsia="uk-UA"/>
                    </w:rPr>
                    <w:t xml:space="preserve">, </w:t>
                  </w:r>
                  <w:proofErr w:type="spellStart"/>
                  <w:r w:rsidRPr="001C7762">
                    <w:rPr>
                      <w:lang w:eastAsia="uk-UA"/>
                    </w:rPr>
                    <w:t>що</w:t>
                  </w:r>
                  <w:proofErr w:type="spellEnd"/>
                  <w:r w:rsidRPr="001C7762">
                    <w:rPr>
                      <w:lang w:eastAsia="uk-UA"/>
                    </w:rPr>
                    <w:t xml:space="preserve"> </w:t>
                  </w:r>
                  <w:proofErr w:type="spellStart"/>
                  <w:r w:rsidRPr="001C7762">
                    <w:rPr>
                      <w:lang w:eastAsia="uk-UA"/>
                    </w:rPr>
                    <w:t>має</w:t>
                  </w:r>
                  <w:proofErr w:type="spellEnd"/>
                  <w:r w:rsidRPr="001C7762">
                    <w:rPr>
                      <w:lang w:eastAsia="uk-UA"/>
                    </w:rPr>
                    <w:t xml:space="preserve"> </w:t>
                  </w:r>
                  <w:proofErr w:type="spellStart"/>
                  <w:r w:rsidRPr="001C7762">
                    <w:rPr>
                      <w:lang w:eastAsia="uk-UA"/>
                    </w:rPr>
                    <w:t>довготерміновий</w:t>
                  </w:r>
                  <w:proofErr w:type="spellEnd"/>
                  <w:r w:rsidRPr="001C7762">
                    <w:rPr>
                      <w:lang w:eastAsia="uk-UA"/>
                    </w:rPr>
                    <w:t xml:space="preserve"> строк </w:t>
                  </w:r>
                  <w:proofErr w:type="spellStart"/>
                  <w:r w:rsidRPr="001C7762">
                    <w:rPr>
                      <w:lang w:eastAsia="uk-UA"/>
                    </w:rPr>
                    <w:t>дії</w:t>
                  </w:r>
                  <w:proofErr w:type="spellEnd"/>
                  <w:r w:rsidRPr="001C7762">
                    <w:rPr>
                      <w:lang w:eastAsia="uk-UA"/>
                    </w:rPr>
                    <w:t xml:space="preserve">, </w:t>
                  </w:r>
                  <w:proofErr w:type="spellStart"/>
                  <w:r w:rsidRPr="001C7762">
                    <w:rPr>
                      <w:lang w:eastAsia="uk-UA"/>
                    </w:rPr>
                    <w:t>який</w:t>
                  </w:r>
                  <w:proofErr w:type="spellEnd"/>
                  <w:r w:rsidRPr="001C7762">
                    <w:rPr>
                      <w:lang w:eastAsia="uk-UA"/>
                    </w:rPr>
                    <w:t xml:space="preserve"> </w:t>
                  </w:r>
                  <w:proofErr w:type="spellStart"/>
                  <w:r w:rsidRPr="001C7762">
                    <w:rPr>
                      <w:lang w:eastAsia="uk-UA"/>
                    </w:rPr>
                    <w:t>встановлюється</w:t>
                  </w:r>
                  <w:proofErr w:type="spellEnd"/>
                  <w:r w:rsidRPr="001C7762">
                    <w:rPr>
                      <w:lang w:eastAsia="uk-UA"/>
                    </w:rPr>
                    <w:t xml:space="preserve"> НКРЕКП на </w:t>
                  </w:r>
                  <w:proofErr w:type="spellStart"/>
                  <w:r w:rsidRPr="001C7762">
                    <w:rPr>
                      <w:lang w:eastAsia="uk-UA"/>
                    </w:rPr>
                    <w:t>регуляторний</w:t>
                  </w:r>
                  <w:proofErr w:type="spellEnd"/>
                  <w:r w:rsidRPr="001C7762">
                    <w:rPr>
                      <w:lang w:eastAsia="uk-UA"/>
                    </w:rPr>
                    <w:t xml:space="preserve"> </w:t>
                  </w:r>
                  <w:proofErr w:type="spellStart"/>
                  <w:r w:rsidRPr="001C7762">
                    <w:rPr>
                      <w:lang w:eastAsia="uk-UA"/>
                    </w:rPr>
                    <w:t>період</w:t>
                  </w:r>
                  <w:proofErr w:type="spellEnd"/>
                  <w:r w:rsidRPr="001C7762">
                    <w:rPr>
                      <w:lang w:eastAsia="uk-UA"/>
                    </w:rPr>
                    <w:t xml:space="preserve"> на 1 </w:t>
                  </w:r>
                  <w:proofErr w:type="spellStart"/>
                  <w:r w:rsidRPr="001C7762">
                    <w:rPr>
                      <w:lang w:eastAsia="uk-UA"/>
                    </w:rPr>
                    <w:t>класі</w:t>
                  </w:r>
                  <w:proofErr w:type="spellEnd"/>
                  <w:r w:rsidRPr="001C7762">
                    <w:rPr>
                      <w:lang w:eastAsia="uk-UA"/>
                    </w:rPr>
                    <w:t xml:space="preserve"> </w:t>
                  </w:r>
                  <w:proofErr w:type="spellStart"/>
                  <w:r w:rsidRPr="001C7762">
                    <w:rPr>
                      <w:lang w:eastAsia="uk-UA"/>
                    </w:rPr>
                    <w:t>напруги</w:t>
                  </w:r>
                  <w:proofErr w:type="spellEnd"/>
                  <w:r w:rsidRPr="001C7762">
                    <w:rPr>
                      <w:lang w:eastAsia="uk-UA"/>
                    </w:rPr>
                    <w:t xml:space="preserve">, %. </w:t>
                  </w:r>
                  <w:proofErr w:type="spellStart"/>
                  <w:r w:rsidRPr="001C7762">
                    <w:rPr>
                      <w:lang w:eastAsia="uk-UA"/>
                    </w:rPr>
                    <w:t>Якщо</w:t>
                  </w:r>
                  <w:proofErr w:type="spellEnd"/>
                  <w:r w:rsidRPr="001C7762">
                    <w:rPr>
                      <w:lang w:eastAsia="uk-UA"/>
                    </w:rPr>
                    <w:t xml:space="preserve"> оператор </w:t>
                  </w:r>
                  <w:proofErr w:type="spellStart"/>
                  <w:r w:rsidRPr="001C7762">
                    <w:rPr>
                      <w:lang w:eastAsia="uk-UA"/>
                    </w:rPr>
                    <w:t>системи</w:t>
                  </w:r>
                  <w:proofErr w:type="spellEnd"/>
                  <w:r w:rsidRPr="001C7762">
                    <w:rPr>
                      <w:lang w:eastAsia="uk-UA"/>
                    </w:rPr>
                    <w:t xml:space="preserve"> </w:t>
                  </w:r>
                  <w:proofErr w:type="spellStart"/>
                  <w:r w:rsidRPr="001C7762">
                    <w:rPr>
                      <w:lang w:eastAsia="uk-UA"/>
                    </w:rPr>
                    <w:t>розподілу</w:t>
                  </w:r>
                  <w:proofErr w:type="spellEnd"/>
                  <w:r w:rsidRPr="001C7762">
                    <w:rPr>
                      <w:lang w:eastAsia="uk-UA"/>
                    </w:rPr>
                    <w:t xml:space="preserve"> не переходить на </w:t>
                  </w:r>
                  <w:proofErr w:type="spellStart"/>
                  <w:r w:rsidRPr="001C7762">
                    <w:rPr>
                      <w:lang w:eastAsia="uk-UA"/>
                    </w:rPr>
                    <w:t>стимулююче</w:t>
                  </w:r>
                  <w:proofErr w:type="spellEnd"/>
                  <w:r w:rsidRPr="001C7762">
                    <w:rPr>
                      <w:lang w:eastAsia="uk-UA"/>
                    </w:rPr>
                    <w:t xml:space="preserve"> </w:t>
                  </w:r>
                  <w:proofErr w:type="spellStart"/>
                  <w:r w:rsidRPr="001C7762">
                    <w:rPr>
                      <w:lang w:eastAsia="uk-UA"/>
                    </w:rPr>
                    <w:t>регулювання</w:t>
                  </w:r>
                  <w:proofErr w:type="spellEnd"/>
                  <w:r w:rsidRPr="001C7762">
                    <w:rPr>
                      <w:lang w:eastAsia="uk-UA"/>
                    </w:rPr>
                    <w:t xml:space="preserve">, то </w:t>
                  </w:r>
                  <w:proofErr w:type="spellStart"/>
                  <w:r w:rsidRPr="001C7762">
                    <w:rPr>
                      <w:lang w:eastAsia="uk-UA"/>
                    </w:rPr>
                    <w:t>значення</w:t>
                  </w:r>
                  <w:proofErr w:type="spellEnd"/>
                  <w:r w:rsidRPr="001C7762">
                    <w:rPr>
                      <w:lang w:eastAsia="uk-UA"/>
                    </w:rPr>
                    <w:t xml:space="preserve"> </w:t>
                  </w:r>
                  <w:proofErr w:type="spellStart"/>
                  <w:r w:rsidRPr="001C7762">
                    <w:rPr>
                      <w:lang w:eastAsia="uk-UA"/>
                    </w:rPr>
                    <w:t>дорівнює</w:t>
                  </w:r>
                  <w:proofErr w:type="spellEnd"/>
                  <w:r w:rsidRPr="001C7762">
                    <w:rPr>
                      <w:lang w:eastAsia="uk-UA"/>
                    </w:rPr>
                    <w:t xml:space="preserve"> 0,5 (на 2023 -</w:t>
                  </w:r>
                  <w:r w:rsidRPr="001C7762">
                    <w:rPr>
                      <w:b/>
                      <w:bCs/>
                      <w:lang w:eastAsia="uk-UA"/>
                    </w:rPr>
                    <w:t xml:space="preserve"> 2025 роки</w:t>
                  </w:r>
                  <w:r w:rsidRPr="001C7762">
                    <w:rPr>
                      <w:lang w:eastAsia="uk-UA"/>
                    </w:rPr>
                    <w:t xml:space="preserve"> </w:t>
                  </w:r>
                  <w:proofErr w:type="spellStart"/>
                  <w:r w:rsidRPr="001C7762">
                    <w:rPr>
                      <w:lang w:eastAsia="uk-UA"/>
                    </w:rPr>
                    <w:t>значення</w:t>
                  </w:r>
                  <w:proofErr w:type="spellEnd"/>
                  <w:r w:rsidRPr="001C7762">
                    <w:rPr>
                      <w:lang w:eastAsia="uk-UA"/>
                    </w:rPr>
                    <w:t xml:space="preserve"> </w:t>
                  </w:r>
                  <w:proofErr w:type="spellStart"/>
                  <w:r w:rsidRPr="001C7762">
                    <w:rPr>
                      <w:lang w:eastAsia="uk-UA"/>
                    </w:rPr>
                    <w:t>дорівнює</w:t>
                  </w:r>
                  <w:proofErr w:type="spellEnd"/>
                  <w:r w:rsidRPr="001C7762">
                    <w:rPr>
                      <w:lang w:eastAsia="uk-UA"/>
                    </w:rPr>
                    <w:t xml:space="preserve"> 0);</w:t>
                  </w:r>
                </w:p>
              </w:tc>
            </w:tr>
          </w:tbl>
          <w:p w14:paraId="1FD7BD14" w14:textId="77777777" w:rsidR="008511CD" w:rsidRPr="001C7762" w:rsidRDefault="008511CD" w:rsidP="00BC5261"/>
        </w:tc>
      </w:tr>
      <w:tr w:rsidR="001C7762" w:rsidRPr="001C7762" w14:paraId="50B5C8E9" w14:textId="77777777" w:rsidTr="00F549E8">
        <w:tc>
          <w:tcPr>
            <w:tcW w:w="7655" w:type="dxa"/>
          </w:tcPr>
          <w:p w14:paraId="31707CCD" w14:textId="77777777" w:rsidR="008511CD" w:rsidRPr="001C7762" w:rsidRDefault="008511CD" w:rsidP="00BC5261">
            <w:pPr>
              <w:rPr>
                <w:lang w:val="uk-UA"/>
              </w:rPr>
            </w:pPr>
          </w:p>
        </w:tc>
        <w:tc>
          <w:tcPr>
            <w:tcW w:w="7654" w:type="dxa"/>
          </w:tcPr>
          <w:p w14:paraId="4370929F" w14:textId="77777777" w:rsidR="008511CD" w:rsidRPr="001C7762" w:rsidRDefault="008511CD" w:rsidP="00BC5261">
            <w:pPr>
              <w:rPr>
                <w:lang w:val="uk-UA"/>
              </w:rPr>
            </w:pPr>
          </w:p>
        </w:tc>
      </w:tr>
    </w:tbl>
    <w:p w14:paraId="3FA95260" w14:textId="1D979524" w:rsidR="003F78F6" w:rsidRPr="004179CE" w:rsidRDefault="003F78F6" w:rsidP="00A82A57">
      <w:pPr>
        <w:rPr>
          <w:lang w:val="uk-UA"/>
        </w:rPr>
      </w:pPr>
    </w:p>
    <w:sectPr w:rsidR="003F78F6" w:rsidRPr="004179CE" w:rsidSect="00C62C84">
      <w:footerReference w:type="default" r:id="rId167"/>
      <w:pgSz w:w="16838" w:h="11906" w:orient="landscape"/>
      <w:pgMar w:top="1417" w:right="850" w:bottom="850"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EE7D7" w14:textId="77777777" w:rsidR="000D7C1D" w:rsidRDefault="000D7C1D" w:rsidP="003F78F6">
      <w:r>
        <w:separator/>
      </w:r>
    </w:p>
  </w:endnote>
  <w:endnote w:type="continuationSeparator" w:id="0">
    <w:p w14:paraId="2995D042" w14:textId="77777777" w:rsidR="000D7C1D" w:rsidRDefault="000D7C1D" w:rsidP="003F7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4159295"/>
      <w:docPartObj>
        <w:docPartGallery w:val="Page Numbers (Bottom of Page)"/>
        <w:docPartUnique/>
      </w:docPartObj>
    </w:sdtPr>
    <w:sdtContent>
      <w:p w14:paraId="7D746501" w14:textId="2BACF0FF" w:rsidR="000D7C1D" w:rsidRDefault="000D7C1D">
        <w:pPr>
          <w:pStyle w:val="aa"/>
          <w:jc w:val="right"/>
        </w:pPr>
        <w:r>
          <w:fldChar w:fldCharType="begin"/>
        </w:r>
        <w:r>
          <w:instrText>PAGE   \* MERGEFORMAT</w:instrText>
        </w:r>
        <w:r>
          <w:fldChar w:fldCharType="separate"/>
        </w:r>
        <w:r>
          <w:rPr>
            <w:lang w:val="uk-UA"/>
          </w:rPr>
          <w:t>2</w:t>
        </w:r>
        <w:r>
          <w:fldChar w:fldCharType="end"/>
        </w:r>
      </w:p>
    </w:sdtContent>
  </w:sdt>
  <w:p w14:paraId="5F854C99" w14:textId="77777777" w:rsidR="000D7C1D" w:rsidRDefault="000D7C1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5B784" w14:textId="77777777" w:rsidR="000D7C1D" w:rsidRDefault="000D7C1D" w:rsidP="003F78F6">
      <w:r>
        <w:separator/>
      </w:r>
    </w:p>
  </w:footnote>
  <w:footnote w:type="continuationSeparator" w:id="0">
    <w:p w14:paraId="53A96539" w14:textId="77777777" w:rsidR="000D7C1D" w:rsidRDefault="000D7C1D" w:rsidP="003F78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8C5"/>
    <w:rsid w:val="000105C1"/>
    <w:rsid w:val="00032991"/>
    <w:rsid w:val="00034A2E"/>
    <w:rsid w:val="00065C30"/>
    <w:rsid w:val="00067A52"/>
    <w:rsid w:val="00084B82"/>
    <w:rsid w:val="000B17C1"/>
    <w:rsid w:val="000B5739"/>
    <w:rsid w:val="000D7C1D"/>
    <w:rsid w:val="000F050D"/>
    <w:rsid w:val="000F45A1"/>
    <w:rsid w:val="00104E25"/>
    <w:rsid w:val="00111A06"/>
    <w:rsid w:val="00142A90"/>
    <w:rsid w:val="00144B02"/>
    <w:rsid w:val="00146BAD"/>
    <w:rsid w:val="00165E6B"/>
    <w:rsid w:val="001847E9"/>
    <w:rsid w:val="001A4BDC"/>
    <w:rsid w:val="001B25FE"/>
    <w:rsid w:val="001B5469"/>
    <w:rsid w:val="001C1301"/>
    <w:rsid w:val="001C7762"/>
    <w:rsid w:val="0021162D"/>
    <w:rsid w:val="00211F82"/>
    <w:rsid w:val="00234529"/>
    <w:rsid w:val="00257B60"/>
    <w:rsid w:val="00265CCB"/>
    <w:rsid w:val="002668E7"/>
    <w:rsid w:val="002879CF"/>
    <w:rsid w:val="0029020D"/>
    <w:rsid w:val="00294AC6"/>
    <w:rsid w:val="002D164E"/>
    <w:rsid w:val="002E1561"/>
    <w:rsid w:val="002E4BE0"/>
    <w:rsid w:val="002E59C1"/>
    <w:rsid w:val="003211E2"/>
    <w:rsid w:val="00334A79"/>
    <w:rsid w:val="003416E5"/>
    <w:rsid w:val="00355C21"/>
    <w:rsid w:val="003E0076"/>
    <w:rsid w:val="003E6294"/>
    <w:rsid w:val="003F129B"/>
    <w:rsid w:val="003F78F6"/>
    <w:rsid w:val="004025F9"/>
    <w:rsid w:val="004179CE"/>
    <w:rsid w:val="004233C7"/>
    <w:rsid w:val="00423D3E"/>
    <w:rsid w:val="00431692"/>
    <w:rsid w:val="004548C5"/>
    <w:rsid w:val="004629DB"/>
    <w:rsid w:val="00463609"/>
    <w:rsid w:val="004867FD"/>
    <w:rsid w:val="004B5EB5"/>
    <w:rsid w:val="00502BDE"/>
    <w:rsid w:val="005123A6"/>
    <w:rsid w:val="005139F9"/>
    <w:rsid w:val="00521837"/>
    <w:rsid w:val="00522BF2"/>
    <w:rsid w:val="00533DE4"/>
    <w:rsid w:val="0053693E"/>
    <w:rsid w:val="005442AF"/>
    <w:rsid w:val="00547ACB"/>
    <w:rsid w:val="00550587"/>
    <w:rsid w:val="00561177"/>
    <w:rsid w:val="00592D74"/>
    <w:rsid w:val="005A374B"/>
    <w:rsid w:val="005A4992"/>
    <w:rsid w:val="00613422"/>
    <w:rsid w:val="0061390A"/>
    <w:rsid w:val="00617102"/>
    <w:rsid w:val="00622278"/>
    <w:rsid w:val="00622D4D"/>
    <w:rsid w:val="00636546"/>
    <w:rsid w:val="006479ED"/>
    <w:rsid w:val="006E6388"/>
    <w:rsid w:val="006F526D"/>
    <w:rsid w:val="00701229"/>
    <w:rsid w:val="0071655A"/>
    <w:rsid w:val="00716ED6"/>
    <w:rsid w:val="00726E21"/>
    <w:rsid w:val="0075689F"/>
    <w:rsid w:val="0077184B"/>
    <w:rsid w:val="00782C99"/>
    <w:rsid w:val="0079366D"/>
    <w:rsid w:val="007A0D36"/>
    <w:rsid w:val="007B1C36"/>
    <w:rsid w:val="007C42FB"/>
    <w:rsid w:val="007D42FB"/>
    <w:rsid w:val="007F405A"/>
    <w:rsid w:val="007F6841"/>
    <w:rsid w:val="00805B18"/>
    <w:rsid w:val="00815BF6"/>
    <w:rsid w:val="0081719F"/>
    <w:rsid w:val="00817526"/>
    <w:rsid w:val="00833BA8"/>
    <w:rsid w:val="00834858"/>
    <w:rsid w:val="008511CD"/>
    <w:rsid w:val="00853A20"/>
    <w:rsid w:val="008642B7"/>
    <w:rsid w:val="00875784"/>
    <w:rsid w:val="00882AD4"/>
    <w:rsid w:val="00890495"/>
    <w:rsid w:val="008C5D5C"/>
    <w:rsid w:val="008D72F7"/>
    <w:rsid w:val="008E0853"/>
    <w:rsid w:val="008E4877"/>
    <w:rsid w:val="009276BB"/>
    <w:rsid w:val="00944FC0"/>
    <w:rsid w:val="0094738B"/>
    <w:rsid w:val="009668AB"/>
    <w:rsid w:val="0098771F"/>
    <w:rsid w:val="00995559"/>
    <w:rsid w:val="009A18EE"/>
    <w:rsid w:val="009B7C36"/>
    <w:rsid w:val="009C26CC"/>
    <w:rsid w:val="009D63B2"/>
    <w:rsid w:val="009F0648"/>
    <w:rsid w:val="00A411DA"/>
    <w:rsid w:val="00A43A0B"/>
    <w:rsid w:val="00A55CFE"/>
    <w:rsid w:val="00A57F0A"/>
    <w:rsid w:val="00A72A02"/>
    <w:rsid w:val="00A7621C"/>
    <w:rsid w:val="00A82A57"/>
    <w:rsid w:val="00AE22F2"/>
    <w:rsid w:val="00AE690F"/>
    <w:rsid w:val="00AF56DB"/>
    <w:rsid w:val="00B24756"/>
    <w:rsid w:val="00B367A9"/>
    <w:rsid w:val="00B51BD3"/>
    <w:rsid w:val="00B54C2B"/>
    <w:rsid w:val="00B708D6"/>
    <w:rsid w:val="00B768DB"/>
    <w:rsid w:val="00BA2AB1"/>
    <w:rsid w:val="00BB662E"/>
    <w:rsid w:val="00BB7CB3"/>
    <w:rsid w:val="00BC194F"/>
    <w:rsid w:val="00BC3B18"/>
    <w:rsid w:val="00BC5261"/>
    <w:rsid w:val="00BE0731"/>
    <w:rsid w:val="00BF48EC"/>
    <w:rsid w:val="00BF7EAB"/>
    <w:rsid w:val="00C10B09"/>
    <w:rsid w:val="00C21573"/>
    <w:rsid w:val="00C42CCE"/>
    <w:rsid w:val="00C4691D"/>
    <w:rsid w:val="00C62C84"/>
    <w:rsid w:val="00C91355"/>
    <w:rsid w:val="00C967C7"/>
    <w:rsid w:val="00CB2B03"/>
    <w:rsid w:val="00CC636B"/>
    <w:rsid w:val="00D01500"/>
    <w:rsid w:val="00D0596B"/>
    <w:rsid w:val="00D270E3"/>
    <w:rsid w:val="00D47CC5"/>
    <w:rsid w:val="00D547E7"/>
    <w:rsid w:val="00D711D3"/>
    <w:rsid w:val="00D7523E"/>
    <w:rsid w:val="00D94BCD"/>
    <w:rsid w:val="00D96DC2"/>
    <w:rsid w:val="00D97455"/>
    <w:rsid w:val="00DB3F14"/>
    <w:rsid w:val="00DC7E14"/>
    <w:rsid w:val="00DE050C"/>
    <w:rsid w:val="00DE6993"/>
    <w:rsid w:val="00DF6071"/>
    <w:rsid w:val="00E13404"/>
    <w:rsid w:val="00E42502"/>
    <w:rsid w:val="00E45112"/>
    <w:rsid w:val="00E502A3"/>
    <w:rsid w:val="00E6276C"/>
    <w:rsid w:val="00E7391B"/>
    <w:rsid w:val="00E74511"/>
    <w:rsid w:val="00E8099A"/>
    <w:rsid w:val="00E84AE0"/>
    <w:rsid w:val="00EA3366"/>
    <w:rsid w:val="00EA49D2"/>
    <w:rsid w:val="00EA5139"/>
    <w:rsid w:val="00EC410B"/>
    <w:rsid w:val="00ED6D2D"/>
    <w:rsid w:val="00EE264F"/>
    <w:rsid w:val="00EE6493"/>
    <w:rsid w:val="00EF1439"/>
    <w:rsid w:val="00EF2FEE"/>
    <w:rsid w:val="00F24558"/>
    <w:rsid w:val="00F47678"/>
    <w:rsid w:val="00F549E8"/>
    <w:rsid w:val="00F706D8"/>
    <w:rsid w:val="00F95B70"/>
    <w:rsid w:val="00FA10E4"/>
    <w:rsid w:val="00FC647F"/>
    <w:rsid w:val="00FF4E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30775F88"/>
  <w15:chartTrackingRefBased/>
  <w15:docId w15:val="{39342517-95F8-4DFF-BEAF-FA7F10F5A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4BCD"/>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semiHidden/>
    <w:unhideWhenUsed/>
    <w:qFormat/>
    <w:rsid w:val="003F78F6"/>
    <w:pPr>
      <w:keepNext/>
      <w:spacing w:before="240" w:after="60"/>
      <w:outlineLvl w:val="2"/>
    </w:pPr>
    <w:rPr>
      <w:rFonts w:ascii="Calibri Light" w:hAnsi="Calibri Light"/>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4BCD"/>
    <w:pPr>
      <w:ind w:left="720"/>
      <w:contextualSpacing/>
    </w:pPr>
  </w:style>
  <w:style w:type="character" w:styleId="a4">
    <w:name w:val="Placeholder Text"/>
    <w:basedOn w:val="a0"/>
    <w:uiPriority w:val="99"/>
    <w:semiHidden/>
    <w:rsid w:val="008D72F7"/>
    <w:rPr>
      <w:color w:val="808080"/>
    </w:rPr>
  </w:style>
  <w:style w:type="paragraph" w:customStyle="1" w:styleId="rvps2">
    <w:name w:val="rvps2"/>
    <w:basedOn w:val="a"/>
    <w:rsid w:val="007A0D36"/>
    <w:pPr>
      <w:spacing w:before="100" w:beforeAutospacing="1" w:after="100" w:afterAutospacing="1"/>
    </w:pPr>
    <w:rPr>
      <w:lang w:val="uk-UA" w:eastAsia="uk-UA"/>
    </w:rPr>
  </w:style>
  <w:style w:type="character" w:styleId="a5">
    <w:name w:val="Hyperlink"/>
    <w:basedOn w:val="a0"/>
    <w:uiPriority w:val="99"/>
    <w:semiHidden/>
    <w:unhideWhenUsed/>
    <w:rsid w:val="007A0D36"/>
    <w:rPr>
      <w:color w:val="0000FF"/>
      <w:u w:val="single"/>
    </w:rPr>
  </w:style>
  <w:style w:type="character" w:customStyle="1" w:styleId="rvts9">
    <w:name w:val="rvts9"/>
    <w:basedOn w:val="a0"/>
    <w:rsid w:val="007A0D36"/>
  </w:style>
  <w:style w:type="character" w:customStyle="1" w:styleId="rvts46">
    <w:name w:val="rvts46"/>
    <w:basedOn w:val="a0"/>
    <w:rsid w:val="007A0D36"/>
  </w:style>
  <w:style w:type="character" w:customStyle="1" w:styleId="rvts11">
    <w:name w:val="rvts11"/>
    <w:basedOn w:val="a0"/>
    <w:rsid w:val="007A0D36"/>
  </w:style>
  <w:style w:type="paragraph" w:styleId="a6">
    <w:name w:val="Normal (Web)"/>
    <w:basedOn w:val="a"/>
    <w:uiPriority w:val="99"/>
    <w:semiHidden/>
    <w:unhideWhenUsed/>
    <w:rsid w:val="007A0D36"/>
    <w:pPr>
      <w:spacing w:before="100" w:beforeAutospacing="1" w:after="100" w:afterAutospacing="1"/>
    </w:pPr>
    <w:rPr>
      <w:lang w:val="uk-UA" w:eastAsia="uk-UA"/>
    </w:rPr>
  </w:style>
  <w:style w:type="character" w:customStyle="1" w:styleId="rvts37">
    <w:name w:val="rvts37"/>
    <w:basedOn w:val="a0"/>
    <w:rsid w:val="007A0D36"/>
  </w:style>
  <w:style w:type="table" w:styleId="a7">
    <w:name w:val="Table Grid"/>
    <w:basedOn w:val="a1"/>
    <w:uiPriority w:val="39"/>
    <w:rsid w:val="003F7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F78F6"/>
    <w:pPr>
      <w:tabs>
        <w:tab w:val="center" w:pos="4819"/>
        <w:tab w:val="right" w:pos="9639"/>
      </w:tabs>
    </w:pPr>
  </w:style>
  <w:style w:type="character" w:customStyle="1" w:styleId="a9">
    <w:name w:val="Верхній колонтитул Знак"/>
    <w:basedOn w:val="a0"/>
    <w:link w:val="a8"/>
    <w:uiPriority w:val="99"/>
    <w:rsid w:val="003F78F6"/>
    <w:rPr>
      <w:rFonts w:ascii="Times New Roman" w:eastAsia="Times New Roman" w:hAnsi="Times New Roman" w:cs="Times New Roman"/>
      <w:sz w:val="24"/>
      <w:szCs w:val="24"/>
      <w:lang w:val="ru-RU" w:eastAsia="ru-RU"/>
    </w:rPr>
  </w:style>
  <w:style w:type="paragraph" w:styleId="aa">
    <w:name w:val="footer"/>
    <w:basedOn w:val="a"/>
    <w:link w:val="ab"/>
    <w:uiPriority w:val="99"/>
    <w:unhideWhenUsed/>
    <w:rsid w:val="003F78F6"/>
    <w:pPr>
      <w:tabs>
        <w:tab w:val="center" w:pos="4819"/>
        <w:tab w:val="right" w:pos="9639"/>
      </w:tabs>
    </w:pPr>
  </w:style>
  <w:style w:type="character" w:customStyle="1" w:styleId="ab">
    <w:name w:val="Нижній колонтитул Знак"/>
    <w:basedOn w:val="a0"/>
    <w:link w:val="aa"/>
    <w:uiPriority w:val="99"/>
    <w:rsid w:val="003F78F6"/>
    <w:rPr>
      <w:rFonts w:ascii="Times New Roman" w:eastAsia="Times New Roman" w:hAnsi="Times New Roman" w:cs="Times New Roman"/>
      <w:sz w:val="24"/>
      <w:szCs w:val="24"/>
      <w:lang w:val="ru-RU" w:eastAsia="ru-RU"/>
    </w:rPr>
  </w:style>
  <w:style w:type="paragraph" w:customStyle="1" w:styleId="tj">
    <w:name w:val="tj"/>
    <w:basedOn w:val="a"/>
    <w:rsid w:val="003F78F6"/>
    <w:pPr>
      <w:spacing w:before="100" w:beforeAutospacing="1" w:after="100" w:afterAutospacing="1"/>
    </w:pPr>
    <w:rPr>
      <w:lang w:val="uk-UA" w:eastAsia="uk-UA"/>
    </w:rPr>
  </w:style>
  <w:style w:type="character" w:customStyle="1" w:styleId="30">
    <w:name w:val="Заголовок 3 Знак"/>
    <w:basedOn w:val="a0"/>
    <w:link w:val="3"/>
    <w:semiHidden/>
    <w:rsid w:val="003F78F6"/>
    <w:rPr>
      <w:rFonts w:ascii="Calibri Light" w:eastAsia="Times New Roman" w:hAnsi="Calibri Light" w:cs="Times New Roman"/>
      <w:b/>
      <w:bCs/>
      <w:sz w:val="26"/>
      <w:szCs w:val="26"/>
      <w:lang w:eastAsia="ru-RU"/>
    </w:rPr>
  </w:style>
  <w:style w:type="character" w:customStyle="1" w:styleId="hard-blue-color">
    <w:name w:val="hard-blue-color"/>
    <w:basedOn w:val="a0"/>
    <w:rsid w:val="003F78F6"/>
  </w:style>
  <w:style w:type="paragraph" w:customStyle="1" w:styleId="tr">
    <w:name w:val="tr"/>
    <w:basedOn w:val="a"/>
    <w:rsid w:val="003F78F6"/>
    <w:pPr>
      <w:spacing w:before="100" w:beforeAutospacing="1" w:after="100" w:afterAutospacing="1"/>
    </w:pPr>
    <w:rPr>
      <w:lang w:val="uk-UA" w:eastAsia="uk-UA"/>
    </w:rPr>
  </w:style>
  <w:style w:type="paragraph" w:customStyle="1" w:styleId="tl">
    <w:name w:val="tl"/>
    <w:basedOn w:val="a"/>
    <w:rsid w:val="003F78F6"/>
    <w:pPr>
      <w:spacing w:before="100" w:beforeAutospacing="1" w:after="100" w:afterAutospacing="1"/>
    </w:pPr>
    <w:rPr>
      <w:lang w:val="uk-UA" w:eastAsia="uk-UA"/>
    </w:rPr>
  </w:style>
  <w:style w:type="paragraph" w:customStyle="1" w:styleId="tc">
    <w:name w:val="tc"/>
    <w:basedOn w:val="a"/>
    <w:rsid w:val="003F78F6"/>
    <w:pPr>
      <w:spacing w:before="100" w:beforeAutospacing="1" w:after="100" w:afterAutospacing="1"/>
    </w:pPr>
    <w:rPr>
      <w:lang w:val="uk-UA" w:eastAsia="uk-UA"/>
    </w:rPr>
  </w:style>
  <w:style w:type="paragraph" w:customStyle="1" w:styleId="rvps12">
    <w:name w:val="rvps12"/>
    <w:basedOn w:val="a"/>
    <w:rsid w:val="003F78F6"/>
    <w:pPr>
      <w:spacing w:before="100" w:beforeAutospacing="1" w:after="100" w:afterAutospacing="1"/>
    </w:pPr>
    <w:rPr>
      <w:lang w:val="uk-UA" w:eastAsia="uk-UA"/>
    </w:rPr>
  </w:style>
  <w:style w:type="paragraph" w:customStyle="1" w:styleId="rvps14">
    <w:name w:val="rvps14"/>
    <w:basedOn w:val="a"/>
    <w:rsid w:val="003F78F6"/>
    <w:pPr>
      <w:spacing w:before="100" w:beforeAutospacing="1" w:after="100" w:afterAutospacing="1"/>
    </w:pPr>
    <w:rPr>
      <w:lang w:val="uk-UA" w:eastAsia="uk-UA"/>
    </w:rPr>
  </w:style>
  <w:style w:type="character" w:styleId="ac">
    <w:name w:val="annotation reference"/>
    <w:basedOn w:val="a0"/>
    <w:uiPriority w:val="99"/>
    <w:semiHidden/>
    <w:unhideWhenUsed/>
    <w:rsid w:val="0098771F"/>
    <w:rPr>
      <w:sz w:val="16"/>
      <w:szCs w:val="16"/>
    </w:rPr>
  </w:style>
  <w:style w:type="paragraph" w:styleId="ad">
    <w:name w:val="annotation text"/>
    <w:basedOn w:val="a"/>
    <w:link w:val="ae"/>
    <w:uiPriority w:val="99"/>
    <w:unhideWhenUsed/>
    <w:rsid w:val="0098771F"/>
    <w:rPr>
      <w:sz w:val="20"/>
      <w:szCs w:val="20"/>
    </w:rPr>
  </w:style>
  <w:style w:type="character" w:customStyle="1" w:styleId="ae">
    <w:name w:val="Текст примітки Знак"/>
    <w:basedOn w:val="a0"/>
    <w:link w:val="ad"/>
    <w:uiPriority w:val="99"/>
    <w:rsid w:val="0098771F"/>
    <w:rPr>
      <w:rFonts w:ascii="Times New Roman" w:eastAsia="Times New Roman" w:hAnsi="Times New Roman" w:cs="Times New Roman"/>
      <w:sz w:val="20"/>
      <w:szCs w:val="20"/>
      <w:lang w:val="ru-RU" w:eastAsia="ru-RU"/>
    </w:rPr>
  </w:style>
  <w:style w:type="paragraph" w:styleId="af">
    <w:name w:val="annotation subject"/>
    <w:basedOn w:val="ad"/>
    <w:next w:val="ad"/>
    <w:link w:val="af0"/>
    <w:uiPriority w:val="99"/>
    <w:semiHidden/>
    <w:unhideWhenUsed/>
    <w:rsid w:val="0098771F"/>
    <w:rPr>
      <w:b/>
      <w:bCs/>
    </w:rPr>
  </w:style>
  <w:style w:type="character" w:customStyle="1" w:styleId="af0">
    <w:name w:val="Тема примітки Знак"/>
    <w:basedOn w:val="ae"/>
    <w:link w:val="af"/>
    <w:uiPriority w:val="99"/>
    <w:semiHidden/>
    <w:rsid w:val="0098771F"/>
    <w:rPr>
      <w:rFonts w:ascii="Times New Roman" w:eastAsia="Times New Roman" w:hAnsi="Times New Roman" w:cs="Times New Roman"/>
      <w:b/>
      <w:bCs/>
      <w:sz w:val="20"/>
      <w:szCs w:val="20"/>
      <w:lang w:val="ru-RU" w:eastAsia="ru-RU"/>
    </w:rPr>
  </w:style>
  <w:style w:type="paragraph" w:styleId="af1">
    <w:name w:val="Balloon Text"/>
    <w:basedOn w:val="a"/>
    <w:link w:val="af2"/>
    <w:uiPriority w:val="99"/>
    <w:semiHidden/>
    <w:unhideWhenUsed/>
    <w:rsid w:val="00BC194F"/>
    <w:rPr>
      <w:rFonts w:ascii="Segoe UI" w:hAnsi="Segoe UI" w:cs="Segoe UI"/>
      <w:sz w:val="18"/>
      <w:szCs w:val="18"/>
    </w:rPr>
  </w:style>
  <w:style w:type="character" w:customStyle="1" w:styleId="af2">
    <w:name w:val="Текст у виносці Знак"/>
    <w:basedOn w:val="a0"/>
    <w:link w:val="af1"/>
    <w:uiPriority w:val="99"/>
    <w:semiHidden/>
    <w:rsid w:val="00BC194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869949">
      <w:bodyDiv w:val="1"/>
      <w:marLeft w:val="0"/>
      <w:marRight w:val="0"/>
      <w:marTop w:val="0"/>
      <w:marBottom w:val="0"/>
      <w:divBdr>
        <w:top w:val="none" w:sz="0" w:space="0" w:color="auto"/>
        <w:left w:val="none" w:sz="0" w:space="0" w:color="auto"/>
        <w:bottom w:val="none" w:sz="0" w:space="0" w:color="auto"/>
        <w:right w:val="none" w:sz="0" w:space="0" w:color="auto"/>
      </w:divBdr>
      <w:divsChild>
        <w:div w:id="1862666519">
          <w:marLeft w:val="0"/>
          <w:marRight w:val="0"/>
          <w:marTop w:val="0"/>
          <w:marBottom w:val="0"/>
          <w:divBdr>
            <w:top w:val="none" w:sz="0" w:space="0" w:color="auto"/>
            <w:left w:val="none" w:sz="0" w:space="0" w:color="auto"/>
            <w:bottom w:val="none" w:sz="0" w:space="0" w:color="auto"/>
            <w:right w:val="none" w:sz="0" w:space="0" w:color="auto"/>
          </w:divBdr>
        </w:div>
        <w:div w:id="757094183">
          <w:marLeft w:val="0"/>
          <w:marRight w:val="0"/>
          <w:marTop w:val="0"/>
          <w:marBottom w:val="0"/>
          <w:divBdr>
            <w:top w:val="none" w:sz="0" w:space="0" w:color="auto"/>
            <w:left w:val="none" w:sz="0" w:space="0" w:color="auto"/>
            <w:bottom w:val="none" w:sz="0" w:space="0" w:color="auto"/>
            <w:right w:val="none" w:sz="0" w:space="0" w:color="auto"/>
          </w:divBdr>
          <w:divsChild>
            <w:div w:id="2087140821">
              <w:marLeft w:val="0"/>
              <w:marRight w:val="0"/>
              <w:marTop w:val="0"/>
              <w:marBottom w:val="150"/>
              <w:divBdr>
                <w:top w:val="none" w:sz="0" w:space="0" w:color="auto"/>
                <w:left w:val="none" w:sz="0" w:space="0" w:color="auto"/>
                <w:bottom w:val="none" w:sz="0" w:space="0" w:color="auto"/>
                <w:right w:val="none" w:sz="0" w:space="0" w:color="auto"/>
              </w:divBdr>
            </w:div>
          </w:divsChild>
        </w:div>
        <w:div w:id="331109634">
          <w:marLeft w:val="0"/>
          <w:marRight w:val="0"/>
          <w:marTop w:val="0"/>
          <w:marBottom w:val="0"/>
          <w:divBdr>
            <w:top w:val="none" w:sz="0" w:space="0" w:color="auto"/>
            <w:left w:val="none" w:sz="0" w:space="0" w:color="auto"/>
            <w:bottom w:val="none" w:sz="0" w:space="0" w:color="auto"/>
            <w:right w:val="none" w:sz="0" w:space="0" w:color="auto"/>
          </w:divBdr>
        </w:div>
        <w:div w:id="1071738339">
          <w:marLeft w:val="0"/>
          <w:marRight w:val="0"/>
          <w:marTop w:val="0"/>
          <w:marBottom w:val="0"/>
          <w:divBdr>
            <w:top w:val="none" w:sz="0" w:space="0" w:color="auto"/>
            <w:left w:val="none" w:sz="0" w:space="0" w:color="auto"/>
            <w:bottom w:val="none" w:sz="0" w:space="0" w:color="auto"/>
            <w:right w:val="none" w:sz="0" w:space="0" w:color="auto"/>
          </w:divBdr>
        </w:div>
        <w:div w:id="1370490901">
          <w:marLeft w:val="0"/>
          <w:marRight w:val="0"/>
          <w:marTop w:val="0"/>
          <w:marBottom w:val="0"/>
          <w:divBdr>
            <w:top w:val="none" w:sz="0" w:space="0" w:color="auto"/>
            <w:left w:val="none" w:sz="0" w:space="0" w:color="auto"/>
            <w:bottom w:val="none" w:sz="0" w:space="0" w:color="auto"/>
            <w:right w:val="none" w:sz="0" w:space="0" w:color="auto"/>
          </w:divBdr>
        </w:div>
        <w:div w:id="267666188">
          <w:marLeft w:val="0"/>
          <w:marRight w:val="0"/>
          <w:marTop w:val="0"/>
          <w:marBottom w:val="0"/>
          <w:divBdr>
            <w:top w:val="none" w:sz="0" w:space="0" w:color="auto"/>
            <w:left w:val="none" w:sz="0" w:space="0" w:color="auto"/>
            <w:bottom w:val="none" w:sz="0" w:space="0" w:color="auto"/>
            <w:right w:val="none" w:sz="0" w:space="0" w:color="auto"/>
          </w:divBdr>
        </w:div>
        <w:div w:id="1145201513">
          <w:marLeft w:val="0"/>
          <w:marRight w:val="0"/>
          <w:marTop w:val="0"/>
          <w:marBottom w:val="0"/>
          <w:divBdr>
            <w:top w:val="none" w:sz="0" w:space="0" w:color="auto"/>
            <w:left w:val="none" w:sz="0" w:space="0" w:color="auto"/>
            <w:bottom w:val="none" w:sz="0" w:space="0" w:color="auto"/>
            <w:right w:val="none" w:sz="0" w:space="0" w:color="auto"/>
          </w:divBdr>
        </w:div>
      </w:divsChild>
    </w:div>
    <w:div w:id="341275920">
      <w:bodyDiv w:val="1"/>
      <w:marLeft w:val="0"/>
      <w:marRight w:val="0"/>
      <w:marTop w:val="0"/>
      <w:marBottom w:val="0"/>
      <w:divBdr>
        <w:top w:val="none" w:sz="0" w:space="0" w:color="auto"/>
        <w:left w:val="none" w:sz="0" w:space="0" w:color="auto"/>
        <w:bottom w:val="none" w:sz="0" w:space="0" w:color="auto"/>
        <w:right w:val="none" w:sz="0" w:space="0" w:color="auto"/>
      </w:divBdr>
    </w:div>
    <w:div w:id="389307350">
      <w:bodyDiv w:val="1"/>
      <w:marLeft w:val="0"/>
      <w:marRight w:val="0"/>
      <w:marTop w:val="0"/>
      <w:marBottom w:val="0"/>
      <w:divBdr>
        <w:top w:val="none" w:sz="0" w:space="0" w:color="auto"/>
        <w:left w:val="none" w:sz="0" w:space="0" w:color="auto"/>
        <w:bottom w:val="none" w:sz="0" w:space="0" w:color="auto"/>
        <w:right w:val="none" w:sz="0" w:space="0" w:color="auto"/>
      </w:divBdr>
    </w:div>
    <w:div w:id="606037355">
      <w:bodyDiv w:val="1"/>
      <w:marLeft w:val="0"/>
      <w:marRight w:val="0"/>
      <w:marTop w:val="0"/>
      <w:marBottom w:val="0"/>
      <w:divBdr>
        <w:top w:val="none" w:sz="0" w:space="0" w:color="auto"/>
        <w:left w:val="none" w:sz="0" w:space="0" w:color="auto"/>
        <w:bottom w:val="none" w:sz="0" w:space="0" w:color="auto"/>
        <w:right w:val="none" w:sz="0" w:space="0" w:color="auto"/>
      </w:divBdr>
    </w:div>
    <w:div w:id="826089743">
      <w:bodyDiv w:val="1"/>
      <w:marLeft w:val="0"/>
      <w:marRight w:val="0"/>
      <w:marTop w:val="0"/>
      <w:marBottom w:val="0"/>
      <w:divBdr>
        <w:top w:val="none" w:sz="0" w:space="0" w:color="auto"/>
        <w:left w:val="none" w:sz="0" w:space="0" w:color="auto"/>
        <w:bottom w:val="none" w:sz="0" w:space="0" w:color="auto"/>
        <w:right w:val="none" w:sz="0" w:space="0" w:color="auto"/>
      </w:divBdr>
    </w:div>
    <w:div w:id="931862709">
      <w:bodyDiv w:val="1"/>
      <w:marLeft w:val="0"/>
      <w:marRight w:val="0"/>
      <w:marTop w:val="0"/>
      <w:marBottom w:val="0"/>
      <w:divBdr>
        <w:top w:val="none" w:sz="0" w:space="0" w:color="auto"/>
        <w:left w:val="none" w:sz="0" w:space="0" w:color="auto"/>
        <w:bottom w:val="none" w:sz="0" w:space="0" w:color="auto"/>
        <w:right w:val="none" w:sz="0" w:space="0" w:color="auto"/>
      </w:divBdr>
    </w:div>
    <w:div w:id="980307721">
      <w:bodyDiv w:val="1"/>
      <w:marLeft w:val="0"/>
      <w:marRight w:val="0"/>
      <w:marTop w:val="0"/>
      <w:marBottom w:val="0"/>
      <w:divBdr>
        <w:top w:val="none" w:sz="0" w:space="0" w:color="auto"/>
        <w:left w:val="none" w:sz="0" w:space="0" w:color="auto"/>
        <w:bottom w:val="none" w:sz="0" w:space="0" w:color="auto"/>
        <w:right w:val="none" w:sz="0" w:space="0" w:color="auto"/>
      </w:divBdr>
    </w:div>
    <w:div w:id="1262878790">
      <w:bodyDiv w:val="1"/>
      <w:marLeft w:val="0"/>
      <w:marRight w:val="0"/>
      <w:marTop w:val="0"/>
      <w:marBottom w:val="0"/>
      <w:divBdr>
        <w:top w:val="none" w:sz="0" w:space="0" w:color="auto"/>
        <w:left w:val="none" w:sz="0" w:space="0" w:color="auto"/>
        <w:bottom w:val="none" w:sz="0" w:space="0" w:color="auto"/>
        <w:right w:val="none" w:sz="0" w:space="0" w:color="auto"/>
      </w:divBdr>
    </w:div>
    <w:div w:id="1509565505">
      <w:bodyDiv w:val="1"/>
      <w:marLeft w:val="0"/>
      <w:marRight w:val="0"/>
      <w:marTop w:val="0"/>
      <w:marBottom w:val="0"/>
      <w:divBdr>
        <w:top w:val="none" w:sz="0" w:space="0" w:color="auto"/>
        <w:left w:val="none" w:sz="0" w:space="0" w:color="auto"/>
        <w:bottom w:val="none" w:sz="0" w:space="0" w:color="auto"/>
        <w:right w:val="none" w:sz="0" w:space="0" w:color="auto"/>
      </w:divBdr>
    </w:div>
    <w:div w:id="1848472161">
      <w:bodyDiv w:val="1"/>
      <w:marLeft w:val="0"/>
      <w:marRight w:val="0"/>
      <w:marTop w:val="0"/>
      <w:marBottom w:val="0"/>
      <w:divBdr>
        <w:top w:val="none" w:sz="0" w:space="0" w:color="auto"/>
        <w:left w:val="none" w:sz="0" w:space="0" w:color="auto"/>
        <w:bottom w:val="none" w:sz="0" w:space="0" w:color="auto"/>
        <w:right w:val="none" w:sz="0" w:space="0" w:color="auto"/>
      </w:divBdr>
    </w:div>
    <w:div w:id="1967853774">
      <w:bodyDiv w:val="1"/>
      <w:marLeft w:val="0"/>
      <w:marRight w:val="0"/>
      <w:marTop w:val="0"/>
      <w:marBottom w:val="0"/>
      <w:divBdr>
        <w:top w:val="none" w:sz="0" w:space="0" w:color="auto"/>
        <w:left w:val="none" w:sz="0" w:space="0" w:color="auto"/>
        <w:bottom w:val="none" w:sz="0" w:space="0" w:color="auto"/>
        <w:right w:val="none" w:sz="0" w:space="0" w:color="auto"/>
      </w:divBdr>
    </w:div>
    <w:div w:id="200913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ps.ligazakon.net/document/view/gk51735?ed=2022_07_12&amp;an=32" TargetMode="External"/><Relationship Id="rId21" Type="http://schemas.openxmlformats.org/officeDocument/2006/relationships/hyperlink" Target="https://ips.ligazakon.net/document/view/gk40475?ed=2019_06_11&amp;an=17" TargetMode="External"/><Relationship Id="rId42" Type="http://schemas.openxmlformats.org/officeDocument/2006/relationships/hyperlink" Target="https://ips.ligazakon.net/document/view/gk51968?ed=2022_08_16&amp;an=54" TargetMode="External"/><Relationship Id="rId63" Type="http://schemas.openxmlformats.org/officeDocument/2006/relationships/image" Target="media/image14.gif"/><Relationship Id="rId84" Type="http://schemas.openxmlformats.org/officeDocument/2006/relationships/hyperlink" Target="https://ips.ligazakon.net/document/view/gk52652?ed=2022_12_02&amp;an=33" TargetMode="External"/><Relationship Id="rId138" Type="http://schemas.openxmlformats.org/officeDocument/2006/relationships/image" Target="media/image43.gif"/><Relationship Id="rId159" Type="http://schemas.openxmlformats.org/officeDocument/2006/relationships/hyperlink" Target="https://ips.ligazakon.net/document/view/re39004?ed=2023_11_21&amp;an=25" TargetMode="External"/><Relationship Id="rId107" Type="http://schemas.openxmlformats.org/officeDocument/2006/relationships/hyperlink" Target="https://ips.ligazakon.net/document/view/gk52652?ed=2022_12_02&amp;an=78" TargetMode="External"/><Relationship Id="rId11" Type="http://schemas.openxmlformats.org/officeDocument/2006/relationships/image" Target="media/image2.gif"/><Relationship Id="rId32" Type="http://schemas.openxmlformats.org/officeDocument/2006/relationships/hyperlink" Target="https://ips.ligazakon.net/document/view/gk51968?ed=2022_08_16&amp;an=54" TargetMode="External"/><Relationship Id="rId53" Type="http://schemas.openxmlformats.org/officeDocument/2006/relationships/hyperlink" Target="https://zakon.rada.gov.ua/laws/file/imgs/100/p478167n424v1-63.bmp" TargetMode="External"/><Relationship Id="rId74" Type="http://schemas.openxmlformats.org/officeDocument/2006/relationships/image" Target="media/image19.gif"/><Relationship Id="rId128" Type="http://schemas.openxmlformats.org/officeDocument/2006/relationships/image" Target="media/image37.gif"/><Relationship Id="rId149" Type="http://schemas.openxmlformats.org/officeDocument/2006/relationships/image" Target="media/image44.gif"/><Relationship Id="rId5" Type="http://schemas.openxmlformats.org/officeDocument/2006/relationships/footnotes" Target="footnotes.xml"/><Relationship Id="rId95" Type="http://schemas.openxmlformats.org/officeDocument/2006/relationships/image" Target="media/image26.gif"/><Relationship Id="rId160" Type="http://schemas.openxmlformats.org/officeDocument/2006/relationships/hyperlink" Target="https://ips.ligazakon.net/document/view/gk55263?ed=2023_11_29&amp;an=11" TargetMode="External"/><Relationship Id="rId22" Type="http://schemas.openxmlformats.org/officeDocument/2006/relationships/hyperlink" Target="https://ips.ligazakon.net/document/view/gk49505?ed=2021_09_16&amp;an=50" TargetMode="External"/><Relationship Id="rId43" Type="http://schemas.openxmlformats.org/officeDocument/2006/relationships/hyperlink" Target="https://ips.ligazakon.net/document/view/gk51968?ed=2022_08_16&amp;an=54" TargetMode="External"/><Relationship Id="rId64" Type="http://schemas.openxmlformats.org/officeDocument/2006/relationships/hyperlink" Target="https://zakon.rada.gov.ua/laws/file/imgs/100/p478167n425v2-67.emf" TargetMode="External"/><Relationship Id="rId118" Type="http://schemas.openxmlformats.org/officeDocument/2006/relationships/hyperlink" Target="https://ips.ligazakon.net/document/view/gk49381?ed=2021_08_25&amp;an=18" TargetMode="External"/><Relationship Id="rId139" Type="http://schemas.openxmlformats.org/officeDocument/2006/relationships/hyperlink" Target="https://ips.ligazakon.net/document/view/gk46684?ed=2020_08_26&amp;an=217" TargetMode="External"/><Relationship Id="rId85" Type="http://schemas.openxmlformats.org/officeDocument/2006/relationships/hyperlink" Target="https://ips.ligazakon.net/document/view/gk52652?ed=2022_12_02&amp;an=34" TargetMode="External"/><Relationship Id="rId150" Type="http://schemas.openxmlformats.org/officeDocument/2006/relationships/image" Target="media/image45.gif"/><Relationship Id="rId12" Type="http://schemas.openxmlformats.org/officeDocument/2006/relationships/hyperlink" Target="https://zakon.rada.gov.ua/laws/show/z1221-13" TargetMode="External"/><Relationship Id="rId33" Type="http://schemas.openxmlformats.org/officeDocument/2006/relationships/image" Target="media/image7.gif"/><Relationship Id="rId108" Type="http://schemas.openxmlformats.org/officeDocument/2006/relationships/hyperlink" Target="https://ips.ligazakon.net/document/view/gk52652?ed=2022_12_02&amp;an=79" TargetMode="External"/><Relationship Id="rId129" Type="http://schemas.openxmlformats.org/officeDocument/2006/relationships/hyperlink" Target="https://ips.ligazakon.net/document/view/gk51735?ed=2022_07_12&amp;an=41" TargetMode="External"/><Relationship Id="rId54" Type="http://schemas.openxmlformats.org/officeDocument/2006/relationships/image" Target="media/image11.gif"/><Relationship Id="rId70" Type="http://schemas.openxmlformats.org/officeDocument/2006/relationships/hyperlink" Target="https://zakon.rada.gov.ua/laws/show/z1221-13" TargetMode="External"/><Relationship Id="rId75" Type="http://schemas.openxmlformats.org/officeDocument/2006/relationships/hyperlink" Target="https://ips.ligazakon.net/document/view/gk49505?ed=2021_09_16&amp;an=274" TargetMode="External"/><Relationship Id="rId91" Type="http://schemas.openxmlformats.org/officeDocument/2006/relationships/hyperlink" Target="https://ips.ligazakon.net/document/view/gk52652?ed=2022_12_02&amp;an=34" TargetMode="External"/><Relationship Id="rId96" Type="http://schemas.openxmlformats.org/officeDocument/2006/relationships/hyperlink" Target="https://ips.ligazakon.net/document/view/gk46684?ed=2020_08_26&amp;an=175" TargetMode="External"/><Relationship Id="rId140" Type="http://schemas.openxmlformats.org/officeDocument/2006/relationships/hyperlink" Target="https://ips.ligazakon.net/document/view/gk51735?ed=2022_07_12&amp;an=41" TargetMode="External"/><Relationship Id="rId145" Type="http://schemas.openxmlformats.org/officeDocument/2006/relationships/hyperlink" Target="https://ips.ligazakon.net/document/view/re27757?ed=2015_10_08&amp;an=16" TargetMode="External"/><Relationship Id="rId161" Type="http://schemas.openxmlformats.org/officeDocument/2006/relationships/hyperlink" Target="https://ips.ligazakon.net/document/view/gk55263?ed=2023_11_29&amp;an=12" TargetMode="External"/><Relationship Id="rId166" Type="http://schemas.openxmlformats.org/officeDocument/2006/relationships/image" Target="media/image48.gif"/><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hyperlink" Target="https://ips.ligazakon.net/document/view/gk49505?ed=2021_09_16&amp;an=51" TargetMode="External"/><Relationship Id="rId28" Type="http://schemas.openxmlformats.org/officeDocument/2006/relationships/hyperlink" Target="https://ips.ligazakon.net/document/view/gk51968?ed=2022_08_16&amp;an=54" TargetMode="External"/><Relationship Id="rId49" Type="http://schemas.openxmlformats.org/officeDocument/2006/relationships/hyperlink" Target="https://zakon.rada.gov.ua/laws/file/imgs/99/p478167n533-61.bmp" TargetMode="External"/><Relationship Id="rId114" Type="http://schemas.openxmlformats.org/officeDocument/2006/relationships/hyperlink" Target="https://ips.ligazakon.net/document/view/gk54459?ed=2023_08_08&amp;an=32" TargetMode="External"/><Relationship Id="rId119" Type="http://schemas.openxmlformats.org/officeDocument/2006/relationships/hyperlink" Target="https://ips.ligazakon.net/document/view/gk51735?ed=2022_07_12&amp;an=32" TargetMode="External"/><Relationship Id="rId44" Type="http://schemas.openxmlformats.org/officeDocument/2006/relationships/hyperlink" Target="https://ips.ligazakon.net/document/view/gk51968?ed=2022_08_16&amp;an=54" TargetMode="External"/><Relationship Id="rId60" Type="http://schemas.openxmlformats.org/officeDocument/2006/relationships/hyperlink" Target="https://zakon.rada.gov.ua/laws/show/z1221-13" TargetMode="External"/><Relationship Id="rId65" Type="http://schemas.openxmlformats.org/officeDocument/2006/relationships/image" Target="media/image15.gif"/><Relationship Id="rId81" Type="http://schemas.openxmlformats.org/officeDocument/2006/relationships/hyperlink" Target="https://ips.ligazakon.net/document/view/gk52652?ed=2022_12_02&amp;an=31" TargetMode="External"/><Relationship Id="rId86" Type="http://schemas.openxmlformats.org/officeDocument/2006/relationships/hyperlink" Target="https://ips.ligazakon.net/document/view/gk52652?ed=2022_12_02&amp;an=72" TargetMode="External"/><Relationship Id="rId130" Type="http://schemas.openxmlformats.org/officeDocument/2006/relationships/image" Target="media/image38.gif"/><Relationship Id="rId135" Type="http://schemas.openxmlformats.org/officeDocument/2006/relationships/image" Target="media/image41.gif"/><Relationship Id="rId151" Type="http://schemas.openxmlformats.org/officeDocument/2006/relationships/hyperlink" Target="https://ips.ligazakon.net/document/view/gk55263?ed=2023_11_29&amp;an=11" TargetMode="External"/><Relationship Id="rId156" Type="http://schemas.openxmlformats.org/officeDocument/2006/relationships/hyperlink" Target="https://ips.ligazakon.net/document/view/re39004?ed=2023_11_21&amp;an=25" TargetMode="External"/><Relationship Id="rId13" Type="http://schemas.openxmlformats.org/officeDocument/2006/relationships/hyperlink" Target="https://zakon.rada.gov.ua/laws/show/z1221-13" TargetMode="External"/><Relationship Id="rId18" Type="http://schemas.openxmlformats.org/officeDocument/2006/relationships/hyperlink" Target="https://ips.ligazakon.net/document/view/re22552?ed=2012_12_13&amp;an=28" TargetMode="External"/><Relationship Id="rId39" Type="http://schemas.openxmlformats.org/officeDocument/2006/relationships/hyperlink" Target="https://ips.ligazakon.net/document/view/gk51968?ed=2022_08_16&amp;an=54" TargetMode="External"/><Relationship Id="rId109" Type="http://schemas.openxmlformats.org/officeDocument/2006/relationships/hyperlink" Target="https://ips.ligazakon.net/document/view/gk54459?ed=2023_08_08&amp;an=32" TargetMode="External"/><Relationship Id="rId34" Type="http://schemas.openxmlformats.org/officeDocument/2006/relationships/hyperlink" Target="https://ips.ligazakon.net/document/view/gk55262?ed=2023_11_29&amp;an=30" TargetMode="External"/><Relationship Id="rId50" Type="http://schemas.openxmlformats.org/officeDocument/2006/relationships/image" Target="media/image9.gif"/><Relationship Id="rId55" Type="http://schemas.openxmlformats.org/officeDocument/2006/relationships/hyperlink" Target="https://zakon.rada.gov.ua/laws/file/imgs/100/p478167n425v2-64.emf" TargetMode="External"/><Relationship Id="rId76" Type="http://schemas.openxmlformats.org/officeDocument/2006/relationships/hyperlink" Target="https://ips.ligazakon.net/document/view/gk51968?ed=2022_08_16&amp;an=64" TargetMode="External"/><Relationship Id="rId97" Type="http://schemas.openxmlformats.org/officeDocument/2006/relationships/image" Target="media/image27.gif"/><Relationship Id="rId104" Type="http://schemas.openxmlformats.org/officeDocument/2006/relationships/hyperlink" Target="https://ips.ligazakon.net/document/view/gk46684?ed=2020_08_26&amp;an=175" TargetMode="External"/><Relationship Id="rId120" Type="http://schemas.openxmlformats.org/officeDocument/2006/relationships/hyperlink" Target="https://ips.ligazakon.net/document/view/gk49381?ed=2021_08_25&amp;an=18" TargetMode="External"/><Relationship Id="rId125" Type="http://schemas.openxmlformats.org/officeDocument/2006/relationships/hyperlink" Target="https://ips.ligazakon.net/document/view/gk46684?ed=2020_08_26&amp;an=217" TargetMode="External"/><Relationship Id="rId141" Type="http://schemas.openxmlformats.org/officeDocument/2006/relationships/hyperlink" Target="https://ips.ligazakon.net/document/view/gk51735?ed=2022_07_12&amp;an=41" TargetMode="External"/><Relationship Id="rId146" Type="http://schemas.openxmlformats.org/officeDocument/2006/relationships/hyperlink" Target="https://ips.ligazakon.net/document/view/re27757?ed=2015_10_08&amp;an=17" TargetMode="External"/><Relationship Id="rId167" Type="http://schemas.openxmlformats.org/officeDocument/2006/relationships/footer" Target="footer1.xml"/><Relationship Id="rId7" Type="http://schemas.openxmlformats.org/officeDocument/2006/relationships/hyperlink" Target="https://zakon.rada.gov.ua/laws/file/imgs/93/p404491n116.emf" TargetMode="External"/><Relationship Id="rId71" Type="http://schemas.openxmlformats.org/officeDocument/2006/relationships/hyperlink" Target="https://ips.ligazakon.net/document/view/gk51968?ed=2022_08_16&amp;an=56" TargetMode="External"/><Relationship Id="rId92" Type="http://schemas.openxmlformats.org/officeDocument/2006/relationships/image" Target="media/image24.gif"/><Relationship Id="rId162" Type="http://schemas.openxmlformats.org/officeDocument/2006/relationships/hyperlink" Target="https://ips.ligazakon.net/document/view/re39004?ed=2023_11_21&amp;an=25" TargetMode="External"/><Relationship Id="rId2" Type="http://schemas.openxmlformats.org/officeDocument/2006/relationships/styles" Target="styles.xml"/><Relationship Id="rId29" Type="http://schemas.openxmlformats.org/officeDocument/2006/relationships/image" Target="media/image6.gif"/><Relationship Id="rId24" Type="http://schemas.openxmlformats.org/officeDocument/2006/relationships/image" Target="media/image4.gif"/><Relationship Id="rId40" Type="http://schemas.openxmlformats.org/officeDocument/2006/relationships/hyperlink" Target="https://ips.ligazakon.net/document/view/gk49505?ed=2021_09_16&amp;an=272" TargetMode="External"/><Relationship Id="rId45" Type="http://schemas.openxmlformats.org/officeDocument/2006/relationships/hyperlink" Target="https://ips.ligazakon.net/document/view/gk51968?ed=2022_08_16&amp;an=54" TargetMode="External"/><Relationship Id="rId66" Type="http://schemas.openxmlformats.org/officeDocument/2006/relationships/hyperlink" Target="https://zakon.rada.gov.ua/laws/file/imgs/83/p478167n427-68.bmp" TargetMode="External"/><Relationship Id="rId87" Type="http://schemas.openxmlformats.org/officeDocument/2006/relationships/hyperlink" Target="https://ips.ligazakon.net/document/view/gk54950?ed=2023_10_25&amp;an=23" TargetMode="External"/><Relationship Id="rId110" Type="http://schemas.openxmlformats.org/officeDocument/2006/relationships/hyperlink" Target="https://ips.ligazakon.net/document/view/gk52652?ed=2022_12_02&amp;an=76" TargetMode="External"/><Relationship Id="rId115" Type="http://schemas.openxmlformats.org/officeDocument/2006/relationships/hyperlink" Target="https://ips.ligazakon.net/document/view/gk52652?ed=2022_12_02&amp;an=78" TargetMode="External"/><Relationship Id="rId131" Type="http://schemas.openxmlformats.org/officeDocument/2006/relationships/image" Target="media/image39.gif"/><Relationship Id="rId136" Type="http://schemas.openxmlformats.org/officeDocument/2006/relationships/image" Target="media/image42.gif"/><Relationship Id="rId157" Type="http://schemas.openxmlformats.org/officeDocument/2006/relationships/hyperlink" Target="https://ips.ligazakon.net/document/view/gk55263?ed=2023_11_29&amp;an=12" TargetMode="External"/><Relationship Id="rId61" Type="http://schemas.openxmlformats.org/officeDocument/2006/relationships/hyperlink" Target="https://zakon.rada.gov.ua/laws/show/z1221-13" TargetMode="External"/><Relationship Id="rId82" Type="http://schemas.openxmlformats.org/officeDocument/2006/relationships/hyperlink" Target="https://ips.ligazakon.net/document/view/gk52652?ed=2022_12_02&amp;an=32" TargetMode="External"/><Relationship Id="rId152" Type="http://schemas.openxmlformats.org/officeDocument/2006/relationships/hyperlink" Target="https://ips.ligazakon.net/document/view/re39004?ed=2023_11_21&amp;an=25" TargetMode="External"/><Relationship Id="rId19" Type="http://schemas.openxmlformats.org/officeDocument/2006/relationships/hyperlink" Target="https://ips.ligazakon.net/document/view/gk40039?ed=2022_06_21&amp;an=8605" TargetMode="External"/><Relationship Id="rId14" Type="http://schemas.openxmlformats.org/officeDocument/2006/relationships/hyperlink" Target="https://zakon.rada.gov.ua/laws/show/z0522-13" TargetMode="External"/><Relationship Id="rId30" Type="http://schemas.openxmlformats.org/officeDocument/2006/relationships/hyperlink" Target="https://ips.ligazakon.net/document/view/gk55262?ed=2023_11_29&amp;an=29" TargetMode="External"/><Relationship Id="rId35" Type="http://schemas.openxmlformats.org/officeDocument/2006/relationships/hyperlink" Target="https://ips.ligazakon.net/document/view/gk51968?ed=2022_08_16&amp;an=54" TargetMode="External"/><Relationship Id="rId56" Type="http://schemas.openxmlformats.org/officeDocument/2006/relationships/image" Target="media/image12.gif"/><Relationship Id="rId77" Type="http://schemas.openxmlformats.org/officeDocument/2006/relationships/image" Target="media/image20.gif"/><Relationship Id="rId100" Type="http://schemas.openxmlformats.org/officeDocument/2006/relationships/hyperlink" Target="https://ips.ligazakon.net/document/view/gk46990?ed=2020_10_21&amp;an=53" TargetMode="External"/><Relationship Id="rId105" Type="http://schemas.openxmlformats.org/officeDocument/2006/relationships/hyperlink" Target="https://ips.ligazakon.net/document/view/gk52652?ed=2022_12_02&amp;an=77" TargetMode="External"/><Relationship Id="rId126" Type="http://schemas.openxmlformats.org/officeDocument/2006/relationships/hyperlink" Target="https://ips.ligazakon.net/document/view/gk51735?ed=2022_07_12&amp;an=41" TargetMode="External"/><Relationship Id="rId147" Type="http://schemas.openxmlformats.org/officeDocument/2006/relationships/hyperlink" Target="https://ips.ligazakon.net/document/view/re27757?ed=2015_10_08&amp;an=16" TargetMode="External"/><Relationship Id="rId168" Type="http://schemas.openxmlformats.org/officeDocument/2006/relationships/fontTable" Target="fontTable.xml"/><Relationship Id="rId8" Type="http://schemas.openxmlformats.org/officeDocument/2006/relationships/image" Target="media/image1.gif"/><Relationship Id="rId51" Type="http://schemas.openxmlformats.org/officeDocument/2006/relationships/hyperlink" Target="https://zakon.rada.gov.ua/laws/file/imgs/83/p478167n423-62.emf" TargetMode="External"/><Relationship Id="rId72" Type="http://schemas.openxmlformats.org/officeDocument/2006/relationships/image" Target="media/image17.gif"/><Relationship Id="rId93" Type="http://schemas.openxmlformats.org/officeDocument/2006/relationships/hyperlink" Target="https://ips.ligazakon.net/document/view/gk46684?ed=2020_08_26&amp;an=174" TargetMode="External"/><Relationship Id="rId98" Type="http://schemas.openxmlformats.org/officeDocument/2006/relationships/image" Target="media/image28.gif"/><Relationship Id="rId121" Type="http://schemas.openxmlformats.org/officeDocument/2006/relationships/image" Target="media/image32.gif"/><Relationship Id="rId142" Type="http://schemas.openxmlformats.org/officeDocument/2006/relationships/hyperlink" Target="https://ips.ligazakon.net/document/view/gk46684?ed=2020_08_26&amp;an=217" TargetMode="External"/><Relationship Id="rId163" Type="http://schemas.openxmlformats.org/officeDocument/2006/relationships/hyperlink" Target="https://ips.ligazakon.net/document/view/gk55263?ed=2023_11_29&amp;an=12" TargetMode="External"/><Relationship Id="rId3" Type="http://schemas.openxmlformats.org/officeDocument/2006/relationships/settings" Target="settings.xml"/><Relationship Id="rId25" Type="http://schemas.openxmlformats.org/officeDocument/2006/relationships/hyperlink" Target="https://ips.ligazakon.net/document/view/gk49505?ed=2021_09_16&amp;an=272" TargetMode="External"/><Relationship Id="rId46" Type="http://schemas.openxmlformats.org/officeDocument/2006/relationships/hyperlink" Target="https://ips.ligazakon.net/document/view/gk51968?ed=2022_08_16&amp;an=54" TargetMode="External"/><Relationship Id="rId67" Type="http://schemas.openxmlformats.org/officeDocument/2006/relationships/image" Target="media/image16.gif"/><Relationship Id="rId116" Type="http://schemas.openxmlformats.org/officeDocument/2006/relationships/hyperlink" Target="https://ips.ligazakon.net/document/view/gk52652?ed=2022_12_02&amp;an=79" TargetMode="External"/><Relationship Id="rId137" Type="http://schemas.openxmlformats.org/officeDocument/2006/relationships/hyperlink" Target="https://ips.ligazakon.net/document/view/gk55262?ed=2023_11_29&amp;an=40" TargetMode="External"/><Relationship Id="rId158" Type="http://schemas.openxmlformats.org/officeDocument/2006/relationships/hyperlink" Target="https://ips.ligazakon.net/document/view/gk55263?ed=2023_11_29&amp;an=11" TargetMode="External"/><Relationship Id="rId20" Type="http://schemas.openxmlformats.org/officeDocument/2006/relationships/hyperlink" Target="https://ips.ligazakon.net/document/view/gk40475?ed=2019_06_11&amp;an=17" TargetMode="External"/><Relationship Id="rId41" Type="http://schemas.openxmlformats.org/officeDocument/2006/relationships/hyperlink" Target="https://ips.ligazakon.net/document/view/gk51968?ed=2022_08_16&amp;an=54" TargetMode="External"/><Relationship Id="rId62" Type="http://schemas.openxmlformats.org/officeDocument/2006/relationships/hyperlink" Target="https://zakon.rada.gov.ua/laws/file/imgs/100/p478167n425v2-66.emf" TargetMode="External"/><Relationship Id="rId83" Type="http://schemas.openxmlformats.org/officeDocument/2006/relationships/image" Target="media/image23.gif"/><Relationship Id="rId88" Type="http://schemas.openxmlformats.org/officeDocument/2006/relationships/hyperlink" Target="https://ips.ligazakon.net/document/view/gk52652?ed=2022_12_02&amp;an=72" TargetMode="External"/><Relationship Id="rId111" Type="http://schemas.openxmlformats.org/officeDocument/2006/relationships/hyperlink" Target="https://ips.ligazakon.net/document/view/gk52652?ed=2022_12_02&amp;an=113" TargetMode="External"/><Relationship Id="rId132" Type="http://schemas.openxmlformats.org/officeDocument/2006/relationships/hyperlink" Target="https://ips.ligazakon.net/document/view/gk46684?ed=2020_08_26&amp;an=217" TargetMode="External"/><Relationship Id="rId153" Type="http://schemas.openxmlformats.org/officeDocument/2006/relationships/hyperlink" Target="https://ips.ligazakon.net/document/view/gk55263?ed=2023_11_29&amp;an=11" TargetMode="External"/><Relationship Id="rId15" Type="http://schemas.openxmlformats.org/officeDocument/2006/relationships/hyperlink" Target="https://zakon.rada.gov.ua/laws/show/z1221-13" TargetMode="External"/><Relationship Id="rId36" Type="http://schemas.openxmlformats.org/officeDocument/2006/relationships/hyperlink" Target="https://ips.ligazakon.net/document/view/gk51968?ed=2022_08_16&amp;an=54" TargetMode="External"/><Relationship Id="rId57" Type="http://schemas.openxmlformats.org/officeDocument/2006/relationships/hyperlink" Target="https://zakon.rada.gov.ua/laws/file/imgs/100/p478167n425v2-65.emf" TargetMode="External"/><Relationship Id="rId106" Type="http://schemas.openxmlformats.org/officeDocument/2006/relationships/image" Target="media/image31.gif"/><Relationship Id="rId127" Type="http://schemas.openxmlformats.org/officeDocument/2006/relationships/image" Target="media/image36.gif"/><Relationship Id="rId10" Type="http://schemas.openxmlformats.org/officeDocument/2006/relationships/hyperlink" Target="https://zakon.rada.gov.ua/laws/file/imgs/93/p404491n117-1.emf" TargetMode="External"/><Relationship Id="rId31" Type="http://schemas.openxmlformats.org/officeDocument/2006/relationships/hyperlink" Target="https://ips.ligazakon.net/document/view/gk51968?ed=2022_08_16&amp;an=54" TargetMode="External"/><Relationship Id="rId52" Type="http://schemas.openxmlformats.org/officeDocument/2006/relationships/image" Target="media/image10.gif"/><Relationship Id="rId73" Type="http://schemas.openxmlformats.org/officeDocument/2006/relationships/image" Target="media/image18.gif"/><Relationship Id="rId78" Type="http://schemas.openxmlformats.org/officeDocument/2006/relationships/image" Target="media/image21.gif"/><Relationship Id="rId94" Type="http://schemas.openxmlformats.org/officeDocument/2006/relationships/image" Target="media/image25.gif"/><Relationship Id="rId99" Type="http://schemas.openxmlformats.org/officeDocument/2006/relationships/image" Target="media/image29.gif"/><Relationship Id="rId101" Type="http://schemas.openxmlformats.org/officeDocument/2006/relationships/image" Target="media/image30.gif"/><Relationship Id="rId122" Type="http://schemas.openxmlformats.org/officeDocument/2006/relationships/image" Target="media/image33.gif"/><Relationship Id="rId143" Type="http://schemas.openxmlformats.org/officeDocument/2006/relationships/hyperlink" Target="https://ips.ligazakon.net/document/view/gk55262?ed=2023_11_29&amp;an=39" TargetMode="External"/><Relationship Id="rId148" Type="http://schemas.openxmlformats.org/officeDocument/2006/relationships/hyperlink" Target="https://ips.ligazakon.net/document/view/re27757?ed=2015_10_08&amp;an=17" TargetMode="External"/><Relationship Id="rId164" Type="http://schemas.openxmlformats.org/officeDocument/2006/relationships/image" Target="media/image47.gif"/><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z0522-13" TargetMode="External"/><Relationship Id="rId26" Type="http://schemas.openxmlformats.org/officeDocument/2006/relationships/hyperlink" Target="https://ips.ligazakon.net/document/view/gk51968?ed=2022_08_16&amp;an=54" TargetMode="External"/><Relationship Id="rId47" Type="http://schemas.openxmlformats.org/officeDocument/2006/relationships/hyperlink" Target="https://ips.ligazakon.net/document/view/gk55262?ed=2023_11_29&amp;an=31" TargetMode="External"/><Relationship Id="rId68" Type="http://schemas.openxmlformats.org/officeDocument/2006/relationships/hyperlink" Target="https://zakon.rada.gov.ua/laws/show/z1221-13" TargetMode="External"/><Relationship Id="rId89" Type="http://schemas.openxmlformats.org/officeDocument/2006/relationships/hyperlink" Target="https://ips.ligazakon.net/document/view/gk52652?ed=2022_12_02&amp;an=31" TargetMode="External"/><Relationship Id="rId112" Type="http://schemas.openxmlformats.org/officeDocument/2006/relationships/hyperlink" Target="https://ips.ligazakon.net/document/view/gk54950?ed=2023_10_25&amp;an=24" TargetMode="External"/><Relationship Id="rId133" Type="http://schemas.openxmlformats.org/officeDocument/2006/relationships/image" Target="media/image40.gif"/><Relationship Id="rId154" Type="http://schemas.openxmlformats.org/officeDocument/2006/relationships/image" Target="media/image46.gif"/><Relationship Id="rId16" Type="http://schemas.openxmlformats.org/officeDocument/2006/relationships/hyperlink" Target="https://zakon.rada.gov.ua/laws/file/imgs/93/p404491n137-2.emf" TargetMode="External"/><Relationship Id="rId37" Type="http://schemas.openxmlformats.org/officeDocument/2006/relationships/image" Target="media/image8.gif"/><Relationship Id="rId58" Type="http://schemas.openxmlformats.org/officeDocument/2006/relationships/image" Target="media/image13.gif"/><Relationship Id="rId79" Type="http://schemas.openxmlformats.org/officeDocument/2006/relationships/image" Target="media/image22.gif"/><Relationship Id="rId102" Type="http://schemas.openxmlformats.org/officeDocument/2006/relationships/hyperlink" Target="https://ips.ligazakon.net/document/view/gk46684?ed=2020_08_26&amp;an=174" TargetMode="External"/><Relationship Id="rId123" Type="http://schemas.openxmlformats.org/officeDocument/2006/relationships/image" Target="media/image34.gif"/><Relationship Id="rId144" Type="http://schemas.openxmlformats.org/officeDocument/2006/relationships/hyperlink" Target="https://ips.ligazakon.net/document/view/gk55262?ed=2023_11_29&amp;an=40" TargetMode="External"/><Relationship Id="rId90" Type="http://schemas.openxmlformats.org/officeDocument/2006/relationships/hyperlink" Target="https://ips.ligazakon.net/document/view/gk52652?ed=2022_12_02&amp;an=33" TargetMode="External"/><Relationship Id="rId165" Type="http://schemas.openxmlformats.org/officeDocument/2006/relationships/hyperlink" Target="https://zakon.rada.gov.ua/laws/file/imgs/84/p468741n327-1.emf" TargetMode="External"/><Relationship Id="rId27" Type="http://schemas.openxmlformats.org/officeDocument/2006/relationships/image" Target="media/image5.gif"/><Relationship Id="rId48" Type="http://schemas.openxmlformats.org/officeDocument/2006/relationships/hyperlink" Target="https://ips.ligazakon.net/document/view/gk51968?ed=2022_08_16&amp;an=54" TargetMode="External"/><Relationship Id="rId69" Type="http://schemas.openxmlformats.org/officeDocument/2006/relationships/hyperlink" Target="https://zakon.rada.gov.ua/laws/show/z1221-13" TargetMode="External"/><Relationship Id="rId113" Type="http://schemas.openxmlformats.org/officeDocument/2006/relationships/hyperlink" Target="https://ips.ligazakon.net/document/view/gk52652?ed=2022_12_02&amp;an=113" TargetMode="External"/><Relationship Id="rId134" Type="http://schemas.openxmlformats.org/officeDocument/2006/relationships/hyperlink" Target="https://ips.ligazakon.net/document/view/gk55262?ed=2023_11_29&amp;an=39" TargetMode="External"/><Relationship Id="rId80" Type="http://schemas.openxmlformats.org/officeDocument/2006/relationships/hyperlink" Target="https://ips.ligazakon.net/document/view/gk51968?ed=2022_08_16&amp;an=56" TargetMode="External"/><Relationship Id="rId155" Type="http://schemas.openxmlformats.org/officeDocument/2006/relationships/hyperlink" Target="https://ips.ligazakon.net/document/view/gk55263?ed=2023_11_29&amp;an=12" TargetMode="External"/><Relationship Id="rId17" Type="http://schemas.openxmlformats.org/officeDocument/2006/relationships/image" Target="media/image3.gif"/><Relationship Id="rId38" Type="http://schemas.openxmlformats.org/officeDocument/2006/relationships/hyperlink" Target="https://ips.ligazakon.net/document/view/gk55262?ed=2023_11_29&amp;an=31" TargetMode="External"/><Relationship Id="rId59" Type="http://schemas.openxmlformats.org/officeDocument/2006/relationships/hyperlink" Target="https://zakon.rada.gov.ua/laws/show/z1221-13" TargetMode="External"/><Relationship Id="rId103" Type="http://schemas.openxmlformats.org/officeDocument/2006/relationships/hyperlink" Target="https://ips.ligazakon.net/document/view/gk46990?ed=2020_10_21&amp;an=50" TargetMode="External"/><Relationship Id="rId124" Type="http://schemas.openxmlformats.org/officeDocument/2006/relationships/image" Target="media/image35.gi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7725B-BBA2-42CB-B2B7-3418CF69B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TotalTime>
  <Pages>24</Pages>
  <Words>43701</Words>
  <Characters>24910</Characters>
  <Application>Microsoft Office Word</Application>
  <DocSecurity>0</DocSecurity>
  <Lines>207</Lines>
  <Paragraphs>136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68475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Свистун</dc:creator>
  <cp:keywords/>
  <dc:description/>
  <cp:lastModifiedBy>Ольга Свистун</cp:lastModifiedBy>
  <cp:revision>58</cp:revision>
  <cp:lastPrinted>2024-06-20T06:05:00Z</cp:lastPrinted>
  <dcterms:created xsi:type="dcterms:W3CDTF">2024-06-17T14:22:00Z</dcterms:created>
  <dcterms:modified xsi:type="dcterms:W3CDTF">2024-06-24T11:08:00Z</dcterms:modified>
</cp:coreProperties>
</file>