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D5FCEF" w14:textId="77777777" w:rsidR="00363DC0" w:rsidRDefault="00363DC0" w:rsidP="00D91C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43DFD">
        <w:rPr>
          <w:rFonts w:ascii="Times New Roman" w:hAnsi="Times New Roman" w:cs="Times New Roman"/>
          <w:b/>
          <w:sz w:val="28"/>
          <w:szCs w:val="28"/>
        </w:rPr>
        <w:t xml:space="preserve">АНАЛІЗ ВПЛИВУ </w:t>
      </w:r>
    </w:p>
    <w:p w14:paraId="09550151" w14:textId="77777777" w:rsidR="00363DC0" w:rsidRDefault="00DC1500" w:rsidP="00D91C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3DFD">
        <w:rPr>
          <w:rFonts w:ascii="Times New Roman" w:hAnsi="Times New Roman" w:cs="Times New Roman"/>
          <w:b/>
          <w:sz w:val="28"/>
          <w:szCs w:val="28"/>
        </w:rPr>
        <w:t>про</w:t>
      </w:r>
      <w:r w:rsidR="004E2EFB" w:rsidRPr="00943DFD">
        <w:rPr>
          <w:rFonts w:ascii="Times New Roman" w:hAnsi="Times New Roman" w:cs="Times New Roman"/>
          <w:b/>
          <w:sz w:val="28"/>
          <w:szCs w:val="28"/>
        </w:rPr>
        <w:t>є</w:t>
      </w:r>
      <w:r w:rsidRPr="00943DFD">
        <w:rPr>
          <w:rFonts w:ascii="Times New Roman" w:hAnsi="Times New Roman" w:cs="Times New Roman"/>
          <w:b/>
          <w:sz w:val="28"/>
          <w:szCs w:val="28"/>
        </w:rPr>
        <w:t xml:space="preserve">кту постанови НКРЕКП </w:t>
      </w:r>
      <w:r w:rsidR="00FC7B8A" w:rsidRPr="00FC7B8A">
        <w:rPr>
          <w:rFonts w:ascii="Times New Roman" w:hAnsi="Times New Roman" w:cs="Times New Roman"/>
          <w:b/>
          <w:sz w:val="28"/>
          <w:szCs w:val="28"/>
        </w:rPr>
        <w:t>«Про затвердження Змін до деяких постанов НКРЕ та НКРЕКП»</w:t>
      </w:r>
      <w:r w:rsidR="00D165E3" w:rsidRPr="00D165E3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14:paraId="1D204584" w14:textId="77777777" w:rsidR="00DC1500" w:rsidRPr="008F5F46" w:rsidRDefault="00D165E3" w:rsidP="00D91C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5E3">
        <w:rPr>
          <w:rFonts w:ascii="Times New Roman" w:hAnsi="Times New Roman" w:cs="Times New Roman"/>
          <w:b/>
          <w:sz w:val="28"/>
          <w:szCs w:val="28"/>
        </w:rPr>
        <w:t xml:space="preserve">що має ознаки регуляторного </w:t>
      </w:r>
      <w:proofErr w:type="spellStart"/>
      <w:r w:rsidRPr="00D165E3">
        <w:rPr>
          <w:rFonts w:ascii="Times New Roman" w:hAnsi="Times New Roman" w:cs="Times New Roman"/>
          <w:b/>
          <w:sz w:val="28"/>
          <w:szCs w:val="28"/>
        </w:rPr>
        <w:t>акта</w:t>
      </w:r>
      <w:proofErr w:type="spellEnd"/>
    </w:p>
    <w:p w14:paraId="7A178F30" w14:textId="77777777" w:rsidR="008F5F46" w:rsidRPr="00D165E3" w:rsidRDefault="008F5F46" w:rsidP="00A330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DD28DF" w14:textId="77777777" w:rsidR="00DC1500" w:rsidRPr="00943DFD" w:rsidRDefault="00DC1500" w:rsidP="00A3308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3DFD">
        <w:rPr>
          <w:rFonts w:ascii="Times New Roman" w:hAnsi="Times New Roman" w:cs="Times New Roman"/>
          <w:b/>
          <w:bCs/>
          <w:sz w:val="28"/>
          <w:szCs w:val="28"/>
        </w:rPr>
        <w:t>I. Визначення проблеми</w:t>
      </w:r>
    </w:p>
    <w:p w14:paraId="6375E1FB" w14:textId="77777777" w:rsidR="00DC1500" w:rsidRPr="00943DFD" w:rsidRDefault="00DC1500" w:rsidP="00B719C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ABB5287" w14:textId="49681A23" w:rsidR="005A31FB" w:rsidRDefault="005A31FB" w:rsidP="005A31F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8C92207" w14:textId="64866CC2" w:rsidR="005F132C" w:rsidRPr="005F132C" w:rsidRDefault="005F132C" w:rsidP="005F132C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bidi="ta-IN"/>
        </w:rPr>
      </w:pPr>
      <w:r w:rsidRPr="005F132C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У зв’язку із особливим періодом діяльності операторів систем розподілу (далі – ОСР) та постачальників універсальних послуг (далі – ПУП), пов’язаним з </w:t>
      </w:r>
      <w:r w:rsidR="00316256">
        <w:rPr>
          <w:rFonts w:ascii="Times New Roman" w:eastAsia="SimSun" w:hAnsi="Times New Roman" w:cs="Times New Roman"/>
          <w:sz w:val="28"/>
          <w:szCs w:val="28"/>
          <w:lang w:bidi="ta-IN"/>
        </w:rPr>
        <w:t>введенням</w:t>
      </w:r>
      <w:r w:rsidR="00316256" w:rsidRPr="005F132C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 </w:t>
      </w:r>
      <w:r w:rsidRPr="005F132C">
        <w:rPr>
          <w:rFonts w:ascii="Times New Roman" w:eastAsia="SimSun" w:hAnsi="Times New Roman" w:cs="Times New Roman"/>
          <w:sz w:val="28"/>
          <w:szCs w:val="28"/>
          <w:lang w:bidi="ta-IN"/>
        </w:rPr>
        <w:t>в Україні воєнного стану відповідно до Указу Президента України</w:t>
      </w:r>
      <w:r w:rsidRPr="005F132C">
        <w:rPr>
          <w:rFonts w:ascii="Times New Roman" w:hAnsi="Times New Roman" w:cs="Times New Roman"/>
          <w:sz w:val="28"/>
          <w:szCs w:val="28"/>
        </w:rPr>
        <w:t xml:space="preserve"> від 24.02.2022 № 64/2022</w:t>
      </w:r>
      <w:r w:rsidR="00316256">
        <w:rPr>
          <w:rFonts w:ascii="Times New Roman" w:hAnsi="Times New Roman" w:cs="Times New Roman"/>
          <w:sz w:val="28"/>
          <w:szCs w:val="28"/>
        </w:rPr>
        <w:t xml:space="preserve"> (зі змінами)</w:t>
      </w:r>
      <w:r w:rsidRPr="005F132C">
        <w:rPr>
          <w:rFonts w:ascii="Times New Roman" w:hAnsi="Times New Roman" w:cs="Times New Roman"/>
          <w:sz w:val="28"/>
          <w:szCs w:val="28"/>
        </w:rPr>
        <w:t xml:space="preserve">, </w:t>
      </w:r>
      <w:r w:rsidRPr="005F132C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до НКРЕКП надходять звернення учасників ринку </w:t>
      </w:r>
      <w:r w:rsidR="00316256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електричної енергії </w:t>
      </w:r>
      <w:r w:rsidRPr="005F132C">
        <w:rPr>
          <w:rFonts w:ascii="Times New Roman" w:eastAsia="SimSun" w:hAnsi="Times New Roman" w:cs="Times New Roman"/>
          <w:sz w:val="28"/>
          <w:szCs w:val="28"/>
          <w:lang w:bidi="ta-IN"/>
        </w:rPr>
        <w:t>щодо необхідності внесення змін до окремих положень нормативно-прав</w:t>
      </w:r>
      <w:r w:rsidR="008D65DE">
        <w:rPr>
          <w:rFonts w:ascii="Times New Roman" w:eastAsia="SimSun" w:hAnsi="Times New Roman" w:cs="Times New Roman"/>
          <w:sz w:val="28"/>
          <w:szCs w:val="28"/>
          <w:lang w:bidi="ta-IN"/>
        </w:rPr>
        <w:t>ових</w:t>
      </w:r>
      <w:r w:rsidRPr="005F132C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 </w:t>
      </w:r>
      <w:r w:rsidR="008D65DE">
        <w:rPr>
          <w:rFonts w:ascii="Times New Roman" w:eastAsia="SimSun" w:hAnsi="Times New Roman" w:cs="Times New Roman"/>
          <w:sz w:val="28"/>
          <w:szCs w:val="28"/>
          <w:lang w:bidi="ta-IN"/>
        </w:rPr>
        <w:t>актів</w:t>
      </w:r>
      <w:r w:rsidR="008D65DE" w:rsidRPr="005F132C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 </w:t>
      </w:r>
      <w:r w:rsidRPr="005F132C">
        <w:rPr>
          <w:rFonts w:ascii="Times New Roman" w:eastAsia="SimSun" w:hAnsi="Times New Roman" w:cs="Times New Roman"/>
          <w:sz w:val="28"/>
          <w:szCs w:val="28"/>
          <w:lang w:bidi="ta-IN"/>
        </w:rPr>
        <w:t>НКРЕКП з питання, зокрема встановлення тарифів на послуги з розподілу електричної енергії та застосування стимулюючого регулювання. Зокрема, вказується на ризики невчасного виконання ОСР передбачених нормативною базою Регулятора зобов’язань в частині виконання протягом першого регуляторного періоду (2021 – 2024 років) плану заходів із забезпечення достовірності даних для здійснення моніторингу якості послуг.</w:t>
      </w:r>
    </w:p>
    <w:p w14:paraId="472B287B" w14:textId="74B059EB" w:rsidR="005F132C" w:rsidRPr="005F132C" w:rsidRDefault="005F132C" w:rsidP="005F132C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bidi="ta-IN"/>
        </w:rPr>
      </w:pPr>
      <w:r w:rsidRPr="005F132C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Крім того, у зв’язку із особливим періодом діяльності </w:t>
      </w:r>
      <w:r w:rsidRPr="005F132C">
        <w:rPr>
          <w:rFonts w:ascii="Times New Roman" w:hAnsi="Times New Roman" w:cs="Times New Roman"/>
          <w:iCs/>
          <w:sz w:val="28"/>
          <w:szCs w:val="28"/>
        </w:rPr>
        <w:t>ОСР та ПУП</w:t>
      </w:r>
      <w:r w:rsidRPr="005F132C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, пов’язаним з </w:t>
      </w:r>
      <w:r w:rsidRPr="005F132C">
        <w:rPr>
          <w:rFonts w:ascii="Times New Roman" w:hAnsi="Times New Roman" w:cs="Times New Roman"/>
          <w:sz w:val="28"/>
          <w:szCs w:val="28"/>
        </w:rPr>
        <w:t xml:space="preserve">дією в Україні </w:t>
      </w:r>
      <w:r w:rsidRPr="005F132C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воєнного стану, з урахуванням Переліку територій, на яких ведуться (велися) бойові дії або тимчасово окупованих </w:t>
      </w:r>
      <w:r w:rsidR="00AF74DA" w:rsidRPr="00AF74DA">
        <w:rPr>
          <w:rFonts w:ascii="Times New Roman" w:eastAsia="SimSun" w:hAnsi="Times New Roman" w:cs="Times New Roman"/>
          <w:sz w:val="28"/>
          <w:szCs w:val="28"/>
          <w:lang w:bidi="ta-IN"/>
        </w:rPr>
        <w:t>Російською Федерацією</w:t>
      </w:r>
      <w:r w:rsidRPr="005F132C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, затвердженого наказом </w:t>
      </w:r>
      <w:proofErr w:type="spellStart"/>
      <w:r w:rsidRPr="005F132C">
        <w:rPr>
          <w:rFonts w:ascii="Times New Roman" w:eastAsia="SimSun" w:hAnsi="Times New Roman" w:cs="Times New Roman"/>
          <w:sz w:val="28"/>
          <w:szCs w:val="28"/>
          <w:lang w:bidi="ta-IN"/>
        </w:rPr>
        <w:t>Мінреінтеграції</w:t>
      </w:r>
      <w:proofErr w:type="spellEnd"/>
      <w:r w:rsidRPr="005F132C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 від 22.12.2022 № 309, зареєстрованим в Міністерстві юстиції України 23.12.2022 за № 1668/39004, деякі </w:t>
      </w:r>
      <w:r w:rsidRPr="005F132C">
        <w:rPr>
          <w:rFonts w:ascii="Times New Roman" w:hAnsi="Times New Roman" w:cs="Times New Roman"/>
          <w:iCs/>
          <w:sz w:val="28"/>
          <w:szCs w:val="28"/>
        </w:rPr>
        <w:t>ОСР та ПУП</w:t>
      </w:r>
      <w:r w:rsidRPr="005F132C">
        <w:rPr>
          <w:rFonts w:ascii="Times New Roman" w:hAnsi="Times New Roman" w:cs="Times New Roman"/>
          <w:sz w:val="28"/>
          <w:szCs w:val="28"/>
        </w:rPr>
        <w:t xml:space="preserve"> </w:t>
      </w:r>
      <w:r w:rsidRPr="005F132C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здійснюють свою діяльність, у тому числі, на територіях, на яких ведуться (велися) бойові дії або тимчасово окупованих </w:t>
      </w:r>
      <w:r w:rsidR="00AF74DA">
        <w:rPr>
          <w:rFonts w:ascii="Times New Roman" w:eastAsia="SimSun" w:hAnsi="Times New Roman" w:cs="Times New Roman"/>
          <w:sz w:val="28"/>
          <w:szCs w:val="28"/>
          <w:lang w:bidi="ta-IN"/>
        </w:rPr>
        <w:t>російською федерацією</w:t>
      </w:r>
      <w:r w:rsidRPr="005F132C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 (далі – прифронтові ОСР, прифронтові ПУП та прифронтові ліцензіати).</w:t>
      </w:r>
    </w:p>
    <w:p w14:paraId="5DBCCA87" w14:textId="77777777" w:rsidR="005F132C" w:rsidRPr="005F132C" w:rsidRDefault="005F132C" w:rsidP="005F132C">
      <w:pPr>
        <w:widowControl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bidi="ta-IN"/>
        </w:rPr>
      </w:pPr>
      <w:r w:rsidRPr="005F132C">
        <w:rPr>
          <w:rFonts w:ascii="Times New Roman" w:eastAsia="SimSun" w:hAnsi="Times New Roman" w:cs="Times New Roman"/>
          <w:sz w:val="28"/>
          <w:szCs w:val="28"/>
          <w:lang w:bidi="ta-IN"/>
        </w:rPr>
        <w:t>Ураховуючи обставини, що склались, через постійні обстріли об’єктів електричних мереж та окупацію деяких територій на сьогодні для прифронтових ліцензіатів неможливо спрогнозувати кількість та обсяги аварійно-відновлюваних робіт внаслідок бойових дій, об’єктивно спрогнозувати витрати матеріальних і трудових ресурсів, обсяги розподілу електричної енергії та очікувані обсяги споживання електричної енергії, відсутні можливості для збору інформації комерційного обліку електроенергії та складання фізичних балансів, як фактичних, так і прогнозних тощо.</w:t>
      </w:r>
    </w:p>
    <w:p w14:paraId="11001CD6" w14:textId="2C7683BC" w:rsidR="005F132C" w:rsidRPr="005F132C" w:rsidRDefault="005F132C" w:rsidP="00F12EE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bidi="ta-IN"/>
        </w:rPr>
      </w:pPr>
      <w:r w:rsidRPr="005F132C">
        <w:rPr>
          <w:rFonts w:ascii="Times New Roman" w:eastAsia="SimSun" w:hAnsi="Times New Roman" w:cs="Times New Roman"/>
          <w:sz w:val="28"/>
          <w:szCs w:val="28"/>
          <w:lang w:bidi="ta-IN"/>
        </w:rPr>
        <w:t>Також, у зв’язку з тим, що певна частина активів залишається на тимчасово окупованій території, на сьогодні неможливо визначити наявність та належність значної кількості активів РБА «старої» та РБА «нової» прифронтових ОСР.</w:t>
      </w:r>
    </w:p>
    <w:p w14:paraId="4C5EEDFF" w14:textId="30EC8411" w:rsidR="005F132C" w:rsidRPr="005F132C" w:rsidRDefault="005F132C" w:rsidP="005F132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F132C">
        <w:rPr>
          <w:rFonts w:ascii="Times New Roman" w:hAnsi="Times New Roman" w:cs="Times New Roman"/>
          <w:sz w:val="28"/>
          <w:szCs w:val="28"/>
        </w:rPr>
        <w:t xml:space="preserve">З урахуванням зазначеного на сьогодні є необхідність в актуалізації деяких положень </w:t>
      </w:r>
      <w:r w:rsidRPr="005F132C">
        <w:rPr>
          <w:rFonts w:ascii="Times New Roman" w:eastAsia="SimSun" w:hAnsi="Times New Roman" w:cs="Times New Roman"/>
          <w:sz w:val="28"/>
          <w:szCs w:val="28"/>
          <w:lang w:bidi="ta-IN"/>
        </w:rPr>
        <w:t>нормативно-прав</w:t>
      </w:r>
      <w:r w:rsidR="002B2D0F">
        <w:rPr>
          <w:rFonts w:ascii="Times New Roman" w:eastAsia="SimSun" w:hAnsi="Times New Roman" w:cs="Times New Roman"/>
          <w:sz w:val="28"/>
          <w:szCs w:val="28"/>
          <w:lang w:bidi="ta-IN"/>
        </w:rPr>
        <w:t>ових актів</w:t>
      </w:r>
      <w:r w:rsidRPr="005F132C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 НКРЕКП для ОСР та ПУП, </w:t>
      </w:r>
      <w:r w:rsidRPr="005F132C">
        <w:rPr>
          <w:rFonts w:ascii="Times New Roman" w:hAnsi="Times New Roman" w:cs="Times New Roman"/>
          <w:sz w:val="28"/>
          <w:szCs w:val="28"/>
        </w:rPr>
        <w:t xml:space="preserve">а саме </w:t>
      </w:r>
      <w:r w:rsidRPr="005F132C">
        <w:rPr>
          <w:rFonts w:ascii="Times New Roman" w:hAnsi="Times New Roman" w:cs="Times New Roman"/>
          <w:iCs/>
          <w:sz w:val="28"/>
          <w:szCs w:val="28"/>
        </w:rPr>
        <w:t>постанов</w:t>
      </w:r>
      <w:r w:rsidR="00723FE8">
        <w:rPr>
          <w:rFonts w:ascii="Times New Roman" w:hAnsi="Times New Roman" w:cs="Times New Roman"/>
          <w:iCs/>
          <w:sz w:val="28"/>
          <w:szCs w:val="28"/>
        </w:rPr>
        <w:t>и</w:t>
      </w:r>
      <w:r w:rsidRPr="005F132C">
        <w:rPr>
          <w:rFonts w:ascii="Times New Roman" w:hAnsi="Times New Roman" w:cs="Times New Roman"/>
          <w:iCs/>
          <w:sz w:val="28"/>
          <w:szCs w:val="28"/>
        </w:rPr>
        <w:t xml:space="preserve"> НКРЕ від 23.07.2013 № 1009 «Про встановлення параметрів регулювання, що мають довгостроковий строк дії, для цілей стимулюючого регулювання»</w:t>
      </w:r>
      <w:r w:rsidR="00DA1979">
        <w:rPr>
          <w:rFonts w:ascii="Times New Roman" w:hAnsi="Times New Roman" w:cs="Times New Roman"/>
          <w:iCs/>
          <w:sz w:val="28"/>
          <w:szCs w:val="28"/>
        </w:rPr>
        <w:t xml:space="preserve"> (далі – Постанова № 1009)</w:t>
      </w:r>
      <w:r w:rsidRPr="005F132C">
        <w:rPr>
          <w:rFonts w:ascii="Times New Roman" w:hAnsi="Times New Roman" w:cs="Times New Roman"/>
          <w:iCs/>
          <w:sz w:val="28"/>
          <w:szCs w:val="28"/>
        </w:rPr>
        <w:t xml:space="preserve">, постанов НКРЕКП від 05.10.2018 </w:t>
      </w:r>
      <w:r w:rsidR="00723FE8">
        <w:rPr>
          <w:rFonts w:ascii="Times New Roman" w:hAnsi="Times New Roman" w:cs="Times New Roman"/>
          <w:iCs/>
          <w:sz w:val="28"/>
          <w:szCs w:val="28"/>
        </w:rPr>
        <w:t xml:space="preserve">                 </w:t>
      </w:r>
      <w:r w:rsidRPr="005F132C">
        <w:rPr>
          <w:rFonts w:ascii="Times New Roman" w:hAnsi="Times New Roman" w:cs="Times New Roman"/>
          <w:iCs/>
          <w:sz w:val="28"/>
          <w:szCs w:val="28"/>
        </w:rPr>
        <w:t xml:space="preserve">№ 1175 «Про затвердження Порядку встановлення (формування) тарифів на </w:t>
      </w:r>
      <w:r w:rsidRPr="005F132C">
        <w:rPr>
          <w:rFonts w:ascii="Times New Roman" w:hAnsi="Times New Roman" w:cs="Times New Roman"/>
          <w:iCs/>
          <w:sz w:val="28"/>
          <w:szCs w:val="28"/>
        </w:rPr>
        <w:lastRenderedPageBreak/>
        <w:t>послуги з розподілу електричної енергії» (далі – Порядок № 1175)</w:t>
      </w:r>
      <w:r w:rsidR="00DA1979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DA1979" w:rsidRPr="00DA1979">
        <w:rPr>
          <w:rFonts w:ascii="Times New Roman" w:hAnsi="Times New Roman" w:cs="Times New Roman"/>
          <w:iCs/>
          <w:sz w:val="28"/>
          <w:szCs w:val="28"/>
        </w:rPr>
        <w:t>від 05.10.2018 № 1176 «Про затвердження Методики розрахунку тарифу на послуги постачальника універсальних послуг»</w:t>
      </w:r>
      <w:r w:rsidR="00DA1979">
        <w:rPr>
          <w:rFonts w:ascii="Times New Roman" w:hAnsi="Times New Roman" w:cs="Times New Roman"/>
          <w:iCs/>
          <w:sz w:val="28"/>
          <w:szCs w:val="28"/>
        </w:rPr>
        <w:t xml:space="preserve"> (далі – Порядок № 1176)</w:t>
      </w:r>
      <w:r w:rsidRPr="005F132C">
        <w:rPr>
          <w:rFonts w:ascii="Times New Roman" w:hAnsi="Times New Roman" w:cs="Times New Roman"/>
          <w:iCs/>
          <w:sz w:val="28"/>
          <w:szCs w:val="28"/>
        </w:rPr>
        <w:t xml:space="preserve"> та від 27.07.2017 № 981 «Про затвердження Положення про порядок подання, визначення та затвердження економічних коефіцієнтів нормативних та прогнозованих технологічних витрат електроенергії»</w:t>
      </w:r>
      <w:r w:rsidR="00DA1979">
        <w:rPr>
          <w:rFonts w:ascii="Times New Roman" w:hAnsi="Times New Roman" w:cs="Times New Roman"/>
          <w:iCs/>
          <w:sz w:val="28"/>
          <w:szCs w:val="28"/>
        </w:rPr>
        <w:t xml:space="preserve"> (далі – Положення № 981)</w:t>
      </w:r>
      <w:r w:rsidRPr="005F132C">
        <w:rPr>
          <w:rFonts w:ascii="Times New Roman" w:hAnsi="Times New Roman" w:cs="Times New Roman"/>
          <w:iCs/>
          <w:sz w:val="28"/>
          <w:szCs w:val="28"/>
        </w:rPr>
        <w:t xml:space="preserve">. Для актуалізації, зокрема доцільно </w:t>
      </w:r>
      <w:r w:rsidRPr="005F132C">
        <w:rPr>
          <w:rFonts w:ascii="Times New Roman" w:hAnsi="Times New Roman" w:cs="Times New Roman"/>
          <w:bCs/>
          <w:sz w:val="28"/>
          <w:szCs w:val="28"/>
        </w:rPr>
        <w:t>передбачити:</w:t>
      </w:r>
    </w:p>
    <w:p w14:paraId="70DD2893" w14:textId="7C93446F" w:rsidR="005F132C" w:rsidRPr="005F132C" w:rsidRDefault="005F132C" w:rsidP="005F132C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bidi="ta-IN"/>
        </w:rPr>
      </w:pPr>
      <w:r w:rsidRPr="005F132C">
        <w:rPr>
          <w:rFonts w:ascii="Times New Roman" w:eastAsia="SimSun" w:hAnsi="Times New Roman" w:cs="Times New Roman"/>
          <w:sz w:val="28"/>
          <w:szCs w:val="28"/>
          <w:lang w:bidi="ta-IN"/>
        </w:rPr>
        <w:t>продовження першого регуляторного періоду до 5 років (зараз 4 роки);</w:t>
      </w:r>
    </w:p>
    <w:p w14:paraId="6F6A808B" w14:textId="38B5425F" w:rsidR="005F132C" w:rsidRPr="005F132C" w:rsidRDefault="005F132C" w:rsidP="005F132C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bidi="ta-IN"/>
        </w:rPr>
      </w:pPr>
      <w:r w:rsidRPr="005F132C">
        <w:rPr>
          <w:rFonts w:ascii="Times New Roman" w:eastAsia="SimSun" w:hAnsi="Times New Roman" w:cs="Times New Roman"/>
          <w:sz w:val="28"/>
          <w:szCs w:val="28"/>
          <w:lang w:bidi="ta-IN"/>
        </w:rPr>
        <w:t>продовження строку досягнення цільового показника якості послуг для ОСР, яким тарифи встановлено:</w:t>
      </w:r>
    </w:p>
    <w:p w14:paraId="63D2391F" w14:textId="77777777" w:rsidR="005F132C" w:rsidRPr="005F132C" w:rsidRDefault="005F132C" w:rsidP="005F132C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iCs/>
          <w:sz w:val="28"/>
          <w:szCs w:val="28"/>
          <w:lang w:bidi="ta-IN"/>
        </w:rPr>
      </w:pPr>
      <w:r w:rsidRPr="005F132C">
        <w:rPr>
          <w:rFonts w:ascii="Times New Roman" w:eastAsia="SimSun" w:hAnsi="Times New Roman" w:cs="Times New Roman"/>
          <w:i/>
          <w:iCs/>
          <w:sz w:val="28"/>
          <w:szCs w:val="28"/>
          <w:lang w:bidi="ta-IN"/>
        </w:rPr>
        <w:t>із застосуванням стимулюючого регулювання до 15 років (зараз 14 років),</w:t>
      </w:r>
    </w:p>
    <w:p w14:paraId="12E6585E" w14:textId="77777777" w:rsidR="005F132C" w:rsidRPr="005F132C" w:rsidRDefault="005F132C" w:rsidP="005F132C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iCs/>
          <w:sz w:val="28"/>
          <w:szCs w:val="28"/>
          <w:lang w:bidi="ta-IN"/>
        </w:rPr>
      </w:pPr>
      <w:r w:rsidRPr="005F132C">
        <w:rPr>
          <w:rFonts w:ascii="Times New Roman" w:eastAsia="SimSun" w:hAnsi="Times New Roman" w:cs="Times New Roman"/>
          <w:i/>
          <w:iCs/>
          <w:sz w:val="28"/>
          <w:szCs w:val="28"/>
          <w:lang w:bidi="ta-IN"/>
        </w:rPr>
        <w:t>за методологією «Витрати+» до 20 років (зараз 19 років);</w:t>
      </w:r>
    </w:p>
    <w:p w14:paraId="29D8DC86" w14:textId="1CC00DA8" w:rsidR="005F132C" w:rsidRPr="005F132C" w:rsidRDefault="005F132C" w:rsidP="005F132C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bidi="ta-IN"/>
        </w:rPr>
      </w:pPr>
      <w:r w:rsidRPr="005F132C">
        <w:rPr>
          <w:rFonts w:ascii="Times New Roman" w:eastAsia="SimSun" w:hAnsi="Times New Roman" w:cs="Times New Roman"/>
          <w:sz w:val="28"/>
          <w:szCs w:val="28"/>
          <w:lang w:bidi="ta-IN"/>
        </w:rPr>
        <w:t>продовження</w:t>
      </w:r>
      <w:r w:rsidRPr="005F132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5F132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 2025 рік</w:t>
      </w:r>
      <w:r w:rsidRPr="005F132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5F132C">
        <w:rPr>
          <w:rFonts w:ascii="Times New Roman" w:eastAsia="SimSun" w:hAnsi="Times New Roman" w:cs="Times New Roman"/>
          <w:sz w:val="28"/>
          <w:szCs w:val="28"/>
          <w:lang w:bidi="ta-IN"/>
        </w:rPr>
        <w:t>застосування загального показника ефективності на нульовому рівні;</w:t>
      </w:r>
    </w:p>
    <w:p w14:paraId="7F90DA5E" w14:textId="0ED8A307" w:rsidR="005F132C" w:rsidRPr="005F132C" w:rsidRDefault="005F132C" w:rsidP="005F13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32C">
        <w:rPr>
          <w:rFonts w:ascii="Times New Roman" w:eastAsia="SimSun" w:hAnsi="Times New Roman" w:cs="Times New Roman"/>
          <w:sz w:val="28"/>
          <w:szCs w:val="28"/>
          <w:lang w:bidi="ta-IN"/>
        </w:rPr>
        <w:t>продовження</w:t>
      </w:r>
      <w:r w:rsidRPr="005F132C">
        <w:rPr>
          <w:rFonts w:ascii="Times New Roman" w:hAnsi="Times New Roman" w:cs="Times New Roman"/>
          <w:sz w:val="28"/>
          <w:szCs w:val="28"/>
        </w:rPr>
        <w:t xml:space="preserve"> на 2025 рік застосування на нульовому рівні показників ефективності технологічних витрат електричної енергії для операторів систем розподілу </w:t>
      </w:r>
      <w:r w:rsidRPr="005F132C">
        <w:rPr>
          <w:rFonts w:ascii="Times New Roman" w:hAnsi="Times New Roman" w:cs="Times New Roman"/>
          <w:sz w:val="28"/>
          <w:szCs w:val="28"/>
          <w:shd w:val="clear" w:color="auto" w:fill="FFFFFF"/>
        </w:rPr>
        <w:t>для 1 та/або 2 класів напруги;</w:t>
      </w:r>
    </w:p>
    <w:p w14:paraId="7316323E" w14:textId="27F2F17A" w:rsidR="005F132C" w:rsidRPr="005F132C" w:rsidRDefault="005F132C" w:rsidP="005F13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5F132C">
        <w:rPr>
          <w:rFonts w:ascii="Times New Roman" w:eastAsia="SimSun" w:hAnsi="Times New Roman" w:cs="Times New Roman"/>
          <w:sz w:val="28"/>
          <w:szCs w:val="28"/>
          <w:lang w:bidi="ta-IN"/>
        </w:rPr>
        <w:t>продовження</w:t>
      </w:r>
      <w:r w:rsidRPr="005F132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5F132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 2025 рік</w:t>
      </w:r>
      <w:r w:rsidRPr="005F132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5F132C">
        <w:rPr>
          <w:rFonts w:ascii="Times New Roman" w:hAnsi="Times New Roman" w:cs="Times New Roman"/>
          <w:sz w:val="28"/>
          <w:szCs w:val="28"/>
          <w:shd w:val="clear" w:color="auto" w:fill="FFFFFF"/>
        </w:rPr>
        <w:t>обмеження</w:t>
      </w:r>
      <w:r w:rsidRPr="005F132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5F132C">
        <w:rPr>
          <w:rFonts w:ascii="Times New Roman" w:hAnsi="Times New Roman" w:cs="Times New Roman"/>
          <w:bCs/>
          <w:sz w:val="28"/>
          <w:szCs w:val="28"/>
        </w:rPr>
        <w:t xml:space="preserve">амортизації </w:t>
      </w:r>
      <w:r w:rsidRPr="005F132C">
        <w:rPr>
          <w:rFonts w:ascii="Times New Roman" w:hAnsi="Times New Roman" w:cs="Times New Roman"/>
          <w:iCs/>
          <w:sz w:val="28"/>
          <w:szCs w:val="28"/>
        </w:rPr>
        <w:t>РБА «старої»</w:t>
      </w:r>
      <w:r w:rsidRPr="005F132C">
        <w:rPr>
          <w:rFonts w:ascii="Times New Roman" w:hAnsi="Times New Roman" w:cs="Times New Roman"/>
          <w:bCs/>
          <w:sz w:val="28"/>
          <w:szCs w:val="28"/>
        </w:rPr>
        <w:t xml:space="preserve"> не вище рівня, передбаченого діючою структурою тарифів </w:t>
      </w:r>
      <w:r w:rsidRPr="005F132C">
        <w:rPr>
          <w:rFonts w:ascii="Times New Roman" w:hAnsi="Times New Roman" w:cs="Times New Roman"/>
          <w:i/>
          <w:sz w:val="28"/>
          <w:szCs w:val="28"/>
        </w:rPr>
        <w:t>(у разі невнесення змін передбачається збільшення на 50 % щорічно до досягнення регуляторного рівня)</w:t>
      </w:r>
      <w:r w:rsidRPr="005F132C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, при цьому для </w:t>
      </w:r>
      <w:r w:rsidRPr="005F132C">
        <w:rPr>
          <w:rFonts w:ascii="Times New Roman" w:hAnsi="Times New Roman" w:cs="Times New Roman"/>
          <w:sz w:val="28"/>
          <w:szCs w:val="28"/>
          <w:lang w:eastAsia="uk-UA"/>
        </w:rPr>
        <w:t>прифронтових ОСР фіксування амортизації на рівні, врахованому в діючих тарифах;</w:t>
      </w:r>
    </w:p>
    <w:p w14:paraId="35927C85" w14:textId="2E26960F" w:rsidR="005F132C" w:rsidRPr="005F132C" w:rsidRDefault="005F132C" w:rsidP="005F13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5F132C">
        <w:rPr>
          <w:rFonts w:ascii="Times New Roman" w:eastAsia="SimSun" w:hAnsi="Times New Roman" w:cs="Times New Roman"/>
          <w:sz w:val="28"/>
          <w:szCs w:val="28"/>
          <w:lang w:bidi="ta-IN"/>
        </w:rPr>
        <w:t>продовження</w:t>
      </w:r>
      <w:r w:rsidRPr="005F132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5F132C">
        <w:rPr>
          <w:rFonts w:ascii="Times New Roman" w:eastAsia="SimSun" w:hAnsi="Times New Roman" w:cs="Times New Roman"/>
          <w:sz w:val="28"/>
          <w:szCs w:val="28"/>
          <w:lang w:bidi="ta-IN"/>
        </w:rPr>
        <w:t>фіксування</w:t>
      </w:r>
      <w:r w:rsidRPr="005F132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5F132C">
        <w:rPr>
          <w:rFonts w:ascii="Times New Roman" w:hAnsi="Times New Roman" w:cs="Times New Roman"/>
          <w:iCs/>
          <w:sz w:val="28"/>
          <w:szCs w:val="28"/>
        </w:rPr>
        <w:t xml:space="preserve">у 2025 році </w:t>
      </w:r>
      <w:r w:rsidRPr="005F132C">
        <w:rPr>
          <w:rFonts w:ascii="Times New Roman" w:hAnsi="Times New Roman" w:cs="Times New Roman"/>
          <w:sz w:val="28"/>
          <w:szCs w:val="28"/>
          <w:lang w:eastAsia="uk-UA"/>
        </w:rPr>
        <w:t>для прифронтових ОСР амортизації на «нову» базу активів на рівні, врахованому в діючих тарифах;</w:t>
      </w:r>
    </w:p>
    <w:p w14:paraId="4FBFC7DE" w14:textId="195794E5" w:rsidR="005F132C" w:rsidRPr="005F132C" w:rsidRDefault="005F132C" w:rsidP="005F132C">
      <w:pPr>
        <w:pStyle w:val="aa"/>
        <w:tabs>
          <w:tab w:val="left" w:pos="42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5F132C">
        <w:rPr>
          <w:rFonts w:ascii="Times New Roman" w:eastAsia="SimSun" w:hAnsi="Times New Roman" w:cs="Times New Roman"/>
          <w:sz w:val="28"/>
          <w:szCs w:val="28"/>
          <w:lang w:bidi="ta-IN"/>
        </w:rPr>
        <w:t>продовження</w:t>
      </w:r>
      <w:r w:rsidRPr="005F132C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на 2025 рік </w:t>
      </w:r>
      <w:r w:rsidRPr="005F132C">
        <w:rPr>
          <w:rFonts w:ascii="Times New Roman" w:hAnsi="Times New Roman" w:cs="Times New Roman"/>
          <w:iCs/>
          <w:sz w:val="28"/>
          <w:szCs w:val="28"/>
        </w:rPr>
        <w:t xml:space="preserve">регуляторної норми доходу </w:t>
      </w:r>
      <w:r w:rsidRPr="005F132C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на </w:t>
      </w:r>
      <w:r w:rsidRPr="005F132C">
        <w:rPr>
          <w:rFonts w:ascii="Times New Roman" w:hAnsi="Times New Roman" w:cs="Times New Roman"/>
          <w:iCs/>
          <w:sz w:val="28"/>
          <w:szCs w:val="28"/>
        </w:rPr>
        <w:t>РБА «стару» для</w:t>
      </w:r>
      <w:r w:rsidRPr="005F132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F132C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прифронтових ОСР, а також для ліцензіатів, контролером або кінцевим </w:t>
      </w:r>
      <w:proofErr w:type="spellStart"/>
      <w:r w:rsidRPr="005F132C">
        <w:rPr>
          <w:rFonts w:ascii="Times New Roman" w:hAnsi="Times New Roman" w:cs="Times New Roman"/>
          <w:iCs/>
          <w:sz w:val="28"/>
          <w:szCs w:val="28"/>
          <w:lang w:eastAsia="ru-RU"/>
        </w:rPr>
        <w:t>бенефіціарним</w:t>
      </w:r>
      <w:proofErr w:type="spellEnd"/>
      <w:r w:rsidRPr="005F132C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власником контрольного пакету акцій яких є фізичні або юридичні особи щодо яких застосовано економічні та обмежувальні заходи (санкції)) (далі – ліцензіати, до власників яких застосовано санкції), </w:t>
      </w:r>
      <w:r w:rsidRPr="005F132C">
        <w:rPr>
          <w:rFonts w:ascii="Times New Roman" w:hAnsi="Times New Roman" w:cs="Times New Roman"/>
          <w:iCs/>
          <w:sz w:val="28"/>
          <w:szCs w:val="28"/>
        </w:rPr>
        <w:t>на рівні 0 відносних одиниць;</w:t>
      </w:r>
    </w:p>
    <w:p w14:paraId="0B63696B" w14:textId="4FF7C7B1" w:rsidR="005F132C" w:rsidRPr="005F132C" w:rsidRDefault="005F132C" w:rsidP="005F132C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bidi="ta-IN"/>
        </w:rPr>
      </w:pPr>
      <w:r w:rsidRPr="005F132C">
        <w:rPr>
          <w:rFonts w:ascii="Times New Roman" w:eastAsia="SimSun" w:hAnsi="Times New Roman" w:cs="Times New Roman"/>
          <w:sz w:val="28"/>
          <w:szCs w:val="28"/>
          <w:lang w:bidi="ta-IN"/>
        </w:rPr>
        <w:t>продовження</w:t>
      </w:r>
      <w:r w:rsidRPr="005F132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5F132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 2025 рік</w:t>
      </w:r>
      <w:r w:rsidRPr="005F132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5F132C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застосування </w:t>
      </w:r>
      <w:r w:rsidRPr="005F132C">
        <w:rPr>
          <w:rFonts w:ascii="Times New Roman" w:hAnsi="Times New Roman" w:cs="Times New Roman"/>
          <w:iCs/>
          <w:sz w:val="28"/>
          <w:szCs w:val="28"/>
        </w:rPr>
        <w:t>регуляторної норми доходу на РБА «</w:t>
      </w:r>
      <w:r w:rsidRPr="005F132C">
        <w:rPr>
          <w:rFonts w:ascii="Times New Roman" w:eastAsia="SimSun" w:hAnsi="Times New Roman" w:cs="Times New Roman"/>
          <w:sz w:val="28"/>
          <w:szCs w:val="28"/>
          <w:lang w:bidi="ta-IN"/>
        </w:rPr>
        <w:t>нову</w:t>
      </w:r>
      <w:r w:rsidRPr="005F132C">
        <w:rPr>
          <w:rFonts w:ascii="Times New Roman" w:hAnsi="Times New Roman" w:cs="Times New Roman"/>
          <w:iCs/>
          <w:sz w:val="28"/>
          <w:szCs w:val="28"/>
        </w:rPr>
        <w:t xml:space="preserve">» на </w:t>
      </w:r>
      <w:r w:rsidRPr="005F132C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рівні 0,03 відносних одиниць, при цьому для прифронтових ОСР та ліцензіатів, до власників яких застосовано санкції, </w:t>
      </w:r>
      <w:r w:rsidRPr="005F132C">
        <w:rPr>
          <w:rFonts w:ascii="Times New Roman" w:hAnsi="Times New Roman" w:cs="Times New Roman"/>
          <w:iCs/>
          <w:sz w:val="28"/>
          <w:szCs w:val="28"/>
        </w:rPr>
        <w:t xml:space="preserve">– </w:t>
      </w:r>
      <w:r w:rsidRPr="005F132C">
        <w:rPr>
          <w:rFonts w:ascii="Times New Roman" w:eastAsia="SimSun" w:hAnsi="Times New Roman" w:cs="Times New Roman"/>
          <w:sz w:val="28"/>
          <w:szCs w:val="28"/>
          <w:lang w:bidi="ta-IN"/>
        </w:rPr>
        <w:t>на рівні 0 відносних одиниць;</w:t>
      </w:r>
    </w:p>
    <w:p w14:paraId="7FCFD235" w14:textId="6FB4BB79" w:rsidR="005F132C" w:rsidRPr="005F132C" w:rsidRDefault="005F132C" w:rsidP="005F132C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bidi="ta-IN"/>
        </w:rPr>
      </w:pPr>
      <w:r w:rsidRPr="005F132C">
        <w:rPr>
          <w:rFonts w:ascii="Times New Roman" w:eastAsia="SimSun" w:hAnsi="Times New Roman" w:cs="Times New Roman"/>
          <w:sz w:val="28"/>
          <w:szCs w:val="28"/>
          <w:lang w:bidi="ta-IN"/>
        </w:rPr>
        <w:t>продовження фіксування на 2025 рік для прифронтових ОСР прогнозованих обсягів електричної енергії, що розподіляється на 1 та 2 класах напруги, на рівнях, врахованих у діючих тарифах;</w:t>
      </w:r>
    </w:p>
    <w:p w14:paraId="62C03F20" w14:textId="0388F990" w:rsidR="005F132C" w:rsidRPr="005F132C" w:rsidRDefault="005F132C" w:rsidP="005F132C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F132C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продовження фіксування на 2025 рік для прифронтових ПУП прогнозованого обсягу електричної енергії, на рівні, врахованому в діючих тарифах </w:t>
      </w:r>
      <w:r w:rsidRPr="005F132C">
        <w:rPr>
          <w:rFonts w:ascii="Times New Roman" w:hAnsi="Times New Roman" w:cs="Times New Roman"/>
          <w:iCs/>
          <w:sz w:val="28"/>
          <w:szCs w:val="28"/>
        </w:rPr>
        <w:t>(</w:t>
      </w:r>
      <w:r w:rsidRPr="005F132C">
        <w:rPr>
          <w:rFonts w:ascii="Times New Roman" w:hAnsi="Times New Roman" w:cs="Times New Roman"/>
          <w:sz w:val="28"/>
          <w:szCs w:val="28"/>
          <w:lang w:eastAsia="uk-UA"/>
        </w:rPr>
        <w:t xml:space="preserve">у зв’язку з тим, що лінія зіткнення </w:t>
      </w:r>
      <w:proofErr w:type="spellStart"/>
      <w:r w:rsidRPr="005F132C">
        <w:rPr>
          <w:rFonts w:ascii="Times New Roman" w:hAnsi="Times New Roman" w:cs="Times New Roman"/>
          <w:sz w:val="28"/>
          <w:szCs w:val="28"/>
          <w:lang w:eastAsia="uk-UA"/>
        </w:rPr>
        <w:t>динамічно</w:t>
      </w:r>
      <w:proofErr w:type="spellEnd"/>
      <w:r w:rsidRPr="005F132C">
        <w:rPr>
          <w:rFonts w:ascii="Times New Roman" w:hAnsi="Times New Roman" w:cs="Times New Roman"/>
          <w:sz w:val="28"/>
          <w:szCs w:val="28"/>
          <w:lang w:eastAsia="uk-UA"/>
        </w:rPr>
        <w:t xml:space="preserve"> змінюється, неможливо об’єктивно визначити їх рівень</w:t>
      </w:r>
      <w:r w:rsidRPr="005F132C">
        <w:rPr>
          <w:rFonts w:ascii="Times New Roman" w:eastAsia="SimSun" w:hAnsi="Times New Roman" w:cs="Times New Roman"/>
          <w:sz w:val="28"/>
          <w:szCs w:val="28"/>
          <w:lang w:bidi="ta-IN"/>
        </w:rPr>
        <w:t>)</w:t>
      </w:r>
      <w:r w:rsidRPr="005F132C">
        <w:rPr>
          <w:rFonts w:ascii="Times New Roman" w:hAnsi="Times New Roman" w:cs="Times New Roman"/>
          <w:iCs/>
          <w:sz w:val="28"/>
          <w:szCs w:val="28"/>
        </w:rPr>
        <w:t>;</w:t>
      </w:r>
    </w:p>
    <w:p w14:paraId="0B6DE162" w14:textId="12D9CEF1" w:rsidR="005F132C" w:rsidRPr="005F132C" w:rsidRDefault="005F132C" w:rsidP="00F12EE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bidi="ta-IN"/>
        </w:rPr>
      </w:pPr>
      <w:r w:rsidRPr="005F132C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не застосовувати коригування необхідного доходу за недотримання цільового показника якості послуг за 2024 рік для визначеної групи ОСР (перелік наведено у додатку 32 до Порядку № 1175) з найбільшим негативним впливом від атак </w:t>
      </w:r>
      <w:r w:rsidR="00826696">
        <w:rPr>
          <w:rFonts w:ascii="Times New Roman" w:eastAsia="SimSun" w:hAnsi="Times New Roman" w:cs="Times New Roman"/>
          <w:sz w:val="28"/>
          <w:szCs w:val="28"/>
          <w:lang w:bidi="ta-IN"/>
        </w:rPr>
        <w:t>російської федерації</w:t>
      </w:r>
      <w:r w:rsidR="00826696" w:rsidRPr="005F132C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 </w:t>
      </w:r>
      <w:r w:rsidRPr="005F132C">
        <w:rPr>
          <w:rFonts w:ascii="Times New Roman" w:eastAsia="SimSun" w:hAnsi="Times New Roman" w:cs="Times New Roman"/>
          <w:sz w:val="28"/>
          <w:szCs w:val="28"/>
          <w:lang w:bidi="ta-IN"/>
        </w:rPr>
        <w:t>на території їх ліцензованої діяльності.</w:t>
      </w:r>
    </w:p>
    <w:p w14:paraId="116C26D3" w14:textId="1DF643F3" w:rsidR="005F132C" w:rsidRPr="005F132C" w:rsidRDefault="005F132C" w:rsidP="005F13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32C">
        <w:rPr>
          <w:rFonts w:ascii="Times New Roman" w:hAnsi="Times New Roman" w:cs="Times New Roman"/>
          <w:sz w:val="28"/>
          <w:szCs w:val="28"/>
        </w:rPr>
        <w:t xml:space="preserve">Також, на сьогодні є необхідність в актуалізації та розширенні переліку окремих положень </w:t>
      </w:r>
      <w:r w:rsidRPr="005F132C">
        <w:rPr>
          <w:rFonts w:ascii="Times New Roman" w:hAnsi="Times New Roman" w:cs="Times New Roman"/>
          <w:iCs/>
          <w:sz w:val="28"/>
          <w:szCs w:val="28"/>
        </w:rPr>
        <w:t xml:space="preserve">Порядку визначення регуляторної бази активів суб’єктів </w:t>
      </w:r>
      <w:r w:rsidRPr="005F132C">
        <w:rPr>
          <w:rFonts w:ascii="Times New Roman" w:hAnsi="Times New Roman" w:cs="Times New Roman"/>
          <w:iCs/>
          <w:sz w:val="28"/>
          <w:szCs w:val="28"/>
        </w:rPr>
        <w:lastRenderedPageBreak/>
        <w:t>природних монополій у сфері електроенергетики, затвердженого постановою НКРЕ від 11.07.2013 № 899</w:t>
      </w:r>
      <w:r w:rsidR="00DA1979">
        <w:rPr>
          <w:rFonts w:ascii="Times New Roman" w:hAnsi="Times New Roman" w:cs="Times New Roman"/>
          <w:iCs/>
          <w:sz w:val="28"/>
          <w:szCs w:val="28"/>
        </w:rPr>
        <w:t xml:space="preserve"> (далі – Порядок № 899)</w:t>
      </w:r>
      <w:r w:rsidRPr="005F132C">
        <w:rPr>
          <w:rFonts w:ascii="Times New Roman" w:hAnsi="Times New Roman" w:cs="Times New Roman"/>
          <w:iCs/>
          <w:sz w:val="28"/>
          <w:szCs w:val="28"/>
        </w:rPr>
        <w:t>,</w:t>
      </w:r>
      <w:r w:rsidRPr="005F132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F132C">
        <w:rPr>
          <w:rFonts w:ascii="Times New Roman" w:hAnsi="Times New Roman" w:cs="Times New Roman"/>
          <w:sz w:val="28"/>
          <w:szCs w:val="28"/>
        </w:rPr>
        <w:t xml:space="preserve">щодо ведення регуляторного обліку активів і нарахування регуляторної норми доходу на </w:t>
      </w:r>
      <w:r w:rsidRPr="005F132C">
        <w:rPr>
          <w:rFonts w:ascii="Times New Roman" w:eastAsia="SimSun" w:hAnsi="Times New Roman" w:cs="Times New Roman"/>
          <w:sz w:val="28"/>
          <w:szCs w:val="28"/>
          <w:lang w:bidi="ta-IN"/>
        </w:rPr>
        <w:t>РБА «стару»/«нову»</w:t>
      </w:r>
      <w:r w:rsidRPr="005F132C">
        <w:rPr>
          <w:rFonts w:ascii="Times New Roman" w:hAnsi="Times New Roman" w:cs="Times New Roman"/>
          <w:sz w:val="28"/>
          <w:szCs w:val="28"/>
        </w:rPr>
        <w:t>, та амортизації на суму вартості активів, зокрема передбачити:</w:t>
      </w:r>
    </w:p>
    <w:p w14:paraId="7D1A254B" w14:textId="77777777" w:rsidR="005F132C" w:rsidRPr="005F132C" w:rsidRDefault="005F132C" w:rsidP="005F13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32C">
        <w:rPr>
          <w:rFonts w:ascii="Times New Roman" w:hAnsi="Times New Roman" w:cs="Times New Roman"/>
          <w:sz w:val="28"/>
          <w:szCs w:val="28"/>
        </w:rPr>
        <w:t xml:space="preserve">вимоги щодо повторного введення (повернення) до експлуатації активу (елементу активу) до складу </w:t>
      </w:r>
      <w:r w:rsidRPr="005F132C">
        <w:rPr>
          <w:rFonts w:ascii="Times New Roman" w:eastAsia="SimSun" w:hAnsi="Times New Roman" w:cs="Times New Roman"/>
          <w:sz w:val="28"/>
          <w:szCs w:val="28"/>
          <w:lang w:bidi="ta-IN"/>
        </w:rPr>
        <w:t>РБА</w:t>
      </w:r>
      <w:r w:rsidRPr="005F132C">
        <w:rPr>
          <w:rFonts w:ascii="Times New Roman" w:hAnsi="Times New Roman" w:cs="Times New Roman"/>
          <w:sz w:val="28"/>
          <w:szCs w:val="28"/>
        </w:rPr>
        <w:t>;</w:t>
      </w:r>
    </w:p>
    <w:p w14:paraId="6F15BABC" w14:textId="77777777" w:rsidR="005F132C" w:rsidRPr="005F132C" w:rsidRDefault="005F132C" w:rsidP="005F13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32C">
        <w:rPr>
          <w:rFonts w:ascii="Times New Roman" w:hAnsi="Times New Roman" w:cs="Times New Roman"/>
          <w:sz w:val="28"/>
          <w:szCs w:val="28"/>
        </w:rPr>
        <w:t xml:space="preserve">вимоги щодо визначення вартості введених активів (елементів активу) до </w:t>
      </w:r>
      <w:r w:rsidRPr="005F132C">
        <w:rPr>
          <w:rFonts w:ascii="Times New Roman" w:eastAsia="SimSun" w:hAnsi="Times New Roman" w:cs="Times New Roman"/>
          <w:sz w:val="28"/>
          <w:szCs w:val="28"/>
          <w:lang w:bidi="ta-IN"/>
        </w:rPr>
        <w:t>РБА</w:t>
      </w:r>
      <w:r w:rsidRPr="005F132C">
        <w:rPr>
          <w:rFonts w:ascii="Times New Roman" w:hAnsi="Times New Roman" w:cs="Times New Roman"/>
          <w:sz w:val="28"/>
          <w:szCs w:val="28"/>
        </w:rPr>
        <w:t xml:space="preserve"> після отримання їх на безповоротній та безоплатній основі;</w:t>
      </w:r>
    </w:p>
    <w:p w14:paraId="2FA9AE51" w14:textId="77777777" w:rsidR="005F132C" w:rsidRPr="005F132C" w:rsidRDefault="005F132C" w:rsidP="005F13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32C">
        <w:rPr>
          <w:rFonts w:ascii="Times New Roman" w:hAnsi="Times New Roman" w:cs="Times New Roman"/>
          <w:sz w:val="28"/>
          <w:szCs w:val="28"/>
        </w:rPr>
        <w:t xml:space="preserve">удосконалення розрахунку </w:t>
      </w:r>
      <w:r w:rsidRPr="005F132C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РБА «старої» </w:t>
      </w:r>
      <w:r w:rsidRPr="005F132C">
        <w:rPr>
          <w:rFonts w:ascii="Times New Roman" w:hAnsi="Times New Roman" w:cs="Times New Roman"/>
          <w:sz w:val="28"/>
          <w:szCs w:val="28"/>
        </w:rPr>
        <w:t>для розрахунку річної амортизації на такі активи, починаючи з року, наступного після переходу до стимулюючого регулювання.</w:t>
      </w:r>
    </w:p>
    <w:p w14:paraId="29D926DD" w14:textId="77777777" w:rsidR="005F132C" w:rsidRPr="005F132C" w:rsidRDefault="005F132C" w:rsidP="005F13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32C">
        <w:rPr>
          <w:rFonts w:ascii="Times New Roman" w:hAnsi="Times New Roman" w:cs="Times New Roman"/>
          <w:sz w:val="28"/>
          <w:szCs w:val="28"/>
        </w:rPr>
        <w:t xml:space="preserve">Варто зазначити, що у зв’язку з роботою ОСР в особливий період, та удосконаленими змінами виникла необхідність в унормуванні додатків 7 – 12, 14 – 16, 28 та 29 до Порядку № 1175, якими зокрема враховано </w:t>
      </w:r>
      <w:r w:rsidRPr="005F132C">
        <w:rPr>
          <w:rFonts w:ascii="Times New Roman" w:eastAsia="SimSun" w:hAnsi="Times New Roman" w:cs="Times New Roman"/>
          <w:sz w:val="28"/>
          <w:szCs w:val="28"/>
          <w:lang w:bidi="ta-IN"/>
        </w:rPr>
        <w:t>продовження строку досягнення цільового показника якості послуг, формульні показники щодо визначення амортизації на повернуті активи (елементи активів), що тимчасово були виведені з РБА.</w:t>
      </w:r>
    </w:p>
    <w:p w14:paraId="7F5A088A" w14:textId="77777777" w:rsidR="00EF2E5C" w:rsidRPr="00E768F4" w:rsidRDefault="005A31FB" w:rsidP="005A31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31FB">
        <w:rPr>
          <w:rFonts w:ascii="Times New Roman" w:hAnsi="Times New Roman" w:cs="Times New Roman"/>
          <w:bCs/>
          <w:sz w:val="28"/>
          <w:szCs w:val="28"/>
        </w:rPr>
        <w:t xml:space="preserve">З огляду на зазначене,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НКРЕКП </w:t>
      </w:r>
      <w:r w:rsidRPr="005A31FB">
        <w:rPr>
          <w:rFonts w:ascii="Times New Roman" w:hAnsi="Times New Roman" w:cs="Times New Roman"/>
          <w:bCs/>
          <w:sz w:val="28"/>
          <w:szCs w:val="28"/>
        </w:rPr>
        <w:t>розроблено проєкт постанови «Про затвердження Змін до деяких постанов НКРЕ та НКРЕКП» (далі –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5A31FB">
        <w:rPr>
          <w:rFonts w:ascii="Times New Roman" w:hAnsi="Times New Roman" w:cs="Times New Roman"/>
          <w:bCs/>
          <w:sz w:val="28"/>
          <w:szCs w:val="28"/>
        </w:rPr>
        <w:t xml:space="preserve">Проєкт постанови). </w:t>
      </w:r>
    </w:p>
    <w:p w14:paraId="3C8479A9" w14:textId="77777777" w:rsidR="00375422" w:rsidRDefault="00375422" w:rsidP="00865D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D5CA083" w14:textId="77777777" w:rsidR="00DC1500" w:rsidRDefault="00D165E3" w:rsidP="00A3308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Основні групи (підгрупи), на які проблема справляє вплив:</w:t>
      </w:r>
    </w:p>
    <w:p w14:paraId="1586AE77" w14:textId="77777777" w:rsidR="0087391A" w:rsidRPr="00943DFD" w:rsidRDefault="0087391A" w:rsidP="00A3308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2"/>
        <w:gridCol w:w="4383"/>
        <w:gridCol w:w="1985"/>
      </w:tblGrid>
      <w:tr w:rsidR="00101840" w:rsidRPr="00943DFD" w14:paraId="6764756E" w14:textId="77777777" w:rsidTr="00DC6752">
        <w:trPr>
          <w:trHeight w:val="70"/>
          <w:jc w:val="center"/>
        </w:trPr>
        <w:tc>
          <w:tcPr>
            <w:tcW w:w="3202" w:type="dxa"/>
          </w:tcPr>
          <w:p w14:paraId="6ADFBBDB" w14:textId="77777777" w:rsidR="00DC1500" w:rsidRPr="00943DFD" w:rsidRDefault="00DC1500" w:rsidP="008223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Групи (підгрупи)</w:t>
            </w:r>
          </w:p>
        </w:tc>
        <w:tc>
          <w:tcPr>
            <w:tcW w:w="4383" w:type="dxa"/>
            <w:vAlign w:val="center"/>
          </w:tcPr>
          <w:p w14:paraId="2436BC58" w14:textId="77777777" w:rsidR="00DC1500" w:rsidRPr="00943DFD" w:rsidRDefault="00DC1500" w:rsidP="00EF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Так</w:t>
            </w:r>
          </w:p>
        </w:tc>
        <w:tc>
          <w:tcPr>
            <w:tcW w:w="1985" w:type="dxa"/>
            <w:vAlign w:val="center"/>
          </w:tcPr>
          <w:p w14:paraId="62E43224" w14:textId="77777777" w:rsidR="00DC1500" w:rsidRPr="00943DFD" w:rsidRDefault="00DC1500" w:rsidP="00EF2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Ні</w:t>
            </w:r>
          </w:p>
        </w:tc>
      </w:tr>
      <w:tr w:rsidR="00101840" w:rsidRPr="00943DFD" w14:paraId="5D510240" w14:textId="77777777" w:rsidTr="00DC6752">
        <w:trPr>
          <w:trHeight w:val="70"/>
          <w:jc w:val="center"/>
        </w:trPr>
        <w:tc>
          <w:tcPr>
            <w:tcW w:w="3202" w:type="dxa"/>
          </w:tcPr>
          <w:p w14:paraId="13F9DB73" w14:textId="77777777" w:rsidR="00DC1500" w:rsidRPr="00943DFD" w:rsidRDefault="00DC1500" w:rsidP="00822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Громадяни</w:t>
            </w:r>
          </w:p>
        </w:tc>
        <w:tc>
          <w:tcPr>
            <w:tcW w:w="4383" w:type="dxa"/>
            <w:vAlign w:val="center"/>
          </w:tcPr>
          <w:p w14:paraId="73648020" w14:textId="77777777" w:rsidR="00DC1500" w:rsidRPr="00943DFD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7194320D" w14:textId="77777777" w:rsidR="00DC1500" w:rsidRPr="00943DFD" w:rsidRDefault="008223F7" w:rsidP="008223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Ні</w:t>
            </w:r>
          </w:p>
        </w:tc>
      </w:tr>
      <w:tr w:rsidR="00101840" w:rsidRPr="00943DFD" w14:paraId="01339518" w14:textId="77777777" w:rsidTr="00DC6752">
        <w:trPr>
          <w:trHeight w:val="70"/>
          <w:jc w:val="center"/>
        </w:trPr>
        <w:tc>
          <w:tcPr>
            <w:tcW w:w="3202" w:type="dxa"/>
          </w:tcPr>
          <w:p w14:paraId="07D02FE3" w14:textId="77777777" w:rsidR="00DC1500" w:rsidRPr="00943DFD" w:rsidRDefault="00DC1500" w:rsidP="00822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Держава</w:t>
            </w:r>
          </w:p>
        </w:tc>
        <w:tc>
          <w:tcPr>
            <w:tcW w:w="4383" w:type="dxa"/>
            <w:vAlign w:val="center"/>
          </w:tcPr>
          <w:p w14:paraId="58C9DAC0" w14:textId="48E4A06F" w:rsidR="00DC1500" w:rsidRPr="00577C13" w:rsidRDefault="007E49B1" w:rsidP="00B260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Забезпечить с</w:t>
            </w:r>
            <w:r w:rsidR="00DC1500" w:rsidRPr="00577C13">
              <w:rPr>
                <w:rFonts w:ascii="Times New Roman" w:hAnsi="Times New Roman" w:cs="Times New Roman"/>
                <w:sz w:val="28"/>
                <w:szCs w:val="28"/>
              </w:rPr>
              <w:t xml:space="preserve">табільне функціонування </w:t>
            </w:r>
            <w:r w:rsidR="00C01350" w:rsidRPr="00577C13">
              <w:rPr>
                <w:rFonts w:ascii="Times New Roman" w:hAnsi="Times New Roman" w:cs="Times New Roman"/>
                <w:sz w:val="28"/>
                <w:szCs w:val="28"/>
              </w:rPr>
              <w:t>ринку електричної енергії</w:t>
            </w:r>
            <w:r w:rsidR="00F52FC8" w:rsidRPr="00577C1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D848A9F" w14:textId="0336CEBC" w:rsidR="00E5241C" w:rsidRPr="00577C13" w:rsidRDefault="00DC1500" w:rsidP="00EF2E5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77C13">
              <w:rPr>
                <w:rFonts w:ascii="Times New Roman" w:hAnsi="Times New Roman" w:cs="Times New Roman"/>
                <w:sz w:val="28"/>
                <w:szCs w:val="28"/>
              </w:rPr>
              <w:t xml:space="preserve">Реалізація державної політики в сфері </w:t>
            </w:r>
            <w:r w:rsidR="00C01350" w:rsidRPr="00577C13">
              <w:rPr>
                <w:rFonts w:ascii="Times New Roman" w:hAnsi="Times New Roman" w:cs="Times New Roman"/>
                <w:sz w:val="28"/>
                <w:szCs w:val="28"/>
              </w:rPr>
              <w:t>енергетики</w:t>
            </w:r>
            <w:r w:rsidR="00F52FC8" w:rsidRPr="00577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2CDA" w:rsidRPr="00577C13">
              <w:rPr>
                <w:rFonts w:ascii="Times New Roman" w:hAnsi="Times New Roman" w:cs="Times New Roman"/>
                <w:sz w:val="28"/>
                <w:szCs w:val="28"/>
              </w:rPr>
              <w:t>шляхом</w:t>
            </w:r>
            <w:r w:rsidR="00F52FC8" w:rsidRPr="00577C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477D" w:rsidRPr="00577C13">
              <w:rPr>
                <w:rFonts w:ascii="Times New Roman" w:hAnsi="Times New Roman" w:cs="Times New Roman"/>
                <w:sz w:val="28"/>
                <w:szCs w:val="28"/>
              </w:rPr>
              <w:t xml:space="preserve">вдосконалення </w:t>
            </w:r>
            <w:r w:rsidR="00E5241C" w:rsidRPr="00577C13">
              <w:rPr>
                <w:rFonts w:ascii="Times New Roman" w:hAnsi="Times New Roman" w:cs="Times New Roman"/>
                <w:sz w:val="28"/>
                <w:szCs w:val="28"/>
              </w:rPr>
              <w:t xml:space="preserve">тарифної </w:t>
            </w:r>
            <w:r w:rsidR="00E5241C" w:rsidRPr="00577C13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>методології</w:t>
            </w:r>
            <w:r w:rsidR="00577C13" w:rsidRPr="00577C13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 xml:space="preserve"> для ОСР та ПУП</w:t>
            </w:r>
            <w:r w:rsidR="00E5241C" w:rsidRPr="00577C13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 xml:space="preserve">: </w:t>
            </w:r>
            <w:r w:rsidR="00652CDA" w:rsidRPr="00577C13">
              <w:rPr>
                <w:rFonts w:ascii="Times New Roman" w:hAnsi="Times New Roman" w:cs="Times New Roman"/>
                <w:sz w:val="28"/>
                <w:szCs w:val="28"/>
              </w:rPr>
              <w:t xml:space="preserve">положень </w:t>
            </w:r>
            <w:r w:rsidR="00EE1033" w:rsidRPr="00577C1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Постанови № 1009, </w:t>
            </w:r>
            <w:r w:rsidR="00652CDA" w:rsidRPr="00577C13">
              <w:rPr>
                <w:rFonts w:ascii="Times New Roman" w:hAnsi="Times New Roman" w:cs="Times New Roman"/>
                <w:bCs/>
                <w:sz w:val="28"/>
                <w:szCs w:val="28"/>
              </w:rPr>
              <w:t>Порядк</w:t>
            </w:r>
            <w:r w:rsidR="001E11F5" w:rsidRPr="00577C13">
              <w:rPr>
                <w:rFonts w:ascii="Times New Roman" w:hAnsi="Times New Roman" w:cs="Times New Roman"/>
                <w:bCs/>
                <w:sz w:val="28"/>
                <w:szCs w:val="28"/>
              </w:rPr>
              <w:t>ів</w:t>
            </w:r>
            <w:r w:rsidR="00652CDA" w:rsidRPr="00577C1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8F2A82" w:rsidRPr="00577C1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 899, </w:t>
            </w:r>
            <w:r w:rsidR="00652CDA" w:rsidRPr="00577C13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  <w:r w:rsidR="00EE1033" w:rsidRPr="00577C13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="00652CDA" w:rsidRPr="00577C13">
              <w:rPr>
                <w:rFonts w:ascii="Times New Roman" w:hAnsi="Times New Roman" w:cs="Times New Roman"/>
                <w:bCs/>
                <w:sz w:val="28"/>
                <w:szCs w:val="28"/>
              </w:rPr>
              <w:t>1175</w:t>
            </w:r>
            <w:r w:rsidR="001E11F5" w:rsidRPr="00577C13">
              <w:rPr>
                <w:rFonts w:ascii="Times New Roman" w:hAnsi="Times New Roman" w:cs="Times New Roman"/>
                <w:bCs/>
                <w:sz w:val="28"/>
                <w:szCs w:val="28"/>
              </w:rPr>
              <w:t>, №</w:t>
            </w:r>
            <w:r w:rsidR="00652CDA" w:rsidRPr="00577C1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E11F5" w:rsidRPr="00577C1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1176 </w:t>
            </w:r>
            <w:r w:rsidR="00652CDA" w:rsidRPr="00577C13">
              <w:rPr>
                <w:rFonts w:ascii="Times New Roman" w:hAnsi="Times New Roman" w:cs="Times New Roman"/>
                <w:bCs/>
                <w:sz w:val="28"/>
                <w:szCs w:val="28"/>
              </w:rPr>
              <w:t>та</w:t>
            </w:r>
            <w:r w:rsidR="00EE1033" w:rsidRPr="00577C1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Положення № 981</w:t>
            </w:r>
            <w:r w:rsidR="00E5241C" w:rsidRPr="00577C1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зокрема з питання застосування стимулюючого регулювання </w:t>
            </w:r>
            <w:r w:rsidR="008C56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для ОСР </w:t>
            </w:r>
            <w:r w:rsidR="00E5241C" w:rsidRPr="00577C13">
              <w:rPr>
                <w:rFonts w:ascii="Times New Roman" w:hAnsi="Times New Roman" w:cs="Times New Roman"/>
                <w:bCs/>
                <w:sz w:val="28"/>
                <w:szCs w:val="28"/>
              </w:rPr>
              <w:t>в умовах воєнного стану</w:t>
            </w:r>
            <w:r w:rsidR="00577C13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14:paraId="52D9D5EF" w14:textId="5B26931C" w:rsidR="00E5241C" w:rsidRPr="00652CDA" w:rsidRDefault="00E5241C" w:rsidP="00EF2E5C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</w:pPr>
          </w:p>
        </w:tc>
        <w:tc>
          <w:tcPr>
            <w:tcW w:w="1985" w:type="dxa"/>
            <w:vAlign w:val="center"/>
          </w:tcPr>
          <w:p w14:paraId="09F11808" w14:textId="77777777" w:rsidR="00DC1500" w:rsidRPr="00943DFD" w:rsidRDefault="00DC1500" w:rsidP="00DC6752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840" w:rsidRPr="00943DFD" w14:paraId="5942F519" w14:textId="77777777" w:rsidTr="00DC6752">
        <w:trPr>
          <w:trHeight w:val="70"/>
          <w:jc w:val="center"/>
        </w:trPr>
        <w:tc>
          <w:tcPr>
            <w:tcW w:w="3202" w:type="dxa"/>
          </w:tcPr>
          <w:p w14:paraId="32EB7750" w14:textId="77777777" w:rsidR="00DC1500" w:rsidRPr="00943DFD" w:rsidRDefault="00DC1500" w:rsidP="008223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Суб’єкти господарювання</w:t>
            </w:r>
          </w:p>
        </w:tc>
        <w:tc>
          <w:tcPr>
            <w:tcW w:w="4383" w:type="dxa"/>
            <w:vAlign w:val="center"/>
          </w:tcPr>
          <w:p w14:paraId="75B32B2B" w14:textId="18DCFEB7" w:rsidR="008C566E" w:rsidRPr="00577C13" w:rsidRDefault="00F52FC8" w:rsidP="008C566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 xml:space="preserve">Дозволить </w:t>
            </w:r>
            <w:bookmarkStart w:id="1" w:name="_Hlk51591308"/>
            <w:r w:rsidR="008223F7">
              <w:rPr>
                <w:rFonts w:ascii="Times New Roman" w:hAnsi="Times New Roman" w:cs="Times New Roman"/>
                <w:sz w:val="28"/>
                <w:szCs w:val="28"/>
              </w:rPr>
              <w:t xml:space="preserve">удосконалити </w:t>
            </w:r>
            <w:r w:rsidR="00B005DA" w:rsidRPr="00B005DA">
              <w:rPr>
                <w:rFonts w:ascii="Times New Roman" w:hAnsi="Times New Roman" w:cs="Times New Roman"/>
                <w:sz w:val="28"/>
                <w:szCs w:val="28"/>
              </w:rPr>
              <w:t>деякі положення</w:t>
            </w:r>
            <w:r w:rsidR="008C566E" w:rsidRPr="00577C13">
              <w:rPr>
                <w:rFonts w:ascii="Times New Roman" w:hAnsi="Times New Roman" w:cs="Times New Roman"/>
                <w:sz w:val="28"/>
                <w:szCs w:val="28"/>
              </w:rPr>
              <w:t xml:space="preserve"> тарифної </w:t>
            </w:r>
            <w:r w:rsidR="008C566E" w:rsidRPr="00577C13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>методології для ОСР та ПУП</w:t>
            </w:r>
            <w:r w:rsidR="008C566E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 xml:space="preserve"> </w:t>
            </w:r>
            <w:r w:rsidR="008C566E" w:rsidRPr="00577C13">
              <w:rPr>
                <w:rFonts w:ascii="Times New Roman" w:hAnsi="Times New Roman" w:cs="Times New Roman"/>
                <w:bCs/>
                <w:sz w:val="28"/>
                <w:szCs w:val="28"/>
              </w:rPr>
              <w:t>зокрема з питання застосування стимулюючого регулювання</w:t>
            </w:r>
            <w:r w:rsidR="008C56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для ОСР</w:t>
            </w:r>
            <w:r w:rsidR="008C566E" w:rsidRPr="00577C1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умовах воєнного стану</w:t>
            </w:r>
            <w:r w:rsidR="008C566E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bookmarkEnd w:id="1"/>
          <w:p w14:paraId="0E4CF762" w14:textId="712468A7" w:rsidR="00A85BCD" w:rsidRPr="00D66C83" w:rsidRDefault="00A85BCD" w:rsidP="00E40CC7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</w:pPr>
          </w:p>
        </w:tc>
        <w:tc>
          <w:tcPr>
            <w:tcW w:w="1985" w:type="dxa"/>
            <w:vAlign w:val="center"/>
          </w:tcPr>
          <w:p w14:paraId="39BB15E0" w14:textId="77777777" w:rsidR="00DC1500" w:rsidRPr="00943DFD" w:rsidRDefault="00DC1500" w:rsidP="00DC6752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CBA954B" w14:textId="77777777" w:rsidR="00375422" w:rsidRDefault="00375422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AD93B9" w14:textId="77777777" w:rsidR="00DC1500" w:rsidRPr="00943DFD" w:rsidRDefault="00DC1500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3DFD">
        <w:rPr>
          <w:rFonts w:ascii="Times New Roman" w:hAnsi="Times New Roman" w:cs="Times New Roman"/>
          <w:b/>
          <w:bCs/>
          <w:sz w:val="28"/>
          <w:szCs w:val="28"/>
        </w:rPr>
        <w:t>II. Цілі державного регулювання</w:t>
      </w:r>
    </w:p>
    <w:p w14:paraId="1908FF25" w14:textId="77777777" w:rsidR="00DC1500" w:rsidRPr="00943DFD" w:rsidRDefault="00DC1500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CEAD0F1" w14:textId="5BF72C8B" w:rsidR="001F5B1B" w:rsidRPr="008C566E" w:rsidRDefault="00DC1500" w:rsidP="008C56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3DFD">
        <w:rPr>
          <w:rFonts w:ascii="Times New Roman" w:hAnsi="Times New Roman" w:cs="Times New Roman"/>
          <w:sz w:val="28"/>
          <w:szCs w:val="28"/>
        </w:rPr>
        <w:t xml:space="preserve">Метою прийняття </w:t>
      </w:r>
      <w:r w:rsidR="00B26044">
        <w:rPr>
          <w:rFonts w:ascii="Times New Roman" w:hAnsi="Times New Roman" w:cs="Times New Roman"/>
          <w:sz w:val="28"/>
          <w:szCs w:val="28"/>
        </w:rPr>
        <w:t>П</w:t>
      </w:r>
      <w:r w:rsidR="008C6D40" w:rsidRPr="00943DFD">
        <w:rPr>
          <w:rFonts w:ascii="Times New Roman" w:hAnsi="Times New Roman" w:cs="Times New Roman"/>
          <w:sz w:val="28"/>
          <w:szCs w:val="28"/>
        </w:rPr>
        <w:t>роєкту постанови</w:t>
      </w:r>
      <w:r w:rsidRPr="00943DFD">
        <w:rPr>
          <w:rFonts w:ascii="Times New Roman" w:hAnsi="Times New Roman" w:cs="Times New Roman"/>
          <w:sz w:val="28"/>
          <w:szCs w:val="28"/>
        </w:rPr>
        <w:t xml:space="preserve"> </w:t>
      </w:r>
      <w:r w:rsidR="009C561D" w:rsidRPr="00101840">
        <w:rPr>
          <w:rFonts w:ascii="Times New Roman" w:hAnsi="Times New Roman" w:cs="Times New Roman"/>
          <w:sz w:val="28"/>
          <w:szCs w:val="28"/>
        </w:rPr>
        <w:t xml:space="preserve">є </w:t>
      </w:r>
      <w:r w:rsidR="00592E5F">
        <w:rPr>
          <w:rFonts w:ascii="Times New Roman" w:hAnsi="Times New Roman" w:cs="Times New Roman"/>
          <w:bCs/>
          <w:sz w:val="28"/>
          <w:szCs w:val="28"/>
        </w:rPr>
        <w:t xml:space="preserve">актуалізація </w:t>
      </w:r>
      <w:r w:rsidR="00B37F84" w:rsidRPr="00725D1D">
        <w:rPr>
          <w:rFonts w:ascii="Times New Roman" w:hAnsi="Times New Roman" w:cs="Times New Roman"/>
          <w:sz w:val="28"/>
          <w:szCs w:val="28"/>
        </w:rPr>
        <w:t>Постанови</w:t>
      </w:r>
      <w:r w:rsidR="00B37F84" w:rsidRPr="00FC7B8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37F84">
        <w:rPr>
          <w:rFonts w:ascii="Times New Roman" w:hAnsi="Times New Roman" w:cs="Times New Roman"/>
          <w:bCs/>
          <w:sz w:val="28"/>
          <w:szCs w:val="28"/>
        </w:rPr>
        <w:t>№</w:t>
      </w:r>
      <w:r w:rsidR="00B37F84" w:rsidRPr="00FC7B8A">
        <w:rPr>
          <w:rFonts w:ascii="Times New Roman" w:hAnsi="Times New Roman" w:cs="Times New Roman"/>
          <w:bCs/>
          <w:sz w:val="28"/>
          <w:szCs w:val="28"/>
        </w:rPr>
        <w:t> 1009</w:t>
      </w:r>
      <w:r w:rsidR="00B37F8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37F84" w:rsidRPr="00FC7B8A">
        <w:rPr>
          <w:rFonts w:ascii="Times New Roman" w:hAnsi="Times New Roman" w:cs="Times New Roman"/>
          <w:bCs/>
          <w:sz w:val="28"/>
          <w:szCs w:val="28"/>
        </w:rPr>
        <w:t>Порядк</w:t>
      </w:r>
      <w:r w:rsidR="00DA1979">
        <w:rPr>
          <w:rFonts w:ascii="Times New Roman" w:hAnsi="Times New Roman" w:cs="Times New Roman"/>
          <w:bCs/>
          <w:sz w:val="28"/>
          <w:szCs w:val="28"/>
        </w:rPr>
        <w:t>ів</w:t>
      </w:r>
      <w:r w:rsidR="00B37F84" w:rsidRPr="00FC7B8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F5B1B">
        <w:rPr>
          <w:rFonts w:ascii="Times New Roman" w:hAnsi="Times New Roman" w:cs="Times New Roman"/>
          <w:bCs/>
          <w:sz w:val="28"/>
          <w:szCs w:val="28"/>
        </w:rPr>
        <w:t xml:space="preserve">№ 899, </w:t>
      </w:r>
      <w:r w:rsidR="00B37F84">
        <w:rPr>
          <w:rFonts w:ascii="Times New Roman" w:hAnsi="Times New Roman" w:cs="Times New Roman"/>
          <w:bCs/>
          <w:sz w:val="28"/>
          <w:szCs w:val="28"/>
        </w:rPr>
        <w:t>№</w:t>
      </w:r>
      <w:r w:rsidR="00B37F84" w:rsidRPr="00FC7B8A">
        <w:rPr>
          <w:rFonts w:ascii="Times New Roman" w:hAnsi="Times New Roman" w:cs="Times New Roman"/>
          <w:bCs/>
          <w:sz w:val="28"/>
          <w:szCs w:val="28"/>
        </w:rPr>
        <w:t> 1175</w:t>
      </w:r>
      <w:r w:rsidR="00DA1979">
        <w:rPr>
          <w:rFonts w:ascii="Times New Roman" w:hAnsi="Times New Roman" w:cs="Times New Roman"/>
          <w:bCs/>
          <w:sz w:val="28"/>
          <w:szCs w:val="28"/>
        </w:rPr>
        <w:t xml:space="preserve">, № 1176 та </w:t>
      </w:r>
      <w:r w:rsidR="00B37F84">
        <w:rPr>
          <w:rFonts w:ascii="Times New Roman" w:hAnsi="Times New Roman" w:cs="Times New Roman"/>
          <w:bCs/>
          <w:sz w:val="28"/>
          <w:szCs w:val="28"/>
        </w:rPr>
        <w:t>Положення №</w:t>
      </w:r>
      <w:r w:rsidR="00B37F84" w:rsidRPr="00FC7B8A">
        <w:rPr>
          <w:rFonts w:ascii="Times New Roman" w:hAnsi="Times New Roman" w:cs="Times New Roman"/>
          <w:bCs/>
          <w:sz w:val="28"/>
          <w:szCs w:val="28"/>
        </w:rPr>
        <w:t> </w:t>
      </w:r>
      <w:r w:rsidR="00B37F84">
        <w:rPr>
          <w:rFonts w:ascii="Times New Roman" w:hAnsi="Times New Roman" w:cs="Times New Roman"/>
          <w:bCs/>
          <w:sz w:val="28"/>
          <w:szCs w:val="28"/>
        </w:rPr>
        <w:t>981</w:t>
      </w:r>
      <w:r w:rsidR="008C56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C566E" w:rsidRPr="00577C13">
        <w:rPr>
          <w:rFonts w:ascii="Times New Roman" w:hAnsi="Times New Roman" w:cs="Times New Roman"/>
          <w:bCs/>
          <w:sz w:val="28"/>
          <w:szCs w:val="28"/>
        </w:rPr>
        <w:t xml:space="preserve">зокрема з питання застосування </w:t>
      </w:r>
      <w:r w:rsidR="008C566E">
        <w:rPr>
          <w:rFonts w:ascii="Times New Roman" w:hAnsi="Times New Roman" w:cs="Times New Roman"/>
          <w:bCs/>
          <w:sz w:val="28"/>
          <w:szCs w:val="28"/>
        </w:rPr>
        <w:t>тарифної методології</w:t>
      </w:r>
      <w:r w:rsidR="008C566E" w:rsidRPr="00577C13">
        <w:rPr>
          <w:rFonts w:ascii="Times New Roman" w:hAnsi="Times New Roman" w:cs="Times New Roman"/>
          <w:bCs/>
          <w:sz w:val="28"/>
          <w:szCs w:val="28"/>
        </w:rPr>
        <w:t xml:space="preserve"> в умовах воєнного стану</w:t>
      </w:r>
      <w:r w:rsidR="008C566E">
        <w:rPr>
          <w:rFonts w:ascii="Times New Roman" w:hAnsi="Times New Roman" w:cs="Times New Roman"/>
          <w:sz w:val="28"/>
          <w:szCs w:val="28"/>
        </w:rPr>
        <w:t xml:space="preserve"> </w:t>
      </w:r>
      <w:r w:rsidR="001F5B1B">
        <w:rPr>
          <w:rFonts w:ascii="Times New Roman" w:hAnsi="Times New Roman" w:cs="Times New Roman"/>
          <w:bCs/>
          <w:sz w:val="28"/>
          <w:szCs w:val="28"/>
        </w:rPr>
        <w:t xml:space="preserve">та забезпечення </w:t>
      </w:r>
      <w:r w:rsidR="001F5B1B">
        <w:rPr>
          <w:rFonts w:ascii="Times New Roman" w:hAnsi="Times New Roman" w:cs="Times New Roman"/>
          <w:sz w:val="28"/>
          <w:szCs w:val="28"/>
        </w:rPr>
        <w:t xml:space="preserve">коректного вираховування показників та складових при </w:t>
      </w:r>
      <w:r w:rsidR="001F5B1B">
        <w:rPr>
          <w:rFonts w:ascii="Times New Roman" w:hAnsi="Times New Roman" w:cs="Times New Roman"/>
          <w:bCs/>
          <w:sz w:val="28"/>
          <w:szCs w:val="28"/>
        </w:rPr>
        <w:t>формуванні та встановленні тарифів на послуги з розподілу електричної енергії</w:t>
      </w:r>
      <w:r w:rsidR="00B37F84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 </w:t>
      </w:r>
      <w:r w:rsidR="00B37F84" w:rsidRPr="00E40CC7">
        <w:rPr>
          <w:rFonts w:ascii="Times New Roman" w:eastAsia="SimSun" w:hAnsi="Times New Roman" w:cs="Times New Roman"/>
          <w:i/>
          <w:sz w:val="28"/>
          <w:szCs w:val="28"/>
          <w:lang w:bidi="ta-IN"/>
        </w:rPr>
        <w:t>(</w:t>
      </w:r>
      <w:r w:rsidR="00B37F84" w:rsidRPr="00E40CC7">
        <w:rPr>
          <w:rFonts w:ascii="Times New Roman" w:hAnsi="Times New Roman" w:cs="Times New Roman"/>
          <w:i/>
          <w:sz w:val="28"/>
          <w:szCs w:val="28"/>
        </w:rPr>
        <w:t>яким встановлено тарифи на послуги з розподілу електричної енергії із застосуванням стимулюючого регулювання</w:t>
      </w:r>
      <w:r w:rsidR="00B37F84" w:rsidRPr="00E40CC7">
        <w:rPr>
          <w:rFonts w:ascii="Times New Roman" w:hAnsi="Times New Roman" w:cs="Times New Roman"/>
          <w:bCs/>
          <w:i/>
          <w:sz w:val="28"/>
          <w:szCs w:val="28"/>
        </w:rPr>
        <w:t xml:space="preserve"> та із застосуванням методології «витрати +»)</w:t>
      </w:r>
      <w:r w:rsidR="00827084">
        <w:rPr>
          <w:rFonts w:ascii="Times New Roman" w:hAnsi="Times New Roman" w:cs="Times New Roman"/>
          <w:bCs/>
          <w:sz w:val="28"/>
          <w:szCs w:val="28"/>
        </w:rPr>
        <w:t xml:space="preserve"> та тарифу на послуги постачальника універсальних послуг, що здійснюють діяльність на прифронтових територіях</w:t>
      </w:r>
      <w:r w:rsidR="00C027F8">
        <w:rPr>
          <w:rFonts w:ascii="Times New Roman" w:hAnsi="Times New Roman" w:cs="Times New Roman"/>
          <w:sz w:val="28"/>
          <w:szCs w:val="28"/>
        </w:rPr>
        <w:t>.</w:t>
      </w:r>
      <w:r w:rsidR="00DA1979" w:rsidRPr="00DA197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11A2F8D9" w14:textId="77777777" w:rsidR="001F5B1B" w:rsidRDefault="001F5B1B" w:rsidP="006C13C0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14:paraId="577C7B96" w14:textId="208B0DF3" w:rsidR="00DC1500" w:rsidRDefault="00DC1500" w:rsidP="006C13C0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943DFD">
        <w:rPr>
          <w:rFonts w:ascii="Times New Roman" w:hAnsi="Times New Roman" w:cs="Times New Roman"/>
          <w:b/>
          <w:bCs/>
          <w:sz w:val="28"/>
          <w:szCs w:val="28"/>
        </w:rPr>
        <w:t>III. Визначення та оцінка альтернативних способів досягнення цілей</w:t>
      </w:r>
    </w:p>
    <w:p w14:paraId="5D9E07C0" w14:textId="77777777" w:rsidR="00014069" w:rsidRDefault="00014069" w:rsidP="00C15B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29C3DEC" w14:textId="77777777" w:rsidR="00DC1500" w:rsidRPr="00943DFD" w:rsidRDefault="00C15B38" w:rsidP="00C15B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C1500" w:rsidRPr="00943DFD">
        <w:rPr>
          <w:rFonts w:ascii="Times New Roman" w:hAnsi="Times New Roman" w:cs="Times New Roman"/>
          <w:sz w:val="28"/>
          <w:szCs w:val="28"/>
        </w:rPr>
        <w:t>Визначення альтернативних способів</w:t>
      </w:r>
    </w:p>
    <w:p w14:paraId="0F00532A" w14:textId="77777777" w:rsidR="00DC1500" w:rsidRPr="00943DFD" w:rsidRDefault="00DC1500" w:rsidP="00DC6752">
      <w:pPr>
        <w:spacing w:after="0" w:line="240" w:lineRule="auto"/>
        <w:ind w:left="1068"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6"/>
        <w:gridCol w:w="4784"/>
      </w:tblGrid>
      <w:tr w:rsidR="00101840" w:rsidRPr="00943DFD" w14:paraId="1B6EE22E" w14:textId="77777777" w:rsidTr="00BD52D9">
        <w:trPr>
          <w:trHeight w:val="496"/>
          <w:jc w:val="center"/>
        </w:trPr>
        <w:tc>
          <w:tcPr>
            <w:tcW w:w="4786" w:type="dxa"/>
          </w:tcPr>
          <w:p w14:paraId="1A83303A" w14:textId="77777777" w:rsidR="00DC1500" w:rsidRPr="00943DFD" w:rsidRDefault="00DC1500" w:rsidP="00DC6752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Вид альтернативи</w:t>
            </w:r>
          </w:p>
        </w:tc>
        <w:tc>
          <w:tcPr>
            <w:tcW w:w="4784" w:type="dxa"/>
          </w:tcPr>
          <w:p w14:paraId="35DDDCDD" w14:textId="77777777" w:rsidR="00DC1500" w:rsidRPr="00943DFD" w:rsidRDefault="00DC1500" w:rsidP="00DC6752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Опис альтернативи</w:t>
            </w:r>
          </w:p>
        </w:tc>
      </w:tr>
      <w:tr w:rsidR="00101840" w:rsidRPr="00943DFD" w14:paraId="0B4F8D3C" w14:textId="77777777" w:rsidTr="00DC6752">
        <w:trPr>
          <w:trHeight w:val="1134"/>
          <w:jc w:val="center"/>
        </w:trPr>
        <w:tc>
          <w:tcPr>
            <w:tcW w:w="4786" w:type="dxa"/>
          </w:tcPr>
          <w:p w14:paraId="07E7B4AA" w14:textId="77777777" w:rsidR="00DC1500" w:rsidRPr="00943DFD" w:rsidRDefault="00DC1500" w:rsidP="00DC6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 1.</w:t>
            </w:r>
          </w:p>
          <w:p w14:paraId="5F0A88D7" w14:textId="77777777" w:rsidR="00DC1500" w:rsidRPr="00943DFD" w:rsidRDefault="00DC1500" w:rsidP="00DC6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Збереження чинного регулювання</w:t>
            </w:r>
          </w:p>
        </w:tc>
        <w:tc>
          <w:tcPr>
            <w:tcW w:w="4784" w:type="dxa"/>
          </w:tcPr>
          <w:p w14:paraId="32308AF4" w14:textId="41AB64E5" w:rsidR="00DB6DB7" w:rsidRPr="00943DFD" w:rsidRDefault="00725D1D" w:rsidP="00611E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005DA">
              <w:rPr>
                <w:rFonts w:ascii="Times New Roman" w:hAnsi="Times New Roman" w:cs="Times New Roman"/>
                <w:sz w:val="28"/>
                <w:szCs w:val="28"/>
              </w:rPr>
              <w:t>оложе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ння нормативно-правових актів </w:t>
            </w:r>
            <w:r w:rsidR="00827084">
              <w:rPr>
                <w:rFonts w:ascii="Times New Roman" w:hAnsi="Times New Roman" w:cs="Times New Roman"/>
                <w:sz w:val="28"/>
                <w:szCs w:val="28"/>
              </w:rPr>
              <w:t xml:space="preserve">НКРЕ 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НКРЕКП щодо </w:t>
            </w:r>
            <w:r w:rsidRPr="00652CDA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 xml:space="preserve">тарифоутворення для </w:t>
            </w:r>
            <w:r w:rsidR="001F5B1B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>ОСР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 xml:space="preserve"> </w:t>
            </w:r>
            <w:r w:rsidR="001F5B1B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 xml:space="preserve">та ПУП </w:t>
            </w:r>
            <w:r w:rsidR="00F12EE7">
              <w:rPr>
                <w:rFonts w:ascii="Times New Roman" w:hAnsi="Times New Roman" w:cs="Times New Roman"/>
                <w:sz w:val="28"/>
                <w:szCs w:val="28"/>
              </w:rPr>
              <w:t xml:space="preserve">на 2025 рік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8B074C" w:rsidRPr="00943DFD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r w:rsidR="008C566E">
              <w:rPr>
                <w:rFonts w:ascii="Times New Roman" w:hAnsi="Times New Roman" w:cs="Times New Roman"/>
                <w:sz w:val="28"/>
                <w:szCs w:val="28"/>
              </w:rPr>
              <w:t xml:space="preserve">враховують </w:t>
            </w:r>
            <w:r w:rsidR="008C566E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 xml:space="preserve">особливості діяльності ліцензіатів </w:t>
            </w:r>
            <w:r w:rsidR="008C566E">
              <w:rPr>
                <w:rFonts w:ascii="Times New Roman" w:hAnsi="Times New Roman" w:cs="Times New Roman"/>
                <w:sz w:val="28"/>
                <w:szCs w:val="28"/>
              </w:rPr>
              <w:t>в частині</w:t>
            </w:r>
            <w:r w:rsidR="008C56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8C566E" w:rsidRPr="00577C1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застосування </w:t>
            </w:r>
            <w:r w:rsidR="008C566E">
              <w:rPr>
                <w:rFonts w:ascii="Times New Roman" w:hAnsi="Times New Roman" w:cs="Times New Roman"/>
                <w:bCs/>
                <w:sz w:val="28"/>
                <w:szCs w:val="28"/>
              </w:rPr>
              <w:t>тарифної методології</w:t>
            </w:r>
            <w:r w:rsidR="008C566E" w:rsidRPr="00577C1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умовах воєнного стану</w:t>
            </w:r>
            <w:r w:rsidR="008C566E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8F37C0" w:rsidRPr="00943DFD" w14:paraId="4BC9B3AE" w14:textId="77777777" w:rsidTr="00DC6752">
        <w:trPr>
          <w:trHeight w:val="317"/>
          <w:jc w:val="center"/>
        </w:trPr>
        <w:tc>
          <w:tcPr>
            <w:tcW w:w="4786" w:type="dxa"/>
          </w:tcPr>
          <w:p w14:paraId="05E9DB11" w14:textId="77777777" w:rsidR="008F37C0" w:rsidRPr="00943DFD" w:rsidRDefault="008F37C0" w:rsidP="008F37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 2.</w:t>
            </w:r>
          </w:p>
          <w:p w14:paraId="7785CB5A" w14:textId="77777777" w:rsidR="008F37C0" w:rsidRPr="00943DFD" w:rsidRDefault="008F37C0" w:rsidP="008F37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 xml:space="preserve">Внесення змін до чинного регуляторного </w:t>
            </w:r>
            <w:proofErr w:type="spellStart"/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акта</w:t>
            </w:r>
            <w:proofErr w:type="spellEnd"/>
          </w:p>
        </w:tc>
        <w:tc>
          <w:tcPr>
            <w:tcW w:w="4784" w:type="dxa"/>
          </w:tcPr>
          <w:p w14:paraId="723B363F" w14:textId="4D2CC74D" w:rsidR="008C566E" w:rsidRDefault="00211F26" w:rsidP="008F1C2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1C5FB3" w:rsidRPr="00BC477D">
              <w:rPr>
                <w:rFonts w:ascii="Times New Roman" w:hAnsi="Times New Roman" w:cs="Times New Roman"/>
                <w:bCs/>
                <w:sz w:val="28"/>
                <w:szCs w:val="28"/>
              </w:rPr>
              <w:t>ктуаліз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ує</w:t>
            </w:r>
            <w:r w:rsidR="001C5FB3" w:rsidRPr="00BC47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окрем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і</w:t>
            </w:r>
            <w:r w:rsidR="001C5FB3" w:rsidRPr="00BC47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положен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ня</w:t>
            </w:r>
            <w:r w:rsidR="001C5FB3" w:rsidRPr="00BC47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8C56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8C566E" w:rsidRPr="00652CDA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 xml:space="preserve">тарифоутворення для </w:t>
            </w:r>
            <w:r w:rsidR="008C566E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 xml:space="preserve">ОСР та ПУП </w:t>
            </w:r>
            <w:r w:rsidR="008C566E">
              <w:rPr>
                <w:rFonts w:ascii="Times New Roman" w:hAnsi="Times New Roman" w:cs="Times New Roman"/>
                <w:sz w:val="28"/>
                <w:szCs w:val="28"/>
              </w:rPr>
              <w:t xml:space="preserve">з метою врахування </w:t>
            </w:r>
            <w:r w:rsidR="008C566E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 xml:space="preserve">особливостей діяльності ліцензіатів </w:t>
            </w:r>
            <w:r w:rsidR="008C566E">
              <w:rPr>
                <w:rFonts w:ascii="Times New Roman" w:hAnsi="Times New Roman" w:cs="Times New Roman"/>
                <w:sz w:val="28"/>
                <w:szCs w:val="28"/>
              </w:rPr>
              <w:t>в частині</w:t>
            </w:r>
            <w:r w:rsidR="008C56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8C566E" w:rsidRPr="00577C1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застосування </w:t>
            </w:r>
            <w:r w:rsidR="008C566E">
              <w:rPr>
                <w:rFonts w:ascii="Times New Roman" w:hAnsi="Times New Roman" w:cs="Times New Roman"/>
                <w:bCs/>
                <w:sz w:val="28"/>
                <w:szCs w:val="28"/>
              </w:rPr>
              <w:t>тарифної методології</w:t>
            </w:r>
            <w:r w:rsidR="008C566E" w:rsidRPr="00577C1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умовах воєнного стану</w:t>
            </w:r>
            <w:r w:rsidR="008C566E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14:paraId="74F3E5F4" w14:textId="49E6B482" w:rsidR="008F37C0" w:rsidRPr="001C5FB3" w:rsidRDefault="008F37C0" w:rsidP="008F1C2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14:paraId="13FF05BC" w14:textId="77777777" w:rsidR="000E0120" w:rsidRDefault="000E0120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98BC9E0" w14:textId="77777777" w:rsidR="00DC1500" w:rsidRPr="00943DFD" w:rsidRDefault="00DC1500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3DFD">
        <w:rPr>
          <w:rFonts w:ascii="Times New Roman" w:hAnsi="Times New Roman" w:cs="Times New Roman"/>
          <w:sz w:val="28"/>
          <w:szCs w:val="28"/>
        </w:rPr>
        <w:t>2. Оцінка вибраних альтернативних способів досягнення цілей</w:t>
      </w:r>
    </w:p>
    <w:p w14:paraId="42CC6247" w14:textId="77777777" w:rsidR="00DC1500" w:rsidRPr="00943DFD" w:rsidRDefault="00DC1500" w:rsidP="00DC6752">
      <w:pPr>
        <w:pStyle w:val="aa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5E317B5" w14:textId="77777777" w:rsidR="00DC1500" w:rsidRPr="00C15B38" w:rsidRDefault="00DC1500" w:rsidP="00C15B38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B38">
        <w:rPr>
          <w:rFonts w:ascii="Times New Roman" w:hAnsi="Times New Roman" w:cs="Times New Roman"/>
          <w:sz w:val="28"/>
          <w:szCs w:val="28"/>
        </w:rPr>
        <w:t>оцінка впливу на сферу інтересів держави:</w:t>
      </w:r>
    </w:p>
    <w:p w14:paraId="64115364" w14:textId="77777777" w:rsidR="00DC6752" w:rsidRPr="00943DFD" w:rsidRDefault="00DC6752" w:rsidP="00DC6752">
      <w:pPr>
        <w:pStyle w:val="aa"/>
        <w:spacing w:after="0" w:line="240" w:lineRule="auto"/>
        <w:ind w:left="164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4779"/>
        <w:gridCol w:w="3686"/>
        <w:gridCol w:w="1276"/>
      </w:tblGrid>
      <w:tr w:rsidR="00101840" w:rsidRPr="00943DFD" w14:paraId="007610E4" w14:textId="77777777" w:rsidTr="00DC6752">
        <w:trPr>
          <w:trHeight w:val="28"/>
          <w:jc w:val="center"/>
        </w:trPr>
        <w:tc>
          <w:tcPr>
            <w:tcW w:w="4779" w:type="dxa"/>
          </w:tcPr>
          <w:p w14:paraId="07B91EF7" w14:textId="77777777" w:rsidR="00DC1500" w:rsidRPr="00943DFD" w:rsidRDefault="00DC1500" w:rsidP="00A04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Вид альтернативи</w:t>
            </w:r>
          </w:p>
        </w:tc>
        <w:tc>
          <w:tcPr>
            <w:tcW w:w="3686" w:type="dxa"/>
          </w:tcPr>
          <w:p w14:paraId="63E591F7" w14:textId="77777777" w:rsidR="00DC1500" w:rsidRPr="00943DFD" w:rsidRDefault="00DC1500" w:rsidP="00A04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Вигоди</w:t>
            </w:r>
          </w:p>
        </w:tc>
        <w:tc>
          <w:tcPr>
            <w:tcW w:w="1276" w:type="dxa"/>
          </w:tcPr>
          <w:p w14:paraId="791D9F52" w14:textId="77777777" w:rsidR="00DC1500" w:rsidRPr="00943DFD" w:rsidRDefault="00DC1500" w:rsidP="00A04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Витрати</w:t>
            </w:r>
          </w:p>
        </w:tc>
      </w:tr>
      <w:tr w:rsidR="00101840" w:rsidRPr="00943DFD" w14:paraId="72503BED" w14:textId="77777777" w:rsidTr="00DC6752">
        <w:trPr>
          <w:trHeight w:val="169"/>
          <w:jc w:val="center"/>
        </w:trPr>
        <w:tc>
          <w:tcPr>
            <w:tcW w:w="4779" w:type="dxa"/>
          </w:tcPr>
          <w:p w14:paraId="4C72B74B" w14:textId="77777777" w:rsidR="00DC1500" w:rsidRPr="00943DFD" w:rsidRDefault="00DC1500" w:rsidP="00DC6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 1.</w:t>
            </w:r>
          </w:p>
          <w:p w14:paraId="67EEA87D" w14:textId="77777777" w:rsidR="00DC1500" w:rsidRPr="00943DFD" w:rsidRDefault="00DC1500" w:rsidP="00DC6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Збереження чинного регулювання</w:t>
            </w:r>
          </w:p>
        </w:tc>
        <w:tc>
          <w:tcPr>
            <w:tcW w:w="3686" w:type="dxa"/>
          </w:tcPr>
          <w:p w14:paraId="49C2AC76" w14:textId="77777777" w:rsidR="00DC1500" w:rsidRPr="00943DFD" w:rsidRDefault="00DC1500" w:rsidP="00A045B4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</w:pPr>
            <w:r w:rsidRPr="00943DFD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>Відсутні</w:t>
            </w:r>
          </w:p>
        </w:tc>
        <w:tc>
          <w:tcPr>
            <w:tcW w:w="1276" w:type="dxa"/>
          </w:tcPr>
          <w:p w14:paraId="4C5EF7AB" w14:textId="77777777" w:rsidR="00DC1500" w:rsidRPr="00943DFD" w:rsidRDefault="00DC1500" w:rsidP="00A045B4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</w:pPr>
            <w:r w:rsidRPr="00943DFD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>Відсутні</w:t>
            </w:r>
          </w:p>
        </w:tc>
      </w:tr>
      <w:tr w:rsidR="00101840" w:rsidRPr="00943DFD" w14:paraId="5E28433F" w14:textId="77777777" w:rsidTr="00DC6752">
        <w:trPr>
          <w:jc w:val="center"/>
        </w:trPr>
        <w:tc>
          <w:tcPr>
            <w:tcW w:w="4779" w:type="dxa"/>
          </w:tcPr>
          <w:p w14:paraId="0B17E704" w14:textId="77777777" w:rsidR="00DC1500" w:rsidRPr="00943DFD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 2.</w:t>
            </w:r>
          </w:p>
          <w:p w14:paraId="2F0637EE" w14:textId="77777777" w:rsidR="00DC1500" w:rsidRPr="00943DFD" w:rsidRDefault="00092636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 xml:space="preserve">Внесення змін до чинного регуляторного </w:t>
            </w:r>
            <w:proofErr w:type="spellStart"/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акта</w:t>
            </w:r>
            <w:proofErr w:type="spellEnd"/>
          </w:p>
        </w:tc>
        <w:tc>
          <w:tcPr>
            <w:tcW w:w="3686" w:type="dxa"/>
          </w:tcPr>
          <w:p w14:paraId="67DC88DE" w14:textId="2B5B731F" w:rsidR="00376D71" w:rsidRDefault="00616112" w:rsidP="00376D7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Удосконалює </w:t>
            </w:r>
            <w:r w:rsidRPr="00B005DA">
              <w:rPr>
                <w:rFonts w:ascii="Times New Roman" w:hAnsi="Times New Roman" w:cs="Times New Roman"/>
                <w:sz w:val="28"/>
                <w:szCs w:val="28"/>
              </w:rPr>
              <w:t>деяк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B005DA">
              <w:rPr>
                <w:rFonts w:ascii="Times New Roman" w:hAnsi="Times New Roman" w:cs="Times New Roman"/>
                <w:sz w:val="28"/>
                <w:szCs w:val="28"/>
              </w:rPr>
              <w:t xml:space="preserve"> положен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ня</w:t>
            </w:r>
            <w:r w:rsidRPr="00B005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561D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нормативно-правових актів </w:t>
            </w:r>
            <w:r w:rsidR="00291960">
              <w:rPr>
                <w:rFonts w:ascii="Times New Roman" w:hAnsi="Times New Roman" w:cs="Times New Roman"/>
                <w:sz w:val="28"/>
                <w:szCs w:val="28"/>
              </w:rPr>
              <w:t xml:space="preserve">НКРЕ та </w:t>
            </w:r>
            <w:r w:rsidR="009C561D">
              <w:rPr>
                <w:rFonts w:ascii="Times New Roman" w:hAnsi="Times New Roman" w:cs="Times New Roman"/>
                <w:sz w:val="28"/>
                <w:szCs w:val="28"/>
              </w:rPr>
              <w:t>НКРЕКП</w:t>
            </w:r>
            <w:r w:rsidR="00BD52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401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частині </w:t>
            </w:r>
            <w:r w:rsidR="0007401F" w:rsidRPr="00652CDA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 xml:space="preserve">тарифоутворення для </w:t>
            </w:r>
            <w:r w:rsidR="00291960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 xml:space="preserve">ОСР, </w:t>
            </w:r>
            <w:r w:rsidR="00291960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lastRenderedPageBreak/>
              <w:t>прифронтових ОСР та ПУП</w:t>
            </w:r>
            <w:r w:rsidR="00376D71">
              <w:rPr>
                <w:rFonts w:ascii="Times New Roman" w:hAnsi="Times New Roman" w:cs="Times New Roman"/>
                <w:sz w:val="28"/>
                <w:szCs w:val="28"/>
              </w:rPr>
              <w:t xml:space="preserve"> з метою врахування </w:t>
            </w:r>
            <w:r w:rsidR="00376D71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 xml:space="preserve">особливостей діяльності ліцензіатів </w:t>
            </w:r>
            <w:r w:rsidR="00376D71">
              <w:rPr>
                <w:rFonts w:ascii="Times New Roman" w:hAnsi="Times New Roman" w:cs="Times New Roman"/>
                <w:sz w:val="28"/>
                <w:szCs w:val="28"/>
              </w:rPr>
              <w:t>в частині</w:t>
            </w:r>
            <w:r w:rsidR="00376D7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376D71" w:rsidRPr="00577C1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застосування </w:t>
            </w:r>
            <w:r w:rsidR="00376D71">
              <w:rPr>
                <w:rFonts w:ascii="Times New Roman" w:hAnsi="Times New Roman" w:cs="Times New Roman"/>
                <w:bCs/>
                <w:sz w:val="28"/>
                <w:szCs w:val="28"/>
              </w:rPr>
              <w:t>тарифної методології</w:t>
            </w:r>
            <w:r w:rsidR="00376D71" w:rsidRPr="00577C1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умовах воєнного стану</w:t>
            </w:r>
            <w:r w:rsidR="00376D71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14:paraId="1C9C7723" w14:textId="6E5C3E3B" w:rsidR="0077202A" w:rsidRPr="00943DFD" w:rsidRDefault="0077202A" w:rsidP="008F1C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9932CBE" w14:textId="77777777" w:rsidR="00DC1500" w:rsidRPr="00943DFD" w:rsidRDefault="00DC1500" w:rsidP="00A045B4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</w:pPr>
            <w:r w:rsidRPr="00943DFD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lastRenderedPageBreak/>
              <w:t>Відсутні</w:t>
            </w:r>
          </w:p>
        </w:tc>
      </w:tr>
    </w:tbl>
    <w:p w14:paraId="49A8BA01" w14:textId="77777777" w:rsidR="00476B9E" w:rsidRPr="00943DFD" w:rsidRDefault="00476B9E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8F48457" w14:textId="77777777" w:rsidR="00DC1500" w:rsidRPr="00C15B38" w:rsidRDefault="00DC1500" w:rsidP="00C15B38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B38">
        <w:rPr>
          <w:rFonts w:ascii="Times New Roman" w:hAnsi="Times New Roman" w:cs="Times New Roman"/>
          <w:sz w:val="28"/>
          <w:szCs w:val="28"/>
        </w:rPr>
        <w:t>оцінка впливу на сферу інтересів громадян:</w:t>
      </w:r>
    </w:p>
    <w:p w14:paraId="0785DE7E" w14:textId="77777777" w:rsidR="00DC6752" w:rsidRPr="00DC6752" w:rsidRDefault="00DC6752" w:rsidP="00DC6752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43"/>
        <w:gridCol w:w="2580"/>
        <w:gridCol w:w="1531"/>
      </w:tblGrid>
      <w:tr w:rsidR="00101840" w:rsidRPr="00943DFD" w14:paraId="64972574" w14:textId="77777777" w:rsidTr="00DC6752">
        <w:trPr>
          <w:jc w:val="center"/>
        </w:trPr>
        <w:tc>
          <w:tcPr>
            <w:tcW w:w="5743" w:type="dxa"/>
          </w:tcPr>
          <w:p w14:paraId="35B535EE" w14:textId="77777777" w:rsidR="00DC1500" w:rsidRPr="00943DFD" w:rsidRDefault="00DC1500" w:rsidP="00A045B4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Вид альтернативи</w:t>
            </w:r>
          </w:p>
        </w:tc>
        <w:tc>
          <w:tcPr>
            <w:tcW w:w="2580" w:type="dxa"/>
          </w:tcPr>
          <w:p w14:paraId="03E2C11C" w14:textId="77777777" w:rsidR="00DC1500" w:rsidRPr="00943DFD" w:rsidRDefault="00DC1500" w:rsidP="00A04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Вигоди</w:t>
            </w:r>
          </w:p>
        </w:tc>
        <w:tc>
          <w:tcPr>
            <w:tcW w:w="1531" w:type="dxa"/>
          </w:tcPr>
          <w:p w14:paraId="2D16F3E3" w14:textId="77777777" w:rsidR="00DC1500" w:rsidRPr="00943DFD" w:rsidRDefault="00DC1500" w:rsidP="00A04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Витрати</w:t>
            </w:r>
          </w:p>
        </w:tc>
      </w:tr>
      <w:tr w:rsidR="00101840" w:rsidRPr="00943DFD" w14:paraId="367F4C08" w14:textId="77777777" w:rsidTr="00DC6752">
        <w:trPr>
          <w:jc w:val="center"/>
        </w:trPr>
        <w:tc>
          <w:tcPr>
            <w:tcW w:w="5743" w:type="dxa"/>
          </w:tcPr>
          <w:p w14:paraId="1584B2C1" w14:textId="77777777" w:rsidR="00DC1500" w:rsidRPr="00943DFD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 1.</w:t>
            </w:r>
          </w:p>
          <w:p w14:paraId="1ECA40E6" w14:textId="77777777" w:rsidR="00DC1500" w:rsidRPr="00943DFD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Збереження чинного регулювання</w:t>
            </w:r>
          </w:p>
        </w:tc>
        <w:tc>
          <w:tcPr>
            <w:tcW w:w="2580" w:type="dxa"/>
          </w:tcPr>
          <w:p w14:paraId="50288687" w14:textId="77777777" w:rsidR="00DC1500" w:rsidRPr="00943DFD" w:rsidRDefault="00DC1500" w:rsidP="00A045B4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</w:pPr>
            <w:r w:rsidRPr="00943DFD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>Відсутні</w:t>
            </w:r>
          </w:p>
        </w:tc>
        <w:tc>
          <w:tcPr>
            <w:tcW w:w="1531" w:type="dxa"/>
          </w:tcPr>
          <w:p w14:paraId="3DBDD41E" w14:textId="77777777" w:rsidR="00DC1500" w:rsidRPr="00943DFD" w:rsidRDefault="00DC1500" w:rsidP="00A045B4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</w:pPr>
            <w:r w:rsidRPr="00943DFD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>Відсутні</w:t>
            </w:r>
          </w:p>
        </w:tc>
      </w:tr>
      <w:tr w:rsidR="00101840" w:rsidRPr="00943DFD" w14:paraId="4DC433B6" w14:textId="77777777" w:rsidTr="00DC6752">
        <w:trPr>
          <w:jc w:val="center"/>
        </w:trPr>
        <w:tc>
          <w:tcPr>
            <w:tcW w:w="5743" w:type="dxa"/>
          </w:tcPr>
          <w:p w14:paraId="4C948D2C" w14:textId="77777777" w:rsidR="00DC1500" w:rsidRPr="00943DFD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 2.</w:t>
            </w:r>
          </w:p>
          <w:p w14:paraId="79F8A8A6" w14:textId="77777777" w:rsidR="00DC1500" w:rsidRPr="00943DFD" w:rsidRDefault="00411CCB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Внесення змін до чинн</w:t>
            </w:r>
            <w:r w:rsidR="00092636" w:rsidRPr="00943DFD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 xml:space="preserve"> регуляторн</w:t>
            </w:r>
            <w:r w:rsidR="00092636" w:rsidRPr="00943DFD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акт</w:t>
            </w:r>
            <w:r w:rsidR="00092636" w:rsidRPr="00943DF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</w:p>
        </w:tc>
        <w:tc>
          <w:tcPr>
            <w:tcW w:w="2580" w:type="dxa"/>
          </w:tcPr>
          <w:p w14:paraId="536AD613" w14:textId="77777777" w:rsidR="00DC1500" w:rsidRPr="00943DFD" w:rsidRDefault="008223F7" w:rsidP="00A045B4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>Відсутні</w:t>
            </w:r>
          </w:p>
        </w:tc>
        <w:tc>
          <w:tcPr>
            <w:tcW w:w="1531" w:type="dxa"/>
          </w:tcPr>
          <w:p w14:paraId="44A374CA" w14:textId="77777777" w:rsidR="00DC1500" w:rsidRPr="00943DFD" w:rsidRDefault="00DC1500" w:rsidP="00A045B4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</w:pPr>
            <w:r w:rsidRPr="00943DFD">
              <w:rPr>
                <w:rFonts w:ascii="Times New Roman" w:hAnsi="Times New Roman"/>
                <w:b w:val="0"/>
                <w:color w:val="auto"/>
                <w:sz w:val="28"/>
                <w:szCs w:val="28"/>
                <w:lang w:val="uk-UA"/>
              </w:rPr>
              <w:t>Відсутні</w:t>
            </w:r>
          </w:p>
        </w:tc>
      </w:tr>
    </w:tbl>
    <w:p w14:paraId="7B00AE25" w14:textId="77777777" w:rsidR="00014069" w:rsidRDefault="00C15B38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6425CA42" w14:textId="77777777" w:rsidR="00DC1500" w:rsidRPr="00943DFD" w:rsidRDefault="00DC1500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3DFD">
        <w:rPr>
          <w:rFonts w:ascii="Times New Roman" w:hAnsi="Times New Roman" w:cs="Times New Roman"/>
          <w:sz w:val="28"/>
          <w:szCs w:val="28"/>
        </w:rPr>
        <w:t>3) оцінка впливу на сферу інтересів суб’єктів господарювання:</w:t>
      </w:r>
    </w:p>
    <w:p w14:paraId="18CD39E5" w14:textId="77777777" w:rsidR="00B26044" w:rsidRPr="00943DFD" w:rsidRDefault="00B26044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3894"/>
        <w:gridCol w:w="4327"/>
        <w:gridCol w:w="1661"/>
      </w:tblGrid>
      <w:tr w:rsidR="00101840" w:rsidRPr="00943DFD" w14:paraId="64DD23BC" w14:textId="77777777" w:rsidTr="00DC5497">
        <w:trPr>
          <w:trHeight w:val="28"/>
          <w:jc w:val="center"/>
        </w:trPr>
        <w:tc>
          <w:tcPr>
            <w:tcW w:w="3894" w:type="dxa"/>
          </w:tcPr>
          <w:p w14:paraId="1432B998" w14:textId="77777777" w:rsidR="00DC1500" w:rsidRPr="00943DFD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Вид альтернативи</w:t>
            </w:r>
          </w:p>
        </w:tc>
        <w:tc>
          <w:tcPr>
            <w:tcW w:w="4327" w:type="dxa"/>
          </w:tcPr>
          <w:p w14:paraId="7906C6EB" w14:textId="77777777" w:rsidR="00DC1500" w:rsidRPr="00943DFD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Вигоди</w:t>
            </w:r>
          </w:p>
        </w:tc>
        <w:tc>
          <w:tcPr>
            <w:tcW w:w="1661" w:type="dxa"/>
          </w:tcPr>
          <w:p w14:paraId="140A293F" w14:textId="77777777" w:rsidR="00DC1500" w:rsidRPr="00943DFD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Витрати</w:t>
            </w:r>
          </w:p>
        </w:tc>
      </w:tr>
      <w:tr w:rsidR="00101840" w:rsidRPr="00943DFD" w14:paraId="17AFEB2C" w14:textId="77777777" w:rsidTr="00DC5497">
        <w:trPr>
          <w:jc w:val="center"/>
        </w:trPr>
        <w:tc>
          <w:tcPr>
            <w:tcW w:w="3894" w:type="dxa"/>
          </w:tcPr>
          <w:p w14:paraId="12B0D8F0" w14:textId="77777777" w:rsidR="00DC1500" w:rsidRPr="00943DFD" w:rsidRDefault="00DC1500" w:rsidP="00DC6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 1.</w:t>
            </w:r>
          </w:p>
          <w:p w14:paraId="257F2969" w14:textId="77777777" w:rsidR="00DC1500" w:rsidRPr="00943DFD" w:rsidRDefault="00DC1500" w:rsidP="00DC6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Збереження чинного регулювання</w:t>
            </w:r>
          </w:p>
        </w:tc>
        <w:tc>
          <w:tcPr>
            <w:tcW w:w="4327" w:type="dxa"/>
          </w:tcPr>
          <w:p w14:paraId="1A6459CB" w14:textId="77777777" w:rsidR="00DC1500" w:rsidRPr="00943DFD" w:rsidRDefault="00DC1500" w:rsidP="00DC6752">
            <w:pPr>
              <w:pStyle w:val="ad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Додаткових витрат немає</w:t>
            </w:r>
          </w:p>
        </w:tc>
        <w:tc>
          <w:tcPr>
            <w:tcW w:w="1661" w:type="dxa"/>
          </w:tcPr>
          <w:p w14:paraId="16D58083" w14:textId="77777777" w:rsidR="00DC1500" w:rsidRPr="00943DFD" w:rsidRDefault="00DC1500" w:rsidP="00DC6752">
            <w:pPr>
              <w:pStyle w:val="ad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</w:t>
            </w:r>
          </w:p>
        </w:tc>
      </w:tr>
      <w:tr w:rsidR="00101840" w:rsidRPr="00943DFD" w14:paraId="6BDB1478" w14:textId="77777777" w:rsidTr="00DC5497">
        <w:trPr>
          <w:jc w:val="center"/>
        </w:trPr>
        <w:tc>
          <w:tcPr>
            <w:tcW w:w="3894" w:type="dxa"/>
          </w:tcPr>
          <w:p w14:paraId="52DDB8B2" w14:textId="77777777" w:rsidR="006777CE" w:rsidRPr="00943DFD" w:rsidRDefault="006777CE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 2.</w:t>
            </w:r>
          </w:p>
          <w:p w14:paraId="1F0369F8" w14:textId="77777777" w:rsidR="006777CE" w:rsidRPr="00943DFD" w:rsidRDefault="00411CCB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Внесення змін до чинних регуляторних актів</w:t>
            </w:r>
          </w:p>
        </w:tc>
        <w:tc>
          <w:tcPr>
            <w:tcW w:w="4327" w:type="dxa"/>
          </w:tcPr>
          <w:p w14:paraId="7A28D3AE" w14:textId="674A73F0" w:rsidR="007E49B1" w:rsidRDefault="00607D72" w:rsidP="000650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881">
              <w:rPr>
                <w:rFonts w:ascii="Times New Roman" w:hAnsi="Times New Roman" w:cs="Times New Roman"/>
                <w:sz w:val="28"/>
                <w:szCs w:val="28"/>
              </w:rPr>
              <w:t>Дозволяє удосконалити</w:t>
            </w:r>
            <w:r w:rsidR="00054881" w:rsidRPr="000548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5D4A" w:rsidRPr="00B005DA">
              <w:rPr>
                <w:rFonts w:ascii="Times New Roman" w:hAnsi="Times New Roman" w:cs="Times New Roman"/>
                <w:sz w:val="28"/>
                <w:szCs w:val="28"/>
              </w:rPr>
              <w:t>деяк</w:t>
            </w:r>
            <w:r w:rsidR="006B5D4A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="006B5D4A" w:rsidRPr="00B005DA">
              <w:rPr>
                <w:rFonts w:ascii="Times New Roman" w:hAnsi="Times New Roman" w:cs="Times New Roman"/>
                <w:sz w:val="28"/>
                <w:szCs w:val="28"/>
              </w:rPr>
              <w:t xml:space="preserve"> положен</w:t>
            </w:r>
            <w:r w:rsidR="006B5D4A">
              <w:rPr>
                <w:rFonts w:ascii="Times New Roman" w:hAnsi="Times New Roman" w:cs="Times New Roman"/>
                <w:sz w:val="28"/>
                <w:szCs w:val="28"/>
              </w:rPr>
              <w:t>ня</w:t>
            </w:r>
            <w:r w:rsidR="006B5D4A" w:rsidRPr="00B005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5D4A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нормативно-правових актів НКРЕ та НКРЕКП </w:t>
            </w:r>
            <w:r w:rsidR="006B5D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частині </w:t>
            </w:r>
            <w:r w:rsidR="006B5D4A" w:rsidRPr="00652CDA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 xml:space="preserve">тарифоутворення для </w:t>
            </w:r>
            <w:r w:rsidR="006B5D4A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>ОСР, прифронтових ОСР та ПУП</w:t>
            </w:r>
            <w:r w:rsidR="006B5D4A">
              <w:rPr>
                <w:rFonts w:ascii="Times New Roman" w:hAnsi="Times New Roman" w:cs="Times New Roman"/>
                <w:sz w:val="28"/>
                <w:szCs w:val="28"/>
              </w:rPr>
              <w:t xml:space="preserve"> з метою врахування </w:t>
            </w:r>
            <w:r w:rsidR="006B5D4A">
              <w:rPr>
                <w:rFonts w:ascii="Times New Roman" w:eastAsia="SimSun" w:hAnsi="Times New Roman" w:cs="Times New Roman"/>
                <w:sz w:val="28"/>
                <w:szCs w:val="28"/>
                <w:lang w:bidi="ta-IN"/>
              </w:rPr>
              <w:t xml:space="preserve">особливостей діяльності ліцензіатів </w:t>
            </w:r>
            <w:r w:rsidR="006B5D4A">
              <w:rPr>
                <w:rFonts w:ascii="Times New Roman" w:hAnsi="Times New Roman" w:cs="Times New Roman"/>
                <w:sz w:val="28"/>
                <w:szCs w:val="28"/>
              </w:rPr>
              <w:t>в частині</w:t>
            </w:r>
            <w:r w:rsidR="006B5D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B5D4A" w:rsidRPr="00577C1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застосування </w:t>
            </w:r>
            <w:r w:rsidR="006B5D4A">
              <w:rPr>
                <w:rFonts w:ascii="Times New Roman" w:hAnsi="Times New Roman" w:cs="Times New Roman"/>
                <w:bCs/>
                <w:sz w:val="28"/>
                <w:szCs w:val="28"/>
              </w:rPr>
              <w:t>тарифної методології</w:t>
            </w:r>
            <w:r w:rsidR="006B5D4A" w:rsidRPr="00577C1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умовах воєнного стану</w:t>
            </w:r>
            <w:r w:rsidR="006B5D4A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7E49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14:paraId="610518BF" w14:textId="30217E8B" w:rsidR="006777CE" w:rsidRPr="00054881" w:rsidRDefault="007E49B1" w:rsidP="000650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9B1">
              <w:rPr>
                <w:rFonts w:ascii="Times New Roman" w:hAnsi="Times New Roman" w:cs="Times New Roman"/>
                <w:sz w:val="28"/>
                <w:szCs w:val="28"/>
              </w:rPr>
              <w:t xml:space="preserve">Дозволить в умовах воєнного стану </w:t>
            </w:r>
            <w:proofErr w:type="spellStart"/>
            <w:r w:rsidRPr="007E49B1">
              <w:rPr>
                <w:rFonts w:ascii="Times New Roman" w:hAnsi="Times New Roman" w:cs="Times New Roman"/>
                <w:sz w:val="28"/>
                <w:szCs w:val="28"/>
              </w:rPr>
              <w:t>коректно</w:t>
            </w:r>
            <w:proofErr w:type="spellEnd"/>
            <w:r w:rsidRPr="007E49B1">
              <w:rPr>
                <w:rFonts w:ascii="Times New Roman" w:hAnsi="Times New Roman" w:cs="Times New Roman"/>
                <w:sz w:val="28"/>
                <w:szCs w:val="28"/>
              </w:rPr>
              <w:t xml:space="preserve"> враховувати показники та складові при розрахунку тарифів на послуги з розподілу електричної енергії та на послуги постачальника універсальних послуг</w:t>
            </w:r>
          </w:p>
        </w:tc>
        <w:tc>
          <w:tcPr>
            <w:tcW w:w="1661" w:type="dxa"/>
          </w:tcPr>
          <w:p w14:paraId="7C01CB24" w14:textId="2FBE60E4" w:rsidR="007B5019" w:rsidRPr="0007401F" w:rsidRDefault="007E49B1" w:rsidP="00BD52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Відсутні</w:t>
            </w:r>
          </w:p>
        </w:tc>
      </w:tr>
    </w:tbl>
    <w:p w14:paraId="4EAD2B1E" w14:textId="77777777" w:rsidR="00DC6752" w:rsidRDefault="00DC6752" w:rsidP="00DC6752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5BEA8C" w14:textId="77777777" w:rsidR="00DC1500" w:rsidRDefault="00DC1500" w:rsidP="00DC6752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3DFD">
        <w:rPr>
          <w:rFonts w:ascii="Times New Roman" w:hAnsi="Times New Roman" w:cs="Times New Roman"/>
          <w:b/>
          <w:bCs/>
          <w:sz w:val="28"/>
          <w:szCs w:val="28"/>
        </w:rPr>
        <w:t>IV. Вибір найбільш оптимального альтернативного способу</w:t>
      </w:r>
      <w:r w:rsidRPr="00943DFD">
        <w:rPr>
          <w:rFonts w:ascii="Times New Roman" w:hAnsi="Times New Roman" w:cs="Times New Roman"/>
          <w:b/>
          <w:bCs/>
          <w:sz w:val="28"/>
          <w:szCs w:val="28"/>
        </w:rPr>
        <w:br/>
        <w:t>досягнення цілей</w:t>
      </w:r>
    </w:p>
    <w:p w14:paraId="3541F618" w14:textId="77777777" w:rsidR="00B26044" w:rsidRDefault="00B26044" w:rsidP="00DC6752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73"/>
        <w:gridCol w:w="2991"/>
        <w:gridCol w:w="2476"/>
      </w:tblGrid>
      <w:tr w:rsidR="00101840" w:rsidRPr="00943DFD" w14:paraId="69971B84" w14:textId="77777777" w:rsidTr="00476B9E">
        <w:trPr>
          <w:jc w:val="center"/>
        </w:trPr>
        <w:tc>
          <w:tcPr>
            <w:tcW w:w="4273" w:type="dxa"/>
          </w:tcPr>
          <w:p w14:paraId="3E8ACC83" w14:textId="77777777" w:rsidR="00DC1500" w:rsidRPr="00943DFD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Рейтинг результативності</w:t>
            </w:r>
            <w:r w:rsidR="00DC67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(досягнення цілей під час вирішення проблеми)</w:t>
            </w:r>
          </w:p>
        </w:tc>
        <w:tc>
          <w:tcPr>
            <w:tcW w:w="2991" w:type="dxa"/>
          </w:tcPr>
          <w:p w14:paraId="6DD4969A" w14:textId="77777777" w:rsidR="00DC1500" w:rsidRPr="00943DFD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Бал результативності</w:t>
            </w:r>
            <w:r w:rsidR="00DC67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(за чотирибальною системою оцінки)</w:t>
            </w:r>
          </w:p>
        </w:tc>
        <w:tc>
          <w:tcPr>
            <w:tcW w:w="2476" w:type="dxa"/>
          </w:tcPr>
          <w:p w14:paraId="0FA28A0F" w14:textId="77777777" w:rsidR="00DC1500" w:rsidRPr="00943DFD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Коментарі</w:t>
            </w:r>
            <w:r w:rsidR="00DC67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 xml:space="preserve">щодо присвоєння відповідного </w:t>
            </w:r>
            <w:proofErr w:type="spellStart"/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бала</w:t>
            </w:r>
            <w:proofErr w:type="spellEnd"/>
          </w:p>
        </w:tc>
      </w:tr>
      <w:tr w:rsidR="00101840" w:rsidRPr="00943DFD" w14:paraId="5AD56041" w14:textId="77777777" w:rsidTr="00476B9E">
        <w:trPr>
          <w:jc w:val="center"/>
        </w:trPr>
        <w:tc>
          <w:tcPr>
            <w:tcW w:w="4273" w:type="dxa"/>
            <w:tcBorders>
              <w:bottom w:val="single" w:sz="4" w:space="0" w:color="auto"/>
            </w:tcBorders>
          </w:tcPr>
          <w:p w14:paraId="65078E63" w14:textId="77777777" w:rsidR="00DC1500" w:rsidRPr="00943DFD" w:rsidRDefault="00DC1500" w:rsidP="00DC6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Альтернатива 1.</w:t>
            </w:r>
          </w:p>
          <w:p w14:paraId="6DEE5A55" w14:textId="77777777" w:rsidR="00DC1500" w:rsidRPr="00943DFD" w:rsidRDefault="00DC1500" w:rsidP="00DC6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Збереження чинного регулювання</w:t>
            </w:r>
          </w:p>
        </w:tc>
        <w:tc>
          <w:tcPr>
            <w:tcW w:w="2991" w:type="dxa"/>
            <w:tcBorders>
              <w:bottom w:val="single" w:sz="4" w:space="0" w:color="auto"/>
            </w:tcBorders>
          </w:tcPr>
          <w:p w14:paraId="6C0C5E12" w14:textId="77777777" w:rsidR="00DC1500" w:rsidRPr="00943DFD" w:rsidRDefault="00DC1500" w:rsidP="00DC6752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43DF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2476" w:type="dxa"/>
            <w:tcBorders>
              <w:bottom w:val="single" w:sz="4" w:space="0" w:color="auto"/>
            </w:tcBorders>
          </w:tcPr>
          <w:p w14:paraId="3181C7A9" w14:textId="77777777" w:rsidR="00DC1500" w:rsidRPr="00943DFD" w:rsidRDefault="00DC1500" w:rsidP="00DC6752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943DFD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Не досягає поставленої мети </w:t>
            </w:r>
          </w:p>
        </w:tc>
      </w:tr>
      <w:tr w:rsidR="00101840" w:rsidRPr="00943DFD" w14:paraId="2E3CB27E" w14:textId="77777777" w:rsidTr="00CB0C9B">
        <w:trPr>
          <w:trHeight w:val="416"/>
          <w:jc w:val="center"/>
        </w:trPr>
        <w:tc>
          <w:tcPr>
            <w:tcW w:w="4273" w:type="dxa"/>
            <w:tcBorders>
              <w:bottom w:val="single" w:sz="4" w:space="0" w:color="auto"/>
            </w:tcBorders>
          </w:tcPr>
          <w:p w14:paraId="46DA90DA" w14:textId="77777777" w:rsidR="00DC1500" w:rsidRPr="00943DFD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Обрана Альтернатива 2.</w:t>
            </w:r>
          </w:p>
          <w:p w14:paraId="49F3E2F9" w14:textId="77777777" w:rsidR="00DC1500" w:rsidRPr="00943DFD" w:rsidRDefault="003061E1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Внесення змін до чинних регуляторних актів</w:t>
            </w:r>
          </w:p>
        </w:tc>
        <w:tc>
          <w:tcPr>
            <w:tcW w:w="2991" w:type="dxa"/>
            <w:tcBorders>
              <w:bottom w:val="single" w:sz="4" w:space="0" w:color="auto"/>
            </w:tcBorders>
          </w:tcPr>
          <w:p w14:paraId="2C5733E3" w14:textId="77777777" w:rsidR="00DC1500" w:rsidRPr="00943DFD" w:rsidRDefault="00DC1500" w:rsidP="00DC6752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43DF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2476" w:type="dxa"/>
            <w:tcBorders>
              <w:bottom w:val="single" w:sz="4" w:space="0" w:color="auto"/>
            </w:tcBorders>
          </w:tcPr>
          <w:p w14:paraId="286E659B" w14:textId="18B3AA46" w:rsidR="00476B9E" w:rsidRPr="00943DFD" w:rsidRDefault="00DC1500" w:rsidP="00DC6752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943DFD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Дозволяє вирішити проблему </w:t>
            </w:r>
            <w:r w:rsidR="00211F26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най</w:t>
            </w:r>
            <w:r w:rsidRPr="00943DFD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ефективн</w:t>
            </w:r>
            <w:r w:rsidR="00211F26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іш</w:t>
            </w:r>
            <w:r w:rsidRPr="00943DFD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им шляхо</w:t>
            </w:r>
            <w:r w:rsidR="00CB0C9B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м.</w:t>
            </w:r>
          </w:p>
        </w:tc>
      </w:tr>
    </w:tbl>
    <w:p w14:paraId="699854AD" w14:textId="77777777" w:rsidR="00D165E3" w:rsidRDefault="00D165E3"/>
    <w:tbl>
      <w:tblPr>
        <w:tblW w:w="97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73"/>
        <w:gridCol w:w="1839"/>
        <w:gridCol w:w="2614"/>
        <w:gridCol w:w="2482"/>
      </w:tblGrid>
      <w:tr w:rsidR="00101840" w:rsidRPr="00943DFD" w14:paraId="0C83E1AC" w14:textId="77777777" w:rsidTr="005A6A4B">
        <w:trPr>
          <w:jc w:val="center"/>
        </w:trPr>
        <w:tc>
          <w:tcPr>
            <w:tcW w:w="2778" w:type="dxa"/>
          </w:tcPr>
          <w:p w14:paraId="13F566F0" w14:textId="77777777" w:rsidR="000E0120" w:rsidRDefault="000E012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87AC2DA" w14:textId="77777777" w:rsidR="00DC1500" w:rsidRPr="00943DFD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sz w:val="28"/>
                <w:szCs w:val="28"/>
              </w:rPr>
              <w:t>Рейтинг результативності</w:t>
            </w:r>
          </w:p>
        </w:tc>
        <w:tc>
          <w:tcPr>
            <w:tcW w:w="1817" w:type="dxa"/>
          </w:tcPr>
          <w:p w14:paraId="289211D8" w14:textId="77777777" w:rsidR="00DC1500" w:rsidRPr="00943DFD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sz w:val="28"/>
                <w:szCs w:val="28"/>
              </w:rPr>
              <w:t>Вигоди (підсумок)</w:t>
            </w:r>
          </w:p>
        </w:tc>
        <w:tc>
          <w:tcPr>
            <w:tcW w:w="2630" w:type="dxa"/>
          </w:tcPr>
          <w:p w14:paraId="06C34D7C" w14:textId="77777777" w:rsidR="00DC1500" w:rsidRPr="00943DFD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sz w:val="28"/>
                <w:szCs w:val="28"/>
              </w:rPr>
              <w:t>Витрати (підсумок)</w:t>
            </w:r>
          </w:p>
        </w:tc>
        <w:tc>
          <w:tcPr>
            <w:tcW w:w="2483" w:type="dxa"/>
          </w:tcPr>
          <w:p w14:paraId="0D804280" w14:textId="77777777" w:rsidR="00DC1500" w:rsidRPr="00943DFD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sz w:val="28"/>
                <w:szCs w:val="28"/>
              </w:rPr>
              <w:t>Обґрунтування відповідного місця альтернативи у рейтингу</w:t>
            </w:r>
          </w:p>
        </w:tc>
      </w:tr>
      <w:tr w:rsidR="00101840" w:rsidRPr="00943DFD" w14:paraId="539BE1E0" w14:textId="77777777" w:rsidTr="005A6A4B">
        <w:trPr>
          <w:jc w:val="center"/>
        </w:trPr>
        <w:tc>
          <w:tcPr>
            <w:tcW w:w="2778" w:type="dxa"/>
          </w:tcPr>
          <w:p w14:paraId="3A754DAA" w14:textId="77777777" w:rsidR="00DC1500" w:rsidRPr="00943DFD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sz w:val="28"/>
                <w:szCs w:val="28"/>
              </w:rPr>
              <w:t>Альтернатива 1.</w:t>
            </w: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 xml:space="preserve"> Збереження чинного регулювання</w:t>
            </w:r>
          </w:p>
        </w:tc>
        <w:tc>
          <w:tcPr>
            <w:tcW w:w="1817" w:type="dxa"/>
          </w:tcPr>
          <w:p w14:paraId="413145DB" w14:textId="77777777" w:rsidR="00DC1500" w:rsidRPr="00943DFD" w:rsidRDefault="00DC1500" w:rsidP="00DC675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51A6E5" w14:textId="77777777" w:rsidR="00DC1500" w:rsidRPr="00943DFD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Відсутні</w:t>
            </w:r>
          </w:p>
          <w:p w14:paraId="497C6BD8" w14:textId="77777777" w:rsidR="00DC1500" w:rsidRPr="00943DFD" w:rsidRDefault="00DC1500" w:rsidP="00DC675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0" w:type="dxa"/>
          </w:tcPr>
          <w:p w14:paraId="45421057" w14:textId="77777777" w:rsidR="00DC1500" w:rsidRPr="00943DFD" w:rsidRDefault="00DC1500" w:rsidP="00DC675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79AF67" w14:textId="77777777" w:rsidR="00DC1500" w:rsidRPr="00943DFD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Відсутні</w:t>
            </w:r>
          </w:p>
        </w:tc>
        <w:tc>
          <w:tcPr>
            <w:tcW w:w="2483" w:type="dxa"/>
          </w:tcPr>
          <w:p w14:paraId="614AB511" w14:textId="77777777" w:rsidR="00DC1500" w:rsidRPr="00943DFD" w:rsidRDefault="00DC1500" w:rsidP="00DC675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11454A" w14:textId="77777777" w:rsidR="00DC1500" w:rsidRPr="00943DFD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 xml:space="preserve">Не вирішує проблему </w:t>
            </w:r>
          </w:p>
        </w:tc>
      </w:tr>
      <w:tr w:rsidR="00DC1500" w:rsidRPr="00943DFD" w14:paraId="0168CB6F" w14:textId="77777777" w:rsidTr="005A6A4B">
        <w:trPr>
          <w:jc w:val="center"/>
        </w:trPr>
        <w:tc>
          <w:tcPr>
            <w:tcW w:w="2778" w:type="dxa"/>
          </w:tcPr>
          <w:p w14:paraId="1E353ED8" w14:textId="77777777" w:rsidR="00DC1500" w:rsidRPr="00943DFD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sz w:val="28"/>
                <w:szCs w:val="28"/>
              </w:rPr>
              <w:t>Обрана Альтернатива 2.</w:t>
            </w: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61E1" w:rsidRPr="00943DFD">
              <w:rPr>
                <w:rFonts w:ascii="Times New Roman" w:hAnsi="Times New Roman" w:cs="Times New Roman"/>
                <w:sz w:val="28"/>
                <w:szCs w:val="28"/>
              </w:rPr>
              <w:t>Внесення змін до чинних регуляторних актів</w:t>
            </w:r>
          </w:p>
        </w:tc>
        <w:tc>
          <w:tcPr>
            <w:tcW w:w="1817" w:type="dxa"/>
          </w:tcPr>
          <w:p w14:paraId="49397D45" w14:textId="77777777" w:rsidR="00DC1500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Забезпечує досягнення цілей державного регулювання</w:t>
            </w:r>
            <w:r w:rsidR="007E49B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BB8B098" w14:textId="6A88FC2B" w:rsidR="007E49B1" w:rsidRPr="00943DFD" w:rsidRDefault="007E49B1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9B1">
              <w:rPr>
                <w:rFonts w:ascii="Times New Roman" w:hAnsi="Times New Roman" w:cs="Times New Roman"/>
                <w:sz w:val="28"/>
                <w:szCs w:val="28"/>
              </w:rPr>
              <w:t>Дозволить врахувати особливості діяльності ліцензіатів в частині застосування тарифної методології в умовах воєнного стану.</w:t>
            </w:r>
          </w:p>
        </w:tc>
        <w:tc>
          <w:tcPr>
            <w:tcW w:w="2630" w:type="dxa"/>
          </w:tcPr>
          <w:p w14:paraId="7BA48D1E" w14:textId="14CA4A7A" w:rsidR="006B5D4A" w:rsidRPr="00B95B27" w:rsidRDefault="007E49B1" w:rsidP="006B5D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Відсутні</w:t>
            </w:r>
          </w:p>
          <w:p w14:paraId="11FD99FD" w14:textId="7A88BEF4" w:rsidR="00205B59" w:rsidRPr="00B95B27" w:rsidRDefault="00205B59" w:rsidP="00B01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3" w:type="dxa"/>
          </w:tcPr>
          <w:p w14:paraId="490935FB" w14:textId="37A5D06B" w:rsidR="00DC1500" w:rsidRPr="00943DFD" w:rsidRDefault="00DC1500" w:rsidP="00DC6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 xml:space="preserve">Дозволяє досягти цілей державного регулювання </w:t>
            </w:r>
            <w:r w:rsidR="008F2126">
              <w:rPr>
                <w:rFonts w:ascii="Times New Roman" w:hAnsi="Times New Roman" w:cs="Times New Roman"/>
                <w:sz w:val="28"/>
                <w:szCs w:val="28"/>
              </w:rPr>
              <w:t>най</w:t>
            </w: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ефективн</w:t>
            </w:r>
            <w:r w:rsidR="008F2126">
              <w:rPr>
                <w:rFonts w:ascii="Times New Roman" w:hAnsi="Times New Roman" w:cs="Times New Roman"/>
                <w:sz w:val="28"/>
                <w:szCs w:val="28"/>
              </w:rPr>
              <w:t>іш</w:t>
            </w: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им шляхом</w:t>
            </w:r>
          </w:p>
        </w:tc>
      </w:tr>
    </w:tbl>
    <w:p w14:paraId="2C510E5C" w14:textId="3D878AC5" w:rsidR="000E0120" w:rsidRPr="00D165E3" w:rsidRDefault="000E0120" w:rsidP="00DC6752">
      <w:pPr>
        <w:pStyle w:val="2"/>
        <w:spacing w:before="0" w:beforeAutospacing="0" w:after="0" w:afterAutospacing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63"/>
        <w:gridCol w:w="4252"/>
        <w:gridCol w:w="2761"/>
      </w:tblGrid>
      <w:tr w:rsidR="00101840" w:rsidRPr="00943DFD" w14:paraId="0B3659A2" w14:textId="77777777" w:rsidTr="00D165E3">
        <w:trPr>
          <w:trHeight w:val="1734"/>
          <w:jc w:val="center"/>
        </w:trPr>
        <w:tc>
          <w:tcPr>
            <w:tcW w:w="2763" w:type="dxa"/>
          </w:tcPr>
          <w:p w14:paraId="3CA09945" w14:textId="77777777" w:rsidR="00DC1500" w:rsidRPr="00943DFD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sz w:val="28"/>
                <w:szCs w:val="28"/>
              </w:rPr>
              <w:t>Рейтинг</w:t>
            </w:r>
          </w:p>
        </w:tc>
        <w:tc>
          <w:tcPr>
            <w:tcW w:w="4252" w:type="dxa"/>
          </w:tcPr>
          <w:p w14:paraId="7824B3BB" w14:textId="77777777" w:rsidR="00DC1500" w:rsidRPr="00943DFD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sz w:val="28"/>
                <w:szCs w:val="28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761" w:type="dxa"/>
          </w:tcPr>
          <w:p w14:paraId="3310165A" w14:textId="77777777" w:rsidR="00DC1500" w:rsidRPr="00943DFD" w:rsidRDefault="00DC1500" w:rsidP="00DC6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Оцінка ризику зовнішніх чинників на дію запропонованого регуляторного </w:t>
            </w:r>
            <w:proofErr w:type="spellStart"/>
            <w:r w:rsidRPr="00943DFD">
              <w:rPr>
                <w:rFonts w:ascii="Times New Roman" w:hAnsi="Times New Roman" w:cs="Times New Roman"/>
                <w:b/>
                <w:sz w:val="28"/>
                <w:szCs w:val="28"/>
              </w:rPr>
              <w:t>акта</w:t>
            </w:r>
            <w:proofErr w:type="spellEnd"/>
          </w:p>
        </w:tc>
      </w:tr>
      <w:tr w:rsidR="00101840" w:rsidRPr="00943DFD" w14:paraId="140BA6A4" w14:textId="77777777" w:rsidTr="00D165E3">
        <w:trPr>
          <w:jc w:val="center"/>
        </w:trPr>
        <w:tc>
          <w:tcPr>
            <w:tcW w:w="2763" w:type="dxa"/>
          </w:tcPr>
          <w:p w14:paraId="3F1954A6" w14:textId="77777777" w:rsidR="00DC1500" w:rsidRPr="00943DFD" w:rsidRDefault="00DC1500" w:rsidP="00D165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Альтернатива</w:t>
            </w:r>
            <w:r w:rsidR="00D165E3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Pr="00943DFD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 xml:space="preserve"> Збереження чинного регулювання</w:t>
            </w:r>
          </w:p>
        </w:tc>
        <w:tc>
          <w:tcPr>
            <w:tcW w:w="4252" w:type="dxa"/>
          </w:tcPr>
          <w:p w14:paraId="49D13201" w14:textId="77777777" w:rsidR="00DC1500" w:rsidRPr="00943DFD" w:rsidRDefault="00DC1500" w:rsidP="00824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Не вирішує проблему та не забезпечує цілей державного регулювання</w:t>
            </w:r>
          </w:p>
        </w:tc>
        <w:tc>
          <w:tcPr>
            <w:tcW w:w="2761" w:type="dxa"/>
          </w:tcPr>
          <w:p w14:paraId="79783810" w14:textId="77777777" w:rsidR="00DC1500" w:rsidRPr="00943DFD" w:rsidRDefault="00DC1500" w:rsidP="00824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Відсутній</w:t>
            </w:r>
          </w:p>
        </w:tc>
      </w:tr>
      <w:tr w:rsidR="00DC1500" w:rsidRPr="00943DFD" w14:paraId="4923E10A" w14:textId="77777777" w:rsidTr="00D165E3">
        <w:trPr>
          <w:jc w:val="center"/>
        </w:trPr>
        <w:tc>
          <w:tcPr>
            <w:tcW w:w="2763" w:type="dxa"/>
          </w:tcPr>
          <w:p w14:paraId="1E04998D" w14:textId="77777777" w:rsidR="00DC1500" w:rsidRPr="00943DFD" w:rsidRDefault="00DC1500" w:rsidP="00824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b/>
                <w:sz w:val="28"/>
                <w:szCs w:val="28"/>
              </w:rPr>
              <w:t>Обрана Альтернатива</w:t>
            </w:r>
            <w:r w:rsidR="00D165E3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Pr="00943DFD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61E1" w:rsidRPr="00943DFD">
              <w:rPr>
                <w:rFonts w:ascii="Times New Roman" w:hAnsi="Times New Roman" w:cs="Times New Roman"/>
                <w:sz w:val="28"/>
                <w:szCs w:val="28"/>
              </w:rPr>
              <w:t>Внесення змін до чинних регуляторних актів</w:t>
            </w:r>
          </w:p>
        </w:tc>
        <w:tc>
          <w:tcPr>
            <w:tcW w:w="4252" w:type="dxa"/>
          </w:tcPr>
          <w:p w14:paraId="31838400" w14:textId="6F395F60" w:rsidR="00DC1500" w:rsidRPr="00943DFD" w:rsidRDefault="00DC1500" w:rsidP="00824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 xml:space="preserve">Дозволяє вирішити проблему </w:t>
            </w:r>
            <w:r w:rsidR="001C00D5">
              <w:rPr>
                <w:rFonts w:ascii="Times New Roman" w:hAnsi="Times New Roman" w:cs="Times New Roman"/>
                <w:sz w:val="28"/>
                <w:szCs w:val="28"/>
              </w:rPr>
              <w:t>най</w:t>
            </w: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ефективн</w:t>
            </w:r>
            <w:r w:rsidR="001C00D5">
              <w:rPr>
                <w:rFonts w:ascii="Times New Roman" w:hAnsi="Times New Roman" w:cs="Times New Roman"/>
                <w:sz w:val="28"/>
                <w:szCs w:val="28"/>
              </w:rPr>
              <w:t>іш</w:t>
            </w: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им шляхом з найменшими витратами ресурсів, забезпечує досягнення цілей державного регулювання</w:t>
            </w:r>
          </w:p>
        </w:tc>
        <w:tc>
          <w:tcPr>
            <w:tcW w:w="2761" w:type="dxa"/>
          </w:tcPr>
          <w:p w14:paraId="1D6BBC4F" w14:textId="77777777" w:rsidR="00DC1500" w:rsidRPr="00943DFD" w:rsidRDefault="00DC1500" w:rsidP="008242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3DFD">
              <w:rPr>
                <w:rFonts w:ascii="Times New Roman" w:hAnsi="Times New Roman" w:cs="Times New Roman"/>
                <w:sz w:val="28"/>
                <w:szCs w:val="28"/>
              </w:rPr>
              <w:t>Відсутній</w:t>
            </w:r>
          </w:p>
        </w:tc>
      </w:tr>
    </w:tbl>
    <w:p w14:paraId="007D1B45" w14:textId="77777777" w:rsidR="00DC1500" w:rsidRDefault="00DC1500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90BA310" w14:textId="77777777" w:rsidR="00375422" w:rsidRPr="00B54DEF" w:rsidRDefault="00375422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5A8BE95A" w14:textId="77777777" w:rsidR="00DC1500" w:rsidRPr="00943DFD" w:rsidRDefault="00DC1500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3DFD">
        <w:rPr>
          <w:rFonts w:ascii="Times New Roman" w:hAnsi="Times New Roman" w:cs="Times New Roman"/>
          <w:b/>
          <w:bCs/>
          <w:sz w:val="28"/>
          <w:szCs w:val="28"/>
        </w:rPr>
        <w:t>V. Механізми та заходи, які забезпечать розв’язання визначеної проблеми</w:t>
      </w:r>
    </w:p>
    <w:p w14:paraId="4483FFE2" w14:textId="77777777" w:rsidR="00DC1500" w:rsidRPr="00D165E3" w:rsidRDefault="00DC1500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16FC4C68" w14:textId="76673246" w:rsidR="00891511" w:rsidRPr="00A33081" w:rsidRDefault="008C6D40" w:rsidP="008915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3DFD">
        <w:rPr>
          <w:rFonts w:ascii="Times New Roman" w:hAnsi="Times New Roman" w:cs="Times New Roman"/>
          <w:sz w:val="28"/>
          <w:szCs w:val="28"/>
        </w:rPr>
        <w:t xml:space="preserve">Прийняття </w:t>
      </w:r>
      <w:r w:rsidR="0053670C">
        <w:rPr>
          <w:rFonts w:ascii="Times New Roman" w:hAnsi="Times New Roman" w:cs="Times New Roman"/>
          <w:sz w:val="28"/>
          <w:szCs w:val="28"/>
        </w:rPr>
        <w:t>П</w:t>
      </w:r>
      <w:r w:rsidRPr="00943DFD">
        <w:rPr>
          <w:rFonts w:ascii="Times New Roman" w:hAnsi="Times New Roman" w:cs="Times New Roman"/>
          <w:sz w:val="28"/>
          <w:szCs w:val="28"/>
        </w:rPr>
        <w:t>роє</w:t>
      </w:r>
      <w:r w:rsidR="00DC1500" w:rsidRPr="00943DFD">
        <w:rPr>
          <w:rFonts w:ascii="Times New Roman" w:hAnsi="Times New Roman" w:cs="Times New Roman"/>
          <w:sz w:val="28"/>
          <w:szCs w:val="28"/>
        </w:rPr>
        <w:t xml:space="preserve">кту </w:t>
      </w:r>
      <w:r w:rsidR="00D165E3">
        <w:rPr>
          <w:rFonts w:ascii="Times New Roman" w:hAnsi="Times New Roman" w:cs="Times New Roman"/>
          <w:sz w:val="28"/>
          <w:szCs w:val="28"/>
        </w:rPr>
        <w:t>постанови</w:t>
      </w:r>
      <w:r w:rsidR="00DC1500" w:rsidRPr="00943DFD">
        <w:rPr>
          <w:rFonts w:ascii="Times New Roman" w:hAnsi="Times New Roman" w:cs="Times New Roman"/>
          <w:sz w:val="28"/>
          <w:szCs w:val="28"/>
        </w:rPr>
        <w:t xml:space="preserve"> </w:t>
      </w:r>
      <w:r w:rsidR="00640C31">
        <w:rPr>
          <w:rFonts w:ascii="Times New Roman" w:hAnsi="Times New Roman" w:cs="Times New Roman"/>
          <w:sz w:val="28"/>
          <w:szCs w:val="28"/>
        </w:rPr>
        <w:t xml:space="preserve">дозволить </w:t>
      </w:r>
      <w:r w:rsidR="00A6594A">
        <w:rPr>
          <w:rFonts w:ascii="Times New Roman" w:hAnsi="Times New Roman" w:cs="Times New Roman"/>
          <w:sz w:val="28"/>
          <w:szCs w:val="28"/>
        </w:rPr>
        <w:t>удосконалити</w:t>
      </w:r>
      <w:r w:rsidR="00616112">
        <w:rPr>
          <w:rFonts w:ascii="Times New Roman" w:hAnsi="Times New Roman" w:cs="Times New Roman"/>
          <w:sz w:val="28"/>
          <w:szCs w:val="28"/>
        </w:rPr>
        <w:t xml:space="preserve"> норми </w:t>
      </w:r>
      <w:r w:rsidR="00EC1C31" w:rsidRPr="00FC7B8A">
        <w:rPr>
          <w:rFonts w:ascii="Times New Roman" w:hAnsi="Times New Roman" w:cs="Times New Roman"/>
          <w:bCs/>
          <w:sz w:val="28"/>
          <w:szCs w:val="28"/>
        </w:rPr>
        <w:t xml:space="preserve">Постанови </w:t>
      </w:r>
      <w:r w:rsidR="00EC1C31">
        <w:rPr>
          <w:rFonts w:ascii="Times New Roman" w:hAnsi="Times New Roman" w:cs="Times New Roman"/>
          <w:bCs/>
          <w:sz w:val="28"/>
          <w:szCs w:val="28"/>
        </w:rPr>
        <w:t>№</w:t>
      </w:r>
      <w:r w:rsidR="00EC1C31" w:rsidRPr="00FC7B8A">
        <w:rPr>
          <w:rFonts w:ascii="Times New Roman" w:hAnsi="Times New Roman" w:cs="Times New Roman"/>
          <w:bCs/>
          <w:sz w:val="28"/>
          <w:szCs w:val="28"/>
        </w:rPr>
        <w:t> 1009</w:t>
      </w:r>
      <w:r w:rsidR="00EC1C31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EC1C31" w:rsidRPr="00FC7B8A">
        <w:rPr>
          <w:rFonts w:ascii="Times New Roman" w:hAnsi="Times New Roman" w:cs="Times New Roman"/>
          <w:bCs/>
          <w:sz w:val="28"/>
          <w:szCs w:val="28"/>
        </w:rPr>
        <w:t>Порядк</w:t>
      </w:r>
      <w:r w:rsidR="009A54AC">
        <w:rPr>
          <w:rFonts w:ascii="Times New Roman" w:hAnsi="Times New Roman" w:cs="Times New Roman"/>
          <w:bCs/>
          <w:sz w:val="28"/>
          <w:szCs w:val="28"/>
        </w:rPr>
        <w:t>ів № 899,</w:t>
      </w:r>
      <w:r w:rsidR="00EC1C31" w:rsidRPr="00FC7B8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C1C31">
        <w:rPr>
          <w:rFonts w:ascii="Times New Roman" w:hAnsi="Times New Roman" w:cs="Times New Roman"/>
          <w:bCs/>
          <w:sz w:val="28"/>
          <w:szCs w:val="28"/>
        </w:rPr>
        <w:t>№</w:t>
      </w:r>
      <w:r w:rsidR="00EC1C31" w:rsidRPr="00FC7B8A">
        <w:rPr>
          <w:rFonts w:ascii="Times New Roman" w:hAnsi="Times New Roman" w:cs="Times New Roman"/>
          <w:bCs/>
          <w:sz w:val="28"/>
          <w:szCs w:val="28"/>
        </w:rPr>
        <w:t> 1175</w:t>
      </w:r>
      <w:r w:rsidR="009A54AC">
        <w:rPr>
          <w:rFonts w:ascii="Times New Roman" w:hAnsi="Times New Roman" w:cs="Times New Roman"/>
          <w:bCs/>
          <w:sz w:val="28"/>
          <w:szCs w:val="28"/>
        </w:rPr>
        <w:t>, № 1176</w:t>
      </w:r>
      <w:r w:rsidR="00EC1C31" w:rsidRPr="00FC7B8A">
        <w:rPr>
          <w:rFonts w:ascii="Times New Roman" w:hAnsi="Times New Roman" w:cs="Times New Roman"/>
          <w:bCs/>
          <w:sz w:val="28"/>
          <w:szCs w:val="28"/>
        </w:rPr>
        <w:t xml:space="preserve"> та</w:t>
      </w:r>
      <w:r w:rsidR="00EC1C31">
        <w:rPr>
          <w:rFonts w:ascii="Times New Roman" w:hAnsi="Times New Roman" w:cs="Times New Roman"/>
          <w:bCs/>
          <w:sz w:val="28"/>
          <w:szCs w:val="28"/>
        </w:rPr>
        <w:t xml:space="preserve"> Положення №</w:t>
      </w:r>
      <w:r w:rsidR="00EC1C31" w:rsidRPr="00FC7B8A">
        <w:rPr>
          <w:rFonts w:ascii="Times New Roman" w:hAnsi="Times New Roman" w:cs="Times New Roman"/>
          <w:bCs/>
          <w:sz w:val="28"/>
          <w:szCs w:val="28"/>
        </w:rPr>
        <w:t> </w:t>
      </w:r>
      <w:r w:rsidR="00EC1C31">
        <w:rPr>
          <w:rFonts w:ascii="Times New Roman" w:hAnsi="Times New Roman" w:cs="Times New Roman"/>
          <w:bCs/>
          <w:sz w:val="28"/>
          <w:szCs w:val="28"/>
        </w:rPr>
        <w:t>981</w:t>
      </w:r>
      <w:r w:rsidR="003B2344">
        <w:rPr>
          <w:rFonts w:ascii="Times New Roman" w:hAnsi="Times New Roman" w:cs="Times New Roman"/>
          <w:sz w:val="28"/>
          <w:szCs w:val="28"/>
        </w:rPr>
        <w:t xml:space="preserve"> </w:t>
      </w:r>
      <w:r w:rsidR="00640C31">
        <w:rPr>
          <w:rFonts w:ascii="Times New Roman" w:hAnsi="Times New Roman" w:cs="Times New Roman"/>
          <w:sz w:val="28"/>
          <w:szCs w:val="28"/>
        </w:rPr>
        <w:t xml:space="preserve">для </w:t>
      </w:r>
      <w:r w:rsidR="003D09C5">
        <w:rPr>
          <w:rFonts w:ascii="Times New Roman" w:hAnsi="Times New Roman" w:cs="Times New Roman"/>
          <w:sz w:val="28"/>
          <w:szCs w:val="28"/>
        </w:rPr>
        <w:t>в</w:t>
      </w:r>
      <w:r w:rsidR="000B3CCB">
        <w:rPr>
          <w:rFonts w:ascii="Times New Roman" w:hAnsi="Times New Roman" w:cs="Times New Roman"/>
          <w:sz w:val="28"/>
          <w:szCs w:val="28"/>
        </w:rPr>
        <w:t>рахува</w:t>
      </w:r>
      <w:r w:rsidR="00640C31">
        <w:rPr>
          <w:rFonts w:ascii="Times New Roman" w:hAnsi="Times New Roman" w:cs="Times New Roman"/>
          <w:sz w:val="28"/>
          <w:szCs w:val="28"/>
        </w:rPr>
        <w:t>ння</w:t>
      </w:r>
      <w:r w:rsidR="00616112" w:rsidRPr="00943DFD">
        <w:rPr>
          <w:rFonts w:ascii="Times New Roman" w:hAnsi="Times New Roman" w:cs="Times New Roman"/>
          <w:sz w:val="28"/>
          <w:szCs w:val="28"/>
        </w:rPr>
        <w:t xml:space="preserve"> </w:t>
      </w:r>
      <w:r w:rsidR="00A6594A">
        <w:rPr>
          <w:rFonts w:ascii="Times New Roman" w:hAnsi="Times New Roman" w:cs="Times New Roman"/>
          <w:sz w:val="28"/>
          <w:szCs w:val="28"/>
        </w:rPr>
        <w:t xml:space="preserve">показників та </w:t>
      </w:r>
      <w:r w:rsidR="00A6594A" w:rsidRPr="005B4C3F">
        <w:rPr>
          <w:rFonts w:ascii="Times New Roman" w:hAnsi="Times New Roman" w:cs="Times New Roman"/>
          <w:sz w:val="28"/>
          <w:szCs w:val="28"/>
        </w:rPr>
        <w:t>складов</w:t>
      </w:r>
      <w:r w:rsidR="00A6594A">
        <w:rPr>
          <w:rFonts w:ascii="Times New Roman" w:hAnsi="Times New Roman" w:cs="Times New Roman"/>
          <w:sz w:val="28"/>
          <w:szCs w:val="28"/>
        </w:rPr>
        <w:t xml:space="preserve">их </w:t>
      </w:r>
      <w:r w:rsidR="00616112" w:rsidRPr="00B005DA">
        <w:rPr>
          <w:rFonts w:ascii="Times New Roman" w:hAnsi="Times New Roman" w:cs="Times New Roman"/>
          <w:sz w:val="28"/>
          <w:szCs w:val="28"/>
        </w:rPr>
        <w:t>в тарифах на послуги з розподілу електричної енергії</w:t>
      </w:r>
      <w:r w:rsidR="00A6594A">
        <w:rPr>
          <w:rFonts w:ascii="Times New Roman" w:hAnsi="Times New Roman" w:cs="Times New Roman"/>
          <w:sz w:val="28"/>
          <w:szCs w:val="28"/>
        </w:rPr>
        <w:t>, у тому числі із застосуванням стимулюючого регулювання,</w:t>
      </w:r>
      <w:r w:rsidR="00616112" w:rsidRPr="00B005DA">
        <w:rPr>
          <w:rFonts w:ascii="Times New Roman" w:hAnsi="Times New Roman" w:cs="Times New Roman"/>
          <w:sz w:val="28"/>
          <w:szCs w:val="28"/>
        </w:rPr>
        <w:t xml:space="preserve"> </w:t>
      </w:r>
      <w:r w:rsidR="00FB1506">
        <w:rPr>
          <w:rFonts w:ascii="Times New Roman" w:hAnsi="Times New Roman" w:cs="Times New Roman"/>
          <w:sz w:val="28"/>
          <w:szCs w:val="28"/>
        </w:rPr>
        <w:t xml:space="preserve">на послуги постачальника універсальних послуг </w:t>
      </w:r>
      <w:r w:rsidR="00BD52D9" w:rsidRPr="00FC7B8A">
        <w:rPr>
          <w:rFonts w:ascii="Times New Roman" w:hAnsi="Times New Roman" w:cs="Times New Roman"/>
          <w:sz w:val="28"/>
          <w:szCs w:val="28"/>
        </w:rPr>
        <w:t xml:space="preserve">в умовах воєнного </w:t>
      </w:r>
      <w:r w:rsidR="00AD1D3C">
        <w:rPr>
          <w:rFonts w:ascii="Times New Roman" w:hAnsi="Times New Roman" w:cs="Times New Roman"/>
          <w:sz w:val="28"/>
          <w:szCs w:val="28"/>
        </w:rPr>
        <w:t>стану</w:t>
      </w:r>
      <w:r w:rsidR="00B923FE">
        <w:rPr>
          <w:rFonts w:ascii="Times New Roman" w:hAnsi="Times New Roman" w:cs="Times New Roman"/>
          <w:sz w:val="28"/>
          <w:szCs w:val="28"/>
        </w:rPr>
        <w:t>.</w:t>
      </w:r>
    </w:p>
    <w:p w14:paraId="680BFA4F" w14:textId="77777777" w:rsidR="00256BE4" w:rsidRPr="00943DFD" w:rsidRDefault="00053BCF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3DFD">
        <w:rPr>
          <w:rFonts w:ascii="Times New Roman" w:hAnsi="Times New Roman" w:cs="Times New Roman"/>
          <w:sz w:val="28"/>
          <w:szCs w:val="28"/>
        </w:rPr>
        <w:t xml:space="preserve">Впливу зовнішніх факторів, що можуть мати негативний вплив на виконання вимог регуляторного </w:t>
      </w:r>
      <w:proofErr w:type="spellStart"/>
      <w:r w:rsidRPr="00943DFD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943DFD">
        <w:rPr>
          <w:rFonts w:ascii="Times New Roman" w:hAnsi="Times New Roman" w:cs="Times New Roman"/>
          <w:sz w:val="28"/>
          <w:szCs w:val="28"/>
        </w:rPr>
        <w:t>, не очікується.</w:t>
      </w:r>
    </w:p>
    <w:p w14:paraId="2E8EA24F" w14:textId="77777777" w:rsidR="00053BCF" w:rsidRPr="00943DFD" w:rsidRDefault="00053BCF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3DFD">
        <w:rPr>
          <w:rFonts w:ascii="Times New Roman" w:hAnsi="Times New Roman" w:cs="Times New Roman"/>
          <w:sz w:val="28"/>
          <w:szCs w:val="28"/>
        </w:rPr>
        <w:t xml:space="preserve">Характеристика механізму повної або часткової компенсації можливої шкоди у разі настання очікуваних наслідків дії </w:t>
      </w:r>
      <w:proofErr w:type="spellStart"/>
      <w:r w:rsidRPr="00943DFD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943DFD">
        <w:rPr>
          <w:rFonts w:ascii="Times New Roman" w:hAnsi="Times New Roman" w:cs="Times New Roman"/>
          <w:sz w:val="28"/>
          <w:szCs w:val="28"/>
        </w:rPr>
        <w:t xml:space="preserve"> не розроблялась, оскільки введення в дію положень регуляторного </w:t>
      </w:r>
      <w:proofErr w:type="spellStart"/>
      <w:r w:rsidRPr="00943DFD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943DFD">
        <w:rPr>
          <w:rFonts w:ascii="Times New Roman" w:hAnsi="Times New Roman" w:cs="Times New Roman"/>
          <w:sz w:val="28"/>
          <w:szCs w:val="28"/>
        </w:rPr>
        <w:t xml:space="preserve"> не призведе до настання будь-яких негативних наслідків.</w:t>
      </w:r>
    </w:p>
    <w:p w14:paraId="30F582F9" w14:textId="77777777" w:rsidR="00053BCF" w:rsidRDefault="00053BCF" w:rsidP="00DC6752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3DFD">
        <w:rPr>
          <w:rFonts w:ascii="Times New Roman" w:hAnsi="Times New Roman" w:cs="Times New Roman"/>
          <w:sz w:val="28"/>
          <w:szCs w:val="28"/>
        </w:rPr>
        <w:t xml:space="preserve">Функції в частині здійснення державного контролю та нагляду за додержанням вимог </w:t>
      </w:r>
      <w:proofErr w:type="spellStart"/>
      <w:r w:rsidRPr="00943DFD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943DFD">
        <w:rPr>
          <w:rFonts w:ascii="Times New Roman" w:hAnsi="Times New Roman" w:cs="Times New Roman"/>
          <w:sz w:val="28"/>
          <w:szCs w:val="28"/>
        </w:rPr>
        <w:t xml:space="preserve"> будуть </w:t>
      </w:r>
      <w:r w:rsidR="00256259" w:rsidRPr="00943DFD">
        <w:rPr>
          <w:rFonts w:ascii="Times New Roman" w:hAnsi="Times New Roman" w:cs="Times New Roman"/>
          <w:sz w:val="28"/>
          <w:szCs w:val="28"/>
        </w:rPr>
        <w:t>здійснюватися</w:t>
      </w:r>
      <w:r w:rsidRPr="00943DFD">
        <w:rPr>
          <w:rFonts w:ascii="Times New Roman" w:hAnsi="Times New Roman" w:cs="Times New Roman"/>
          <w:sz w:val="28"/>
          <w:szCs w:val="28"/>
        </w:rPr>
        <w:t xml:space="preserve"> державними органами, яким, відповідно до законодавства, надані такі повноваження. </w:t>
      </w:r>
    </w:p>
    <w:p w14:paraId="55AE4EDE" w14:textId="77777777" w:rsidR="00D165E3" w:rsidRPr="00943DFD" w:rsidRDefault="00D165E3" w:rsidP="00DC6752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B146E45" w14:textId="77777777" w:rsidR="00DC1500" w:rsidRPr="00943DFD" w:rsidRDefault="00DC1500" w:rsidP="00DC6752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3DFD">
        <w:rPr>
          <w:rFonts w:ascii="Times New Roman" w:hAnsi="Times New Roman" w:cs="Times New Roman"/>
          <w:b/>
          <w:bCs/>
          <w:sz w:val="28"/>
          <w:szCs w:val="28"/>
        </w:rPr>
        <w:t xml:space="preserve">VI. Обґрунтування запропонованого строку дії регуляторного </w:t>
      </w:r>
      <w:proofErr w:type="spellStart"/>
      <w:r w:rsidRPr="00943DFD">
        <w:rPr>
          <w:rFonts w:ascii="Times New Roman" w:hAnsi="Times New Roman" w:cs="Times New Roman"/>
          <w:b/>
          <w:bCs/>
          <w:sz w:val="28"/>
          <w:szCs w:val="28"/>
        </w:rPr>
        <w:t>акта</w:t>
      </w:r>
      <w:proofErr w:type="spellEnd"/>
    </w:p>
    <w:p w14:paraId="79D71BD0" w14:textId="77777777" w:rsidR="00DC1500" w:rsidRPr="00375422" w:rsidRDefault="00DC1500" w:rsidP="00DC6752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C52F718" w14:textId="77777777" w:rsidR="00DC1500" w:rsidRDefault="00640C31" w:rsidP="00DC6752">
      <w:pPr>
        <w:pStyle w:val="ad"/>
        <w:widowControl w:val="0"/>
        <w:spacing w:before="0" w:beforeAutospacing="0" w:after="0" w:afterAutospacing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sz w:val="28"/>
          <w:szCs w:val="28"/>
          <w:lang w:val="uk-UA" w:eastAsia="en-US"/>
        </w:rPr>
        <w:t>Строк</w:t>
      </w:r>
      <w:r w:rsidRPr="00943DFD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</w:t>
      </w:r>
      <w:r w:rsidR="00DC1500" w:rsidRPr="00943DFD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дії </w:t>
      </w:r>
      <w:proofErr w:type="spellStart"/>
      <w:r w:rsidR="00DC1500" w:rsidRPr="00943DFD">
        <w:rPr>
          <w:rFonts w:ascii="Times New Roman" w:hAnsi="Times New Roman" w:cs="Times New Roman"/>
          <w:sz w:val="28"/>
          <w:szCs w:val="28"/>
          <w:lang w:val="uk-UA" w:eastAsia="en-US"/>
        </w:rPr>
        <w:t>акта</w:t>
      </w:r>
      <w:proofErr w:type="spellEnd"/>
      <w:r w:rsidR="00DC1500" w:rsidRPr="00943DFD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необмежений та може бути змінений у разі внесення відповідних змін до законодавства.</w:t>
      </w:r>
    </w:p>
    <w:p w14:paraId="25DE295D" w14:textId="77777777" w:rsidR="007B5019" w:rsidRPr="00375422" w:rsidRDefault="007B5019" w:rsidP="00DC6752">
      <w:pPr>
        <w:pStyle w:val="ad"/>
        <w:widowControl w:val="0"/>
        <w:spacing w:before="0" w:beforeAutospacing="0" w:after="0" w:afterAutospacing="0"/>
        <w:ind w:firstLine="567"/>
        <w:jc w:val="both"/>
        <w:textAlignment w:val="baseline"/>
        <w:rPr>
          <w:rFonts w:ascii="Times New Roman" w:hAnsi="Times New Roman" w:cs="Times New Roman"/>
          <w:sz w:val="32"/>
          <w:szCs w:val="32"/>
          <w:lang w:val="uk-UA" w:eastAsia="en-US"/>
        </w:rPr>
      </w:pPr>
    </w:p>
    <w:p w14:paraId="56E59FDD" w14:textId="77777777" w:rsidR="00DC1500" w:rsidRPr="00943DFD" w:rsidRDefault="00DC1500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3DFD">
        <w:rPr>
          <w:rFonts w:ascii="Times New Roman" w:hAnsi="Times New Roman" w:cs="Times New Roman"/>
          <w:b/>
          <w:bCs/>
          <w:sz w:val="28"/>
          <w:szCs w:val="28"/>
        </w:rPr>
        <w:t xml:space="preserve">VII. Визначення показників результативності дії регуляторного </w:t>
      </w:r>
      <w:proofErr w:type="spellStart"/>
      <w:r w:rsidRPr="00943DFD">
        <w:rPr>
          <w:rFonts w:ascii="Times New Roman" w:hAnsi="Times New Roman" w:cs="Times New Roman"/>
          <w:b/>
          <w:bCs/>
          <w:sz w:val="28"/>
          <w:szCs w:val="28"/>
        </w:rPr>
        <w:t>акта</w:t>
      </w:r>
      <w:proofErr w:type="spellEnd"/>
    </w:p>
    <w:p w14:paraId="4232BB46" w14:textId="77777777" w:rsidR="004C290A" w:rsidRPr="00375422" w:rsidRDefault="004C290A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F474C0A" w14:textId="2F97E54A" w:rsidR="00DC1500" w:rsidRPr="00943DFD" w:rsidRDefault="00DC1500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3DFD">
        <w:rPr>
          <w:rFonts w:ascii="Times New Roman" w:hAnsi="Times New Roman" w:cs="Times New Roman"/>
          <w:sz w:val="28"/>
          <w:szCs w:val="28"/>
        </w:rPr>
        <w:t>Після набрання чинності постанов</w:t>
      </w:r>
      <w:r w:rsidR="001D69A1" w:rsidRPr="00943DFD">
        <w:rPr>
          <w:rFonts w:ascii="Times New Roman" w:hAnsi="Times New Roman" w:cs="Times New Roman"/>
          <w:sz w:val="28"/>
          <w:szCs w:val="28"/>
        </w:rPr>
        <w:t>ою</w:t>
      </w:r>
      <w:r w:rsidRPr="00943DFD">
        <w:rPr>
          <w:rFonts w:ascii="Times New Roman" w:hAnsi="Times New Roman" w:cs="Times New Roman"/>
          <w:sz w:val="28"/>
          <w:szCs w:val="28"/>
        </w:rPr>
        <w:t xml:space="preserve"> НКРЕКП </w:t>
      </w:r>
      <w:r w:rsidR="009C561D" w:rsidRPr="008F5F46">
        <w:rPr>
          <w:rFonts w:ascii="Times New Roman" w:hAnsi="Times New Roman" w:cs="Times New Roman"/>
          <w:sz w:val="28"/>
          <w:szCs w:val="28"/>
        </w:rPr>
        <w:t>«Про затвердження Змін до деяких постанов НКРЕ та НКРЕКП»</w:t>
      </w:r>
      <w:r w:rsidR="009C561D">
        <w:rPr>
          <w:rFonts w:ascii="Times New Roman" w:hAnsi="Times New Roman" w:cs="Times New Roman"/>
          <w:sz w:val="28"/>
          <w:szCs w:val="28"/>
        </w:rPr>
        <w:t xml:space="preserve"> </w:t>
      </w:r>
      <w:r w:rsidRPr="00943DFD">
        <w:rPr>
          <w:rFonts w:ascii="Times New Roman" w:hAnsi="Times New Roman" w:cs="Times New Roman"/>
          <w:sz w:val="28"/>
          <w:szCs w:val="28"/>
        </w:rPr>
        <w:t>її результативність визначатиметься такими показниками:</w:t>
      </w:r>
    </w:p>
    <w:p w14:paraId="5D3CECC7" w14:textId="77777777" w:rsidR="00256BE4" w:rsidRPr="00943DFD" w:rsidRDefault="00256BE4" w:rsidP="00DC6752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3DFD">
        <w:rPr>
          <w:rFonts w:ascii="Times New Roman" w:hAnsi="Times New Roman" w:cs="Times New Roman"/>
          <w:sz w:val="28"/>
          <w:szCs w:val="28"/>
        </w:rPr>
        <w:t>1) </w:t>
      </w:r>
      <w:r w:rsidR="00DC1500" w:rsidRPr="00943DFD">
        <w:rPr>
          <w:rFonts w:ascii="Times New Roman" w:hAnsi="Times New Roman" w:cs="Times New Roman"/>
          <w:sz w:val="28"/>
          <w:szCs w:val="28"/>
        </w:rPr>
        <w:t xml:space="preserve">розміром надходжень до державного та місцевих бюджетів і державних цільових фондів, пов'язаних з дією </w:t>
      </w:r>
      <w:proofErr w:type="spellStart"/>
      <w:r w:rsidR="00DC1500" w:rsidRPr="00943DFD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DC1500" w:rsidRPr="00943DFD">
        <w:rPr>
          <w:rFonts w:ascii="Times New Roman" w:hAnsi="Times New Roman" w:cs="Times New Roman"/>
          <w:sz w:val="28"/>
          <w:szCs w:val="28"/>
        </w:rPr>
        <w:t xml:space="preserve"> – не передбачаються;</w:t>
      </w:r>
    </w:p>
    <w:p w14:paraId="055483A2" w14:textId="6689548E" w:rsidR="00891511" w:rsidRDefault="00256BE4" w:rsidP="00A659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3DFD">
        <w:rPr>
          <w:rFonts w:ascii="Times New Roman" w:hAnsi="Times New Roman" w:cs="Times New Roman"/>
          <w:sz w:val="28"/>
          <w:szCs w:val="28"/>
        </w:rPr>
        <w:t>2) </w:t>
      </w:r>
      <w:r w:rsidR="00DC1500" w:rsidRPr="00943DFD">
        <w:rPr>
          <w:rFonts w:ascii="Times New Roman" w:hAnsi="Times New Roman" w:cs="Times New Roman"/>
          <w:sz w:val="28"/>
          <w:szCs w:val="28"/>
        </w:rPr>
        <w:t xml:space="preserve">кількістю суб’єктів господарювання та/або фізичних осіб, на яких поширюватиметься дія </w:t>
      </w:r>
      <w:proofErr w:type="spellStart"/>
      <w:r w:rsidR="00DC1500" w:rsidRPr="00943DFD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DC1500" w:rsidRPr="00943DFD">
        <w:rPr>
          <w:rFonts w:ascii="Times New Roman" w:hAnsi="Times New Roman" w:cs="Times New Roman"/>
          <w:sz w:val="28"/>
          <w:szCs w:val="28"/>
        </w:rPr>
        <w:t xml:space="preserve"> – </w:t>
      </w:r>
      <w:r w:rsidR="001D69A1" w:rsidRPr="00943DFD">
        <w:rPr>
          <w:rFonts w:ascii="Times New Roman" w:hAnsi="Times New Roman" w:cs="Times New Roman"/>
          <w:sz w:val="28"/>
          <w:szCs w:val="28"/>
        </w:rPr>
        <w:t xml:space="preserve">дія </w:t>
      </w:r>
      <w:proofErr w:type="spellStart"/>
      <w:r w:rsidR="001D69A1" w:rsidRPr="00943DFD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1D69A1" w:rsidRPr="00943DFD">
        <w:rPr>
          <w:rFonts w:ascii="Times New Roman" w:hAnsi="Times New Roman" w:cs="Times New Roman"/>
          <w:sz w:val="28"/>
          <w:szCs w:val="28"/>
        </w:rPr>
        <w:t xml:space="preserve"> поширюватиметься</w:t>
      </w:r>
      <w:r w:rsidR="00F45F91" w:rsidRPr="00F45F91">
        <w:rPr>
          <w:rFonts w:ascii="Times New Roman" w:hAnsi="Times New Roman" w:cs="Times New Roman"/>
          <w:sz w:val="28"/>
          <w:szCs w:val="28"/>
        </w:rPr>
        <w:t xml:space="preserve"> </w:t>
      </w:r>
      <w:r w:rsidR="00F45F91">
        <w:rPr>
          <w:rFonts w:ascii="Times New Roman" w:hAnsi="Times New Roman" w:cs="Times New Roman"/>
          <w:sz w:val="28"/>
          <w:szCs w:val="28"/>
        </w:rPr>
        <w:t>на</w:t>
      </w:r>
      <w:r w:rsidR="001D69A1" w:rsidRPr="00943DFD">
        <w:rPr>
          <w:rFonts w:ascii="Times New Roman" w:hAnsi="Times New Roman" w:cs="Times New Roman"/>
          <w:sz w:val="28"/>
          <w:szCs w:val="28"/>
        </w:rPr>
        <w:t xml:space="preserve"> </w:t>
      </w:r>
      <w:r w:rsidR="00BC671E" w:rsidRPr="00943DFD">
        <w:rPr>
          <w:rFonts w:ascii="Times New Roman" w:hAnsi="Times New Roman" w:cs="Times New Roman"/>
          <w:sz w:val="28"/>
          <w:szCs w:val="28"/>
        </w:rPr>
        <w:t xml:space="preserve">суб’єктів господарювання, які </w:t>
      </w:r>
      <w:r w:rsidR="000E374A">
        <w:rPr>
          <w:rFonts w:ascii="Times New Roman" w:hAnsi="Times New Roman" w:cs="Times New Roman"/>
          <w:sz w:val="28"/>
          <w:szCs w:val="28"/>
        </w:rPr>
        <w:t>провадять</w:t>
      </w:r>
      <w:r w:rsidR="000E374A" w:rsidRPr="00943DFD">
        <w:rPr>
          <w:rFonts w:ascii="Times New Roman" w:hAnsi="Times New Roman" w:cs="Times New Roman"/>
          <w:sz w:val="28"/>
          <w:szCs w:val="28"/>
        </w:rPr>
        <w:t xml:space="preserve"> </w:t>
      </w:r>
      <w:r w:rsidR="00BC671E" w:rsidRPr="00943DFD">
        <w:rPr>
          <w:rFonts w:ascii="Times New Roman" w:hAnsi="Times New Roman" w:cs="Times New Roman"/>
          <w:sz w:val="28"/>
          <w:szCs w:val="28"/>
        </w:rPr>
        <w:t>діяльність з розподілу електричної енергії</w:t>
      </w:r>
      <w:r w:rsidR="00760BBD">
        <w:rPr>
          <w:rFonts w:ascii="Times New Roman" w:hAnsi="Times New Roman" w:cs="Times New Roman"/>
          <w:sz w:val="28"/>
          <w:szCs w:val="28"/>
        </w:rPr>
        <w:t xml:space="preserve"> </w:t>
      </w:r>
      <w:r w:rsidR="00891511" w:rsidRPr="00A33081">
        <w:rPr>
          <w:rFonts w:ascii="Times New Roman" w:hAnsi="Times New Roman" w:cs="Times New Roman"/>
          <w:sz w:val="28"/>
          <w:szCs w:val="28"/>
        </w:rPr>
        <w:t>(із застосуванням стимулюючого тарифоутворення</w:t>
      </w:r>
      <w:r w:rsidR="00A6594A">
        <w:rPr>
          <w:rFonts w:ascii="Times New Roman" w:hAnsi="Times New Roman" w:cs="Times New Roman"/>
          <w:sz w:val="28"/>
          <w:szCs w:val="28"/>
        </w:rPr>
        <w:t xml:space="preserve"> та </w:t>
      </w:r>
      <w:r w:rsidR="00A6594A" w:rsidRPr="00A6594A">
        <w:rPr>
          <w:rFonts w:ascii="Times New Roman" w:hAnsi="Times New Roman" w:cs="Times New Roman"/>
          <w:sz w:val="28"/>
          <w:szCs w:val="28"/>
        </w:rPr>
        <w:t>із застосуванням методології «витрати +»</w:t>
      </w:r>
      <w:r w:rsidR="00891511" w:rsidRPr="00A33081">
        <w:rPr>
          <w:rFonts w:ascii="Times New Roman" w:hAnsi="Times New Roman" w:cs="Times New Roman"/>
          <w:sz w:val="28"/>
          <w:szCs w:val="28"/>
        </w:rPr>
        <w:t>)</w:t>
      </w:r>
      <w:r w:rsidR="00FB1506">
        <w:rPr>
          <w:rFonts w:ascii="Times New Roman" w:hAnsi="Times New Roman" w:cs="Times New Roman"/>
          <w:sz w:val="28"/>
          <w:szCs w:val="28"/>
        </w:rPr>
        <w:t xml:space="preserve"> та з постачання електричної енергії споживачу</w:t>
      </w:r>
      <w:r w:rsidR="00B923FE">
        <w:rPr>
          <w:rFonts w:ascii="Times New Roman" w:hAnsi="Times New Roman" w:cs="Times New Roman"/>
          <w:sz w:val="28"/>
          <w:szCs w:val="28"/>
        </w:rPr>
        <w:t xml:space="preserve"> (</w:t>
      </w:r>
      <w:r w:rsidR="001F2F0B">
        <w:rPr>
          <w:rFonts w:ascii="Times New Roman" w:hAnsi="Times New Roman" w:cs="Times New Roman"/>
          <w:sz w:val="28"/>
          <w:szCs w:val="28"/>
        </w:rPr>
        <w:t xml:space="preserve">на </w:t>
      </w:r>
      <w:r w:rsidR="00B923FE">
        <w:rPr>
          <w:rFonts w:ascii="Times New Roman" w:hAnsi="Times New Roman" w:cs="Times New Roman"/>
          <w:sz w:val="28"/>
          <w:szCs w:val="28"/>
        </w:rPr>
        <w:t>прифронтових територіях)</w:t>
      </w:r>
      <w:r w:rsidR="00891511">
        <w:rPr>
          <w:rFonts w:ascii="Times New Roman" w:hAnsi="Times New Roman" w:cs="Times New Roman"/>
          <w:sz w:val="28"/>
          <w:szCs w:val="28"/>
        </w:rPr>
        <w:t>;</w:t>
      </w:r>
    </w:p>
    <w:p w14:paraId="164AA290" w14:textId="4642A2A0" w:rsidR="00112D23" w:rsidRPr="00D55250" w:rsidRDefault="00112D23" w:rsidP="00781C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5250">
        <w:rPr>
          <w:rFonts w:ascii="Times New Roman" w:hAnsi="Times New Roman" w:cs="Times New Roman"/>
          <w:sz w:val="28"/>
          <w:szCs w:val="28"/>
        </w:rPr>
        <w:lastRenderedPageBreak/>
        <w:t>3)</w:t>
      </w:r>
      <w:r w:rsidR="00A6594A" w:rsidRPr="00D55250">
        <w:rPr>
          <w:rFonts w:ascii="Times New Roman" w:hAnsi="Times New Roman" w:cs="Times New Roman"/>
          <w:sz w:val="28"/>
          <w:szCs w:val="28"/>
        </w:rPr>
        <w:t xml:space="preserve"> </w:t>
      </w:r>
      <w:r w:rsidRPr="00D55250">
        <w:rPr>
          <w:rFonts w:ascii="Times New Roman" w:hAnsi="Times New Roman" w:cs="Times New Roman"/>
          <w:sz w:val="28"/>
          <w:szCs w:val="28"/>
        </w:rPr>
        <w:t xml:space="preserve">рівнем прибутку на регуляторну базу активів, </w:t>
      </w:r>
      <w:r w:rsidR="00781CFE" w:rsidRPr="00D55250">
        <w:rPr>
          <w:rFonts w:ascii="Times New Roman" w:hAnsi="Times New Roman" w:cs="Times New Roman"/>
          <w:sz w:val="28"/>
          <w:szCs w:val="28"/>
        </w:rPr>
        <w:t xml:space="preserve">яка створена після переходу на стимулююче регулювання, з урахуванням </w:t>
      </w:r>
      <w:r w:rsidRPr="00D55250">
        <w:rPr>
          <w:rFonts w:ascii="Times New Roman" w:hAnsi="Times New Roman" w:cs="Times New Roman"/>
          <w:sz w:val="28"/>
          <w:szCs w:val="28"/>
        </w:rPr>
        <w:t>встановлен</w:t>
      </w:r>
      <w:r w:rsidR="00781CFE" w:rsidRPr="00D55250">
        <w:rPr>
          <w:rFonts w:ascii="Times New Roman" w:hAnsi="Times New Roman" w:cs="Times New Roman"/>
          <w:sz w:val="28"/>
          <w:szCs w:val="28"/>
        </w:rPr>
        <w:t>ої</w:t>
      </w:r>
      <w:r w:rsidRPr="00D55250">
        <w:rPr>
          <w:rFonts w:ascii="Times New Roman" w:hAnsi="Times New Roman" w:cs="Times New Roman"/>
          <w:sz w:val="28"/>
          <w:szCs w:val="28"/>
        </w:rPr>
        <w:t xml:space="preserve"> НКРЕКП регуляторн</w:t>
      </w:r>
      <w:r w:rsidR="00781CFE" w:rsidRPr="00D55250">
        <w:rPr>
          <w:rFonts w:ascii="Times New Roman" w:hAnsi="Times New Roman" w:cs="Times New Roman"/>
          <w:sz w:val="28"/>
          <w:szCs w:val="28"/>
        </w:rPr>
        <w:t>ої</w:t>
      </w:r>
      <w:r w:rsidRPr="00D55250">
        <w:rPr>
          <w:rFonts w:ascii="Times New Roman" w:hAnsi="Times New Roman" w:cs="Times New Roman"/>
          <w:sz w:val="28"/>
          <w:szCs w:val="28"/>
        </w:rPr>
        <w:t xml:space="preserve"> норм</w:t>
      </w:r>
      <w:r w:rsidR="00781CFE" w:rsidRPr="00D55250">
        <w:rPr>
          <w:rFonts w:ascii="Times New Roman" w:hAnsi="Times New Roman" w:cs="Times New Roman"/>
          <w:sz w:val="28"/>
          <w:szCs w:val="28"/>
        </w:rPr>
        <w:t>и</w:t>
      </w:r>
      <w:r w:rsidRPr="00D55250">
        <w:rPr>
          <w:rFonts w:ascii="Times New Roman" w:hAnsi="Times New Roman" w:cs="Times New Roman"/>
          <w:sz w:val="28"/>
          <w:szCs w:val="28"/>
        </w:rPr>
        <w:t xml:space="preserve"> доходу на регуляторну базу активів, яка створена після переходу на с</w:t>
      </w:r>
      <w:r w:rsidR="00D165E3" w:rsidRPr="00D55250">
        <w:rPr>
          <w:rFonts w:ascii="Times New Roman" w:hAnsi="Times New Roman" w:cs="Times New Roman"/>
          <w:sz w:val="28"/>
          <w:szCs w:val="28"/>
        </w:rPr>
        <w:t>тимулююче регулювання (</w:t>
      </w:r>
      <w:r w:rsidR="00A6594A" w:rsidRPr="00D55250">
        <w:rPr>
          <w:rFonts w:ascii="Times New Roman" w:hAnsi="Times New Roman" w:cs="Times New Roman"/>
          <w:sz w:val="28"/>
          <w:szCs w:val="28"/>
        </w:rPr>
        <w:t xml:space="preserve">в умовах воєнного </w:t>
      </w:r>
      <w:r w:rsidR="00AD1D3C">
        <w:rPr>
          <w:rFonts w:ascii="Times New Roman" w:hAnsi="Times New Roman" w:cs="Times New Roman"/>
          <w:sz w:val="28"/>
          <w:szCs w:val="28"/>
        </w:rPr>
        <w:t>стану</w:t>
      </w:r>
      <w:r w:rsidR="00AD1D3C" w:rsidRPr="00D55250">
        <w:rPr>
          <w:rFonts w:ascii="Times New Roman" w:hAnsi="Times New Roman" w:cs="Times New Roman"/>
          <w:sz w:val="28"/>
          <w:szCs w:val="28"/>
        </w:rPr>
        <w:t xml:space="preserve"> </w:t>
      </w:r>
      <w:r w:rsidR="00781CFE" w:rsidRPr="00D55250">
        <w:rPr>
          <w:rFonts w:ascii="Times New Roman" w:hAnsi="Times New Roman" w:cs="Times New Roman"/>
          <w:sz w:val="28"/>
          <w:szCs w:val="28"/>
        </w:rPr>
        <w:t>враховується на рівні</w:t>
      </w:r>
      <w:r w:rsidR="00725D1D">
        <w:rPr>
          <w:rFonts w:ascii="Times New Roman" w:hAnsi="Times New Roman" w:cs="Times New Roman"/>
          <w:sz w:val="28"/>
          <w:szCs w:val="28"/>
        </w:rPr>
        <w:t xml:space="preserve"> 3%</w:t>
      </w:r>
      <w:r w:rsidR="00D165E3" w:rsidRPr="00D55250">
        <w:rPr>
          <w:rFonts w:ascii="Times New Roman" w:hAnsi="Times New Roman" w:cs="Times New Roman"/>
          <w:sz w:val="28"/>
          <w:szCs w:val="28"/>
        </w:rPr>
        <w:t>)</w:t>
      </w:r>
      <w:r w:rsidR="00FB1506">
        <w:rPr>
          <w:rFonts w:ascii="Times New Roman" w:hAnsi="Times New Roman" w:cs="Times New Roman"/>
          <w:sz w:val="28"/>
          <w:szCs w:val="28"/>
        </w:rPr>
        <w:t>, крім прифронтових ОСР, а також ліцензіатів до власників яких застосовано санкції), на рівні 0 відносних одиниць</w:t>
      </w:r>
      <w:r w:rsidR="00D165E3" w:rsidRPr="00D55250">
        <w:rPr>
          <w:rFonts w:ascii="Times New Roman" w:hAnsi="Times New Roman" w:cs="Times New Roman"/>
          <w:sz w:val="28"/>
          <w:szCs w:val="28"/>
        </w:rPr>
        <w:t>;</w:t>
      </w:r>
    </w:p>
    <w:p w14:paraId="484B3771" w14:textId="77777777" w:rsidR="00DC1500" w:rsidRPr="00943DFD" w:rsidRDefault="00112D23" w:rsidP="008915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56BE4" w:rsidRPr="00943DFD">
        <w:rPr>
          <w:rFonts w:ascii="Times New Roman" w:hAnsi="Times New Roman" w:cs="Times New Roman"/>
          <w:sz w:val="28"/>
          <w:szCs w:val="28"/>
        </w:rPr>
        <w:t>) </w:t>
      </w:r>
      <w:r w:rsidR="00DC1500" w:rsidRPr="00943DFD">
        <w:rPr>
          <w:rFonts w:ascii="Times New Roman" w:hAnsi="Times New Roman" w:cs="Times New Roman"/>
          <w:sz w:val="28"/>
          <w:szCs w:val="28"/>
        </w:rPr>
        <w:t xml:space="preserve">рівнем поінформованості суб’єктів господарювання та/або фізичних осіб з основних положень </w:t>
      </w:r>
      <w:proofErr w:type="spellStart"/>
      <w:r w:rsidR="00DC1500" w:rsidRPr="00943DFD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DC1500" w:rsidRPr="00943DFD">
        <w:rPr>
          <w:rFonts w:ascii="Times New Roman" w:hAnsi="Times New Roman" w:cs="Times New Roman"/>
          <w:sz w:val="28"/>
          <w:szCs w:val="28"/>
        </w:rPr>
        <w:t xml:space="preserve"> </w:t>
      </w:r>
      <w:r w:rsidR="00B26044">
        <w:rPr>
          <w:rFonts w:ascii="Times New Roman" w:hAnsi="Times New Roman" w:cs="Times New Roman"/>
          <w:sz w:val="28"/>
          <w:szCs w:val="28"/>
        </w:rPr>
        <w:t xml:space="preserve">– </w:t>
      </w:r>
      <w:r w:rsidR="00DC1500" w:rsidRPr="00943DFD">
        <w:rPr>
          <w:rFonts w:ascii="Times New Roman" w:hAnsi="Times New Roman" w:cs="Times New Roman"/>
          <w:sz w:val="28"/>
          <w:szCs w:val="28"/>
        </w:rPr>
        <w:t xml:space="preserve">середній. </w:t>
      </w:r>
    </w:p>
    <w:p w14:paraId="089ACEAF" w14:textId="77777777" w:rsidR="00DC1500" w:rsidRPr="00943DFD" w:rsidRDefault="00DC1500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3DFD">
        <w:rPr>
          <w:rFonts w:ascii="Times New Roman" w:hAnsi="Times New Roman" w:cs="Times New Roman"/>
          <w:sz w:val="28"/>
          <w:szCs w:val="28"/>
        </w:rPr>
        <w:t>Відповідно до статті 15 Закону України «Про Національну комісію, що здійснює державне регулювання у сферах енергетики та комунальних послуг» про</w:t>
      </w:r>
      <w:r w:rsidR="008C6D40" w:rsidRPr="00943DFD">
        <w:rPr>
          <w:rFonts w:ascii="Times New Roman" w:hAnsi="Times New Roman" w:cs="Times New Roman"/>
          <w:sz w:val="28"/>
          <w:szCs w:val="28"/>
        </w:rPr>
        <w:t>є</w:t>
      </w:r>
      <w:r w:rsidRPr="00943DFD">
        <w:rPr>
          <w:rFonts w:ascii="Times New Roman" w:hAnsi="Times New Roman" w:cs="Times New Roman"/>
          <w:sz w:val="28"/>
          <w:szCs w:val="28"/>
        </w:rPr>
        <w:t xml:space="preserve">кт постанови НКРЕКП </w:t>
      </w:r>
      <w:r w:rsidR="009C561D" w:rsidRPr="008F5F46">
        <w:rPr>
          <w:rFonts w:ascii="Times New Roman" w:hAnsi="Times New Roman" w:cs="Times New Roman"/>
          <w:sz w:val="28"/>
          <w:szCs w:val="28"/>
        </w:rPr>
        <w:t>«Про затвердження Змін до деяких постанов НКРЕ та НКРЕКП»</w:t>
      </w:r>
      <w:r w:rsidR="003B2344" w:rsidRPr="00A045B4">
        <w:rPr>
          <w:rFonts w:ascii="Times New Roman" w:hAnsi="Times New Roman" w:cs="Times New Roman"/>
          <w:sz w:val="28"/>
          <w:szCs w:val="28"/>
        </w:rPr>
        <w:t>,</w:t>
      </w:r>
      <w:r w:rsidR="003B2344">
        <w:rPr>
          <w:rFonts w:ascii="Times New Roman" w:hAnsi="Times New Roman" w:cs="Times New Roman"/>
          <w:sz w:val="28"/>
          <w:szCs w:val="28"/>
        </w:rPr>
        <w:t xml:space="preserve"> </w:t>
      </w:r>
      <w:r w:rsidRPr="00943DFD">
        <w:rPr>
          <w:rFonts w:ascii="Times New Roman" w:hAnsi="Times New Roman" w:cs="Times New Roman"/>
          <w:sz w:val="28"/>
          <w:szCs w:val="28"/>
        </w:rPr>
        <w:t xml:space="preserve">аналіз впливу рішення НКРЕКП, що має ознаки регуляторного </w:t>
      </w:r>
      <w:proofErr w:type="spellStart"/>
      <w:r w:rsidRPr="00943DFD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1228F1">
        <w:rPr>
          <w:rFonts w:ascii="Times New Roman" w:hAnsi="Times New Roman" w:cs="Times New Roman"/>
          <w:sz w:val="28"/>
          <w:szCs w:val="28"/>
        </w:rPr>
        <w:t>,</w:t>
      </w:r>
      <w:r w:rsidRPr="00943DFD">
        <w:rPr>
          <w:rFonts w:ascii="Times New Roman" w:hAnsi="Times New Roman" w:cs="Times New Roman"/>
          <w:sz w:val="28"/>
          <w:szCs w:val="28"/>
        </w:rPr>
        <w:t xml:space="preserve"> та повідомлення про оприлюднення розміщено на офіційному </w:t>
      </w:r>
      <w:proofErr w:type="spellStart"/>
      <w:r w:rsidRPr="00943DFD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Pr="00943DFD">
        <w:rPr>
          <w:rFonts w:ascii="Times New Roman" w:hAnsi="Times New Roman" w:cs="Times New Roman"/>
          <w:sz w:val="28"/>
          <w:szCs w:val="28"/>
        </w:rPr>
        <w:t xml:space="preserve"> Національної комісії, що здійснює державне регулювання у сферах енергетики та комунальних послуг, в мережі Інтернет </w:t>
      </w:r>
      <w:r w:rsidR="00B26044">
        <w:rPr>
          <w:rFonts w:ascii="Times New Roman" w:hAnsi="Times New Roman" w:cs="Times New Roman"/>
          <w:sz w:val="28"/>
          <w:szCs w:val="28"/>
        </w:rPr>
        <w:t xml:space="preserve">за посиланням: </w:t>
      </w:r>
      <w:r w:rsidRPr="00943DFD">
        <w:rPr>
          <w:rFonts w:ascii="Times New Roman" w:hAnsi="Times New Roman" w:cs="Times New Roman"/>
          <w:sz w:val="28"/>
          <w:szCs w:val="28"/>
        </w:rPr>
        <w:t xml:space="preserve">http://nerc.gov.ua. </w:t>
      </w:r>
    </w:p>
    <w:p w14:paraId="35F7C0E1" w14:textId="77777777" w:rsidR="00B26044" w:rsidRDefault="00DC1500" w:rsidP="00DC6752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3DFD">
        <w:rPr>
          <w:rFonts w:ascii="Times New Roman" w:hAnsi="Times New Roman" w:cs="Times New Roman"/>
          <w:sz w:val="28"/>
          <w:szCs w:val="28"/>
        </w:rPr>
        <w:t>НКРЕКП у межах компетенції надає необ</w:t>
      </w:r>
      <w:r w:rsidR="008C6D40" w:rsidRPr="00943DFD">
        <w:rPr>
          <w:rFonts w:ascii="Times New Roman" w:hAnsi="Times New Roman" w:cs="Times New Roman"/>
          <w:sz w:val="28"/>
          <w:szCs w:val="28"/>
        </w:rPr>
        <w:t>хідні роз’яснення щодо норм проє</w:t>
      </w:r>
      <w:r w:rsidRPr="00943DFD">
        <w:rPr>
          <w:rFonts w:ascii="Times New Roman" w:hAnsi="Times New Roman" w:cs="Times New Roman"/>
          <w:sz w:val="28"/>
          <w:szCs w:val="28"/>
        </w:rPr>
        <w:t xml:space="preserve">кту регуляторного </w:t>
      </w:r>
      <w:proofErr w:type="spellStart"/>
      <w:r w:rsidRPr="00943DFD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943DFD">
        <w:rPr>
          <w:rFonts w:ascii="Times New Roman" w:hAnsi="Times New Roman" w:cs="Times New Roman"/>
          <w:sz w:val="28"/>
          <w:szCs w:val="28"/>
        </w:rPr>
        <w:t xml:space="preserve"> і надаватиме роз’яснення щодо застосування </w:t>
      </w:r>
      <w:proofErr w:type="spellStart"/>
      <w:r w:rsidRPr="00943DFD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943DFD">
        <w:rPr>
          <w:rFonts w:ascii="Times New Roman" w:hAnsi="Times New Roman" w:cs="Times New Roman"/>
          <w:sz w:val="28"/>
          <w:szCs w:val="28"/>
        </w:rPr>
        <w:t xml:space="preserve">, який буде </w:t>
      </w:r>
      <w:r w:rsidR="001228F1">
        <w:rPr>
          <w:rFonts w:ascii="Times New Roman" w:hAnsi="Times New Roman" w:cs="Times New Roman"/>
          <w:sz w:val="28"/>
          <w:szCs w:val="28"/>
        </w:rPr>
        <w:t>оприлюднено</w:t>
      </w:r>
      <w:r w:rsidR="001228F1" w:rsidRPr="00943DFD">
        <w:rPr>
          <w:rFonts w:ascii="Times New Roman" w:hAnsi="Times New Roman" w:cs="Times New Roman"/>
          <w:sz w:val="28"/>
          <w:szCs w:val="28"/>
        </w:rPr>
        <w:t xml:space="preserve"> </w:t>
      </w:r>
      <w:r w:rsidR="00B26044">
        <w:rPr>
          <w:rFonts w:ascii="Times New Roman" w:hAnsi="Times New Roman" w:cs="Times New Roman"/>
          <w:sz w:val="28"/>
          <w:szCs w:val="28"/>
        </w:rPr>
        <w:t xml:space="preserve">на офіційному </w:t>
      </w:r>
      <w:proofErr w:type="spellStart"/>
      <w:r w:rsidR="00B26044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="00B26044">
        <w:rPr>
          <w:rFonts w:ascii="Times New Roman" w:hAnsi="Times New Roman" w:cs="Times New Roman"/>
          <w:sz w:val="28"/>
          <w:szCs w:val="28"/>
        </w:rPr>
        <w:t xml:space="preserve"> </w:t>
      </w:r>
      <w:r w:rsidR="001228F1">
        <w:rPr>
          <w:rFonts w:ascii="Times New Roman" w:hAnsi="Times New Roman" w:cs="Times New Roman"/>
          <w:sz w:val="28"/>
          <w:szCs w:val="28"/>
        </w:rPr>
        <w:t>НКРЕКП після його прийняття</w:t>
      </w:r>
      <w:r w:rsidR="00B26044">
        <w:rPr>
          <w:rFonts w:ascii="Times New Roman" w:hAnsi="Times New Roman" w:cs="Times New Roman"/>
          <w:sz w:val="28"/>
          <w:szCs w:val="28"/>
        </w:rPr>
        <w:t>.</w:t>
      </w:r>
    </w:p>
    <w:p w14:paraId="18535487" w14:textId="7195DC8E" w:rsidR="00375422" w:rsidRDefault="00375422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164C40" w14:textId="77777777" w:rsidR="00DC1500" w:rsidRPr="00943DFD" w:rsidRDefault="00DC1500" w:rsidP="00DC67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3DFD">
        <w:rPr>
          <w:rFonts w:ascii="Times New Roman" w:hAnsi="Times New Roman" w:cs="Times New Roman"/>
          <w:b/>
          <w:bCs/>
          <w:sz w:val="28"/>
          <w:szCs w:val="28"/>
        </w:rPr>
        <w:t>VII</w:t>
      </w:r>
      <w:r w:rsidRPr="00943DFD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943DF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943DF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943DFD">
        <w:rPr>
          <w:rFonts w:ascii="Times New Roman" w:hAnsi="Times New Roman" w:cs="Times New Roman"/>
          <w:b/>
          <w:bCs/>
          <w:sz w:val="28"/>
          <w:szCs w:val="28"/>
        </w:rPr>
        <w:t xml:space="preserve">Очікуванні результати прийняття регуляторного </w:t>
      </w:r>
      <w:proofErr w:type="spellStart"/>
      <w:r w:rsidRPr="00943DFD">
        <w:rPr>
          <w:rFonts w:ascii="Times New Roman" w:hAnsi="Times New Roman" w:cs="Times New Roman"/>
          <w:b/>
          <w:bCs/>
          <w:sz w:val="28"/>
          <w:szCs w:val="28"/>
        </w:rPr>
        <w:t>акта</w:t>
      </w:r>
      <w:proofErr w:type="spellEnd"/>
    </w:p>
    <w:p w14:paraId="74781CF9" w14:textId="77777777" w:rsidR="00DC1500" w:rsidRPr="006E0672" w:rsidRDefault="00DC1500" w:rsidP="00DC67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AD2CAB1" w14:textId="65FB627F" w:rsidR="00B923FE" w:rsidRDefault="00FB1506" w:rsidP="00DC6752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Очікуваним результатом прийняття проєкту постанови НКРЕКП «Про затвердження Змін до деяких постанов НКРЕ та НКРЕКП» має стати удосконалення постанов НКРЕ та НКРЕКП для забезпечення </w:t>
      </w:r>
      <w:r w:rsidR="00B923FE">
        <w:rPr>
          <w:rFonts w:ascii="Times New Roman" w:hAnsi="Times New Roman" w:cs="Times New Roman"/>
          <w:sz w:val="28"/>
          <w:szCs w:val="28"/>
        </w:rPr>
        <w:t xml:space="preserve">в умовах воєнного стану </w:t>
      </w:r>
      <w:r>
        <w:rPr>
          <w:rFonts w:ascii="Times New Roman" w:hAnsi="Times New Roman" w:cs="Times New Roman"/>
          <w:sz w:val="28"/>
          <w:szCs w:val="28"/>
        </w:rPr>
        <w:t xml:space="preserve">формування та встановлення </w:t>
      </w:r>
      <w:r w:rsidR="001F2F0B">
        <w:rPr>
          <w:rFonts w:ascii="Times New Roman" w:hAnsi="Times New Roman" w:cs="Times New Roman"/>
          <w:sz w:val="28"/>
          <w:szCs w:val="28"/>
        </w:rPr>
        <w:t xml:space="preserve">суб’єктам господарювання </w:t>
      </w:r>
      <w:r>
        <w:rPr>
          <w:rFonts w:ascii="Times New Roman" w:hAnsi="Times New Roman" w:cs="Times New Roman"/>
          <w:sz w:val="28"/>
          <w:szCs w:val="28"/>
        </w:rPr>
        <w:t xml:space="preserve">тарифів на послуги з розподілу електричної енергії </w:t>
      </w:r>
      <w:r>
        <w:rPr>
          <w:rFonts w:ascii="Times New Roman" w:eastAsia="SimSun" w:hAnsi="Times New Roman" w:cs="Times New Roman"/>
          <w:i/>
          <w:sz w:val="28"/>
          <w:szCs w:val="28"/>
          <w:lang w:bidi="ta-IN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яким встановлено тарифи на послуги з розподілу електричної енергії із застосуванням стимулюючого регулювання)</w:t>
      </w:r>
      <w:r w:rsidR="00B923FE" w:rsidRPr="00B923FE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 </w:t>
      </w:r>
      <w:r w:rsidR="00B923FE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та </w:t>
      </w:r>
      <w:r w:rsidR="00B923FE">
        <w:rPr>
          <w:rFonts w:ascii="Times New Roman" w:hAnsi="Times New Roman" w:cs="Times New Roman"/>
          <w:sz w:val="28"/>
          <w:szCs w:val="28"/>
        </w:rPr>
        <w:t>на послуги постачальника універсальних послуг з урахуванням їх діяльності на прифронтових територіях.</w:t>
      </w:r>
    </w:p>
    <w:p w14:paraId="33BA6DA2" w14:textId="13CA76B1" w:rsidR="00055385" w:rsidRDefault="00055385" w:rsidP="00DC67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93819A6" w14:textId="583CDBBB" w:rsidR="008F2A82" w:rsidRDefault="008F2A82" w:rsidP="00DC67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1C67A63" w14:textId="77777777" w:rsidR="008F2A82" w:rsidRPr="00943DFD" w:rsidRDefault="008F2A82" w:rsidP="00DC67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20CBFB0" w14:textId="4EEC5E47" w:rsidR="00DC1500" w:rsidRPr="00EC1C31" w:rsidRDefault="00DC1500" w:rsidP="00DC67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DFD">
        <w:rPr>
          <w:rFonts w:ascii="Times New Roman" w:hAnsi="Times New Roman" w:cs="Times New Roman"/>
          <w:sz w:val="28"/>
          <w:szCs w:val="28"/>
        </w:rPr>
        <w:t>Голов</w:t>
      </w:r>
      <w:r w:rsidR="003B2344">
        <w:rPr>
          <w:rFonts w:ascii="Times New Roman" w:hAnsi="Times New Roman" w:cs="Times New Roman"/>
          <w:sz w:val="28"/>
          <w:szCs w:val="28"/>
        </w:rPr>
        <w:t>а</w:t>
      </w:r>
      <w:r w:rsidRPr="00943DFD">
        <w:rPr>
          <w:rFonts w:ascii="Times New Roman" w:hAnsi="Times New Roman" w:cs="Times New Roman"/>
          <w:sz w:val="28"/>
          <w:szCs w:val="28"/>
        </w:rPr>
        <w:t xml:space="preserve"> НКРЕКП</w:t>
      </w:r>
      <w:r w:rsidRPr="00943DFD">
        <w:rPr>
          <w:rFonts w:ascii="Times New Roman" w:hAnsi="Times New Roman" w:cs="Times New Roman"/>
          <w:sz w:val="28"/>
          <w:szCs w:val="28"/>
        </w:rPr>
        <w:tab/>
      </w:r>
      <w:r w:rsidRPr="00943DFD">
        <w:rPr>
          <w:rFonts w:ascii="Times New Roman" w:hAnsi="Times New Roman" w:cs="Times New Roman"/>
          <w:sz w:val="28"/>
          <w:szCs w:val="28"/>
        </w:rPr>
        <w:tab/>
      </w:r>
      <w:r w:rsidRPr="00943DFD">
        <w:rPr>
          <w:rFonts w:ascii="Times New Roman" w:hAnsi="Times New Roman" w:cs="Times New Roman"/>
          <w:sz w:val="28"/>
          <w:szCs w:val="28"/>
        </w:rPr>
        <w:tab/>
      </w:r>
      <w:r w:rsidRPr="00943DFD">
        <w:rPr>
          <w:rFonts w:ascii="Times New Roman" w:hAnsi="Times New Roman" w:cs="Times New Roman"/>
          <w:sz w:val="28"/>
          <w:szCs w:val="28"/>
        </w:rPr>
        <w:tab/>
      </w:r>
      <w:r w:rsidR="008F2A82">
        <w:rPr>
          <w:rFonts w:ascii="Times New Roman" w:hAnsi="Times New Roman" w:cs="Times New Roman"/>
          <w:sz w:val="28"/>
          <w:szCs w:val="28"/>
        </w:rPr>
        <w:tab/>
      </w:r>
      <w:r w:rsidRPr="00943DFD">
        <w:rPr>
          <w:rFonts w:ascii="Times New Roman" w:hAnsi="Times New Roman" w:cs="Times New Roman"/>
          <w:sz w:val="28"/>
          <w:szCs w:val="28"/>
        </w:rPr>
        <w:tab/>
      </w:r>
      <w:r w:rsidRPr="00943DFD">
        <w:rPr>
          <w:rFonts w:ascii="Times New Roman" w:hAnsi="Times New Roman" w:cs="Times New Roman"/>
          <w:sz w:val="28"/>
          <w:szCs w:val="28"/>
        </w:rPr>
        <w:tab/>
      </w:r>
      <w:r w:rsidR="008F2A82">
        <w:rPr>
          <w:rFonts w:ascii="Times New Roman" w:hAnsi="Times New Roman" w:cs="Times New Roman"/>
          <w:sz w:val="28"/>
          <w:szCs w:val="28"/>
        </w:rPr>
        <w:t>Валерій ТАРАСЮК</w:t>
      </w:r>
    </w:p>
    <w:sectPr w:rsidR="00DC1500" w:rsidRPr="00EC1C31" w:rsidSect="000820F1">
      <w:headerReference w:type="default" r:id="rId8"/>
      <w:pgSz w:w="11906" w:h="16838"/>
      <w:pgMar w:top="993" w:right="567" w:bottom="709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F3806E" w14:textId="77777777" w:rsidR="00CE0CD9" w:rsidRDefault="00CE0CD9" w:rsidP="00B4485B">
      <w:pPr>
        <w:spacing w:after="0" w:line="240" w:lineRule="auto"/>
      </w:pPr>
      <w:r>
        <w:separator/>
      </w:r>
    </w:p>
  </w:endnote>
  <w:endnote w:type="continuationSeparator" w:id="0">
    <w:p w14:paraId="470F54E6" w14:textId="77777777" w:rsidR="00CE0CD9" w:rsidRDefault="00CE0CD9" w:rsidP="00B44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9A7FE8" w14:textId="77777777" w:rsidR="00CE0CD9" w:rsidRDefault="00CE0CD9" w:rsidP="00B4485B">
      <w:pPr>
        <w:spacing w:after="0" w:line="240" w:lineRule="auto"/>
      </w:pPr>
      <w:r>
        <w:separator/>
      </w:r>
    </w:p>
  </w:footnote>
  <w:footnote w:type="continuationSeparator" w:id="0">
    <w:p w14:paraId="50BDB825" w14:textId="77777777" w:rsidR="00CE0CD9" w:rsidRDefault="00CE0CD9" w:rsidP="00B44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52C88" w14:textId="77777777" w:rsidR="00A33081" w:rsidRPr="00D165E3" w:rsidRDefault="00A33081" w:rsidP="00D165E3">
    <w:pPr>
      <w:pStyle w:val="a4"/>
      <w:jc w:val="center"/>
      <w:rPr>
        <w:rFonts w:ascii="Times New Roman" w:hAnsi="Times New Roman" w:cs="Times New Roman"/>
      </w:rPr>
    </w:pPr>
    <w:r w:rsidRPr="00726447">
      <w:rPr>
        <w:rFonts w:ascii="Times New Roman" w:hAnsi="Times New Roman" w:cs="Times New Roman"/>
      </w:rPr>
      <w:fldChar w:fldCharType="begin"/>
    </w:r>
    <w:r w:rsidRPr="00726447">
      <w:rPr>
        <w:rFonts w:ascii="Times New Roman" w:hAnsi="Times New Roman" w:cs="Times New Roman"/>
      </w:rPr>
      <w:instrText>PAGE   \* MERGEFORMAT</w:instrText>
    </w:r>
    <w:r w:rsidRPr="00726447">
      <w:rPr>
        <w:rFonts w:ascii="Times New Roman" w:hAnsi="Times New Roman" w:cs="Times New Roman"/>
      </w:rPr>
      <w:fldChar w:fldCharType="separate"/>
    </w:r>
    <w:r w:rsidR="001F2F0B">
      <w:rPr>
        <w:rFonts w:ascii="Times New Roman" w:hAnsi="Times New Roman" w:cs="Times New Roman"/>
        <w:noProof/>
      </w:rPr>
      <w:t>7</w:t>
    </w:r>
    <w:r w:rsidRPr="00726447">
      <w:rPr>
        <w:rFonts w:ascii="Times New Roman" w:hAnsi="Times New Roman" w:cs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EE405B"/>
    <w:multiLevelType w:val="hybridMultilevel"/>
    <w:tmpl w:val="1F5A388E"/>
    <w:lvl w:ilvl="0" w:tplc="D7C2A87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1C0067B7"/>
    <w:multiLevelType w:val="hybridMultilevel"/>
    <w:tmpl w:val="AAB093CE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1F61642"/>
    <w:multiLevelType w:val="hybridMultilevel"/>
    <w:tmpl w:val="84E839AA"/>
    <w:lvl w:ilvl="0" w:tplc="0422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76A4085"/>
    <w:multiLevelType w:val="hybridMultilevel"/>
    <w:tmpl w:val="74382C38"/>
    <w:lvl w:ilvl="0" w:tplc="ED86E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BA4204"/>
    <w:multiLevelType w:val="hybridMultilevel"/>
    <w:tmpl w:val="D2C0AA38"/>
    <w:lvl w:ilvl="0" w:tplc="FAF8C55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  <w:rPr>
        <w:rFonts w:cs="Times New Roman"/>
      </w:rPr>
    </w:lvl>
  </w:abstractNum>
  <w:abstractNum w:abstractNumId="5" w15:restartNumberingAfterBreak="0">
    <w:nsid w:val="347F2D2B"/>
    <w:multiLevelType w:val="hybridMultilevel"/>
    <w:tmpl w:val="3A1463A6"/>
    <w:lvl w:ilvl="0" w:tplc="736429A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trackRevision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AD4"/>
    <w:rsid w:val="00000906"/>
    <w:rsid w:val="000011EF"/>
    <w:rsid w:val="00002C99"/>
    <w:rsid w:val="0001257D"/>
    <w:rsid w:val="00014069"/>
    <w:rsid w:val="00017848"/>
    <w:rsid w:val="00020178"/>
    <w:rsid w:val="000202EA"/>
    <w:rsid w:val="000217A1"/>
    <w:rsid w:val="000302DC"/>
    <w:rsid w:val="000317F3"/>
    <w:rsid w:val="00034654"/>
    <w:rsid w:val="000354E5"/>
    <w:rsid w:val="00036637"/>
    <w:rsid w:val="00042445"/>
    <w:rsid w:val="00046BA0"/>
    <w:rsid w:val="000534F1"/>
    <w:rsid w:val="00053BCF"/>
    <w:rsid w:val="00054881"/>
    <w:rsid w:val="00055385"/>
    <w:rsid w:val="00063F4C"/>
    <w:rsid w:val="000645D5"/>
    <w:rsid w:val="00065023"/>
    <w:rsid w:val="00067F06"/>
    <w:rsid w:val="0007401F"/>
    <w:rsid w:val="00077764"/>
    <w:rsid w:val="000820F1"/>
    <w:rsid w:val="000834CE"/>
    <w:rsid w:val="00083AAB"/>
    <w:rsid w:val="000858E6"/>
    <w:rsid w:val="00085927"/>
    <w:rsid w:val="00087085"/>
    <w:rsid w:val="00092636"/>
    <w:rsid w:val="000938AE"/>
    <w:rsid w:val="000A4FA6"/>
    <w:rsid w:val="000A5556"/>
    <w:rsid w:val="000B0549"/>
    <w:rsid w:val="000B0574"/>
    <w:rsid w:val="000B0808"/>
    <w:rsid w:val="000B100A"/>
    <w:rsid w:val="000B3179"/>
    <w:rsid w:val="000B3619"/>
    <w:rsid w:val="000B3CCB"/>
    <w:rsid w:val="000B4E9E"/>
    <w:rsid w:val="000B6295"/>
    <w:rsid w:val="000C1767"/>
    <w:rsid w:val="000C37E4"/>
    <w:rsid w:val="000C69B3"/>
    <w:rsid w:val="000C77FE"/>
    <w:rsid w:val="000D3113"/>
    <w:rsid w:val="000D526A"/>
    <w:rsid w:val="000E0120"/>
    <w:rsid w:val="000E1F7F"/>
    <w:rsid w:val="000E374A"/>
    <w:rsid w:val="000E3DAA"/>
    <w:rsid w:val="000E5B56"/>
    <w:rsid w:val="000E6897"/>
    <w:rsid w:val="000F37C8"/>
    <w:rsid w:val="000F5926"/>
    <w:rsid w:val="000F72F6"/>
    <w:rsid w:val="000F7AA9"/>
    <w:rsid w:val="00101536"/>
    <w:rsid w:val="00101840"/>
    <w:rsid w:val="00101C39"/>
    <w:rsid w:val="00102EE6"/>
    <w:rsid w:val="00103458"/>
    <w:rsid w:val="00106F29"/>
    <w:rsid w:val="001114F4"/>
    <w:rsid w:val="00112D23"/>
    <w:rsid w:val="00115EAB"/>
    <w:rsid w:val="00120A93"/>
    <w:rsid w:val="0012257B"/>
    <w:rsid w:val="001228F1"/>
    <w:rsid w:val="001325DB"/>
    <w:rsid w:val="00132723"/>
    <w:rsid w:val="00151E1F"/>
    <w:rsid w:val="0015200C"/>
    <w:rsid w:val="00160780"/>
    <w:rsid w:val="00163C0C"/>
    <w:rsid w:val="00163E02"/>
    <w:rsid w:val="00166C04"/>
    <w:rsid w:val="00172AC3"/>
    <w:rsid w:val="00174909"/>
    <w:rsid w:val="00175E93"/>
    <w:rsid w:val="00177D27"/>
    <w:rsid w:val="001824CF"/>
    <w:rsid w:val="0018723A"/>
    <w:rsid w:val="001935AA"/>
    <w:rsid w:val="001A26D8"/>
    <w:rsid w:val="001A3EF0"/>
    <w:rsid w:val="001B21CF"/>
    <w:rsid w:val="001B30DA"/>
    <w:rsid w:val="001B321D"/>
    <w:rsid w:val="001B4AF1"/>
    <w:rsid w:val="001C00D5"/>
    <w:rsid w:val="001C3229"/>
    <w:rsid w:val="001C5354"/>
    <w:rsid w:val="001C5FB3"/>
    <w:rsid w:val="001C614E"/>
    <w:rsid w:val="001C6EAC"/>
    <w:rsid w:val="001D26DF"/>
    <w:rsid w:val="001D2835"/>
    <w:rsid w:val="001D3F4B"/>
    <w:rsid w:val="001D4709"/>
    <w:rsid w:val="001D69A1"/>
    <w:rsid w:val="001E11F5"/>
    <w:rsid w:val="001F1338"/>
    <w:rsid w:val="001F191E"/>
    <w:rsid w:val="001F1CE8"/>
    <w:rsid w:val="001F2F0B"/>
    <w:rsid w:val="001F5B1B"/>
    <w:rsid w:val="001F64D6"/>
    <w:rsid w:val="00205B59"/>
    <w:rsid w:val="00211F05"/>
    <w:rsid w:val="00211F26"/>
    <w:rsid w:val="00217C9C"/>
    <w:rsid w:val="00227B11"/>
    <w:rsid w:val="002319A9"/>
    <w:rsid w:val="00234FAE"/>
    <w:rsid w:val="0023564D"/>
    <w:rsid w:val="00250B09"/>
    <w:rsid w:val="0025338E"/>
    <w:rsid w:val="00254B51"/>
    <w:rsid w:val="0025569A"/>
    <w:rsid w:val="00256259"/>
    <w:rsid w:val="00256BE4"/>
    <w:rsid w:val="00262D37"/>
    <w:rsid w:val="00264427"/>
    <w:rsid w:val="00266989"/>
    <w:rsid w:val="00267A9C"/>
    <w:rsid w:val="00267E2F"/>
    <w:rsid w:val="00267F26"/>
    <w:rsid w:val="00272EDD"/>
    <w:rsid w:val="00285079"/>
    <w:rsid w:val="002912A1"/>
    <w:rsid w:val="00291960"/>
    <w:rsid w:val="00291B29"/>
    <w:rsid w:val="00291F0A"/>
    <w:rsid w:val="00292CE5"/>
    <w:rsid w:val="002947D7"/>
    <w:rsid w:val="002A62E0"/>
    <w:rsid w:val="002A7E1C"/>
    <w:rsid w:val="002B2D0F"/>
    <w:rsid w:val="002B53F1"/>
    <w:rsid w:val="002C457D"/>
    <w:rsid w:val="002C4681"/>
    <w:rsid w:val="002C7012"/>
    <w:rsid w:val="002D36B9"/>
    <w:rsid w:val="002D499C"/>
    <w:rsid w:val="002E2AB9"/>
    <w:rsid w:val="002E416D"/>
    <w:rsid w:val="002E5440"/>
    <w:rsid w:val="002F06AB"/>
    <w:rsid w:val="003028DB"/>
    <w:rsid w:val="00304C31"/>
    <w:rsid w:val="003061E1"/>
    <w:rsid w:val="00307298"/>
    <w:rsid w:val="0031498D"/>
    <w:rsid w:val="00314F6A"/>
    <w:rsid w:val="00316256"/>
    <w:rsid w:val="00322A23"/>
    <w:rsid w:val="003239F3"/>
    <w:rsid w:val="00324646"/>
    <w:rsid w:val="0032547B"/>
    <w:rsid w:val="00326E0B"/>
    <w:rsid w:val="00331518"/>
    <w:rsid w:val="003337AF"/>
    <w:rsid w:val="003342C9"/>
    <w:rsid w:val="00334726"/>
    <w:rsid w:val="003359CD"/>
    <w:rsid w:val="003365B9"/>
    <w:rsid w:val="0034529E"/>
    <w:rsid w:val="00345833"/>
    <w:rsid w:val="00346BBB"/>
    <w:rsid w:val="003474B3"/>
    <w:rsid w:val="003500CC"/>
    <w:rsid w:val="003522C9"/>
    <w:rsid w:val="00353168"/>
    <w:rsid w:val="0035567D"/>
    <w:rsid w:val="00360D00"/>
    <w:rsid w:val="00363DC0"/>
    <w:rsid w:val="00375422"/>
    <w:rsid w:val="00376D71"/>
    <w:rsid w:val="00377979"/>
    <w:rsid w:val="003800B0"/>
    <w:rsid w:val="00381B8C"/>
    <w:rsid w:val="00393932"/>
    <w:rsid w:val="003949CC"/>
    <w:rsid w:val="00394B81"/>
    <w:rsid w:val="003A142D"/>
    <w:rsid w:val="003A31DF"/>
    <w:rsid w:val="003A4CA7"/>
    <w:rsid w:val="003A5A9C"/>
    <w:rsid w:val="003B1240"/>
    <w:rsid w:val="003B2344"/>
    <w:rsid w:val="003B35F2"/>
    <w:rsid w:val="003C0664"/>
    <w:rsid w:val="003D09C5"/>
    <w:rsid w:val="003D5282"/>
    <w:rsid w:val="003D5AF7"/>
    <w:rsid w:val="003D7395"/>
    <w:rsid w:val="003E095C"/>
    <w:rsid w:val="003E1A1E"/>
    <w:rsid w:val="003E7DCD"/>
    <w:rsid w:val="004008AD"/>
    <w:rsid w:val="00405F7B"/>
    <w:rsid w:val="00410F64"/>
    <w:rsid w:val="00411CCB"/>
    <w:rsid w:val="004136D7"/>
    <w:rsid w:val="00417143"/>
    <w:rsid w:val="004326DB"/>
    <w:rsid w:val="00441CBF"/>
    <w:rsid w:val="00444E09"/>
    <w:rsid w:val="004473EE"/>
    <w:rsid w:val="0044796E"/>
    <w:rsid w:val="0045238D"/>
    <w:rsid w:val="00452DE6"/>
    <w:rsid w:val="00457587"/>
    <w:rsid w:val="00467E94"/>
    <w:rsid w:val="0047038C"/>
    <w:rsid w:val="004714F0"/>
    <w:rsid w:val="00476B9E"/>
    <w:rsid w:val="0048072B"/>
    <w:rsid w:val="004816F9"/>
    <w:rsid w:val="00483555"/>
    <w:rsid w:val="00486E66"/>
    <w:rsid w:val="00487B55"/>
    <w:rsid w:val="00491849"/>
    <w:rsid w:val="00493E17"/>
    <w:rsid w:val="00495612"/>
    <w:rsid w:val="00495F36"/>
    <w:rsid w:val="004A1C5D"/>
    <w:rsid w:val="004A4623"/>
    <w:rsid w:val="004A7F3E"/>
    <w:rsid w:val="004B429B"/>
    <w:rsid w:val="004B7026"/>
    <w:rsid w:val="004B7DDC"/>
    <w:rsid w:val="004C290A"/>
    <w:rsid w:val="004D15A4"/>
    <w:rsid w:val="004E06D1"/>
    <w:rsid w:val="004E1269"/>
    <w:rsid w:val="004E23E9"/>
    <w:rsid w:val="004E2EFB"/>
    <w:rsid w:val="004E7252"/>
    <w:rsid w:val="004E7298"/>
    <w:rsid w:val="00501CDA"/>
    <w:rsid w:val="005050CE"/>
    <w:rsid w:val="005070C1"/>
    <w:rsid w:val="00523926"/>
    <w:rsid w:val="00524579"/>
    <w:rsid w:val="00524F83"/>
    <w:rsid w:val="00526105"/>
    <w:rsid w:val="00531C01"/>
    <w:rsid w:val="0053670C"/>
    <w:rsid w:val="0055215E"/>
    <w:rsid w:val="005539A8"/>
    <w:rsid w:val="00554C67"/>
    <w:rsid w:val="005554FD"/>
    <w:rsid w:val="0055596E"/>
    <w:rsid w:val="0056222A"/>
    <w:rsid w:val="00562A6B"/>
    <w:rsid w:val="005647CE"/>
    <w:rsid w:val="00565D81"/>
    <w:rsid w:val="00570109"/>
    <w:rsid w:val="0057175A"/>
    <w:rsid w:val="00577C13"/>
    <w:rsid w:val="005819C0"/>
    <w:rsid w:val="00581BA8"/>
    <w:rsid w:val="00583613"/>
    <w:rsid w:val="00592E5F"/>
    <w:rsid w:val="005977A2"/>
    <w:rsid w:val="005A31FB"/>
    <w:rsid w:val="005A3439"/>
    <w:rsid w:val="005A6A4B"/>
    <w:rsid w:val="005A73AF"/>
    <w:rsid w:val="005A77E4"/>
    <w:rsid w:val="005B080F"/>
    <w:rsid w:val="005B322E"/>
    <w:rsid w:val="005B4C3F"/>
    <w:rsid w:val="005B78AF"/>
    <w:rsid w:val="005C1692"/>
    <w:rsid w:val="005C3ADD"/>
    <w:rsid w:val="005C59BB"/>
    <w:rsid w:val="005D4D24"/>
    <w:rsid w:val="005D7AFC"/>
    <w:rsid w:val="005E17E0"/>
    <w:rsid w:val="005E40E9"/>
    <w:rsid w:val="005E5A4E"/>
    <w:rsid w:val="005E67C9"/>
    <w:rsid w:val="005F132C"/>
    <w:rsid w:val="005F5595"/>
    <w:rsid w:val="005F5AD4"/>
    <w:rsid w:val="00607D72"/>
    <w:rsid w:val="006110F1"/>
    <w:rsid w:val="00611E39"/>
    <w:rsid w:val="00616112"/>
    <w:rsid w:val="00621A84"/>
    <w:rsid w:val="006238DE"/>
    <w:rsid w:val="00627571"/>
    <w:rsid w:val="00633CA7"/>
    <w:rsid w:val="00640C31"/>
    <w:rsid w:val="006428F3"/>
    <w:rsid w:val="00646E30"/>
    <w:rsid w:val="006476F3"/>
    <w:rsid w:val="00647B23"/>
    <w:rsid w:val="00650A25"/>
    <w:rsid w:val="00651D66"/>
    <w:rsid w:val="00652CDA"/>
    <w:rsid w:val="00654DC5"/>
    <w:rsid w:val="00656225"/>
    <w:rsid w:val="00665CB5"/>
    <w:rsid w:val="00667E06"/>
    <w:rsid w:val="00671172"/>
    <w:rsid w:val="006777CE"/>
    <w:rsid w:val="006841C4"/>
    <w:rsid w:val="00691E9B"/>
    <w:rsid w:val="00692E34"/>
    <w:rsid w:val="00693DA7"/>
    <w:rsid w:val="0069411C"/>
    <w:rsid w:val="0069722E"/>
    <w:rsid w:val="006A0B68"/>
    <w:rsid w:val="006A2271"/>
    <w:rsid w:val="006A2CB3"/>
    <w:rsid w:val="006A5211"/>
    <w:rsid w:val="006A59E0"/>
    <w:rsid w:val="006A6E45"/>
    <w:rsid w:val="006B2454"/>
    <w:rsid w:val="006B3D12"/>
    <w:rsid w:val="006B5D4A"/>
    <w:rsid w:val="006C13C0"/>
    <w:rsid w:val="006C3047"/>
    <w:rsid w:val="006C6F99"/>
    <w:rsid w:val="006D7149"/>
    <w:rsid w:val="006E0672"/>
    <w:rsid w:val="006E1745"/>
    <w:rsid w:val="0070151A"/>
    <w:rsid w:val="007048F0"/>
    <w:rsid w:val="00704AF5"/>
    <w:rsid w:val="0071464F"/>
    <w:rsid w:val="007218AB"/>
    <w:rsid w:val="00723FE8"/>
    <w:rsid w:val="00725546"/>
    <w:rsid w:val="00725D1D"/>
    <w:rsid w:val="00726447"/>
    <w:rsid w:val="00730A38"/>
    <w:rsid w:val="00735994"/>
    <w:rsid w:val="007367A4"/>
    <w:rsid w:val="00737985"/>
    <w:rsid w:val="00743C04"/>
    <w:rsid w:val="007466BB"/>
    <w:rsid w:val="00746BF0"/>
    <w:rsid w:val="00752E85"/>
    <w:rsid w:val="00755F9A"/>
    <w:rsid w:val="0076065C"/>
    <w:rsid w:val="00760BBD"/>
    <w:rsid w:val="007637D5"/>
    <w:rsid w:val="0077202A"/>
    <w:rsid w:val="00772241"/>
    <w:rsid w:val="00774C7B"/>
    <w:rsid w:val="00781CFE"/>
    <w:rsid w:val="00791BB7"/>
    <w:rsid w:val="007927C0"/>
    <w:rsid w:val="007A274A"/>
    <w:rsid w:val="007A3418"/>
    <w:rsid w:val="007A5AAE"/>
    <w:rsid w:val="007B07B3"/>
    <w:rsid w:val="007B0D8A"/>
    <w:rsid w:val="007B1CB2"/>
    <w:rsid w:val="007B5019"/>
    <w:rsid w:val="007B71D9"/>
    <w:rsid w:val="007B73B9"/>
    <w:rsid w:val="007C02AE"/>
    <w:rsid w:val="007C110F"/>
    <w:rsid w:val="007C3B0E"/>
    <w:rsid w:val="007C78DC"/>
    <w:rsid w:val="007D0C1D"/>
    <w:rsid w:val="007D2061"/>
    <w:rsid w:val="007D2972"/>
    <w:rsid w:val="007E249F"/>
    <w:rsid w:val="007E49B1"/>
    <w:rsid w:val="007E639D"/>
    <w:rsid w:val="007E7663"/>
    <w:rsid w:val="007F128D"/>
    <w:rsid w:val="007F2C6A"/>
    <w:rsid w:val="00802EF7"/>
    <w:rsid w:val="008163CB"/>
    <w:rsid w:val="00817BEB"/>
    <w:rsid w:val="008223F7"/>
    <w:rsid w:val="0082428B"/>
    <w:rsid w:val="00826696"/>
    <w:rsid w:val="00827084"/>
    <w:rsid w:val="00827280"/>
    <w:rsid w:val="00833DA0"/>
    <w:rsid w:val="008366E2"/>
    <w:rsid w:val="00836AB9"/>
    <w:rsid w:val="008409A6"/>
    <w:rsid w:val="008465E0"/>
    <w:rsid w:val="008509EE"/>
    <w:rsid w:val="00852845"/>
    <w:rsid w:val="00852A4C"/>
    <w:rsid w:val="008651AB"/>
    <w:rsid w:val="00865D3F"/>
    <w:rsid w:val="00867969"/>
    <w:rsid w:val="008726FF"/>
    <w:rsid w:val="00872DB8"/>
    <w:rsid w:val="0087366F"/>
    <w:rsid w:val="0087391A"/>
    <w:rsid w:val="00876C6C"/>
    <w:rsid w:val="00877806"/>
    <w:rsid w:val="00881E32"/>
    <w:rsid w:val="00882408"/>
    <w:rsid w:val="00884B7C"/>
    <w:rsid w:val="00886B09"/>
    <w:rsid w:val="00891511"/>
    <w:rsid w:val="0089450D"/>
    <w:rsid w:val="008A3DA4"/>
    <w:rsid w:val="008A56C3"/>
    <w:rsid w:val="008B074C"/>
    <w:rsid w:val="008B222D"/>
    <w:rsid w:val="008B2A04"/>
    <w:rsid w:val="008B343D"/>
    <w:rsid w:val="008B5CD7"/>
    <w:rsid w:val="008C566E"/>
    <w:rsid w:val="008C6D40"/>
    <w:rsid w:val="008D2BBB"/>
    <w:rsid w:val="008D65DE"/>
    <w:rsid w:val="008E0C3A"/>
    <w:rsid w:val="008E0FD9"/>
    <w:rsid w:val="008E1C45"/>
    <w:rsid w:val="008E4216"/>
    <w:rsid w:val="008E497D"/>
    <w:rsid w:val="008E4C33"/>
    <w:rsid w:val="008E7528"/>
    <w:rsid w:val="008F0321"/>
    <w:rsid w:val="008F1C2A"/>
    <w:rsid w:val="008F2126"/>
    <w:rsid w:val="008F2A82"/>
    <w:rsid w:val="008F37C0"/>
    <w:rsid w:val="008F4F11"/>
    <w:rsid w:val="008F5F46"/>
    <w:rsid w:val="0090320B"/>
    <w:rsid w:val="0090639B"/>
    <w:rsid w:val="009077EA"/>
    <w:rsid w:val="00911D9D"/>
    <w:rsid w:val="00916D13"/>
    <w:rsid w:val="00922020"/>
    <w:rsid w:val="009224A2"/>
    <w:rsid w:val="00941420"/>
    <w:rsid w:val="00943DFD"/>
    <w:rsid w:val="00944C00"/>
    <w:rsid w:val="00950C76"/>
    <w:rsid w:val="009513DC"/>
    <w:rsid w:val="00952CC7"/>
    <w:rsid w:val="00955F99"/>
    <w:rsid w:val="009564EF"/>
    <w:rsid w:val="00956C42"/>
    <w:rsid w:val="009626AB"/>
    <w:rsid w:val="00964FAC"/>
    <w:rsid w:val="00967B55"/>
    <w:rsid w:val="00970C37"/>
    <w:rsid w:val="00971777"/>
    <w:rsid w:val="0097534C"/>
    <w:rsid w:val="009809E9"/>
    <w:rsid w:val="00984516"/>
    <w:rsid w:val="00984F6C"/>
    <w:rsid w:val="00992CE4"/>
    <w:rsid w:val="009946E7"/>
    <w:rsid w:val="009969E1"/>
    <w:rsid w:val="009979CF"/>
    <w:rsid w:val="009A4763"/>
    <w:rsid w:val="009A54AC"/>
    <w:rsid w:val="009A5C54"/>
    <w:rsid w:val="009B1236"/>
    <w:rsid w:val="009B3293"/>
    <w:rsid w:val="009B45AF"/>
    <w:rsid w:val="009B4F29"/>
    <w:rsid w:val="009B62EB"/>
    <w:rsid w:val="009B7C4D"/>
    <w:rsid w:val="009C1292"/>
    <w:rsid w:val="009C49B4"/>
    <w:rsid w:val="009C4C04"/>
    <w:rsid w:val="009C557E"/>
    <w:rsid w:val="009C561D"/>
    <w:rsid w:val="009C5DC5"/>
    <w:rsid w:val="009E252F"/>
    <w:rsid w:val="009E49B9"/>
    <w:rsid w:val="009F38A7"/>
    <w:rsid w:val="009F7497"/>
    <w:rsid w:val="00A038D9"/>
    <w:rsid w:val="00A045B4"/>
    <w:rsid w:val="00A06801"/>
    <w:rsid w:val="00A1073C"/>
    <w:rsid w:val="00A10F02"/>
    <w:rsid w:val="00A1354A"/>
    <w:rsid w:val="00A14381"/>
    <w:rsid w:val="00A23607"/>
    <w:rsid w:val="00A276E5"/>
    <w:rsid w:val="00A33081"/>
    <w:rsid w:val="00A340E9"/>
    <w:rsid w:val="00A34767"/>
    <w:rsid w:val="00A46844"/>
    <w:rsid w:val="00A52A86"/>
    <w:rsid w:val="00A56E0D"/>
    <w:rsid w:val="00A602B6"/>
    <w:rsid w:val="00A63FC7"/>
    <w:rsid w:val="00A656C8"/>
    <w:rsid w:val="00A6594A"/>
    <w:rsid w:val="00A71788"/>
    <w:rsid w:val="00A81CB0"/>
    <w:rsid w:val="00A82585"/>
    <w:rsid w:val="00A82A6B"/>
    <w:rsid w:val="00A84A92"/>
    <w:rsid w:val="00A8511E"/>
    <w:rsid w:val="00A85A36"/>
    <w:rsid w:val="00A85BCD"/>
    <w:rsid w:val="00A8778B"/>
    <w:rsid w:val="00A907FC"/>
    <w:rsid w:val="00A91957"/>
    <w:rsid w:val="00A92178"/>
    <w:rsid w:val="00A934C5"/>
    <w:rsid w:val="00AA2A7C"/>
    <w:rsid w:val="00AA6285"/>
    <w:rsid w:val="00AB60F6"/>
    <w:rsid w:val="00AC020C"/>
    <w:rsid w:val="00AC2491"/>
    <w:rsid w:val="00AC5352"/>
    <w:rsid w:val="00AD1D3C"/>
    <w:rsid w:val="00AD28EB"/>
    <w:rsid w:val="00AE0F01"/>
    <w:rsid w:val="00AE4670"/>
    <w:rsid w:val="00AF426A"/>
    <w:rsid w:val="00AF74DA"/>
    <w:rsid w:val="00AF7567"/>
    <w:rsid w:val="00B005DA"/>
    <w:rsid w:val="00B014EF"/>
    <w:rsid w:val="00B025D4"/>
    <w:rsid w:val="00B10792"/>
    <w:rsid w:val="00B12B38"/>
    <w:rsid w:val="00B14BA9"/>
    <w:rsid w:val="00B20CED"/>
    <w:rsid w:val="00B2548A"/>
    <w:rsid w:val="00B26044"/>
    <w:rsid w:val="00B307F5"/>
    <w:rsid w:val="00B35157"/>
    <w:rsid w:val="00B35800"/>
    <w:rsid w:val="00B37F08"/>
    <w:rsid w:val="00B37F84"/>
    <w:rsid w:val="00B40887"/>
    <w:rsid w:val="00B4485B"/>
    <w:rsid w:val="00B47CEF"/>
    <w:rsid w:val="00B52186"/>
    <w:rsid w:val="00B53773"/>
    <w:rsid w:val="00B54DEF"/>
    <w:rsid w:val="00B633BC"/>
    <w:rsid w:val="00B64328"/>
    <w:rsid w:val="00B67068"/>
    <w:rsid w:val="00B71219"/>
    <w:rsid w:val="00B719CF"/>
    <w:rsid w:val="00B722E6"/>
    <w:rsid w:val="00B7304B"/>
    <w:rsid w:val="00B74265"/>
    <w:rsid w:val="00B7590C"/>
    <w:rsid w:val="00B760E6"/>
    <w:rsid w:val="00B76890"/>
    <w:rsid w:val="00B82D0F"/>
    <w:rsid w:val="00B85DD1"/>
    <w:rsid w:val="00B923FE"/>
    <w:rsid w:val="00B95B27"/>
    <w:rsid w:val="00BA51B4"/>
    <w:rsid w:val="00BB14E3"/>
    <w:rsid w:val="00BB1826"/>
    <w:rsid w:val="00BB4051"/>
    <w:rsid w:val="00BB7EB9"/>
    <w:rsid w:val="00BC477D"/>
    <w:rsid w:val="00BC5074"/>
    <w:rsid w:val="00BC671E"/>
    <w:rsid w:val="00BD211E"/>
    <w:rsid w:val="00BD3C08"/>
    <w:rsid w:val="00BD52D9"/>
    <w:rsid w:val="00BE2462"/>
    <w:rsid w:val="00BE2FAA"/>
    <w:rsid w:val="00BE6833"/>
    <w:rsid w:val="00BE7D22"/>
    <w:rsid w:val="00BF55FB"/>
    <w:rsid w:val="00C01350"/>
    <w:rsid w:val="00C027F8"/>
    <w:rsid w:val="00C02CD9"/>
    <w:rsid w:val="00C07D5A"/>
    <w:rsid w:val="00C12511"/>
    <w:rsid w:val="00C13324"/>
    <w:rsid w:val="00C15B38"/>
    <w:rsid w:val="00C232E5"/>
    <w:rsid w:val="00C31E59"/>
    <w:rsid w:val="00C45D3C"/>
    <w:rsid w:val="00C52F3B"/>
    <w:rsid w:val="00C53FDA"/>
    <w:rsid w:val="00C72519"/>
    <w:rsid w:val="00C84F90"/>
    <w:rsid w:val="00C858DD"/>
    <w:rsid w:val="00C86BE4"/>
    <w:rsid w:val="00C873D3"/>
    <w:rsid w:val="00C91EC3"/>
    <w:rsid w:val="00C93A2A"/>
    <w:rsid w:val="00C96DFF"/>
    <w:rsid w:val="00CA00E6"/>
    <w:rsid w:val="00CB0C9B"/>
    <w:rsid w:val="00CB39EA"/>
    <w:rsid w:val="00CC1151"/>
    <w:rsid w:val="00CC1E93"/>
    <w:rsid w:val="00CC2162"/>
    <w:rsid w:val="00CD2195"/>
    <w:rsid w:val="00CD21E6"/>
    <w:rsid w:val="00CD2EF7"/>
    <w:rsid w:val="00CE0846"/>
    <w:rsid w:val="00CE0CD9"/>
    <w:rsid w:val="00CE3D5C"/>
    <w:rsid w:val="00CF3C5E"/>
    <w:rsid w:val="00D0135B"/>
    <w:rsid w:val="00D02317"/>
    <w:rsid w:val="00D03542"/>
    <w:rsid w:val="00D0693F"/>
    <w:rsid w:val="00D06B22"/>
    <w:rsid w:val="00D107EB"/>
    <w:rsid w:val="00D10F87"/>
    <w:rsid w:val="00D12C2A"/>
    <w:rsid w:val="00D165E3"/>
    <w:rsid w:val="00D16E98"/>
    <w:rsid w:val="00D25653"/>
    <w:rsid w:val="00D2616C"/>
    <w:rsid w:val="00D279B2"/>
    <w:rsid w:val="00D30704"/>
    <w:rsid w:val="00D46D40"/>
    <w:rsid w:val="00D50238"/>
    <w:rsid w:val="00D55250"/>
    <w:rsid w:val="00D62366"/>
    <w:rsid w:val="00D6481B"/>
    <w:rsid w:val="00D66C83"/>
    <w:rsid w:val="00D76242"/>
    <w:rsid w:val="00D81F11"/>
    <w:rsid w:val="00D8373C"/>
    <w:rsid w:val="00D85FCD"/>
    <w:rsid w:val="00D91C74"/>
    <w:rsid w:val="00D923D2"/>
    <w:rsid w:val="00DA1979"/>
    <w:rsid w:val="00DA5B04"/>
    <w:rsid w:val="00DA6B59"/>
    <w:rsid w:val="00DA7626"/>
    <w:rsid w:val="00DA7FAB"/>
    <w:rsid w:val="00DB07B2"/>
    <w:rsid w:val="00DB1967"/>
    <w:rsid w:val="00DB6DB7"/>
    <w:rsid w:val="00DC1500"/>
    <w:rsid w:val="00DC31BF"/>
    <w:rsid w:val="00DC5497"/>
    <w:rsid w:val="00DC6752"/>
    <w:rsid w:val="00DC74A6"/>
    <w:rsid w:val="00DD0497"/>
    <w:rsid w:val="00DD425A"/>
    <w:rsid w:val="00DD799D"/>
    <w:rsid w:val="00DE1BA3"/>
    <w:rsid w:val="00DE516B"/>
    <w:rsid w:val="00DE74D7"/>
    <w:rsid w:val="00DF323B"/>
    <w:rsid w:val="00DF568D"/>
    <w:rsid w:val="00E04B25"/>
    <w:rsid w:val="00E063F3"/>
    <w:rsid w:val="00E106ED"/>
    <w:rsid w:val="00E11098"/>
    <w:rsid w:val="00E137B1"/>
    <w:rsid w:val="00E21790"/>
    <w:rsid w:val="00E2347B"/>
    <w:rsid w:val="00E24421"/>
    <w:rsid w:val="00E25C3B"/>
    <w:rsid w:val="00E25DEF"/>
    <w:rsid w:val="00E32D1B"/>
    <w:rsid w:val="00E334B6"/>
    <w:rsid w:val="00E35C28"/>
    <w:rsid w:val="00E369D2"/>
    <w:rsid w:val="00E36C55"/>
    <w:rsid w:val="00E37C20"/>
    <w:rsid w:val="00E40CC7"/>
    <w:rsid w:val="00E41075"/>
    <w:rsid w:val="00E4253E"/>
    <w:rsid w:val="00E51783"/>
    <w:rsid w:val="00E5241C"/>
    <w:rsid w:val="00E5328E"/>
    <w:rsid w:val="00E55959"/>
    <w:rsid w:val="00E64493"/>
    <w:rsid w:val="00E64ABE"/>
    <w:rsid w:val="00E768F4"/>
    <w:rsid w:val="00E80C36"/>
    <w:rsid w:val="00E9145D"/>
    <w:rsid w:val="00E93033"/>
    <w:rsid w:val="00E969FB"/>
    <w:rsid w:val="00EA39B3"/>
    <w:rsid w:val="00EA7449"/>
    <w:rsid w:val="00EC1C31"/>
    <w:rsid w:val="00ED095D"/>
    <w:rsid w:val="00EE1033"/>
    <w:rsid w:val="00EE518D"/>
    <w:rsid w:val="00EE5A59"/>
    <w:rsid w:val="00EF2922"/>
    <w:rsid w:val="00EF2E5C"/>
    <w:rsid w:val="00F05624"/>
    <w:rsid w:val="00F05A07"/>
    <w:rsid w:val="00F10A6C"/>
    <w:rsid w:val="00F12EE7"/>
    <w:rsid w:val="00F14F3C"/>
    <w:rsid w:val="00F27409"/>
    <w:rsid w:val="00F33CD2"/>
    <w:rsid w:val="00F3614D"/>
    <w:rsid w:val="00F413C5"/>
    <w:rsid w:val="00F41AA9"/>
    <w:rsid w:val="00F45F91"/>
    <w:rsid w:val="00F46AA1"/>
    <w:rsid w:val="00F47A65"/>
    <w:rsid w:val="00F52C8C"/>
    <w:rsid w:val="00F52FC8"/>
    <w:rsid w:val="00F53891"/>
    <w:rsid w:val="00F7191E"/>
    <w:rsid w:val="00F809DF"/>
    <w:rsid w:val="00F9406B"/>
    <w:rsid w:val="00F9537D"/>
    <w:rsid w:val="00F97878"/>
    <w:rsid w:val="00FA0091"/>
    <w:rsid w:val="00FA3687"/>
    <w:rsid w:val="00FA382A"/>
    <w:rsid w:val="00FA3AFE"/>
    <w:rsid w:val="00FA4320"/>
    <w:rsid w:val="00FA44F6"/>
    <w:rsid w:val="00FA4A66"/>
    <w:rsid w:val="00FA6FC6"/>
    <w:rsid w:val="00FB1506"/>
    <w:rsid w:val="00FB1F07"/>
    <w:rsid w:val="00FC622E"/>
    <w:rsid w:val="00FC7B8A"/>
    <w:rsid w:val="00FE2E3D"/>
    <w:rsid w:val="00FE5E93"/>
    <w:rsid w:val="00FE7C58"/>
    <w:rsid w:val="00FF4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697545"/>
  <w15:docId w15:val="{75F61390-DE9A-414B-80B6-BB4891F5A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5AD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locked/>
    <w:rsid w:val="00B760E6"/>
    <w:pPr>
      <w:spacing w:before="100" w:beforeAutospacing="1" w:after="100" w:afterAutospacing="1" w:line="240" w:lineRule="auto"/>
      <w:outlineLvl w:val="1"/>
    </w:pPr>
    <w:rPr>
      <w:rFonts w:cs="Times New Roman"/>
      <w:b/>
      <w:sz w:val="3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uiPriority w:val="99"/>
    <w:semiHidden/>
    <w:locked/>
    <w:rsid w:val="002C457D"/>
    <w:rPr>
      <w:rFonts w:ascii="Cambria" w:hAnsi="Cambria" w:cs="Cambria"/>
      <w:b/>
      <w:bCs/>
      <w:i/>
      <w:iCs/>
      <w:sz w:val="28"/>
      <w:szCs w:val="28"/>
      <w:lang w:eastAsia="en-US"/>
    </w:rPr>
  </w:style>
  <w:style w:type="table" w:styleId="a3">
    <w:name w:val="Table Grid"/>
    <w:basedOn w:val="a1"/>
    <w:uiPriority w:val="99"/>
    <w:rsid w:val="005F5AD4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44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link w:val="a4"/>
    <w:uiPriority w:val="99"/>
    <w:locked/>
    <w:rsid w:val="00B4485B"/>
    <w:rPr>
      <w:rFonts w:ascii="Calibri" w:hAnsi="Calibri" w:cs="Calibri"/>
    </w:rPr>
  </w:style>
  <w:style w:type="paragraph" w:styleId="a6">
    <w:name w:val="footer"/>
    <w:basedOn w:val="a"/>
    <w:link w:val="a7"/>
    <w:uiPriority w:val="99"/>
    <w:rsid w:val="00B44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link w:val="a6"/>
    <w:uiPriority w:val="99"/>
    <w:locked/>
    <w:rsid w:val="00B4485B"/>
    <w:rPr>
      <w:rFonts w:ascii="Calibri" w:hAnsi="Calibri" w:cs="Calibri"/>
    </w:rPr>
  </w:style>
  <w:style w:type="paragraph" w:styleId="a8">
    <w:name w:val="Balloon Text"/>
    <w:basedOn w:val="a"/>
    <w:link w:val="a9"/>
    <w:uiPriority w:val="99"/>
    <w:semiHidden/>
    <w:rsid w:val="00D46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locked/>
    <w:rsid w:val="00D46D4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A340E9"/>
    <w:pPr>
      <w:ind w:left="720"/>
    </w:pPr>
  </w:style>
  <w:style w:type="paragraph" w:styleId="ab">
    <w:name w:val="Body Text"/>
    <w:basedOn w:val="a"/>
    <w:link w:val="ac"/>
    <w:uiPriority w:val="99"/>
    <w:rsid w:val="00B760E6"/>
    <w:pPr>
      <w:spacing w:after="0" w:line="240" w:lineRule="auto"/>
    </w:pPr>
    <w:rPr>
      <w:rFonts w:cs="Times New Roman"/>
      <w:b/>
      <w:color w:val="000000"/>
      <w:sz w:val="24"/>
      <w:szCs w:val="20"/>
      <w:lang w:val="ru-RU" w:eastAsia="ru-RU"/>
    </w:rPr>
  </w:style>
  <w:style w:type="character" w:customStyle="1" w:styleId="BodyTextChar">
    <w:name w:val="Body Text Char"/>
    <w:uiPriority w:val="99"/>
    <w:semiHidden/>
    <w:locked/>
    <w:rsid w:val="002C457D"/>
    <w:rPr>
      <w:rFonts w:cs="Times New Roman"/>
      <w:lang w:eastAsia="en-US"/>
    </w:rPr>
  </w:style>
  <w:style w:type="character" w:customStyle="1" w:styleId="ac">
    <w:name w:val="Основний текст Знак"/>
    <w:link w:val="ab"/>
    <w:uiPriority w:val="99"/>
    <w:locked/>
    <w:rsid w:val="00B760E6"/>
    <w:rPr>
      <w:b/>
      <w:color w:val="000000"/>
      <w:sz w:val="24"/>
      <w:lang w:val="ru-RU" w:eastAsia="ru-RU"/>
    </w:rPr>
  </w:style>
  <w:style w:type="paragraph" w:styleId="ad">
    <w:name w:val="Normal (Web)"/>
    <w:basedOn w:val="a"/>
    <w:rsid w:val="00B760E6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e">
    <w:name w:val="Title"/>
    <w:basedOn w:val="a"/>
    <w:link w:val="af"/>
    <w:uiPriority w:val="99"/>
    <w:qFormat/>
    <w:locked/>
    <w:rsid w:val="00B760E6"/>
    <w:pPr>
      <w:spacing w:after="0" w:line="240" w:lineRule="auto"/>
      <w:jc w:val="center"/>
    </w:pPr>
    <w:rPr>
      <w:rFonts w:cs="Times New Roman"/>
      <w:b/>
      <w:sz w:val="28"/>
      <w:szCs w:val="20"/>
      <w:lang w:eastAsia="ru-RU"/>
    </w:rPr>
  </w:style>
  <w:style w:type="character" w:customStyle="1" w:styleId="TitleChar">
    <w:name w:val="Title Char"/>
    <w:uiPriority w:val="99"/>
    <w:locked/>
    <w:rsid w:val="002C457D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af">
    <w:name w:val="Назва Знак"/>
    <w:link w:val="ae"/>
    <w:uiPriority w:val="99"/>
    <w:locked/>
    <w:rsid w:val="00B760E6"/>
    <w:rPr>
      <w:b/>
      <w:sz w:val="28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B760E6"/>
    <w:rPr>
      <w:b/>
      <w:sz w:val="36"/>
      <w:lang w:val="ru-RU" w:eastAsia="ru-RU"/>
    </w:rPr>
  </w:style>
  <w:style w:type="character" w:customStyle="1" w:styleId="4">
    <w:name w:val="Знак Знак4"/>
    <w:uiPriority w:val="99"/>
    <w:rsid w:val="006428F3"/>
    <w:rPr>
      <w:rFonts w:ascii="Times New Roman" w:hAnsi="Times New Roman"/>
      <w:b/>
      <w:color w:val="000000"/>
      <w:sz w:val="20"/>
      <w:lang w:eastAsia="ru-RU"/>
    </w:rPr>
  </w:style>
  <w:style w:type="character" w:customStyle="1" w:styleId="6">
    <w:name w:val="Знак Знак6"/>
    <w:uiPriority w:val="99"/>
    <w:rsid w:val="006428F3"/>
    <w:rPr>
      <w:rFonts w:ascii="Times New Roman" w:hAnsi="Times New Roman"/>
      <w:b/>
      <w:sz w:val="36"/>
      <w:lang w:eastAsia="ru-RU"/>
    </w:rPr>
  </w:style>
  <w:style w:type="character" w:styleId="af0">
    <w:name w:val="Strong"/>
    <w:uiPriority w:val="99"/>
    <w:qFormat/>
    <w:locked/>
    <w:rsid w:val="007B1CB2"/>
    <w:rPr>
      <w:rFonts w:cs="Times New Roman"/>
      <w:b/>
      <w:bCs/>
    </w:rPr>
  </w:style>
  <w:style w:type="paragraph" w:customStyle="1" w:styleId="af1">
    <w:name w:val="Знак"/>
    <w:basedOn w:val="a"/>
    <w:uiPriority w:val="99"/>
    <w:rsid w:val="00EE518D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character" w:customStyle="1" w:styleId="spelle">
    <w:name w:val="spelle"/>
    <w:basedOn w:val="a0"/>
    <w:rsid w:val="00053BCF"/>
  </w:style>
  <w:style w:type="character" w:customStyle="1" w:styleId="grame">
    <w:name w:val="grame"/>
    <w:rsid w:val="00053BCF"/>
    <w:rPr>
      <w:rFonts w:cs="Times New Roman"/>
    </w:rPr>
  </w:style>
  <w:style w:type="character" w:styleId="af2">
    <w:name w:val="Hyperlink"/>
    <w:rsid w:val="00737985"/>
    <w:rPr>
      <w:color w:val="0000FF"/>
      <w:u w:val="single"/>
    </w:rPr>
  </w:style>
  <w:style w:type="character" w:styleId="af3">
    <w:name w:val="annotation reference"/>
    <w:basedOn w:val="a0"/>
    <w:uiPriority w:val="99"/>
    <w:semiHidden/>
    <w:unhideWhenUsed/>
    <w:rsid w:val="0007401F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07401F"/>
    <w:pPr>
      <w:spacing w:line="240" w:lineRule="auto"/>
    </w:pPr>
    <w:rPr>
      <w:sz w:val="20"/>
      <w:szCs w:val="20"/>
    </w:rPr>
  </w:style>
  <w:style w:type="character" w:customStyle="1" w:styleId="af5">
    <w:name w:val="Текст примітки Знак"/>
    <w:basedOn w:val="a0"/>
    <w:link w:val="af4"/>
    <w:uiPriority w:val="99"/>
    <w:semiHidden/>
    <w:rsid w:val="0007401F"/>
    <w:rPr>
      <w:rFonts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07401F"/>
    <w:rPr>
      <w:b/>
      <w:bCs/>
    </w:rPr>
  </w:style>
  <w:style w:type="character" w:customStyle="1" w:styleId="af7">
    <w:name w:val="Тема примітки Знак"/>
    <w:basedOn w:val="af5"/>
    <w:link w:val="af6"/>
    <w:uiPriority w:val="99"/>
    <w:semiHidden/>
    <w:rsid w:val="0007401F"/>
    <w:rPr>
      <w:rFonts w:cs="Calibri"/>
      <w:b/>
      <w:bCs/>
      <w:lang w:eastAsia="en-US"/>
    </w:rPr>
  </w:style>
  <w:style w:type="paragraph" w:styleId="af8">
    <w:name w:val="Revision"/>
    <w:hidden/>
    <w:uiPriority w:val="99"/>
    <w:semiHidden/>
    <w:rsid w:val="0007401F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4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0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171F22-DF57-4F41-9CE4-1479C049E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1991</Words>
  <Characters>13551</Characters>
  <Application>Microsoft Office Word</Application>
  <DocSecurity>4</DocSecurity>
  <Lines>112</Lines>
  <Paragraphs>31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</vt:lpstr>
      <vt:lpstr>                                                                                                                    </vt:lpstr>
    </vt:vector>
  </TitlesOfParts>
  <Company>NERC</Company>
  <LinksUpToDate>false</LinksUpToDate>
  <CharactersWithSpaces>15511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</dc:title>
  <dc:subject/>
  <dc:creator>Вікторія Морозова</dc:creator>
  <cp:keywords/>
  <dc:description/>
  <cp:lastModifiedBy>Ольга Свистун</cp:lastModifiedBy>
  <cp:revision>2</cp:revision>
  <cp:lastPrinted>2021-05-25T06:45:00Z</cp:lastPrinted>
  <dcterms:created xsi:type="dcterms:W3CDTF">2024-06-26T09:59:00Z</dcterms:created>
  <dcterms:modified xsi:type="dcterms:W3CDTF">2024-06-26T09:59:00Z</dcterms:modified>
</cp:coreProperties>
</file>