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3E8" w:rsidRPr="004B18EA" w:rsidRDefault="005E73E8" w:rsidP="007F42F5">
      <w:pPr>
        <w:spacing w:after="0" w:line="240" w:lineRule="auto"/>
        <w:jc w:val="center"/>
        <w:rPr>
          <w:rFonts w:ascii="Times New Roman" w:hAnsi="Times New Roman" w:cs="Times New Roman"/>
          <w:b/>
          <w:sz w:val="28"/>
          <w:lang w:val="uk-UA"/>
        </w:rPr>
      </w:pPr>
      <w:r w:rsidRPr="004B18EA">
        <w:rPr>
          <w:rFonts w:ascii="Times New Roman" w:hAnsi="Times New Roman" w:cs="Times New Roman"/>
          <w:b/>
          <w:sz w:val="28"/>
          <w:lang w:val="uk-UA"/>
        </w:rPr>
        <w:t xml:space="preserve">Порівняльна таблиця до </w:t>
      </w:r>
      <w:proofErr w:type="spellStart"/>
      <w:r w:rsidRPr="004B18EA">
        <w:rPr>
          <w:rFonts w:ascii="Times New Roman" w:hAnsi="Times New Roman" w:cs="Times New Roman"/>
          <w:b/>
          <w:sz w:val="28"/>
          <w:lang w:val="uk-UA"/>
        </w:rPr>
        <w:t>про</w:t>
      </w:r>
      <w:r w:rsidR="00DB5C20" w:rsidRPr="004B18EA">
        <w:rPr>
          <w:rFonts w:ascii="Times New Roman" w:hAnsi="Times New Roman" w:cs="Times New Roman"/>
          <w:b/>
          <w:sz w:val="28"/>
          <w:lang w:val="uk-UA"/>
        </w:rPr>
        <w:t>є</w:t>
      </w:r>
      <w:r w:rsidRPr="004B18EA">
        <w:rPr>
          <w:rFonts w:ascii="Times New Roman" w:hAnsi="Times New Roman" w:cs="Times New Roman"/>
          <w:b/>
          <w:sz w:val="28"/>
          <w:lang w:val="uk-UA"/>
        </w:rPr>
        <w:t>кту</w:t>
      </w:r>
      <w:proofErr w:type="spellEnd"/>
      <w:r w:rsidRPr="004B18EA">
        <w:rPr>
          <w:rFonts w:ascii="Times New Roman" w:hAnsi="Times New Roman" w:cs="Times New Roman"/>
          <w:b/>
          <w:sz w:val="28"/>
          <w:lang w:val="uk-UA"/>
        </w:rPr>
        <w:t xml:space="preserve"> постанови НКРЕКП «Про затвердження Змін до </w:t>
      </w:r>
      <w:r w:rsidR="00144CDF" w:rsidRPr="004B18EA">
        <w:rPr>
          <w:rFonts w:ascii="Times New Roman" w:hAnsi="Times New Roman" w:cs="Times New Roman"/>
          <w:b/>
          <w:sz w:val="28"/>
          <w:lang w:val="uk-UA"/>
        </w:rPr>
        <w:t>Методики визначення та розрахунку тарифу на послуги розподілу природного газу</w:t>
      </w:r>
      <w:r w:rsidRPr="004B18EA">
        <w:rPr>
          <w:rFonts w:ascii="Times New Roman" w:hAnsi="Times New Roman" w:cs="Times New Roman"/>
          <w:b/>
          <w:sz w:val="28"/>
          <w:lang w:val="uk-UA"/>
        </w:rPr>
        <w:t xml:space="preserve">», що має ознаки регуляторного </w:t>
      </w:r>
      <w:proofErr w:type="spellStart"/>
      <w:r w:rsidRPr="004B18EA">
        <w:rPr>
          <w:rFonts w:ascii="Times New Roman" w:hAnsi="Times New Roman" w:cs="Times New Roman"/>
          <w:b/>
          <w:sz w:val="28"/>
          <w:lang w:val="uk-UA"/>
        </w:rPr>
        <w:t>акта</w:t>
      </w:r>
      <w:proofErr w:type="spellEnd"/>
    </w:p>
    <w:p w:rsidR="00AA31C1" w:rsidRPr="004B18EA" w:rsidRDefault="00AA31C1" w:rsidP="007F42F5">
      <w:pPr>
        <w:spacing w:after="0" w:line="240" w:lineRule="auto"/>
        <w:jc w:val="center"/>
        <w:rPr>
          <w:rFonts w:ascii="Times New Roman" w:hAnsi="Times New Roman" w:cs="Times New Roman"/>
          <w:b/>
          <w:sz w:val="28"/>
          <w:lang w:val="uk-UA"/>
        </w:rPr>
      </w:pPr>
    </w:p>
    <w:tbl>
      <w:tblPr>
        <w:tblStyle w:val="a3"/>
        <w:tblW w:w="0" w:type="auto"/>
        <w:tblLook w:val="04A0" w:firstRow="1" w:lastRow="0" w:firstColumn="1" w:lastColumn="0" w:noHBand="0" w:noVBand="1"/>
      </w:tblPr>
      <w:tblGrid>
        <w:gridCol w:w="7295"/>
        <w:gridCol w:w="7296"/>
      </w:tblGrid>
      <w:tr w:rsidR="00513E28" w:rsidRPr="004B18EA" w:rsidTr="003737EF">
        <w:tc>
          <w:tcPr>
            <w:tcW w:w="7295" w:type="dxa"/>
          </w:tcPr>
          <w:p w:rsidR="003737EF" w:rsidRPr="004B18EA" w:rsidRDefault="00AA31C1" w:rsidP="003176A7">
            <w:pPr>
              <w:spacing w:after="0" w:line="240" w:lineRule="auto"/>
              <w:ind w:firstLine="171"/>
              <w:jc w:val="center"/>
              <w:rPr>
                <w:rFonts w:ascii="Times New Roman" w:hAnsi="Times New Roman" w:cs="Times New Roman"/>
                <w:b/>
                <w:i/>
                <w:sz w:val="24"/>
                <w:lang w:val="uk-UA"/>
              </w:rPr>
            </w:pPr>
            <w:r w:rsidRPr="004B18EA">
              <w:rPr>
                <w:rFonts w:ascii="Times New Roman" w:hAnsi="Times New Roman" w:cs="Times New Roman"/>
                <w:b/>
                <w:i/>
                <w:sz w:val="24"/>
                <w:lang w:val="uk-UA"/>
              </w:rPr>
              <w:t>ЗМІСТ ДІЮЧОЇ РЕДАКЦІЇ НОРМАТИВНО-ПРАВОВОГО АКТ</w:t>
            </w:r>
            <w:r w:rsidR="005C18A6">
              <w:rPr>
                <w:rFonts w:ascii="Times New Roman" w:hAnsi="Times New Roman" w:cs="Times New Roman"/>
                <w:b/>
                <w:i/>
                <w:sz w:val="24"/>
                <w:lang w:val="uk-UA"/>
              </w:rPr>
              <w:t>А</w:t>
            </w:r>
          </w:p>
        </w:tc>
        <w:tc>
          <w:tcPr>
            <w:tcW w:w="7296" w:type="dxa"/>
          </w:tcPr>
          <w:p w:rsidR="003737EF" w:rsidRPr="004B18EA" w:rsidRDefault="003737EF" w:rsidP="003176A7">
            <w:pPr>
              <w:spacing w:after="0" w:line="240" w:lineRule="auto"/>
              <w:ind w:firstLine="242"/>
              <w:jc w:val="center"/>
              <w:rPr>
                <w:rFonts w:ascii="Times New Roman" w:hAnsi="Times New Roman" w:cs="Times New Roman"/>
                <w:b/>
                <w:i/>
                <w:sz w:val="24"/>
                <w:lang w:val="uk-UA"/>
              </w:rPr>
            </w:pPr>
            <w:r w:rsidRPr="004B18EA">
              <w:rPr>
                <w:rFonts w:ascii="Times New Roman" w:hAnsi="Times New Roman" w:cs="Times New Roman"/>
                <w:b/>
                <w:i/>
                <w:sz w:val="24"/>
                <w:lang w:val="uk-UA"/>
              </w:rPr>
              <w:t>ЗМІСТ ПОЛОЖЕНЬ ПРО</w:t>
            </w:r>
            <w:r w:rsidR="00BA4B2A" w:rsidRPr="004B18EA">
              <w:rPr>
                <w:rFonts w:ascii="Times New Roman" w:hAnsi="Times New Roman" w:cs="Times New Roman"/>
                <w:b/>
                <w:i/>
                <w:sz w:val="24"/>
                <w:lang w:val="uk-UA"/>
              </w:rPr>
              <w:t>Є</w:t>
            </w:r>
            <w:r w:rsidRPr="004B18EA">
              <w:rPr>
                <w:rFonts w:ascii="Times New Roman" w:hAnsi="Times New Roman" w:cs="Times New Roman"/>
                <w:b/>
                <w:i/>
                <w:sz w:val="24"/>
                <w:lang w:val="uk-UA"/>
              </w:rPr>
              <w:t>КТУ ПОСТАНОВИ</w:t>
            </w:r>
          </w:p>
        </w:tc>
      </w:tr>
      <w:tr w:rsidR="00513E28" w:rsidRPr="004B18EA" w:rsidTr="003737EF">
        <w:tc>
          <w:tcPr>
            <w:tcW w:w="7295" w:type="dxa"/>
          </w:tcPr>
          <w:p w:rsidR="00513E28" w:rsidRPr="004B18EA" w:rsidRDefault="00513E28" w:rsidP="003176A7">
            <w:pPr>
              <w:spacing w:after="0" w:line="240" w:lineRule="auto"/>
              <w:ind w:firstLine="171"/>
              <w:jc w:val="center"/>
              <w:rPr>
                <w:rFonts w:ascii="Times New Roman" w:hAnsi="Times New Roman" w:cs="Times New Roman"/>
                <w:b/>
                <w:sz w:val="24"/>
                <w:lang w:val="uk-UA"/>
              </w:rPr>
            </w:pPr>
            <w:r w:rsidRPr="004B18EA">
              <w:rPr>
                <w:rFonts w:ascii="Times New Roman" w:hAnsi="Times New Roman" w:cs="Times New Roman"/>
                <w:b/>
                <w:sz w:val="24"/>
                <w:lang w:val="uk-UA"/>
              </w:rPr>
              <w:t>IІІ. Перелік витрат, що враховуються при визначенні планованої тарифної виручки</w:t>
            </w:r>
          </w:p>
        </w:tc>
        <w:tc>
          <w:tcPr>
            <w:tcW w:w="7296" w:type="dxa"/>
          </w:tcPr>
          <w:p w:rsidR="00513E28" w:rsidRPr="004B18EA" w:rsidRDefault="00513E28" w:rsidP="003176A7">
            <w:pPr>
              <w:spacing w:after="0" w:line="240" w:lineRule="auto"/>
              <w:ind w:firstLine="242"/>
              <w:jc w:val="center"/>
              <w:rPr>
                <w:rFonts w:ascii="Times New Roman" w:hAnsi="Times New Roman" w:cs="Times New Roman"/>
                <w:b/>
                <w:sz w:val="24"/>
                <w:lang w:val="uk-UA"/>
              </w:rPr>
            </w:pPr>
            <w:r w:rsidRPr="004B18EA">
              <w:rPr>
                <w:rFonts w:ascii="Times New Roman" w:hAnsi="Times New Roman" w:cs="Times New Roman"/>
                <w:b/>
                <w:sz w:val="24"/>
                <w:lang w:val="uk-UA"/>
              </w:rPr>
              <w:t>IІІ. Перелік витрат, що враховуються при визначенні планованої тарифної виручки</w:t>
            </w:r>
          </w:p>
        </w:tc>
      </w:tr>
      <w:tr w:rsidR="00513E28" w:rsidRPr="004B18EA" w:rsidTr="003737EF">
        <w:tc>
          <w:tcPr>
            <w:tcW w:w="7295" w:type="dxa"/>
          </w:tcPr>
          <w:p w:rsidR="00513E28" w:rsidRPr="004B18EA" w:rsidRDefault="00513E28"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w:t>
            </w:r>
          </w:p>
          <w:p w:rsidR="00513E28" w:rsidRPr="004B18EA" w:rsidRDefault="00513E28"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14. Плановані витрати для формування структури тарифу групуються за елементами витрат:</w:t>
            </w:r>
          </w:p>
          <w:p w:rsidR="00513E28" w:rsidRPr="004B18EA" w:rsidRDefault="00513E28"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плановані матеріальні витрати (за винятком вартості зворотних відходів);</w:t>
            </w:r>
          </w:p>
          <w:p w:rsidR="00513E28" w:rsidRPr="004B18EA" w:rsidRDefault="00513E28"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плановані витрати на оплату праці;</w:t>
            </w:r>
          </w:p>
          <w:p w:rsidR="00513E28" w:rsidRPr="004B18EA" w:rsidRDefault="00513E28"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планована амортизація;</w:t>
            </w:r>
          </w:p>
          <w:p w:rsidR="00513E28" w:rsidRPr="004B18EA" w:rsidRDefault="00513E28"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інші плановані операційні витрати;</w:t>
            </w:r>
          </w:p>
          <w:p w:rsidR="00513E28" w:rsidRPr="004B18EA" w:rsidRDefault="00513E28"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плановані фінансові витрати за кредитними договорами, запозичення за якими та умови яких узгоджені відповідно до чинного законодавства.</w:t>
            </w:r>
          </w:p>
          <w:p w:rsidR="00513E28" w:rsidRPr="004B18EA" w:rsidRDefault="00513E28" w:rsidP="003176A7">
            <w:pPr>
              <w:spacing w:after="0" w:line="240" w:lineRule="auto"/>
              <w:ind w:firstLine="171"/>
              <w:jc w:val="both"/>
              <w:rPr>
                <w:rFonts w:ascii="Times New Roman" w:hAnsi="Times New Roman" w:cs="Times New Roman"/>
                <w:shd w:val="clear" w:color="auto" w:fill="FFFFFF"/>
                <w:lang w:val="uk-UA"/>
              </w:rPr>
            </w:pPr>
          </w:p>
          <w:p w:rsidR="00A8682A" w:rsidRPr="004B18EA" w:rsidRDefault="00A8682A" w:rsidP="003176A7">
            <w:pPr>
              <w:spacing w:after="0" w:line="240" w:lineRule="auto"/>
              <w:ind w:firstLine="171"/>
              <w:jc w:val="both"/>
              <w:rPr>
                <w:rFonts w:ascii="Times New Roman" w:hAnsi="Times New Roman" w:cs="Times New Roman"/>
                <w:shd w:val="clear" w:color="auto" w:fill="FFFFFF"/>
                <w:lang w:val="uk-UA"/>
              </w:rPr>
            </w:pPr>
          </w:p>
          <w:p w:rsidR="00513E28" w:rsidRPr="004B18EA" w:rsidRDefault="00513E28" w:rsidP="003176A7">
            <w:pPr>
              <w:spacing w:after="0" w:line="240" w:lineRule="auto"/>
              <w:ind w:firstLine="171"/>
              <w:jc w:val="both"/>
              <w:rPr>
                <w:rFonts w:ascii="Times New Roman" w:hAnsi="Times New Roman" w:cs="Times New Roman"/>
                <w:b/>
                <w:i/>
                <w:shd w:val="clear" w:color="auto" w:fill="FFFFFF"/>
                <w:lang w:val="uk-UA"/>
              </w:rPr>
            </w:pPr>
            <w:r w:rsidRPr="004B18EA">
              <w:rPr>
                <w:rFonts w:ascii="Times New Roman" w:hAnsi="Times New Roman" w:cs="Times New Roman"/>
                <w:b/>
                <w:i/>
                <w:shd w:val="clear" w:color="auto" w:fill="FFFFFF"/>
                <w:lang w:val="uk-UA"/>
              </w:rPr>
              <w:t>Абзац відсутній</w:t>
            </w:r>
          </w:p>
          <w:p w:rsidR="00A8682A" w:rsidRPr="004B18EA" w:rsidRDefault="00A8682A" w:rsidP="003176A7">
            <w:pPr>
              <w:spacing w:after="0" w:line="240" w:lineRule="auto"/>
              <w:ind w:firstLine="171"/>
              <w:jc w:val="both"/>
              <w:rPr>
                <w:rFonts w:ascii="Times New Roman" w:hAnsi="Times New Roman" w:cs="Times New Roman"/>
                <w:shd w:val="clear" w:color="auto" w:fill="FFFFFF"/>
                <w:lang w:val="uk-UA"/>
              </w:rPr>
            </w:pPr>
          </w:p>
          <w:p w:rsidR="00A8682A" w:rsidRPr="004B18EA" w:rsidRDefault="00A8682A" w:rsidP="003176A7">
            <w:pPr>
              <w:spacing w:after="0" w:line="240" w:lineRule="auto"/>
              <w:ind w:firstLine="171"/>
              <w:jc w:val="both"/>
              <w:rPr>
                <w:rFonts w:ascii="Times New Roman" w:hAnsi="Times New Roman" w:cs="Times New Roman"/>
                <w:shd w:val="clear" w:color="auto" w:fill="FFFFFF"/>
                <w:lang w:val="uk-UA"/>
              </w:rPr>
            </w:pPr>
          </w:p>
          <w:p w:rsidR="00A8682A" w:rsidRPr="004B18EA" w:rsidRDefault="00A8682A" w:rsidP="003176A7">
            <w:pPr>
              <w:spacing w:after="0" w:line="240" w:lineRule="auto"/>
              <w:ind w:firstLine="171"/>
              <w:jc w:val="both"/>
              <w:rPr>
                <w:rFonts w:ascii="Times New Roman" w:hAnsi="Times New Roman" w:cs="Times New Roman"/>
                <w:shd w:val="clear" w:color="auto" w:fill="FFFFFF"/>
                <w:lang w:val="uk-UA"/>
              </w:rPr>
            </w:pPr>
          </w:p>
          <w:p w:rsidR="00A8682A" w:rsidRPr="004B18EA" w:rsidRDefault="00A8682A" w:rsidP="003176A7">
            <w:pPr>
              <w:spacing w:after="0" w:line="240" w:lineRule="auto"/>
              <w:ind w:firstLine="171"/>
              <w:jc w:val="both"/>
              <w:rPr>
                <w:rFonts w:ascii="Times New Roman" w:hAnsi="Times New Roman" w:cs="Times New Roman"/>
                <w:shd w:val="clear" w:color="auto" w:fill="FFFFFF"/>
                <w:lang w:val="uk-UA"/>
              </w:rPr>
            </w:pPr>
          </w:p>
          <w:p w:rsidR="00A8682A" w:rsidRPr="004B18EA" w:rsidRDefault="00A8682A" w:rsidP="003176A7">
            <w:pPr>
              <w:spacing w:after="0" w:line="240" w:lineRule="auto"/>
              <w:ind w:firstLine="171"/>
              <w:jc w:val="both"/>
              <w:rPr>
                <w:rFonts w:ascii="Times New Roman" w:hAnsi="Times New Roman" w:cs="Times New Roman"/>
                <w:shd w:val="clear" w:color="auto" w:fill="FFFFFF"/>
                <w:lang w:val="uk-UA"/>
              </w:rPr>
            </w:pPr>
          </w:p>
          <w:p w:rsidR="00A8682A" w:rsidRPr="004B18EA" w:rsidRDefault="00A8682A"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b/>
                <w:i/>
                <w:shd w:val="clear" w:color="auto" w:fill="FFFFFF"/>
                <w:lang w:val="uk-UA"/>
              </w:rPr>
              <w:t>Абзац відсутній</w:t>
            </w:r>
          </w:p>
        </w:tc>
        <w:tc>
          <w:tcPr>
            <w:tcW w:w="7296" w:type="dxa"/>
          </w:tcPr>
          <w:p w:rsidR="00513E28" w:rsidRPr="004B18EA" w:rsidRDefault="00513E28" w:rsidP="003176A7">
            <w:pPr>
              <w:spacing w:after="0" w:line="240" w:lineRule="auto"/>
              <w:ind w:firstLine="242"/>
              <w:jc w:val="both"/>
              <w:rPr>
                <w:rFonts w:ascii="Times New Roman" w:hAnsi="Times New Roman" w:cs="Times New Roman"/>
                <w:lang w:val="uk-UA"/>
              </w:rPr>
            </w:pPr>
            <w:r w:rsidRPr="004B18EA">
              <w:rPr>
                <w:rFonts w:ascii="Times New Roman" w:hAnsi="Times New Roman" w:cs="Times New Roman"/>
                <w:lang w:val="uk-UA"/>
              </w:rPr>
              <w:t>…</w:t>
            </w:r>
          </w:p>
          <w:p w:rsidR="00513E28" w:rsidRPr="004B18EA" w:rsidRDefault="00513E28" w:rsidP="003176A7">
            <w:pPr>
              <w:spacing w:after="0" w:line="240" w:lineRule="auto"/>
              <w:ind w:firstLine="242"/>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14. Плановані витрати для формування структури тарифу групуються за елементами витрат:</w:t>
            </w:r>
          </w:p>
          <w:p w:rsidR="00513E28" w:rsidRPr="004B18EA" w:rsidRDefault="00513E28" w:rsidP="003176A7">
            <w:pPr>
              <w:spacing w:after="0" w:line="240" w:lineRule="auto"/>
              <w:ind w:firstLine="242"/>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плановані матеріальні витрати (за винятком вартості зворотних відходів);</w:t>
            </w:r>
          </w:p>
          <w:p w:rsidR="00513E28" w:rsidRPr="004B18EA" w:rsidRDefault="00513E28" w:rsidP="003176A7">
            <w:pPr>
              <w:spacing w:after="0" w:line="240" w:lineRule="auto"/>
              <w:ind w:firstLine="242"/>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плановані витрати на оплату праці;</w:t>
            </w:r>
          </w:p>
          <w:p w:rsidR="00513E28" w:rsidRPr="004B18EA" w:rsidRDefault="00513E28" w:rsidP="003176A7">
            <w:pPr>
              <w:spacing w:after="0" w:line="240" w:lineRule="auto"/>
              <w:ind w:firstLine="242"/>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планована амортизація;</w:t>
            </w:r>
          </w:p>
          <w:p w:rsidR="00513E28" w:rsidRPr="004B18EA" w:rsidRDefault="00513E28" w:rsidP="003176A7">
            <w:pPr>
              <w:spacing w:after="0" w:line="240" w:lineRule="auto"/>
              <w:ind w:firstLine="242"/>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інші плановані операційні витрати;</w:t>
            </w:r>
          </w:p>
          <w:p w:rsidR="00513E28" w:rsidRPr="004B18EA" w:rsidRDefault="00513E28" w:rsidP="003176A7">
            <w:pPr>
              <w:spacing w:after="0" w:line="240" w:lineRule="auto"/>
              <w:ind w:firstLine="242"/>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плановані фінансові витрати за кредитними договорами, запозичення за якими та умови яких узгоджені відповідно до чинного законодавства.</w:t>
            </w:r>
          </w:p>
          <w:p w:rsidR="00513E28" w:rsidRPr="004B18EA" w:rsidRDefault="00513E28" w:rsidP="003176A7">
            <w:pPr>
              <w:spacing w:after="0" w:line="240" w:lineRule="auto"/>
              <w:ind w:firstLine="242"/>
              <w:jc w:val="both"/>
              <w:rPr>
                <w:rFonts w:ascii="Times New Roman" w:hAnsi="Times New Roman" w:cs="Times New Roman"/>
                <w:lang w:val="uk-UA"/>
              </w:rPr>
            </w:pPr>
          </w:p>
          <w:p w:rsidR="00513E28" w:rsidRPr="004B18EA" w:rsidRDefault="00513E28" w:rsidP="003176A7">
            <w:pPr>
              <w:spacing w:after="0" w:line="240" w:lineRule="auto"/>
              <w:ind w:firstLine="242"/>
              <w:jc w:val="both"/>
              <w:rPr>
                <w:rFonts w:ascii="Times New Roman" w:hAnsi="Times New Roman" w:cs="Times New Roman"/>
                <w:b/>
                <w:lang w:val="uk-UA"/>
              </w:rPr>
            </w:pPr>
            <w:r w:rsidRPr="004B18EA">
              <w:rPr>
                <w:rFonts w:ascii="Times New Roman" w:hAnsi="Times New Roman" w:cs="Times New Roman"/>
                <w:b/>
                <w:lang w:val="uk-UA"/>
              </w:rPr>
              <w:t>Структура тарифу на послуги розподілу природного газу є єдиною в межах території ліцензованої діяльності, де знаходиться газорозподільна система, що перебуває у власності, господарському віданні, користуванні чи експлуатації такого суб’єкта господарювання, для якої встановлено тариф на послуги розподілу природного газу.</w:t>
            </w:r>
          </w:p>
          <w:p w:rsidR="0076786A" w:rsidRPr="004B18EA" w:rsidRDefault="004B18EA" w:rsidP="003176A7">
            <w:pPr>
              <w:spacing w:after="0" w:line="240" w:lineRule="auto"/>
              <w:ind w:firstLine="242"/>
              <w:jc w:val="both"/>
              <w:rPr>
                <w:rFonts w:ascii="Times New Roman" w:hAnsi="Times New Roman" w:cs="Times New Roman"/>
                <w:b/>
                <w:lang w:val="uk-UA"/>
              </w:rPr>
            </w:pPr>
            <w:r w:rsidRPr="004B18EA">
              <w:rPr>
                <w:rFonts w:ascii="Times New Roman" w:hAnsi="Times New Roman" w:cs="Times New Roman"/>
                <w:b/>
                <w:shd w:val="clear" w:color="auto" w:fill="FFFFFF"/>
                <w:lang w:val="uk-UA"/>
              </w:rPr>
              <w:t>У разі встановлення або перегляду тарифу на послуги розподілу природного газу на частину місць провадження господарської діяльності ліцензіата структура тарифу на послуги розподілу природного газу є єдиною в межах такої території</w:t>
            </w:r>
            <w:r w:rsidR="0076786A" w:rsidRPr="004B18EA">
              <w:rPr>
                <w:rFonts w:ascii="Times New Roman" w:hAnsi="Times New Roman" w:cs="Times New Roman"/>
                <w:b/>
                <w:shd w:val="clear" w:color="auto" w:fill="FFFFFF"/>
                <w:lang w:val="uk-UA"/>
              </w:rPr>
              <w:t>.</w:t>
            </w:r>
          </w:p>
        </w:tc>
      </w:tr>
      <w:tr w:rsidR="00513E28" w:rsidRPr="004B18EA" w:rsidTr="003737EF">
        <w:tc>
          <w:tcPr>
            <w:tcW w:w="7295" w:type="dxa"/>
          </w:tcPr>
          <w:p w:rsidR="00513E28" w:rsidRPr="004B18EA" w:rsidRDefault="00513E28" w:rsidP="003176A7">
            <w:pPr>
              <w:spacing w:after="0" w:line="240" w:lineRule="auto"/>
              <w:ind w:firstLine="171"/>
              <w:jc w:val="center"/>
              <w:rPr>
                <w:rFonts w:ascii="Times New Roman" w:hAnsi="Times New Roman" w:cs="Times New Roman"/>
                <w:b/>
                <w:sz w:val="24"/>
                <w:shd w:val="clear" w:color="auto" w:fill="FFFFFF"/>
                <w:lang w:val="uk-UA"/>
              </w:rPr>
            </w:pPr>
            <w:r w:rsidRPr="004B18EA">
              <w:rPr>
                <w:rFonts w:ascii="Times New Roman" w:hAnsi="Times New Roman" w:cs="Times New Roman"/>
                <w:b/>
                <w:sz w:val="24"/>
                <w:shd w:val="clear" w:color="auto" w:fill="FFFFFF"/>
                <w:lang w:val="uk-UA"/>
              </w:rPr>
              <w:t>X. Процедура встановлення та перегляду тарифів на послуги розподілу природного газу</w:t>
            </w:r>
          </w:p>
        </w:tc>
        <w:tc>
          <w:tcPr>
            <w:tcW w:w="7296" w:type="dxa"/>
          </w:tcPr>
          <w:p w:rsidR="00513E28" w:rsidRPr="004B18EA" w:rsidRDefault="00513E28" w:rsidP="003176A7">
            <w:pPr>
              <w:spacing w:after="0" w:line="240" w:lineRule="auto"/>
              <w:ind w:firstLine="242"/>
              <w:jc w:val="center"/>
              <w:rPr>
                <w:rFonts w:ascii="Times New Roman" w:hAnsi="Times New Roman" w:cs="Times New Roman"/>
                <w:b/>
                <w:sz w:val="24"/>
                <w:shd w:val="clear" w:color="auto" w:fill="FFFFFF"/>
                <w:lang w:val="uk-UA"/>
              </w:rPr>
            </w:pPr>
            <w:r w:rsidRPr="004B18EA">
              <w:rPr>
                <w:rFonts w:ascii="Times New Roman" w:hAnsi="Times New Roman" w:cs="Times New Roman"/>
                <w:b/>
                <w:sz w:val="24"/>
                <w:shd w:val="clear" w:color="auto" w:fill="FFFFFF"/>
                <w:lang w:val="uk-UA"/>
              </w:rPr>
              <w:t>X. Процедура встановлення та перегляду тарифів на послуги розподілу природного газу</w:t>
            </w:r>
          </w:p>
        </w:tc>
      </w:tr>
      <w:tr w:rsidR="00A50577" w:rsidRPr="005C18A6" w:rsidTr="003737EF">
        <w:tc>
          <w:tcPr>
            <w:tcW w:w="7295" w:type="dxa"/>
          </w:tcPr>
          <w:p w:rsidR="00A50577" w:rsidRPr="004B18EA" w:rsidRDefault="00A50577"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 xml:space="preserve">1. Тариф на послуги розподілу природного газу встановлюється НКРЕКП за умови провадження ліцензіатом господарської діяльності з розподілу природного газу або одночасно з </w:t>
            </w:r>
            <w:proofErr w:type="spellStart"/>
            <w:r w:rsidRPr="004B18EA">
              <w:rPr>
                <w:rFonts w:ascii="Times New Roman" w:hAnsi="Times New Roman" w:cs="Times New Roman"/>
                <w:shd w:val="clear" w:color="auto" w:fill="FFFFFF"/>
                <w:lang w:val="uk-UA"/>
              </w:rPr>
              <w:t>видачею</w:t>
            </w:r>
            <w:proofErr w:type="spellEnd"/>
            <w:r w:rsidRPr="004B18EA">
              <w:rPr>
                <w:rFonts w:ascii="Times New Roman" w:hAnsi="Times New Roman" w:cs="Times New Roman"/>
                <w:shd w:val="clear" w:color="auto" w:fill="FFFFFF"/>
                <w:lang w:val="uk-UA"/>
              </w:rPr>
              <w:t xml:space="preserve"> ліцензії на право провадження господарської діяльності з розподілу природного газу.</w:t>
            </w:r>
          </w:p>
          <w:p w:rsidR="00A50577" w:rsidRPr="004B18EA" w:rsidRDefault="00A50577" w:rsidP="003176A7">
            <w:pPr>
              <w:spacing w:after="0" w:line="240" w:lineRule="auto"/>
              <w:ind w:firstLine="171"/>
              <w:jc w:val="both"/>
              <w:rPr>
                <w:rFonts w:ascii="Times New Roman" w:hAnsi="Times New Roman" w:cs="Times New Roman"/>
                <w:shd w:val="clear" w:color="auto" w:fill="FFFFFF"/>
                <w:lang w:val="uk-UA"/>
              </w:rPr>
            </w:pPr>
          </w:p>
          <w:p w:rsidR="00A50577" w:rsidRPr="004B18EA" w:rsidRDefault="00136CC1"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b/>
                <w:i/>
                <w:shd w:val="clear" w:color="auto" w:fill="FFFFFF"/>
                <w:lang w:val="uk-UA"/>
              </w:rPr>
              <w:t>Абзац відсутній</w:t>
            </w:r>
          </w:p>
        </w:tc>
        <w:tc>
          <w:tcPr>
            <w:tcW w:w="7296" w:type="dxa"/>
          </w:tcPr>
          <w:p w:rsidR="00A50577" w:rsidRPr="004B18EA" w:rsidRDefault="00A50577" w:rsidP="003176A7">
            <w:pPr>
              <w:spacing w:after="0" w:line="240" w:lineRule="auto"/>
              <w:ind w:firstLine="242"/>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 xml:space="preserve">1. Тариф на послуги розподілу природного газу встановлюється НКРЕКП за умови провадження ліцензіатом господарської діяльності з розподілу природного газу або одночасно з </w:t>
            </w:r>
            <w:proofErr w:type="spellStart"/>
            <w:r w:rsidRPr="004B18EA">
              <w:rPr>
                <w:rFonts w:ascii="Times New Roman" w:hAnsi="Times New Roman" w:cs="Times New Roman"/>
                <w:shd w:val="clear" w:color="auto" w:fill="FFFFFF"/>
                <w:lang w:val="uk-UA"/>
              </w:rPr>
              <w:t>видачею</w:t>
            </w:r>
            <w:proofErr w:type="spellEnd"/>
            <w:r w:rsidRPr="004B18EA">
              <w:rPr>
                <w:rFonts w:ascii="Times New Roman" w:hAnsi="Times New Roman" w:cs="Times New Roman"/>
                <w:shd w:val="clear" w:color="auto" w:fill="FFFFFF"/>
                <w:lang w:val="uk-UA"/>
              </w:rPr>
              <w:t xml:space="preserve"> ліцензії на право провадження господарської діяльності з розподілу природного газу.</w:t>
            </w:r>
          </w:p>
          <w:p w:rsidR="00A50577" w:rsidRPr="004B18EA" w:rsidRDefault="00A50577" w:rsidP="003176A7">
            <w:pPr>
              <w:spacing w:after="0" w:line="240" w:lineRule="auto"/>
              <w:ind w:firstLine="242"/>
              <w:rPr>
                <w:rFonts w:ascii="Times New Roman" w:hAnsi="Times New Roman" w:cs="Times New Roman"/>
                <w:shd w:val="clear" w:color="auto" w:fill="FFFFFF"/>
                <w:lang w:val="uk-UA"/>
              </w:rPr>
            </w:pPr>
          </w:p>
          <w:p w:rsidR="00A50577" w:rsidRPr="004B18EA" w:rsidRDefault="004B18EA" w:rsidP="00543F6B">
            <w:pPr>
              <w:spacing w:after="0" w:line="240" w:lineRule="auto"/>
              <w:ind w:firstLine="242"/>
              <w:jc w:val="both"/>
              <w:rPr>
                <w:rFonts w:ascii="Times New Roman" w:hAnsi="Times New Roman" w:cs="Times New Roman"/>
                <w:shd w:val="clear" w:color="auto" w:fill="FFFFFF"/>
                <w:lang w:val="uk-UA"/>
              </w:rPr>
            </w:pPr>
            <w:r w:rsidRPr="004B18EA">
              <w:rPr>
                <w:rFonts w:ascii="Times New Roman" w:hAnsi="Times New Roman" w:cs="Times New Roman"/>
                <w:b/>
                <w:shd w:val="clear" w:color="auto" w:fill="FFFFFF"/>
                <w:lang w:val="uk-UA"/>
              </w:rPr>
              <w:t>Особливості встановлення та перегляду тарифів на послуги розподілу природного газу протягом дії воєнного стану в Україні та шести місяців після місяця, в якому воєнний стан буде припинено або скасовано визначаються розділом ХІ цієї Методики</w:t>
            </w:r>
            <w:r w:rsidR="00A50577" w:rsidRPr="004B18EA">
              <w:rPr>
                <w:rFonts w:ascii="Times New Roman" w:hAnsi="Times New Roman" w:cs="Times New Roman"/>
                <w:b/>
                <w:shd w:val="clear" w:color="auto" w:fill="FFFFFF"/>
                <w:lang w:val="uk-UA"/>
              </w:rPr>
              <w:t>.</w:t>
            </w:r>
          </w:p>
        </w:tc>
      </w:tr>
      <w:tr w:rsidR="00513E28" w:rsidRPr="004B18EA" w:rsidTr="00040197">
        <w:trPr>
          <w:trHeight w:val="2825"/>
        </w:trPr>
        <w:tc>
          <w:tcPr>
            <w:tcW w:w="7295" w:type="dxa"/>
          </w:tcPr>
          <w:p w:rsidR="00513E28" w:rsidRPr="004B18EA" w:rsidRDefault="00513E28"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lastRenderedPageBreak/>
              <w:t>…</w:t>
            </w:r>
          </w:p>
          <w:p w:rsidR="00513E28" w:rsidRPr="004B18EA" w:rsidRDefault="00513E28" w:rsidP="003176A7">
            <w:pPr>
              <w:spacing w:after="0" w:line="240" w:lineRule="auto"/>
              <w:ind w:firstLine="171"/>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18. За наявності підстав, передбачених пунктом 16 цього розділу, НКРЕКП переглядає тарифи на послуги розподілу природного газу з урахуванням наявної в НКРЕКП інформації, даних звітності, актів, складених за результатами проведення заходів нагляду (контролю) щодо дотримання суб’єктами господарювання вимог законодавства у сфері енергетики та Ліцензійних умов провадження господарської діяльності з розподілу природного газу, затверджених постановою НКРЕКП від 16 лютого 2017 року № 201, та/або наданих суб'єктом господарювання документів та пояснень до них.</w:t>
            </w:r>
          </w:p>
          <w:p w:rsidR="00513E28" w:rsidRPr="004B18EA" w:rsidRDefault="00513E28" w:rsidP="003176A7">
            <w:pPr>
              <w:spacing w:after="0" w:line="240" w:lineRule="auto"/>
              <w:ind w:firstLine="171"/>
              <w:jc w:val="both"/>
              <w:rPr>
                <w:rFonts w:ascii="Times New Roman" w:hAnsi="Times New Roman" w:cs="Times New Roman"/>
                <w:sz w:val="28"/>
                <w:lang w:val="uk-UA"/>
              </w:rPr>
            </w:pPr>
          </w:p>
          <w:p w:rsidR="00513E28" w:rsidRPr="004B18EA" w:rsidRDefault="00531746" w:rsidP="003176A7">
            <w:pPr>
              <w:spacing w:after="0" w:line="240" w:lineRule="auto"/>
              <w:ind w:firstLine="171"/>
              <w:jc w:val="both"/>
              <w:rPr>
                <w:rFonts w:ascii="Times New Roman" w:hAnsi="Times New Roman" w:cs="Times New Roman"/>
                <w:b/>
                <w:i/>
                <w:sz w:val="28"/>
                <w:lang w:val="uk-UA"/>
              </w:rPr>
            </w:pPr>
            <w:r w:rsidRPr="004B18EA">
              <w:rPr>
                <w:rFonts w:ascii="Times New Roman" w:hAnsi="Times New Roman" w:cs="Times New Roman"/>
                <w:b/>
                <w:i/>
                <w:sz w:val="24"/>
                <w:lang w:val="uk-UA"/>
              </w:rPr>
              <w:t xml:space="preserve">Пункт відсутній </w:t>
            </w:r>
          </w:p>
        </w:tc>
        <w:tc>
          <w:tcPr>
            <w:tcW w:w="7296" w:type="dxa"/>
          </w:tcPr>
          <w:p w:rsidR="00513E28" w:rsidRPr="004B18EA" w:rsidRDefault="00513E28" w:rsidP="00EF7C97">
            <w:pPr>
              <w:spacing w:after="0" w:line="240" w:lineRule="auto"/>
              <w:ind w:firstLine="244"/>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w:t>
            </w:r>
          </w:p>
          <w:p w:rsidR="00513E28" w:rsidRPr="004B18EA" w:rsidRDefault="00513E28" w:rsidP="00EF7C97">
            <w:pPr>
              <w:spacing w:after="0" w:line="240" w:lineRule="auto"/>
              <w:ind w:firstLine="244"/>
              <w:jc w:val="both"/>
              <w:rPr>
                <w:rFonts w:ascii="Times New Roman" w:hAnsi="Times New Roman" w:cs="Times New Roman"/>
                <w:shd w:val="clear" w:color="auto" w:fill="FFFFFF"/>
                <w:lang w:val="uk-UA"/>
              </w:rPr>
            </w:pPr>
            <w:r w:rsidRPr="004B18EA">
              <w:rPr>
                <w:rFonts w:ascii="Times New Roman" w:hAnsi="Times New Roman" w:cs="Times New Roman"/>
                <w:shd w:val="clear" w:color="auto" w:fill="FFFFFF"/>
                <w:lang w:val="uk-UA"/>
              </w:rPr>
              <w:t>18. За наявності підстав, передбачених пунктом 16 цього розділу, НКРЕКП переглядає тарифи на послуги розподілу природного газу з урахуванням наявної в НКРЕКП інформації, даних звітності, актів, складених за результатами проведення заходів нагляду (контролю) щодо дотримання суб’єктами господарювання вимог законодавства у сфері енергетики та Ліцензійних умов провадження господарської діяльності з розподілу природного газу, затверджених постановою НКРЕКП від 16 лютого 2017 року № 201, та/або наданих суб'єктом господарювання документів та пояснень до них.</w:t>
            </w:r>
          </w:p>
          <w:p w:rsidR="00513E28" w:rsidRPr="004B18EA" w:rsidRDefault="00513E28" w:rsidP="00EF7C97">
            <w:pPr>
              <w:spacing w:after="0" w:line="240" w:lineRule="auto"/>
              <w:ind w:firstLine="244"/>
              <w:jc w:val="both"/>
              <w:rPr>
                <w:rFonts w:ascii="Times New Roman" w:hAnsi="Times New Roman" w:cs="Times New Roman"/>
                <w:shd w:val="clear" w:color="auto" w:fill="FFFFFF"/>
                <w:lang w:val="uk-UA"/>
              </w:rPr>
            </w:pPr>
          </w:p>
          <w:p w:rsidR="004B18EA" w:rsidRPr="00B032EE" w:rsidRDefault="004B18EA" w:rsidP="004B18EA">
            <w:pPr>
              <w:spacing w:after="0" w:line="240" w:lineRule="auto"/>
              <w:ind w:firstLine="244"/>
              <w:jc w:val="both"/>
              <w:rPr>
                <w:rFonts w:ascii="Times New Roman" w:hAnsi="Times New Roman" w:cs="Times New Roman"/>
                <w:b/>
                <w:shd w:val="clear" w:color="auto" w:fill="FFFFFF"/>
                <w:lang w:val="uk-UA"/>
              </w:rPr>
            </w:pPr>
            <w:r w:rsidRPr="00B032EE">
              <w:rPr>
                <w:rFonts w:ascii="Times New Roman" w:hAnsi="Times New Roman" w:cs="Times New Roman"/>
                <w:b/>
                <w:shd w:val="clear" w:color="auto" w:fill="FFFFFF"/>
                <w:lang w:val="uk-UA"/>
              </w:rPr>
              <w:t xml:space="preserve">19. У разі зміни даних щодо місць провадження господарської діяльності суб’єкта господарювання не менше ніж на 50 000 точок приєднання суб'єктів ринку природного газу, встановлення тарифу на послуги розподілу природного газу може </w:t>
            </w:r>
            <w:proofErr w:type="spellStart"/>
            <w:r w:rsidRPr="00B032EE">
              <w:rPr>
                <w:rFonts w:ascii="Times New Roman" w:hAnsi="Times New Roman" w:cs="Times New Roman"/>
                <w:b/>
                <w:shd w:val="clear" w:color="auto" w:fill="FFFFFF"/>
                <w:lang w:val="uk-UA"/>
              </w:rPr>
              <w:t>здійснюватись</w:t>
            </w:r>
            <w:proofErr w:type="spellEnd"/>
            <w:r w:rsidRPr="00B032EE">
              <w:rPr>
                <w:rFonts w:ascii="Times New Roman" w:hAnsi="Times New Roman" w:cs="Times New Roman"/>
                <w:b/>
                <w:shd w:val="clear" w:color="auto" w:fill="FFFFFF"/>
                <w:lang w:val="uk-UA"/>
              </w:rPr>
              <w:t xml:space="preserve"> на частину місць провадження господарської діяльності, на яку відбувається зміна.</w:t>
            </w:r>
          </w:p>
          <w:p w:rsidR="004B18EA" w:rsidRPr="00B032EE" w:rsidRDefault="004B18EA" w:rsidP="004B18EA">
            <w:pPr>
              <w:spacing w:after="0" w:line="240" w:lineRule="auto"/>
              <w:ind w:firstLine="244"/>
              <w:jc w:val="both"/>
              <w:rPr>
                <w:rFonts w:ascii="Times New Roman" w:hAnsi="Times New Roman" w:cs="Times New Roman"/>
                <w:b/>
                <w:shd w:val="clear" w:color="auto" w:fill="FFFFFF"/>
                <w:lang w:val="uk-UA"/>
              </w:rPr>
            </w:pPr>
            <w:r w:rsidRPr="00B032EE">
              <w:rPr>
                <w:rFonts w:ascii="Times New Roman" w:hAnsi="Times New Roman" w:cs="Times New Roman"/>
                <w:b/>
                <w:shd w:val="clear" w:color="auto" w:fill="FFFFFF"/>
                <w:lang w:val="uk-UA"/>
              </w:rPr>
              <w:t>Одночасно із повідомленням про зміни даних щодо місць провадження господарської діяльності, суб’єкт господарювання подає до НКРЕКП заяву про встановлення тарифу на послуги розподілу природного газу та відповідний перелік документів, визначений пунктом 6 цього розділу, на частину місць провадження господарської діяльності, на яку відбувається зміна.</w:t>
            </w:r>
          </w:p>
          <w:p w:rsidR="0076786A" w:rsidRPr="004B18EA" w:rsidRDefault="004B18EA" w:rsidP="004B18EA">
            <w:pPr>
              <w:spacing w:after="0" w:line="240" w:lineRule="auto"/>
              <w:ind w:firstLine="244"/>
              <w:jc w:val="both"/>
              <w:rPr>
                <w:rFonts w:ascii="Times New Roman" w:hAnsi="Times New Roman" w:cs="Times New Roman"/>
                <w:b/>
                <w:shd w:val="clear" w:color="auto" w:fill="FFFFFF"/>
                <w:lang w:val="uk-UA"/>
              </w:rPr>
            </w:pPr>
            <w:r w:rsidRPr="00B032EE">
              <w:rPr>
                <w:rFonts w:ascii="Times New Roman" w:hAnsi="Times New Roman" w:cs="Times New Roman"/>
                <w:b/>
                <w:shd w:val="clear" w:color="auto" w:fill="FFFFFF"/>
                <w:lang w:val="uk-UA"/>
              </w:rPr>
              <w:t xml:space="preserve">Подальший перегляд тарифу може </w:t>
            </w:r>
            <w:proofErr w:type="spellStart"/>
            <w:r w:rsidRPr="00B032EE">
              <w:rPr>
                <w:rFonts w:ascii="Times New Roman" w:hAnsi="Times New Roman" w:cs="Times New Roman"/>
                <w:b/>
                <w:shd w:val="clear" w:color="auto" w:fill="FFFFFF"/>
                <w:lang w:val="uk-UA"/>
              </w:rPr>
              <w:t>здійснюватись</w:t>
            </w:r>
            <w:proofErr w:type="spellEnd"/>
            <w:r w:rsidRPr="00B032EE">
              <w:rPr>
                <w:rFonts w:ascii="Times New Roman" w:hAnsi="Times New Roman" w:cs="Times New Roman"/>
                <w:b/>
                <w:shd w:val="clear" w:color="auto" w:fill="FFFFFF"/>
                <w:lang w:val="uk-UA"/>
              </w:rPr>
              <w:t xml:space="preserve"> як на частину місць провадження господарської діяльності, на яку було встановлено тариф, так і в цілому на територію провадження господарської діяльності ліцензіата</w:t>
            </w:r>
            <w:r w:rsidR="00185DB0" w:rsidRPr="00B032EE">
              <w:rPr>
                <w:rFonts w:ascii="Times New Roman" w:hAnsi="Times New Roman" w:cs="Times New Roman"/>
                <w:b/>
                <w:shd w:val="clear" w:color="auto" w:fill="FFFFFF"/>
                <w:lang w:val="uk-UA"/>
              </w:rPr>
              <w:t>.</w:t>
            </w:r>
          </w:p>
        </w:tc>
      </w:tr>
      <w:tr w:rsidR="00513E28" w:rsidRPr="004B18EA" w:rsidTr="003737EF">
        <w:tc>
          <w:tcPr>
            <w:tcW w:w="7295" w:type="dxa"/>
          </w:tcPr>
          <w:p w:rsidR="00513E28" w:rsidRPr="004B18EA" w:rsidRDefault="00513E28" w:rsidP="003176A7">
            <w:pPr>
              <w:spacing w:after="0" w:line="240" w:lineRule="auto"/>
              <w:ind w:firstLine="171"/>
              <w:jc w:val="center"/>
              <w:rPr>
                <w:rFonts w:ascii="Times New Roman" w:hAnsi="Times New Roman" w:cs="Times New Roman"/>
                <w:b/>
                <w:i/>
                <w:sz w:val="24"/>
                <w:lang w:val="uk-UA"/>
              </w:rPr>
            </w:pPr>
            <w:r w:rsidRPr="004B18EA">
              <w:rPr>
                <w:rFonts w:ascii="Times New Roman" w:hAnsi="Times New Roman" w:cs="Times New Roman"/>
                <w:b/>
                <w:i/>
                <w:sz w:val="24"/>
                <w:lang w:val="uk-UA"/>
              </w:rPr>
              <w:t>Розділ відсутній</w:t>
            </w:r>
          </w:p>
        </w:tc>
        <w:tc>
          <w:tcPr>
            <w:tcW w:w="7296" w:type="dxa"/>
          </w:tcPr>
          <w:p w:rsidR="00513E28" w:rsidRPr="004B18EA" w:rsidRDefault="00513E28" w:rsidP="00EF7C97">
            <w:pPr>
              <w:spacing w:after="0" w:line="240" w:lineRule="auto"/>
              <w:ind w:firstLine="244"/>
              <w:jc w:val="center"/>
              <w:rPr>
                <w:rFonts w:ascii="Times New Roman" w:hAnsi="Times New Roman" w:cs="Times New Roman"/>
                <w:b/>
                <w:sz w:val="24"/>
                <w:shd w:val="clear" w:color="auto" w:fill="FFFFFF"/>
                <w:lang w:val="uk-UA"/>
              </w:rPr>
            </w:pPr>
            <w:r w:rsidRPr="004B18EA">
              <w:rPr>
                <w:rFonts w:ascii="Times New Roman" w:hAnsi="Times New Roman" w:cs="Times New Roman"/>
                <w:b/>
                <w:sz w:val="24"/>
                <w:shd w:val="clear" w:color="auto" w:fill="FFFFFF"/>
                <w:lang w:val="uk-UA"/>
              </w:rPr>
              <w:t xml:space="preserve">ХІ. </w:t>
            </w:r>
            <w:r w:rsidR="004B18EA" w:rsidRPr="004B18EA">
              <w:rPr>
                <w:rFonts w:ascii="Times New Roman" w:hAnsi="Times New Roman" w:cs="Times New Roman"/>
                <w:b/>
                <w:sz w:val="24"/>
                <w:shd w:val="clear" w:color="auto" w:fill="FFFFFF"/>
                <w:lang w:val="uk-UA"/>
              </w:rPr>
              <w:t>Особливості встановлення та перегляду тарифів на послуги розподілу природного газу протягом дії воєнного стану в Україні та шести місяців після місяця, в якому воєнний стан буде припинено або скасовано</w:t>
            </w:r>
          </w:p>
        </w:tc>
      </w:tr>
      <w:tr w:rsidR="00513E28" w:rsidRPr="004B18EA" w:rsidTr="003737EF">
        <w:tc>
          <w:tcPr>
            <w:tcW w:w="7295" w:type="dxa"/>
          </w:tcPr>
          <w:p w:rsidR="00513E28" w:rsidRPr="004B18EA" w:rsidRDefault="00513E28" w:rsidP="003176A7">
            <w:pPr>
              <w:spacing w:after="0" w:line="240" w:lineRule="auto"/>
              <w:ind w:firstLine="171"/>
              <w:jc w:val="both"/>
              <w:rPr>
                <w:rFonts w:ascii="Times New Roman" w:hAnsi="Times New Roman" w:cs="Times New Roman"/>
                <w:lang w:val="uk-UA"/>
              </w:rPr>
            </w:pPr>
          </w:p>
        </w:tc>
        <w:tc>
          <w:tcPr>
            <w:tcW w:w="7296" w:type="dxa"/>
          </w:tcPr>
          <w:p w:rsidR="004B18EA" w:rsidRPr="004B18EA" w:rsidRDefault="00513E28" w:rsidP="004B18EA">
            <w:pPr>
              <w:spacing w:after="0" w:line="240" w:lineRule="auto"/>
              <w:ind w:firstLine="242"/>
              <w:jc w:val="both"/>
              <w:rPr>
                <w:rFonts w:ascii="Times New Roman" w:hAnsi="Times New Roman" w:cs="Times New Roman"/>
                <w:b/>
                <w:lang w:val="uk-UA"/>
              </w:rPr>
            </w:pPr>
            <w:r w:rsidRPr="004B18EA">
              <w:rPr>
                <w:rFonts w:ascii="Times New Roman" w:hAnsi="Times New Roman" w:cs="Times New Roman"/>
                <w:b/>
                <w:lang w:val="uk-UA"/>
              </w:rPr>
              <w:t xml:space="preserve">1. </w:t>
            </w:r>
            <w:r w:rsidR="004B18EA" w:rsidRPr="004B18EA">
              <w:rPr>
                <w:rFonts w:ascii="Times New Roman" w:hAnsi="Times New Roman" w:cs="Times New Roman"/>
                <w:b/>
                <w:lang w:val="uk-UA"/>
              </w:rPr>
              <w:t>В умовах мораторію на підвищення тарифів на послуги розподілу природного газу для побутових споживачів, запровадженого частиною першою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w:t>
            </w:r>
            <w:bookmarkStart w:id="0" w:name="_GoBack"/>
            <w:bookmarkEnd w:id="0"/>
            <w:r w:rsidR="004B18EA" w:rsidRPr="004B18EA">
              <w:rPr>
                <w:rFonts w:ascii="Times New Roman" w:hAnsi="Times New Roman" w:cs="Times New Roman"/>
                <w:b/>
                <w:lang w:val="uk-UA"/>
              </w:rPr>
              <w:t>новлення їх функціонування», розрахунок тарифу здійснюється виходячи із загальної планованої річної тарифної виручки та загальної планованої річної замовленої потужності розподілу природного газу ліцензіата.</w:t>
            </w:r>
          </w:p>
          <w:p w:rsidR="00513E28" w:rsidRPr="004B18EA" w:rsidRDefault="004B18EA" w:rsidP="004B18EA">
            <w:pPr>
              <w:spacing w:after="0" w:line="240" w:lineRule="auto"/>
              <w:ind w:firstLine="242"/>
              <w:jc w:val="both"/>
              <w:rPr>
                <w:rFonts w:ascii="Times New Roman" w:hAnsi="Times New Roman" w:cs="Times New Roman"/>
                <w:b/>
                <w:lang w:val="uk-UA"/>
              </w:rPr>
            </w:pPr>
            <w:r w:rsidRPr="004B18EA">
              <w:rPr>
                <w:rFonts w:ascii="Times New Roman" w:hAnsi="Times New Roman" w:cs="Times New Roman"/>
                <w:b/>
                <w:lang w:val="uk-UA"/>
              </w:rPr>
              <w:t>У разі встановлення тарифу на послуги розподілу природного газу на частину місць провадження господарської діяльності ліцензіата, розрахунок тарифу здійснюється виходячи із загальної планованої річної тарифної виручки та загальної планованої річної замовленої потужності розподілу природного газу для такої території.</w:t>
            </w:r>
            <w:r w:rsidR="00513E28" w:rsidRPr="004B18EA">
              <w:rPr>
                <w:rFonts w:ascii="Times New Roman" w:hAnsi="Times New Roman" w:cs="Times New Roman"/>
                <w:b/>
                <w:lang w:val="uk-UA"/>
              </w:rPr>
              <w:t>.</w:t>
            </w:r>
          </w:p>
          <w:p w:rsidR="00513E28" w:rsidRPr="004B18EA" w:rsidRDefault="00513E28" w:rsidP="003176A7">
            <w:pPr>
              <w:spacing w:after="0" w:line="240" w:lineRule="auto"/>
              <w:ind w:firstLine="242"/>
              <w:jc w:val="both"/>
              <w:rPr>
                <w:rFonts w:ascii="Times New Roman" w:hAnsi="Times New Roman" w:cs="Times New Roman"/>
                <w:b/>
                <w:lang w:val="uk-UA"/>
              </w:rPr>
            </w:pPr>
          </w:p>
          <w:p w:rsidR="00513E28" w:rsidRPr="004B18EA" w:rsidRDefault="00513E28" w:rsidP="004B18EA">
            <w:pPr>
              <w:spacing w:after="0" w:line="240" w:lineRule="auto"/>
              <w:ind w:firstLine="242"/>
              <w:jc w:val="both"/>
              <w:rPr>
                <w:rFonts w:ascii="Times New Roman" w:hAnsi="Times New Roman" w:cs="Times New Roman"/>
                <w:b/>
                <w:lang w:val="uk-UA"/>
              </w:rPr>
            </w:pPr>
            <w:r w:rsidRPr="004B18EA">
              <w:rPr>
                <w:rFonts w:ascii="Times New Roman" w:hAnsi="Times New Roman" w:cs="Times New Roman"/>
                <w:b/>
                <w:lang w:val="uk-UA"/>
              </w:rPr>
              <w:t xml:space="preserve">2. </w:t>
            </w:r>
            <w:r w:rsidR="004B18EA" w:rsidRPr="004B18EA">
              <w:rPr>
                <w:rFonts w:ascii="Times New Roman" w:hAnsi="Times New Roman" w:cs="Times New Roman"/>
                <w:b/>
                <w:lang w:val="uk-UA"/>
              </w:rPr>
              <w:t>У разі встановлення Оператору ГРМ тарифу на послуги розподілу природного газу на рівні вищому ніж той, що застосовувався станом на</w:t>
            </w:r>
            <w:r w:rsidR="004B18EA">
              <w:rPr>
                <w:rFonts w:ascii="Times New Roman" w:hAnsi="Times New Roman" w:cs="Times New Roman"/>
                <w:b/>
                <w:lang w:val="uk-UA"/>
              </w:rPr>
              <w:t xml:space="preserve"> </w:t>
            </w:r>
            <w:r w:rsidR="004B18EA" w:rsidRPr="004B18EA">
              <w:rPr>
                <w:rFonts w:ascii="Times New Roman" w:hAnsi="Times New Roman" w:cs="Times New Roman"/>
                <w:b/>
                <w:lang w:val="uk-UA"/>
              </w:rPr>
              <w:t>24 лютого 2022 року, такий тариф має застосовуватись для визначення вартості послуг розподілу природного газу побутовому споживачу після спливу шести місяців після місяця, в якому воєнний стан буде припинено або скасовано.</w:t>
            </w:r>
          </w:p>
          <w:p w:rsidR="00513E28" w:rsidRPr="004B18EA" w:rsidRDefault="00513E28" w:rsidP="003176A7">
            <w:pPr>
              <w:spacing w:after="0" w:line="240" w:lineRule="auto"/>
              <w:ind w:firstLine="242"/>
              <w:jc w:val="both"/>
              <w:rPr>
                <w:rFonts w:ascii="Times New Roman" w:hAnsi="Times New Roman" w:cs="Times New Roman"/>
                <w:b/>
                <w:lang w:val="uk-UA"/>
              </w:rPr>
            </w:pPr>
          </w:p>
          <w:p w:rsidR="00513E28" w:rsidRPr="004B18EA" w:rsidRDefault="00513E28" w:rsidP="004B18EA">
            <w:pPr>
              <w:spacing w:after="0" w:line="240" w:lineRule="auto"/>
              <w:ind w:firstLine="242"/>
              <w:jc w:val="both"/>
              <w:rPr>
                <w:rFonts w:ascii="Times New Roman" w:hAnsi="Times New Roman" w:cs="Times New Roman"/>
                <w:b/>
                <w:shd w:val="clear" w:color="auto" w:fill="FFFFFF"/>
                <w:lang w:val="uk-UA"/>
              </w:rPr>
            </w:pPr>
            <w:r w:rsidRPr="004B18EA">
              <w:rPr>
                <w:rFonts w:ascii="Times New Roman" w:hAnsi="Times New Roman" w:cs="Times New Roman"/>
                <w:b/>
                <w:lang w:val="uk-UA"/>
              </w:rPr>
              <w:t xml:space="preserve">3. </w:t>
            </w:r>
            <w:r w:rsidR="004B18EA" w:rsidRPr="004B18EA">
              <w:rPr>
                <w:rFonts w:ascii="Times New Roman" w:hAnsi="Times New Roman" w:cs="Times New Roman"/>
                <w:b/>
                <w:lang w:val="uk-UA"/>
              </w:rPr>
              <w:t xml:space="preserve">Операторам газорозподільних систем, щодо яких запроваджено мораторій на підвищення тарифів на послуги розподілу природного газу для побутових споживачів, згідно з частиною першою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компенсується за рахунок видатків державного бюджету за цільовим призначенням різниця в тарифах на послуги розподілу природного газу в обсягах перевищення фактичних витрат, пов’язаних з наданням послуг розподілу природного газу, за даними звітності, поданої операторами газорозподільних систем до НКРЕКП, з урахуванням витрат, понесених внаслідок воєнних дій та з метою запобігання настанню гуманітарних кризових ситуацій, до яких відносяться витрати на ремонт пошкодженої інфраструктури, невідшкодованих з інших джерел, над нарахованим чистим доходом від реалізації послуг розподілу природного газу, що утворилася (утвориться) за період </w:t>
            </w:r>
            <w:r w:rsidR="00DC4465">
              <w:rPr>
                <w:rFonts w:ascii="Times New Roman" w:hAnsi="Times New Roman" w:cs="Times New Roman"/>
                <w:b/>
                <w:lang w:val="uk-UA"/>
              </w:rPr>
              <w:br/>
            </w:r>
            <w:r w:rsidR="004B18EA" w:rsidRPr="004B18EA">
              <w:rPr>
                <w:rFonts w:ascii="Times New Roman" w:hAnsi="Times New Roman" w:cs="Times New Roman"/>
                <w:b/>
                <w:lang w:val="uk-UA"/>
              </w:rPr>
              <w:t>з 01 березня 2022 року по останнє число шостого місяця після місяця, в якому воєнний стан буде припинено або скасовано</w:t>
            </w:r>
            <w:r w:rsidRPr="004B18EA">
              <w:rPr>
                <w:rFonts w:ascii="Times New Roman" w:hAnsi="Times New Roman" w:cs="Times New Roman"/>
                <w:b/>
                <w:lang w:val="uk-UA"/>
              </w:rPr>
              <w:t>.</w:t>
            </w:r>
            <w:r w:rsidRPr="004B18EA">
              <w:rPr>
                <w:rFonts w:ascii="Times New Roman" w:hAnsi="Times New Roman" w:cs="Times New Roman"/>
                <w:b/>
                <w:shd w:val="clear" w:color="auto" w:fill="FFFFFF"/>
                <w:lang w:val="uk-UA"/>
              </w:rPr>
              <w:t xml:space="preserve"> </w:t>
            </w:r>
          </w:p>
        </w:tc>
      </w:tr>
    </w:tbl>
    <w:p w:rsidR="007E47BB" w:rsidRPr="004B18EA" w:rsidRDefault="007E47BB" w:rsidP="00DF6194">
      <w:pPr>
        <w:pStyle w:val="a4"/>
        <w:spacing w:before="0" w:beforeAutospacing="0" w:after="0" w:afterAutospacing="0"/>
        <w:ind w:firstLine="709"/>
        <w:jc w:val="center"/>
        <w:rPr>
          <w:b/>
        </w:rPr>
      </w:pPr>
    </w:p>
    <w:sectPr w:rsidR="007E47BB" w:rsidRPr="004B18EA" w:rsidSect="005E73E8">
      <w:pgSz w:w="16838" w:h="11906" w:orient="landscape"/>
      <w:pgMar w:top="568" w:right="1103"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40197"/>
    <w:rsid w:val="000655D7"/>
    <w:rsid w:val="00072BBB"/>
    <w:rsid w:val="00080C55"/>
    <w:rsid w:val="000C43F0"/>
    <w:rsid w:val="000E2D6E"/>
    <w:rsid w:val="001029DC"/>
    <w:rsid w:val="00117684"/>
    <w:rsid w:val="00136CC1"/>
    <w:rsid w:val="0014406E"/>
    <w:rsid w:val="00144CDF"/>
    <w:rsid w:val="00152EF0"/>
    <w:rsid w:val="001562B4"/>
    <w:rsid w:val="00185DB0"/>
    <w:rsid w:val="001B4EB7"/>
    <w:rsid w:val="001D71AF"/>
    <w:rsid w:val="001D7431"/>
    <w:rsid w:val="001E2320"/>
    <w:rsid w:val="001E77F5"/>
    <w:rsid w:val="001E7BDD"/>
    <w:rsid w:val="00201D8E"/>
    <w:rsid w:val="002601DF"/>
    <w:rsid w:val="003176A7"/>
    <w:rsid w:val="00317B33"/>
    <w:rsid w:val="00345F6F"/>
    <w:rsid w:val="00362659"/>
    <w:rsid w:val="003737EF"/>
    <w:rsid w:val="00375C7C"/>
    <w:rsid w:val="0038199A"/>
    <w:rsid w:val="004224A0"/>
    <w:rsid w:val="00422DD1"/>
    <w:rsid w:val="00450866"/>
    <w:rsid w:val="004A31E8"/>
    <w:rsid w:val="004B18EA"/>
    <w:rsid w:val="004B57E5"/>
    <w:rsid w:val="004C2300"/>
    <w:rsid w:val="004E7CFE"/>
    <w:rsid w:val="004F2D47"/>
    <w:rsid w:val="00510F09"/>
    <w:rsid w:val="00513E28"/>
    <w:rsid w:val="00531746"/>
    <w:rsid w:val="00543F6B"/>
    <w:rsid w:val="00554FE8"/>
    <w:rsid w:val="005A5715"/>
    <w:rsid w:val="005C18A6"/>
    <w:rsid w:val="005C5DBF"/>
    <w:rsid w:val="005D3D26"/>
    <w:rsid w:val="005E73E8"/>
    <w:rsid w:val="005F5810"/>
    <w:rsid w:val="006216A1"/>
    <w:rsid w:val="0064268E"/>
    <w:rsid w:val="006B08FC"/>
    <w:rsid w:val="006E333D"/>
    <w:rsid w:val="006E3F4E"/>
    <w:rsid w:val="007560AD"/>
    <w:rsid w:val="007621B2"/>
    <w:rsid w:val="0076285C"/>
    <w:rsid w:val="0076786A"/>
    <w:rsid w:val="007739DD"/>
    <w:rsid w:val="00776520"/>
    <w:rsid w:val="00780005"/>
    <w:rsid w:val="00782C0B"/>
    <w:rsid w:val="007E47BB"/>
    <w:rsid w:val="007F0BB3"/>
    <w:rsid w:val="007F42F5"/>
    <w:rsid w:val="00807083"/>
    <w:rsid w:val="00820228"/>
    <w:rsid w:val="008D554C"/>
    <w:rsid w:val="0091476E"/>
    <w:rsid w:val="00915A7B"/>
    <w:rsid w:val="00925A62"/>
    <w:rsid w:val="009412D9"/>
    <w:rsid w:val="00962E2A"/>
    <w:rsid w:val="009C29DA"/>
    <w:rsid w:val="00A07BE4"/>
    <w:rsid w:val="00A16AA2"/>
    <w:rsid w:val="00A40DD6"/>
    <w:rsid w:val="00A50577"/>
    <w:rsid w:val="00A6422D"/>
    <w:rsid w:val="00A8682A"/>
    <w:rsid w:val="00AA31C1"/>
    <w:rsid w:val="00AB64AB"/>
    <w:rsid w:val="00AF02ED"/>
    <w:rsid w:val="00B032EE"/>
    <w:rsid w:val="00B062A9"/>
    <w:rsid w:val="00B82A37"/>
    <w:rsid w:val="00B8307F"/>
    <w:rsid w:val="00BA4B2A"/>
    <w:rsid w:val="00C03B53"/>
    <w:rsid w:val="00C044F2"/>
    <w:rsid w:val="00C41EFE"/>
    <w:rsid w:val="00C5038B"/>
    <w:rsid w:val="00C52BFC"/>
    <w:rsid w:val="00C80C45"/>
    <w:rsid w:val="00C85762"/>
    <w:rsid w:val="00CE0D56"/>
    <w:rsid w:val="00D10A79"/>
    <w:rsid w:val="00D13FAB"/>
    <w:rsid w:val="00D54D45"/>
    <w:rsid w:val="00D66017"/>
    <w:rsid w:val="00D66AA6"/>
    <w:rsid w:val="00D96FE9"/>
    <w:rsid w:val="00DB5C20"/>
    <w:rsid w:val="00DC4465"/>
    <w:rsid w:val="00DC7E59"/>
    <w:rsid w:val="00DF6194"/>
    <w:rsid w:val="00E21438"/>
    <w:rsid w:val="00EB679A"/>
    <w:rsid w:val="00EF501F"/>
    <w:rsid w:val="00EF7C97"/>
    <w:rsid w:val="00F07759"/>
    <w:rsid w:val="00F11A42"/>
    <w:rsid w:val="00F91AAD"/>
    <w:rsid w:val="00FB10B0"/>
    <w:rsid w:val="00FD54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83BC7"/>
  <w15:chartTrackingRefBased/>
  <w15:docId w15:val="{0AE46050-5488-4991-B541-0919225A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3E8"/>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styleId="a6">
    <w:name w:val="Balloon Text"/>
    <w:basedOn w:val="a"/>
    <w:link w:val="a7"/>
    <w:uiPriority w:val="99"/>
    <w:semiHidden/>
    <w:unhideWhenUsed/>
    <w:rsid w:val="003176A7"/>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3176A7"/>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0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1DE4F-881C-4643-BDCE-257DCD134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Pages>
  <Words>4666</Words>
  <Characters>2661</Characters>
  <Application>Microsoft Office Word</Application>
  <DocSecurity>0</DocSecurity>
  <Lines>22</Lines>
  <Paragraphs>14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Вікторія Шепіль</cp:lastModifiedBy>
  <cp:revision>48</cp:revision>
  <cp:lastPrinted>2024-06-12T06:53:00Z</cp:lastPrinted>
  <dcterms:created xsi:type="dcterms:W3CDTF">2023-07-24T12:56:00Z</dcterms:created>
  <dcterms:modified xsi:type="dcterms:W3CDTF">2024-06-12T07:41:00Z</dcterms:modified>
</cp:coreProperties>
</file>