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784" w:rsidRPr="00A86869" w:rsidRDefault="003B4784" w:rsidP="00A86869">
      <w:pPr>
        <w:spacing w:after="0"/>
        <w:ind w:firstLine="24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570"/>
    </w:p>
    <w:p w:rsidR="00A86869" w:rsidRPr="00A86869" w:rsidRDefault="003069E2" w:rsidP="00A86869">
      <w:pPr>
        <w:spacing w:after="0"/>
        <w:ind w:left="595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" w:name="9860"/>
      <w:bookmarkEnd w:id="0"/>
      <w:r w:rsidRPr="00A86869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Додаток 7</w:t>
      </w:r>
    </w:p>
    <w:p w:rsidR="00A86869" w:rsidRPr="00A86869" w:rsidRDefault="003069E2" w:rsidP="00A86869">
      <w:pPr>
        <w:spacing w:after="0"/>
        <w:ind w:left="595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86869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:rsidR="003B4784" w:rsidRDefault="003069E2" w:rsidP="00A86869">
      <w:pPr>
        <w:spacing w:after="0"/>
        <w:ind w:left="595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86869">
        <w:rPr>
          <w:rFonts w:ascii="Times New Roman" w:hAnsi="Times New Roman" w:cs="Times New Roman"/>
          <w:color w:val="000000"/>
          <w:sz w:val="24"/>
          <w:szCs w:val="24"/>
          <w:lang w:val="uk-UA"/>
        </w:rPr>
        <w:t>(пункти 3.7, 7.1)</w:t>
      </w:r>
    </w:p>
    <w:p w:rsidR="00A86869" w:rsidRPr="00A86869" w:rsidRDefault="00A86869" w:rsidP="00A86869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6869" w:rsidRPr="00A86869" w:rsidRDefault="003069E2" w:rsidP="00A86869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2" w:name="9861"/>
      <w:bookmarkEnd w:id="1"/>
      <w:r w:rsidRPr="00A86869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ПЕРЕЛІК ПИТАНЬ</w:t>
      </w:r>
    </w:p>
    <w:p w:rsidR="003B4784" w:rsidRPr="00A86869" w:rsidRDefault="003069E2" w:rsidP="00A86869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86869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 перевірки дотримання вимог законодавства та ліцензійних умов провадження господарської діяльності з виробництва електричної енергії</w:t>
      </w:r>
    </w:p>
    <w:p w:rsidR="00A86869" w:rsidRPr="00A86869" w:rsidRDefault="00A86869" w:rsidP="00A86869">
      <w:pPr>
        <w:spacing w:after="0"/>
        <w:rPr>
          <w:rFonts w:ascii="Times New Roman" w:hAnsi="Times New Roman" w:cs="Times New Roman"/>
          <w:lang w:val="uk-UA"/>
        </w:rPr>
      </w:pPr>
    </w:p>
    <w:tbl>
      <w:tblPr>
        <w:tblW w:w="5000" w:type="pct"/>
        <w:tblCellSpacing w:w="0" w:type="auto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01"/>
        <w:gridCol w:w="2803"/>
        <w:gridCol w:w="1764"/>
        <w:gridCol w:w="521"/>
        <w:gridCol w:w="521"/>
        <w:gridCol w:w="521"/>
        <w:gridCol w:w="2888"/>
      </w:tblGrid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A86869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" w:name="9862"/>
            <w:bookmarkEnd w:id="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</w:p>
        </w:tc>
        <w:tc>
          <w:tcPr>
            <w:tcW w:w="1457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" w:name="9863"/>
            <w:bookmarkEnd w:id="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Питання щодо дотримання суб</w:t>
            </w:r>
            <w:r w:rsidR="00A86869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єктом господарювання вимог законодавства України та ліцензійних умов</w:t>
            </w:r>
          </w:p>
        </w:tc>
        <w:tc>
          <w:tcPr>
            <w:tcW w:w="917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" w:name="9864"/>
            <w:bookmarkEnd w:id="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Позиція суб</w:t>
            </w:r>
            <w:r w:rsidR="00A86869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єкта господарювання щодо негативного впливу вимоги законодавства (від 1 до 4 балів)*</w:t>
            </w:r>
          </w:p>
        </w:tc>
        <w:tc>
          <w:tcPr>
            <w:tcW w:w="812" w:type="pct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" w:name="9865"/>
            <w:bookmarkEnd w:id="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Відповіді на питання</w:t>
            </w:r>
          </w:p>
        </w:tc>
        <w:tc>
          <w:tcPr>
            <w:tcW w:w="1501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" w:name="9866"/>
            <w:bookmarkEnd w:id="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Нормативне обґрунтування</w:t>
            </w:r>
          </w:p>
        </w:tc>
        <w:bookmarkEnd w:id="7"/>
      </w:tr>
      <w:tr w:rsidR="003B4784" w:rsidRPr="00A86869" w:rsidTr="009B245F">
        <w:trPr>
          <w:cantSplit/>
          <w:trHeight w:val="1134"/>
          <w:tblCellSpacing w:w="0" w:type="auto"/>
        </w:trPr>
        <w:tc>
          <w:tcPr>
            <w:tcW w:w="312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B4784" w:rsidP="00A8686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57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B4784" w:rsidP="00A8686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17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B4784" w:rsidP="00A8686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extDirection w:val="btLr"/>
            <w:vAlign w:val="center"/>
          </w:tcPr>
          <w:p w:rsidR="003B4784" w:rsidRPr="00A86869" w:rsidRDefault="003069E2" w:rsidP="00A8686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" w:name="986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extDirection w:val="btLr"/>
            <w:vAlign w:val="center"/>
          </w:tcPr>
          <w:p w:rsidR="003B4784" w:rsidRPr="00A86869" w:rsidRDefault="003069E2" w:rsidP="00A8686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" w:name="9868"/>
            <w:bookmarkEnd w:id="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ні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extDirection w:val="btLr"/>
            <w:vAlign w:val="center"/>
          </w:tcPr>
          <w:p w:rsidR="003B4784" w:rsidRPr="00A86869" w:rsidRDefault="003069E2" w:rsidP="00A8686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" w:name="9869"/>
            <w:bookmarkEnd w:id="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не розглядалося</w:t>
            </w:r>
          </w:p>
        </w:tc>
        <w:bookmarkEnd w:id="10"/>
        <w:tc>
          <w:tcPr>
            <w:tcW w:w="1501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B4784" w:rsidP="00A8686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4784" w:rsidRPr="00A86869" w:rsidTr="00A86869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" w:name="987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 Загальні вимоги</w:t>
            </w:r>
          </w:p>
        </w:tc>
        <w:bookmarkEnd w:id="11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7E70A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" w:name="987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3" w:name="9872"/>
            <w:bookmarkEnd w:id="12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Присутність керівника ліцензіата,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" w:name="9873"/>
            <w:bookmarkEnd w:id="1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" w:name="9874"/>
            <w:bookmarkEnd w:id="1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" w:name="9875"/>
            <w:bookmarkEnd w:id="1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" w:name="9876"/>
            <w:bookmarkEnd w:id="16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" w:name="9877"/>
            <w:bookmarkEnd w:id="1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2B7FAD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Ліцензійних умов провадження господарської діяльності з виробництва електричної енергії, затверджених постановою Національної комісії, що здійснює державне регулювання у сферах енергетики та комунальних послуг, від 27 грудня 2017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  <w:r w:rsidR="002B7FAD"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1467 (далі </w:t>
            </w:r>
            <w:r w:rsidR="000F3DE3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ЛУ </w:t>
            </w:r>
            <w:r w:rsidR="002B7FAD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  <w:r w:rsidR="001C180C"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1467)</w:t>
            </w:r>
          </w:p>
        </w:tc>
        <w:bookmarkEnd w:id="18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0F3D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" w:name="987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0" w:name="9879"/>
            <w:bookmarkEnd w:id="19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Фактичні дані про ліцензіата відповідають даним, які були зазначені ним у документах, що додавалися до заяви про отримання ліцензії, та відомостям, зазначеним у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" w:name="9880"/>
            <w:bookmarkEnd w:id="2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" w:name="9881"/>
            <w:bookmarkEnd w:id="2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" w:name="9882"/>
            <w:bookmarkEnd w:id="2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" w:name="9883"/>
            <w:bookmarkEnd w:id="23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" w:name="9884"/>
            <w:bookmarkEnd w:id="2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пункти 1.5</w:t>
            </w:r>
            <w:r w:rsidR="00F84228">
              <w:rPr>
                <w:rFonts w:ascii="Times New Roman" w:hAnsi="Times New Roman" w:cs="Times New Roman"/>
                <w:color w:val="000000"/>
                <w:lang w:val="uk-UA"/>
              </w:rPr>
              <w:t xml:space="preserve"> –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</w:t>
            </w:r>
            <w:r w:rsidR="00F84228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5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7F7E9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" w:name="988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1.3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7" w:name="9886"/>
            <w:bookmarkEnd w:id="26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не </w:t>
            </w:r>
            <w:r w:rsidR="0077056F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передавав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ліцензію, отриману для провадження певного виду господарської діяльності, або будь-які права та 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язки ліцензіата відповідно до такої ліцензії третім особам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" w:name="9887"/>
            <w:bookmarkEnd w:id="2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" w:name="9888"/>
            <w:bookmarkEnd w:id="2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" w:name="9889"/>
            <w:bookmarkEnd w:id="2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" w:name="9890"/>
            <w:bookmarkEnd w:id="30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" w:name="9891"/>
            <w:bookmarkEnd w:id="3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77056F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32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7F7E9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" w:name="989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1.4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4" w:name="9893"/>
            <w:bookmarkEnd w:id="33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повідомляє НКРЕКП про всі зміни даних, які були зазначені в документах, що додавалися до заяви про отримання ліцензії, у строк, встановлений ліцензійними умовами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" w:name="9894"/>
            <w:bookmarkEnd w:id="3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" w:name="9895"/>
            <w:bookmarkEnd w:id="3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" w:name="9896"/>
            <w:bookmarkEnd w:id="3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" w:name="9897"/>
            <w:bookmarkEnd w:id="37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" w:name="9898"/>
            <w:bookmarkEnd w:id="3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9C1BBF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39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7F7E9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" w:name="989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1.5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1" w:name="9900"/>
            <w:bookmarkEnd w:id="40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Документи (їх копії), інформація (дані, відомості, звітність), необхідні для виконання НКРЕКП своїх повноважень та функцій, надаються до НКРЕКП в обсягах та у строки, встановлені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" w:name="9901"/>
            <w:bookmarkEnd w:id="4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" w:name="9902"/>
            <w:bookmarkEnd w:id="4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" w:name="9903"/>
            <w:bookmarkEnd w:id="4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" w:name="9904"/>
            <w:bookmarkEnd w:id="44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" w:name="9905"/>
            <w:bookmarkEnd w:id="4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підпункти </w:t>
            </w:r>
            <w:r w:rsidR="00A97188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4</w:t>
            </w:r>
            <w:r w:rsidR="006F55F7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46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C86E2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" w:name="990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1.6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8" w:name="9907"/>
            <w:bookmarkEnd w:id="47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виконує рішення НКРЕКП у строки, встановлені відповідними рішеннями та законодавством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" w:name="9908"/>
            <w:bookmarkEnd w:id="4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0" w:name="9909"/>
            <w:bookmarkEnd w:id="4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1" w:name="9910"/>
            <w:bookmarkEnd w:id="5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2" w:name="9911"/>
            <w:bookmarkEnd w:id="51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3" w:name="9912"/>
            <w:bookmarkEnd w:id="5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E81FC0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53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59657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4" w:name="991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1.7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55" w:name="9914"/>
            <w:bookmarkEnd w:id="54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Внески на регулювання, визначені рішенням НКРЕКП, сплачуються своєчасно та в повному обсязі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6" w:name="9915"/>
            <w:bookmarkEnd w:id="5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7" w:name="9916"/>
            <w:bookmarkEnd w:id="5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8" w:name="9917"/>
            <w:bookmarkEnd w:id="5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9" w:name="9918"/>
            <w:bookmarkEnd w:id="58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0" w:name="9919"/>
            <w:bookmarkEnd w:id="5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941DD9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60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7172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1" w:name="992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1.8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62" w:name="9921"/>
            <w:bookmarkEnd w:id="61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забезпечено функціонування власного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вебсайту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в мережі Інтернет, на якому розміщено актуальну інформацію, що підлягає оприлюдненню відповідно до вимог чинного законодавства України та ліцензійних умов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3" w:name="9922"/>
            <w:bookmarkEnd w:id="6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4" w:name="9923"/>
            <w:bookmarkEnd w:id="6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5" w:name="9924"/>
            <w:bookmarkEnd w:id="6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6" w:name="9925"/>
            <w:bookmarkEnd w:id="65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7" w:name="9926"/>
            <w:bookmarkEnd w:id="6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підпункти </w:t>
            </w:r>
            <w:r w:rsidR="00C90CCC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3</w:t>
            </w:r>
            <w:r w:rsidR="002C1CED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4</w:t>
            </w:r>
            <w:r w:rsidR="002C1CED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67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AE5F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8" w:name="992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1.9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9B364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69" w:name="9928"/>
            <w:bookmarkEnd w:id="68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урегульовує спори з учасниками ринку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згідно з Правилами врегулювання спорів, які виникають між суб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єктами господарювання, що провадять діяльність у сферах енергетики та комунальних послуг, та виконує рішення НКРЕКП, прийняте за результатами розгляду спору, учасником якого є ліцензіат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0" w:name="9929"/>
            <w:bookmarkEnd w:id="6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1" w:name="9930"/>
            <w:bookmarkEnd w:id="7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2" w:name="9931"/>
            <w:bookmarkEnd w:id="7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3" w:name="9932"/>
            <w:bookmarkEnd w:id="72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4" w:name="9933"/>
            <w:bookmarkEnd w:id="7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4</w:t>
            </w:r>
            <w:r w:rsidR="009C4C28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74"/>
      </w:tr>
      <w:tr w:rsidR="003B4784" w:rsidRPr="00A86869" w:rsidTr="00A86869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5" w:name="993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2. Кадрові вимоги</w:t>
            </w:r>
          </w:p>
        </w:tc>
        <w:bookmarkEnd w:id="75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421F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6" w:name="993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2.1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77" w:name="9936"/>
            <w:bookmarkEnd w:id="76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дотримується кадрових вимог, зокрема оформляє трудові відносини з персоналом, який задіяний для виконання функцій ліцензованої діяльності, шляхом укладення трудових договорів відповідно до положень Кодексу законів про працю України, а також шляхом залучення інших осіб для виконання окремих робіт (послуг) на інших підставах, не заборонених чинним законодавством України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8" w:name="9937"/>
            <w:bookmarkEnd w:id="7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9" w:name="9938"/>
            <w:bookmarkEnd w:id="7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0" w:name="9939"/>
            <w:bookmarkEnd w:id="7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1" w:name="9940"/>
            <w:bookmarkEnd w:id="8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2" w:name="9941"/>
            <w:bookmarkEnd w:id="8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2.1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82"/>
      </w:tr>
      <w:tr w:rsidR="003B4784" w:rsidRPr="00A86869" w:rsidTr="00A86869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3" w:name="994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 Організаційні вимоги</w:t>
            </w:r>
          </w:p>
        </w:tc>
        <w:bookmarkEnd w:id="83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421F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4" w:name="994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85" w:name="9944"/>
            <w:bookmarkEnd w:id="84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укладає договори, які є 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язковими для здійснення діяльності на ринку електричної енергії, та виконує умови таких договорів, </w:t>
            </w:r>
            <w:r w:rsidR="00B10530" w:rsidRPr="00DE4FB5">
              <w:rPr>
                <w:rFonts w:ascii="Times New Roman" w:hAnsi="Times New Roman" w:cs="Times New Roman"/>
                <w:color w:val="000000"/>
                <w:lang w:val="uk-UA"/>
              </w:rPr>
              <w:t>зокрема своєчасно та в повному обсязі сплачу</w:t>
            </w:r>
            <w:r w:rsidR="00B200B1" w:rsidRPr="00DE4FB5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="00B10530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за електричну енергію, куплену на ринку електричної енергії, та за послуги, що надаються на ринку електричної енергії</w:t>
            </w:r>
            <w:r w:rsidR="00B200B1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а також не надає пропозиції та не укладає договори, які містять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положення, що суперечать Закону України </w:t>
            </w:r>
            <w:r w:rsidR="00421F18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421F18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, законодавству про захист економічної конкуренції та ліцензійним умовам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6" w:name="9945"/>
            <w:bookmarkEnd w:id="8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7" w:name="9946"/>
            <w:bookmarkEnd w:id="8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8" w:name="9947"/>
            <w:bookmarkEnd w:id="8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9" w:name="9948"/>
            <w:bookmarkEnd w:id="88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0" w:name="9949"/>
            <w:bookmarkEnd w:id="8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підпункти 1</w:t>
            </w:r>
            <w:r w:rsidR="00B200B1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="00B200B1">
              <w:rPr>
                <w:rFonts w:ascii="Times New Roman" w:hAnsi="Times New Roman" w:cs="Times New Roman"/>
                <w:color w:val="000000"/>
                <w:lang w:val="uk-UA"/>
              </w:rPr>
              <w:t>19</w:t>
            </w:r>
            <w:r w:rsidR="00B200B1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90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E12B6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1" w:name="995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92" w:name="9951"/>
            <w:bookmarkEnd w:id="91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веде облік витрат і доходів ліцензованої діяльності в рамках виконання спеціальних 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язків для забезпечення загальносуспільного інтересу у випадках їх покладення Кабінетом Міністрів України окремо від господарської діяльності з виробництва електричної енергії на вільних умовах (на ринкових засадах) та/або інших видів господарської діяльності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3" w:name="9952"/>
            <w:bookmarkEnd w:id="9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4" w:name="9953"/>
            <w:bookmarkEnd w:id="9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5" w:name="9954"/>
            <w:bookmarkEnd w:id="9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6" w:name="9955"/>
            <w:bookmarkEnd w:id="95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7" w:name="9956"/>
            <w:bookmarkEnd w:id="9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1</w:t>
            </w:r>
            <w:r w:rsidR="009652E1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97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A06C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8" w:name="995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99" w:name="9958"/>
            <w:bookmarkEnd w:id="98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використовує кошти, отримані в рамках виконання спеціальних 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язків для забезпечення загальносуспільного інтересу, за цільовим призначенням та </w:t>
            </w:r>
            <w:r w:rsidR="00736D95" w:rsidRPr="00DE4FB5">
              <w:rPr>
                <w:rFonts w:ascii="Times New Roman" w:hAnsi="Times New Roman" w:cs="Times New Roman"/>
                <w:color w:val="000000"/>
                <w:lang w:val="uk-UA"/>
              </w:rPr>
              <w:t>забезпечує ведення ліцензованої діяльності за принципом захисту навколишнього природного середовища, безпечного та надійного виробництва електричної енергії та економічної доцільності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0" w:name="9959"/>
            <w:bookmarkEnd w:id="9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1" w:name="9960"/>
            <w:bookmarkEnd w:id="10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2" w:name="9961"/>
            <w:bookmarkEnd w:id="10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3" w:name="9962"/>
            <w:bookmarkEnd w:id="102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4" w:name="9963"/>
            <w:bookmarkEnd w:id="10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1</w:t>
            </w:r>
            <w:r w:rsidR="00081DB9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04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7A50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5" w:name="996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3.4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06" w:name="9965"/>
            <w:bookmarkEnd w:id="105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провадить ліцензовану діяльність виключно </w:t>
            </w:r>
            <w:r w:rsidR="007A50A1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в межах місць провадження господарської діяльності та із застосуванням заявлених засобів </w:t>
            </w:r>
            <w:r w:rsidR="007A50A1"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провадження господарської діяльності, зазначених у відомостях про них, поданих до НКРЕКП згідно з вимогами ліцензійних умов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7" w:name="9966"/>
            <w:bookmarkEnd w:id="10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8" w:name="9967"/>
            <w:bookmarkEnd w:id="10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9" w:name="9968"/>
            <w:bookmarkEnd w:id="10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0" w:name="9969"/>
            <w:bookmarkEnd w:id="109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1" w:name="9970"/>
            <w:bookmarkEnd w:id="11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7A50A1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11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34366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2" w:name="997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3.5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13" w:name="9972"/>
            <w:bookmarkEnd w:id="112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використовує кошти, отримані від здійснення ліцензованої діяльності, виключно відповідно до встановленої структури тарифів (у разі її встановлення)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4" w:name="9973"/>
            <w:bookmarkEnd w:id="11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5" w:name="9974"/>
            <w:bookmarkEnd w:id="11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6" w:name="9975"/>
            <w:bookmarkEnd w:id="11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7" w:name="9976"/>
            <w:bookmarkEnd w:id="116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8" w:name="9977"/>
            <w:bookmarkEnd w:id="11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N 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Методика формування, розрахунку та встановлення тарифу на електричну енергію, що виробляється на гідроелектростанціях, затверджена постановою Національної комісії, що здійснює державне регулювання у сферах енергетики та комунальних послуг, від 01 серпня 2017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989 (далі - Методика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989);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Методика формування, розрахунку та встановлення тарифів на електричну та теплову енергію, що виробляється на атомних електростанціях, затверджена постановою Національної комісії, що здійснює державне регулювання у сферах енергетики та комунальних послуг, від 01 серпня 2017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990 (далі - Методика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990);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Методика формування, розрахунку та встановлення тарифів на електричну та (або) теплову енергію, що виробляється на теплоелектроцентралях, теплових електростанціях та </w:t>
            </w:r>
            <w:proofErr w:type="spellStart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когенераційних</w:t>
            </w:r>
            <w:proofErr w:type="spellEnd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установках, затверджена постановою Національної комісії, що здійснює державне регулювання у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сферах енергетики та комунальних послуг, від 01 серпня 2017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991 (далі - Методика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991);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="00CD6546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постанова НКРЕКП</w:t>
            </w:r>
            <w:r w:rsidR="00CD6546">
              <w:rPr>
                <w:rFonts w:ascii="Times New Roman" w:hAnsi="Times New Roman" w:cs="Times New Roman"/>
                <w:color w:val="000000"/>
                <w:lang w:val="uk-UA"/>
              </w:rPr>
              <w:t xml:space="preserve"> про встановлення тарифу</w:t>
            </w:r>
            <w:r w:rsidR="00CD6546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на відповідний період</w:t>
            </w:r>
          </w:p>
        </w:tc>
        <w:bookmarkEnd w:id="118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CE0A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9" w:name="997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3.6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20" w:name="9979"/>
            <w:bookmarkEnd w:id="119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Виконання ліцензіатом переліку заходів та запланованих обсягів витрат на проведення ремонтних робіт, що були включені НКРЕКП до структури тарифів на відпуск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1" w:name="9980"/>
            <w:bookmarkEnd w:id="12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2" w:name="9981"/>
            <w:bookmarkEnd w:id="12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3" w:name="9982"/>
            <w:bookmarkEnd w:id="12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4" w:name="9983"/>
            <w:bookmarkEnd w:id="123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5" w:name="9984"/>
            <w:bookmarkEnd w:id="12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3244DF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</w:t>
            </w:r>
            <w:r w:rsidR="00CE0A75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.1 Методики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989;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4.1 Методики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990;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4.1 Методики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991;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="00CE0A75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постанова НКРЕКП</w:t>
            </w:r>
            <w:r w:rsidR="00CE0A75">
              <w:rPr>
                <w:rFonts w:ascii="Times New Roman" w:hAnsi="Times New Roman" w:cs="Times New Roman"/>
                <w:color w:val="000000"/>
                <w:lang w:val="uk-UA"/>
              </w:rPr>
              <w:t xml:space="preserve"> про встановлення тарифу</w:t>
            </w:r>
            <w:r w:rsidR="00CE0A75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на відповідний період</w:t>
            </w:r>
          </w:p>
        </w:tc>
        <w:bookmarkEnd w:id="125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4237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6" w:name="998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3.7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27" w:name="9986"/>
            <w:bookmarkEnd w:id="126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Використання коштів, отриманих за рахунок тарифу на відпуск електричної енергії та визначених як джерело фінансування інвестиційної програми, виключно на її виконання відповідно до напрямів, визначених інвестиційною програмою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8" w:name="9987"/>
            <w:bookmarkEnd w:id="12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9" w:name="9988"/>
            <w:bookmarkEnd w:id="12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0" w:name="9989"/>
            <w:bookmarkEnd w:id="12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1" w:name="9990"/>
            <w:bookmarkEnd w:id="130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2" w:name="9991"/>
            <w:bookmarkEnd w:id="13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формування інвестиційних програм ліцензіатів з виробництва електричної та теплової енергії на теплоелектроцентралях та </w:t>
            </w:r>
            <w:proofErr w:type="spellStart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когенераційних</w:t>
            </w:r>
            <w:proofErr w:type="spellEnd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установках, затверджений постановою Національної комісії, що здійснює державне регулювання у сферах енергетики та комунальних послуг, від 15 жовтня 2015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2585;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</w:p>
        </w:tc>
        <w:bookmarkEnd w:id="132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E94CD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3" w:name="999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3.8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34" w:name="9993"/>
            <w:bookmarkEnd w:id="133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інформує НКРЕКП про провадження інших видів господарської діяльності, крім ліцензованої, із зазначенням видів такої діяльності та фінансового результату від її здійснення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5" w:name="9994"/>
            <w:bookmarkEnd w:id="13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6" w:name="9995"/>
            <w:bookmarkEnd w:id="13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7" w:name="9996"/>
            <w:bookmarkEnd w:id="13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8" w:name="9997"/>
            <w:bookmarkEnd w:id="137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9B245F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39" w:name="9998"/>
            <w:bookmarkEnd w:id="13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1.14 Методики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991;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1.13 Методики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990;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1.11 Методики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989;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</w:p>
        </w:tc>
        <w:bookmarkEnd w:id="139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AD047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0" w:name="999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3.9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41" w:name="10000"/>
            <w:bookmarkEnd w:id="140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виконує зобов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язання щодо реконструкції та/або модернізації, реалізації етапів виконання відповідного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проєкту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реконструкції та/або модернізації та виконання заходів довгострокової інвестиційної програми. Нецільове використання ліцензіатом коштів, отриманих для реалізації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проєкту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реконструкції та/або модернізації, відсутнє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2" w:name="10001"/>
            <w:bookmarkEnd w:id="14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3" w:name="10002"/>
            <w:bookmarkEnd w:id="14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4" w:name="10003"/>
            <w:bookmarkEnd w:id="14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5" w:name="10004"/>
            <w:bookmarkEnd w:id="144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6" w:name="10005"/>
            <w:bookmarkEnd w:id="14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План реконструкції та модернізації теплоелектростанцій і теплоелектроцентралей,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схвалений розпорядженням Кабінету Міністрів України від 08 вересня 2004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648;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підготовки та фінансування проектів з метою реалізації плану реконструкції та модернізації теплових електростанцій, затверджений наказом Міністерства палива та енергетики України від 24 травня 2006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183;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</w:p>
        </w:tc>
        <w:bookmarkEnd w:id="146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830F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7" w:name="1000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3.10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48" w:name="10007"/>
            <w:bookmarkEnd w:id="147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здійснює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проєктування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 будівництво (нове будівництво, реконструкцію, капітальний ремонт, технічне переоснащення) генеруючих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потужностей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104017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та установок зберігання енергії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відповідно до законодавства у сфері містобудівної діяльності та з урахуванням положень Закону України </w:t>
            </w:r>
            <w:r w:rsidR="00104017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104017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9" w:name="10008"/>
            <w:bookmarkEnd w:id="14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0" w:name="10009"/>
            <w:bookmarkEnd w:id="14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1" w:name="10010"/>
            <w:bookmarkEnd w:id="15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2" w:name="10011"/>
            <w:bookmarkEnd w:id="151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3" w:name="10012"/>
            <w:bookmarkEnd w:id="15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1</w:t>
            </w:r>
            <w:r w:rsidR="00104017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53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3F536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4" w:name="1001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55" w:name="10014"/>
            <w:bookmarkEnd w:id="154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є учасником ринку електричної енергії відповідно до правил ринку</w:t>
            </w:r>
            <w:r w:rsidR="00A242E3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(якщо його загальна ліцензована електрична потужність та/або обсяг відпуску електричної енергії більші за граничні показники)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6" w:name="10015"/>
            <w:bookmarkEnd w:id="15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7" w:name="10016"/>
            <w:bookmarkEnd w:id="15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8" w:name="10017"/>
            <w:bookmarkEnd w:id="15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9" w:name="10018"/>
            <w:bookmarkEnd w:id="158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0" w:name="10019"/>
            <w:bookmarkEnd w:id="15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ринку, затверджені постановою Національної комісії, що здійснює державне регулювання у сферах енергетики та комунальних послуг, від 14 березня 2018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307 (далі </w:t>
            </w:r>
            <w:r w:rsidR="00BB6928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ПРЕЕ);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B95357">
              <w:rPr>
                <w:rFonts w:ascii="Times New Roman" w:hAnsi="Times New Roman" w:cs="Times New Roman"/>
                <w:color w:val="000000"/>
                <w:lang w:val="uk-UA"/>
              </w:rPr>
              <w:t>9</w:t>
            </w:r>
            <w:r w:rsidR="00B95357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60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0B44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1" w:name="1002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62" w:name="10021"/>
            <w:bookmarkEnd w:id="161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здійснює купівлю-продаж електричної енергії</w:t>
            </w:r>
            <w:r w:rsidR="009235B8" w:rsidRPr="00DE4FB5">
              <w:rPr>
                <w:rFonts w:ascii="Times New Roman" w:hAnsi="Times New Roman" w:cs="Times New Roman"/>
                <w:color w:val="000000"/>
                <w:lang w:val="uk-UA"/>
              </w:rPr>
              <w:t>, виробленої об</w:t>
            </w:r>
            <w:r w:rsidR="009235B8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="009235B8" w:rsidRPr="00DE4FB5">
              <w:rPr>
                <w:rFonts w:ascii="Times New Roman" w:hAnsi="Times New Roman" w:cs="Times New Roman"/>
                <w:color w:val="000000"/>
                <w:lang w:val="uk-UA"/>
              </w:rPr>
              <w:t>єктами</w:t>
            </w:r>
            <w:proofErr w:type="spellEnd"/>
            <w:r w:rsidR="009235B8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електроенергетики, потужність та/або обсяг відпуску яких менші за граничні показники,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з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урахуванням особливостей, визначених правилами ринку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3" w:name="10022"/>
            <w:bookmarkEnd w:id="16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4" w:name="10023"/>
            <w:bookmarkEnd w:id="16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5" w:name="10024"/>
            <w:bookmarkEnd w:id="16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6" w:name="10025"/>
            <w:bookmarkEnd w:id="165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7" w:name="10026"/>
            <w:bookmarkEnd w:id="16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ПРЕЕ;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1</w:t>
            </w:r>
            <w:r w:rsidR="00EE275F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67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AB5D8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8" w:name="1002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69" w:name="10028"/>
            <w:bookmarkEnd w:id="168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здійснює купівлю-продаж електричної енергії за двосторонніми договорами та на організованих сегментах ринку електричної енергії відповідно до законодавства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0" w:name="10029"/>
            <w:bookmarkEnd w:id="16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1" w:name="10030"/>
            <w:bookmarkEnd w:id="17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2" w:name="10031"/>
            <w:bookmarkEnd w:id="17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3" w:name="10032"/>
            <w:bookmarkEnd w:id="172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4" w:name="10033"/>
            <w:bookmarkEnd w:id="17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1</w:t>
            </w:r>
            <w:r w:rsidR="00ED334B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74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656A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5" w:name="1003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3.14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76" w:name="10035"/>
            <w:bookmarkEnd w:id="175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укладає двосторонні договори відповідно до вимог ліцензійних умов та законодавства, що регулює функціонування ринку електричної енергії, і надає повідомлення про договірні обсяги купівлі-продажу електричної енергії за укладеними двосторонніми договорами</w:t>
            </w:r>
            <w:r w:rsidR="00656A81" w:rsidRPr="00DE4FB5">
              <w:rPr>
                <w:rFonts w:ascii="Times New Roman" w:hAnsi="Times New Roman" w:cs="Times New Roman"/>
                <w:color w:val="000000"/>
                <w:lang w:val="uk-UA"/>
              </w:rPr>
              <w:t>, у тому числі імпортованої та експортованої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7" w:name="10036"/>
            <w:bookmarkEnd w:id="17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8" w:name="10037"/>
            <w:bookmarkEnd w:id="17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9" w:name="10038"/>
            <w:bookmarkEnd w:id="17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0" w:name="10039"/>
            <w:bookmarkEnd w:id="179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6F4" w:rsidRDefault="00BD46F4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1" w:name="10040"/>
            <w:bookmarkEnd w:id="180"/>
            <w:r>
              <w:rPr>
                <w:rFonts w:ascii="Times New Roman" w:hAnsi="Times New Roman" w:cs="Times New Roman"/>
                <w:lang w:val="uk-UA"/>
              </w:rPr>
              <w:t>ПРЕЕ;</w:t>
            </w:r>
          </w:p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підпункти 1</w:t>
            </w:r>
            <w:r w:rsidR="009F366A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1</w:t>
            </w:r>
            <w:r w:rsidR="009F366A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1</w:t>
            </w:r>
            <w:r w:rsidR="009F366A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81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67712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2" w:name="1004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3.15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83" w:name="10042"/>
            <w:bookmarkEnd w:id="182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зберігає всі відомості про укладені двосторонні договори та договори купівлі-продажу електричної енергії на організованих сегментах ринку, а також про надання допоміжних послуг не менше п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яти років. У разі наявності у власності та/або експлуатації енергогенеруючого обладнання встановленою потужністю понад 200 МВт включно ліцензіат зберігає упродовж п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яти років інформацію, необхідну для перевірки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оперативно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диспетчерських рішень та поведінки під час подання заявок (пропозицій) на ринку </w:t>
            </w:r>
            <w:r w:rsidR="00677122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на добу наперед</w:t>
            </w:r>
            <w:r w:rsidR="00677122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, внутрішньодобовому ринку, балансуючому ринку, ринку допоміжних послуг та при розподілі пропускної спроможності, яка включає, зокрема, погодинні дані по кожній електростанції щодо доступних генеруючих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потужностей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 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язкових резервів, включаючи постанційний розподіл таких резервів на момент подачі заявок/пропозицій, та фактичні дані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4" w:name="10043"/>
            <w:bookmarkEnd w:id="18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5" w:name="10044"/>
            <w:bookmarkEnd w:id="18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6" w:name="10045"/>
            <w:bookmarkEnd w:id="18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7" w:name="10046"/>
            <w:bookmarkEnd w:id="186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8" w:name="10047"/>
            <w:bookmarkEnd w:id="18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стаття 73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підпункти 3</w:t>
            </w:r>
            <w:r w:rsidR="00197911">
              <w:rPr>
                <w:rFonts w:ascii="Times New Roman" w:hAnsi="Times New Roman" w:cs="Times New Roman"/>
                <w:color w:val="000000"/>
              </w:rPr>
              <w:t>5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3</w:t>
            </w:r>
            <w:r w:rsidR="00197911">
              <w:rPr>
                <w:rFonts w:ascii="Times New Roman" w:hAnsi="Times New Roman" w:cs="Times New Roman"/>
                <w:color w:val="000000"/>
              </w:rPr>
              <w:t>7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88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D723D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9" w:name="1004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3.16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90" w:name="10049"/>
            <w:bookmarkEnd w:id="189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(державне підприємство/господарське товариство, частка держави у статутному капіталі якого становить 50 відсотків та більше/господарське товариство, у статутному капіталі якого 50 відсотків та більше акцій (часток, паїв) належать іншим господарським товариствам, акціонером яких є держава і володіє в них контрольним пакетом акцій, а також дочірнє підприємство, представництво та філія такого підприємства і товариства) здійснює продаж електричної енергії за двосторонніми договорами на електронних аукціонах, порядок проведення яких затверджується Кабінетом Міністрів України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1" w:name="10050"/>
            <w:bookmarkEnd w:id="19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2" w:name="10051"/>
            <w:bookmarkEnd w:id="19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3" w:name="10052"/>
            <w:bookmarkEnd w:id="19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4" w:name="10053"/>
            <w:bookmarkEnd w:id="193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5" w:name="10054"/>
            <w:bookmarkEnd w:id="19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2</w:t>
            </w:r>
            <w:r w:rsidR="00B30F70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195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6238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6" w:name="1005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3.17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97" w:name="10056"/>
            <w:bookmarkEnd w:id="196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є постачальником послуг з балансування у випадках і відповідно до порядку та умов, визначених правилами ринку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8" w:name="10057"/>
            <w:bookmarkEnd w:id="19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9" w:name="10058"/>
            <w:bookmarkEnd w:id="19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0" w:name="10059"/>
            <w:bookmarkEnd w:id="19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1" w:name="10060"/>
            <w:bookmarkEnd w:id="200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2" w:name="10061"/>
            <w:bookmarkEnd w:id="20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ПРЕЕ;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2</w:t>
            </w:r>
            <w:r w:rsidR="005E299F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02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6238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3" w:name="1006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3.18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04" w:name="10063"/>
            <w:bookmarkEnd w:id="203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пропонує генеруючу потужність на балансуючому ринку згідно з правилами ринку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5" w:name="10064"/>
            <w:bookmarkEnd w:id="20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6" w:name="10065"/>
            <w:bookmarkEnd w:id="20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7" w:name="10066"/>
            <w:bookmarkEnd w:id="20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8" w:name="10067"/>
            <w:bookmarkEnd w:id="207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9" w:name="10068"/>
            <w:bookmarkEnd w:id="20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2</w:t>
            </w:r>
            <w:r w:rsidR="005E299F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09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6C9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0" w:name="1006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3.19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11" w:name="10070"/>
            <w:bookmarkEnd w:id="210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</w:t>
            </w:r>
            <w:r w:rsidR="009B6C95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пропонує та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надає допоміжні послуги оператору системи передачі у випадках та у порядку, визначених правилами ринку</w:t>
            </w:r>
            <w:r w:rsidR="009B6C95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FF5C6A" w:rsidRPr="00DE4FB5">
              <w:rPr>
                <w:rFonts w:ascii="Times New Roman" w:hAnsi="Times New Roman" w:cs="Times New Roman"/>
                <w:color w:val="000000"/>
                <w:lang w:val="uk-UA"/>
              </w:rPr>
              <w:t>Допоміжна послуга надається за ціною, розрахованою за затвердженою НКРЕКП методикою (у випадку прийняття відповідного рішення НКРЕКП)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2" w:name="10071"/>
            <w:bookmarkEnd w:id="21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3" w:name="10072"/>
            <w:bookmarkEnd w:id="21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4" w:name="10073"/>
            <w:bookmarkEnd w:id="21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5" w:name="10074"/>
            <w:bookmarkEnd w:id="214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6" w:name="10075"/>
            <w:bookmarkEnd w:id="21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ПРЕЕ;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підпункти 2</w:t>
            </w:r>
            <w:r w:rsidR="00FF5C6A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2</w:t>
            </w:r>
            <w:r w:rsidR="00FF5C6A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16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870C3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7" w:name="1007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3.20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18" w:name="10077"/>
            <w:bookmarkEnd w:id="217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виконує команди і вказівки оператора системи передачі та надає оператору системи передачі технічну документацію, звіти та інформацію, що необхідні для здійснення диспетчерського управління оператором системи передачі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9" w:name="10078"/>
            <w:bookmarkEnd w:id="21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0" w:name="10079"/>
            <w:bookmarkEnd w:id="21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1" w:name="10080"/>
            <w:bookmarkEnd w:id="22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2" w:name="10081"/>
            <w:bookmarkEnd w:id="221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30CC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223" w:name="10082"/>
            <w:bookmarkEnd w:id="22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частини 6 та 7 статті 44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ПРЕЕ;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="002B30CC" w:rsidRPr="002B30CC">
              <w:rPr>
                <w:rFonts w:ascii="Times New Roman" w:hAnsi="Times New Roman" w:cs="Times New Roman"/>
                <w:color w:val="000000"/>
                <w:lang w:val="uk-UA"/>
              </w:rPr>
              <w:t>Кодекс системи передачі, затверджений постановою Національної комісії, що здійснює державне регулювання у сферах енергетики та комунальних послуг, від 14 березня 2018 року № 309</w:t>
            </w:r>
            <w:r w:rsidR="002B30CC">
              <w:rPr>
                <w:rFonts w:ascii="Times New Roman" w:hAnsi="Times New Roman" w:cs="Times New Roman"/>
                <w:color w:val="000000"/>
                <w:lang w:val="uk-UA"/>
              </w:rPr>
              <w:t xml:space="preserve"> (далі – КСП);</w:t>
            </w:r>
          </w:p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взаємовідносин між Державним підприємством </w:t>
            </w:r>
            <w:r w:rsidR="00870C32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Національна енергетична компанія </w:t>
            </w:r>
            <w:r w:rsidR="00870C32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Укренерго</w:t>
            </w:r>
            <w:r w:rsidR="00870C32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та суб</w:t>
            </w:r>
            <w:r w:rsidR="00A86869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єктами (об</w:t>
            </w:r>
            <w:r w:rsidR="00A86869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єктами) електроенергетики в умовах паралельної роботи в складі Об</w:t>
            </w:r>
            <w:r w:rsidR="00A86869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єднаної енергетичної системи України, затверджені наказом Міністерства палива та енергетики України від 02 червня 2008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303;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lang w:val="uk-UA"/>
              </w:rPr>
              <w:lastRenderedPageBreak/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підпункти 2</w:t>
            </w:r>
            <w:r w:rsidR="000A7892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2</w:t>
            </w:r>
            <w:r w:rsidR="000A7892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23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7302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4" w:name="1009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25" w:name="10091"/>
            <w:bookmarkEnd w:id="224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складає добові графіки електричної енергії згідно з обсягами купленої та проданої електричної енергії і надає їх оператору системи передачі відповідно до правил ринку, а також виконує акцептовані оператором системи передачі добові графіки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6" w:name="10092"/>
            <w:bookmarkEnd w:id="22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7" w:name="10093"/>
            <w:bookmarkEnd w:id="22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8" w:name="10094"/>
            <w:bookmarkEnd w:id="22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9" w:name="10095"/>
            <w:bookmarkEnd w:id="228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973026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0" w:name="10096"/>
            <w:bookmarkEnd w:id="229"/>
            <w:r>
              <w:rPr>
                <w:rFonts w:ascii="Times New Roman" w:hAnsi="Times New Roman" w:cs="Times New Roman"/>
                <w:lang w:val="uk-UA"/>
              </w:rPr>
              <w:t>ПРЕЕ;</w:t>
            </w:r>
            <w:r w:rsidR="003069E2" w:rsidRPr="00A86869">
              <w:rPr>
                <w:rFonts w:ascii="Times New Roman" w:hAnsi="Times New Roman" w:cs="Times New Roman"/>
                <w:lang w:val="uk-UA"/>
              </w:rPr>
              <w:br/>
            </w:r>
            <w:r w:rsidR="003069E2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підпункти </w:t>
            </w:r>
            <w:r w:rsidR="00CA14B5">
              <w:rPr>
                <w:rFonts w:ascii="Times New Roman" w:hAnsi="Times New Roman" w:cs="Times New Roman"/>
                <w:color w:val="000000"/>
              </w:rPr>
              <w:t>29</w:t>
            </w:r>
            <w:r w:rsidR="003069E2" w:rsidRPr="00A86869">
              <w:rPr>
                <w:rFonts w:ascii="Times New Roman" w:hAnsi="Times New Roman" w:cs="Times New Roman"/>
                <w:color w:val="000000"/>
                <w:lang w:val="uk-UA"/>
              </w:rPr>
              <w:t>, 3</w:t>
            </w:r>
            <w:r w:rsidR="00CA14B5">
              <w:rPr>
                <w:rFonts w:ascii="Times New Roman" w:hAnsi="Times New Roman" w:cs="Times New Roman"/>
                <w:color w:val="000000"/>
              </w:rPr>
              <w:t>0</w:t>
            </w:r>
            <w:r w:rsidR="003069E2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="003069E2"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30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BC183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1" w:name="1009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32" w:name="10098"/>
            <w:bookmarkEnd w:id="231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несе фінансову відповідальність за небаланси електричної енергії за цінами, визначеними відповідно до правил ринку, у разі невиконання акцептованих оператором системи передачі погодинних графіків електричної енергії з урахуванням особливостей, встановлених Законом України </w:t>
            </w:r>
            <w:r w:rsidR="00BC183F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BC183F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для виробників за </w:t>
            </w:r>
            <w:r w:rsidR="00BC183F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зеленим</w:t>
            </w:r>
            <w:r w:rsidR="00BC183F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тарифом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3" w:name="10099"/>
            <w:bookmarkEnd w:id="23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4" w:name="10100"/>
            <w:bookmarkEnd w:id="23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5" w:name="10101"/>
            <w:bookmarkEnd w:id="23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6" w:name="10102"/>
            <w:bookmarkEnd w:id="235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7" w:name="10103"/>
            <w:bookmarkEnd w:id="23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частина </w:t>
            </w:r>
            <w:r w:rsidR="00BC183F">
              <w:rPr>
                <w:rFonts w:ascii="Times New Roman" w:hAnsi="Times New Roman" w:cs="Times New Roman"/>
                <w:color w:val="000000"/>
                <w:lang w:val="uk-UA"/>
              </w:rPr>
              <w:t>шоста</w:t>
            </w:r>
            <w:r w:rsidR="00BC183F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статті 71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3</w:t>
            </w:r>
            <w:r w:rsidR="00955905">
              <w:rPr>
                <w:rFonts w:ascii="Times New Roman" w:hAnsi="Times New Roman" w:cs="Times New Roman"/>
                <w:color w:val="000000"/>
              </w:rPr>
              <w:t>1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37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BC183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8" w:name="1010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63ACF" w:rsidRPr="00B63ACF" w:rsidRDefault="003069E2" w:rsidP="00B63ACF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239" w:name="10105"/>
            <w:bookmarkEnd w:id="238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надає учасникам ринку </w:t>
            </w:r>
            <w:r w:rsidR="00925478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достовірні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дані та </w:t>
            </w:r>
            <w:r w:rsidR="00925478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достовірну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інформацію, необхідні для виконання ними їхніх функцій на ринку електричної енергії, в обсягах та порядку, визначених правилами ринку, кодексом системи передачі, кодексом систем розподілу, кодексом комерційного обліку та іншими нормативно-правовими актами, що регулюють функціонування ринку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електричної енергії, у тому числі дані та інформацію оператору системи передачі для підготовки звіту з оцінки відповідності (достатності) генеруючих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потужностей</w:t>
            </w:r>
            <w:proofErr w:type="spellEnd"/>
            <w:r w:rsidR="00AA63A7" w:rsidRPr="00DE4FB5">
              <w:rPr>
                <w:rFonts w:ascii="Times New Roman" w:hAnsi="Times New Roman" w:cs="Times New Roman"/>
                <w:color w:val="000000"/>
                <w:lang w:val="uk-UA"/>
              </w:rPr>
              <w:t>, інформацію щодо робочої потужності та технічних параметрів</w:t>
            </w:r>
            <w:r w:rsidR="00B63ACF">
              <w:rPr>
                <w:rFonts w:ascii="Times New Roman" w:hAnsi="Times New Roman" w:cs="Times New Roman"/>
                <w:color w:val="000000"/>
                <w:lang w:val="uk-UA"/>
              </w:rPr>
              <w:t xml:space="preserve"> (</w:t>
            </w:r>
            <w:r w:rsidR="00B63ACF" w:rsidRPr="00B63ACF">
              <w:rPr>
                <w:rFonts w:ascii="Times New Roman" w:hAnsi="Times New Roman" w:cs="Times New Roman"/>
                <w:color w:val="000000"/>
                <w:lang w:val="uk-UA"/>
              </w:rPr>
              <w:t xml:space="preserve">крім </w:t>
            </w:r>
            <w:proofErr w:type="spellStart"/>
            <w:r w:rsidR="00B63ACF" w:rsidRPr="00B63ACF">
              <w:rPr>
                <w:rFonts w:ascii="Times New Roman" w:hAnsi="Times New Roman" w:cs="Times New Roman"/>
                <w:color w:val="000000"/>
                <w:lang w:val="uk-UA"/>
              </w:rPr>
              <w:t>інсайдерської</w:t>
            </w:r>
            <w:proofErr w:type="spellEnd"/>
          </w:p>
          <w:p w:rsidR="003B4784" w:rsidRPr="00DE4FB5" w:rsidRDefault="00B63ACF" w:rsidP="00B63AC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63ACF">
              <w:rPr>
                <w:rFonts w:ascii="Times New Roman" w:hAnsi="Times New Roman" w:cs="Times New Roman"/>
                <w:color w:val="000000"/>
                <w:lang w:val="uk-UA"/>
              </w:rPr>
              <w:t>інформації)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0" w:name="10106"/>
            <w:bookmarkEnd w:id="23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1" w:name="10107"/>
            <w:bookmarkEnd w:id="24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2" w:name="10108"/>
            <w:bookmarkEnd w:id="24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3" w:name="10109"/>
            <w:bookmarkEnd w:id="242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4" w:name="10110"/>
            <w:bookmarkEnd w:id="24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Кодекс комерційного обліку електричної енергії, затверджений постановою Національної комісії, що здійснює державне регулювання у сферах енергетики та комунальних послуг, від 14 березня 2018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311 (далі - ККО);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Кодекс систем розподілу, затверджений постановою Національної комісії, що здійснює державне регулювання у сферах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енергетики та комунальних послуг, від 14 березня 2018 року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310;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К</w:t>
            </w:r>
            <w:r w:rsidR="000A7892">
              <w:rPr>
                <w:rFonts w:ascii="Times New Roman" w:hAnsi="Times New Roman" w:cs="Times New Roman"/>
                <w:color w:val="000000"/>
                <w:lang w:val="uk-UA"/>
              </w:rPr>
              <w:t>СП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підпункти 2</w:t>
            </w:r>
            <w:r w:rsidR="00AA63A7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, 3</w:t>
            </w:r>
            <w:r w:rsidR="003718D4">
              <w:rPr>
                <w:rFonts w:ascii="Times New Roman" w:hAnsi="Times New Roman" w:cs="Times New Roman"/>
                <w:color w:val="000000"/>
              </w:rPr>
              <w:t>3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44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AA63A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5" w:name="1011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46" w:name="10112"/>
            <w:bookmarkEnd w:id="245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дотримується вимог щодо надання, захисту, розкриття та оприлюднення інформації на ринку електричної енергії, визначених Законом України </w:t>
            </w:r>
            <w:r w:rsidR="00A257FC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A257FC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 іншими нормативно-правовими актами, нормативними документами, що регулюють функціонування ринку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7" w:name="10113"/>
            <w:bookmarkEnd w:id="24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8" w:name="10114"/>
            <w:bookmarkEnd w:id="24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9" w:name="10115"/>
            <w:bookmarkEnd w:id="24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0" w:name="10116"/>
            <w:bookmarkEnd w:id="249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1" w:name="10117"/>
            <w:bookmarkEnd w:id="25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підпункт 3</w:t>
            </w:r>
            <w:r w:rsidR="003718D4">
              <w:rPr>
                <w:rFonts w:ascii="Times New Roman" w:hAnsi="Times New Roman" w:cs="Times New Roman"/>
                <w:color w:val="000000"/>
              </w:rPr>
              <w:t>4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51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CB65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2" w:name="1011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53" w:name="10119"/>
            <w:bookmarkEnd w:id="252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Ліцензіат, якому встановлено </w:t>
            </w:r>
            <w:r w:rsidR="003159D0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зелений</w:t>
            </w:r>
            <w:r w:rsidR="003159D0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тариф, провадить ліцензовану діяльність з урахуванням особливостей, визначених Законом України </w:t>
            </w:r>
            <w:r w:rsidR="00315994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315994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4" w:name="10120"/>
            <w:bookmarkEnd w:id="25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5" w:name="10121"/>
            <w:bookmarkEnd w:id="25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6" w:name="10122"/>
            <w:bookmarkEnd w:id="25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7" w:name="10123"/>
            <w:bookmarkEnd w:id="256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8" w:name="10124"/>
            <w:bookmarkEnd w:id="25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7F7E0E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3718D4">
              <w:rPr>
                <w:rFonts w:ascii="Times New Roman" w:hAnsi="Times New Roman" w:cs="Times New Roman"/>
                <w:color w:val="000000"/>
              </w:rPr>
              <w:t>8</w:t>
            </w:r>
            <w:r w:rsidR="007F7E0E"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58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9" w:name="1012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60" w:name="10126"/>
            <w:bookmarkEnd w:id="259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Ліцензіат, який виробляє електричну енергію з </w:t>
            </w:r>
            <w:r w:rsidR="00F11ECE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використанням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вуглеводнів, має необхідні резерви відповідного палива з метою забезпечення безпеки постачання електричної енергії згідно з правилами безпеки постачання та відповідними рішеннями центрального органу виконавчої влади, що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забезпечує формування та реалізацію державної політики в електроенергетичному комплексі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1" w:name="10127"/>
            <w:bookmarkEnd w:id="26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2" w:name="10128"/>
            <w:bookmarkEnd w:id="26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3" w:name="10129"/>
            <w:bookmarkEnd w:id="26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4" w:name="10130"/>
            <w:bookmarkEnd w:id="26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5" w:name="10131"/>
            <w:bookmarkEnd w:id="26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частина шоста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4B47D7">
              <w:rPr>
                <w:rFonts w:ascii="Times New Roman" w:hAnsi="Times New Roman" w:cs="Times New Roman"/>
                <w:color w:val="000000"/>
                <w:lang w:val="uk-UA"/>
              </w:rPr>
              <w:t>39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65"/>
      </w:tr>
      <w:tr w:rsidR="00882BD0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2BD0" w:rsidRPr="00A86869" w:rsidRDefault="00882BD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82BD0" w:rsidRPr="009B245F" w:rsidRDefault="00F30A8C" w:rsidP="00301830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</w:t>
            </w:r>
            <w:r w:rsidR="00882BD0" w:rsidRPr="00DE4FB5">
              <w:rPr>
                <w:rFonts w:ascii="Times New Roman" w:hAnsi="Times New Roman" w:cs="Times New Roman"/>
                <w:color w:val="000000"/>
                <w:lang w:val="uk-UA"/>
              </w:rPr>
              <w:t>здійсню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="00882BD0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експорт-імпорт електричної енергії за вільними цінами з урахуванням вимог законодавства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2BD0" w:rsidRPr="00A86869" w:rsidRDefault="00882BD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2BD0" w:rsidRPr="00A86869" w:rsidRDefault="00882BD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2BD0" w:rsidRPr="00A86869" w:rsidRDefault="00882BD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2BD0" w:rsidRPr="00A86869" w:rsidRDefault="00882BD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30A8C" w:rsidRPr="00F30A8C" w:rsidRDefault="00F30A8C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882BD0" w:rsidRPr="00A86869" w:rsidRDefault="00F30A8C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21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 w:rsidR="00167888"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8806FA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06FA" w:rsidRDefault="008806FA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806FA" w:rsidRPr="00DE4FB5" w:rsidRDefault="008806FA" w:rsidP="00301830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забезпечив проведення енергетичного аудиту відповідно до вимог, визначених Законом України «Про енергетичну ефективність»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06FA" w:rsidRPr="00A86869" w:rsidRDefault="008806FA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06FA" w:rsidRPr="00A86869" w:rsidRDefault="008806FA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06FA" w:rsidRPr="00A86869" w:rsidRDefault="008806FA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806FA" w:rsidRPr="00A86869" w:rsidRDefault="008806FA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806FA" w:rsidRDefault="008806FA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8806FA" w:rsidRPr="00F30A8C" w:rsidRDefault="008806FA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Закон України «</w:t>
            </w:r>
            <w:r w:rsidRPr="008806FA">
              <w:rPr>
                <w:rFonts w:ascii="Times New Roman" w:hAnsi="Times New Roman" w:cs="Times New Roman"/>
                <w:color w:val="000000"/>
                <w:lang w:val="uk-UA"/>
              </w:rPr>
              <w:t>Про енергетичну ефективність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»;</w:t>
            </w:r>
          </w:p>
          <w:p w:rsidR="008806FA" w:rsidRPr="00F30A8C" w:rsidRDefault="008806FA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C40473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8F18B2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F18B2" w:rsidRDefault="008F18B2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29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F18B2" w:rsidRPr="009B245F" w:rsidRDefault="006E5012" w:rsidP="00421A3D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Ліцензіат, у разі зупинення дії ліцензії повністю або частково протягом строку, на який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зупинено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дію ліцензії</w:t>
            </w:r>
            <w:r w:rsidR="00421A3D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повністю припини</w:t>
            </w:r>
            <w:r w:rsidR="00421A3D" w:rsidRPr="00DE4FB5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господарську діяльність з виробництва електричної енергії в межах місць провадження господарської діяльності, в яких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зупинено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дію ліцензії</w:t>
            </w:r>
            <w:r w:rsidR="00421A3D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здійсни</w:t>
            </w:r>
            <w:r w:rsidR="00421A3D" w:rsidRPr="00DE4FB5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дії, направлені на усунення причин зупинення дії ліцензії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F18B2" w:rsidRPr="00A86869" w:rsidRDefault="008F18B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F18B2" w:rsidRPr="00A86869" w:rsidRDefault="008F18B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F18B2" w:rsidRPr="00A86869" w:rsidRDefault="008F18B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F18B2" w:rsidRPr="00A86869" w:rsidRDefault="008F18B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5527B" w:rsidRDefault="00D5527B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8F18B2" w:rsidRPr="00F30A8C" w:rsidRDefault="00D5527B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C40473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D5527B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5527B" w:rsidRDefault="00D5527B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5527B" w:rsidRPr="009B245F" w:rsidRDefault="001D75E5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B245F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звернувся до НКРЕКП із письмовою заявою щодо проведення перевірки додержання </w:t>
            </w:r>
            <w:r w:rsidR="00CB4483" w:rsidRPr="00DE4FB5">
              <w:rPr>
                <w:rFonts w:ascii="Times New Roman" w:hAnsi="Times New Roman" w:cs="Times New Roman"/>
                <w:color w:val="000000"/>
                <w:lang w:val="uk-UA"/>
              </w:rPr>
              <w:t>ним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ліцензійних умов та законодавства у сфері енергетики не пізніше ніж за два місяці до</w:t>
            </w:r>
            <w:r w:rsidR="00CB4483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передачі цілісного майнового комплексу іншому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суб</w:t>
            </w:r>
            <w:proofErr w:type="spellEnd"/>
            <w:r w:rsidR="000301D3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єкту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господарювання </w:t>
            </w:r>
            <w:r w:rsidR="000301D3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та/або до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наміру звернутися до НКРЕКП із заявою про анулювання ліцензії з виробництва електричної енергії на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цілісному майновому комплексі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527B" w:rsidRPr="00A86869" w:rsidRDefault="00D5527B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527B" w:rsidRPr="00A86869" w:rsidRDefault="00D5527B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527B" w:rsidRPr="00A86869" w:rsidRDefault="00D5527B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527B" w:rsidRPr="00A86869" w:rsidRDefault="00D5527B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301D3" w:rsidRDefault="000301D3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0301D3" w:rsidRDefault="000301D3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301D3">
              <w:rPr>
                <w:rFonts w:ascii="Times New Roman" w:hAnsi="Times New Roman" w:cs="Times New Roman"/>
                <w:color w:val="000000"/>
                <w:lang w:val="uk-UA"/>
              </w:rPr>
              <w:t>Порядок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301D3">
              <w:rPr>
                <w:rFonts w:ascii="Times New Roman" w:hAnsi="Times New Roman" w:cs="Times New Roman"/>
                <w:color w:val="000000"/>
                <w:lang w:val="uk-UA"/>
              </w:rPr>
      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затверджений постановою </w:t>
            </w:r>
            <w:r w:rsidR="004B7200" w:rsidRPr="004B7200">
              <w:rPr>
                <w:rFonts w:ascii="Times New Roman" w:hAnsi="Times New Roman" w:cs="Times New Roman"/>
                <w:color w:val="000000"/>
                <w:lang w:val="uk-UA"/>
              </w:rPr>
              <w:t xml:space="preserve">Національної комісії, що здійснює державне регулювання у сферах енергетики та комунальних послуг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від </w:t>
            </w:r>
            <w:r w:rsidRPr="000301D3">
              <w:rPr>
                <w:rFonts w:ascii="Times New Roman" w:hAnsi="Times New Roman" w:cs="Times New Roman"/>
                <w:color w:val="000000"/>
                <w:lang w:val="uk-UA"/>
              </w:rPr>
              <w:t>03</w:t>
            </w:r>
            <w:r w:rsidR="004B7200">
              <w:rPr>
                <w:rFonts w:ascii="Times New Roman" w:hAnsi="Times New Roman" w:cs="Times New Roman"/>
                <w:color w:val="000000"/>
                <w:lang w:val="uk-UA"/>
              </w:rPr>
              <w:t xml:space="preserve"> березня </w:t>
            </w:r>
            <w:r w:rsidRPr="000301D3">
              <w:rPr>
                <w:rFonts w:ascii="Times New Roman" w:hAnsi="Times New Roman" w:cs="Times New Roman"/>
                <w:color w:val="000000"/>
                <w:lang w:val="uk-UA"/>
              </w:rPr>
              <w:t>2020</w:t>
            </w:r>
            <w:r w:rsidR="004B7200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року</w:t>
            </w:r>
            <w:r w:rsidRPr="000301D3">
              <w:rPr>
                <w:rFonts w:ascii="Times New Roman" w:hAnsi="Times New Roman" w:cs="Times New Roman"/>
                <w:color w:val="000000"/>
                <w:lang w:val="uk-UA"/>
              </w:rPr>
              <w:t xml:space="preserve"> №</w:t>
            </w:r>
            <w:r w:rsidR="004B7200"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0301D3">
              <w:rPr>
                <w:rFonts w:ascii="Times New Roman" w:hAnsi="Times New Roman" w:cs="Times New Roman"/>
                <w:color w:val="000000"/>
                <w:lang w:val="uk-UA"/>
              </w:rPr>
              <w:t>548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D5527B" w:rsidRPr="00F30A8C" w:rsidRDefault="000301D3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підпункт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3064F8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, 4</w:t>
            </w:r>
            <w:r w:rsidR="003064F8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141E4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41E44" w:rsidRDefault="009D3A57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41E44" w:rsidRPr="009B245F" w:rsidRDefault="00E73FF0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Ліцензіат,</w:t>
            </w:r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у випадках, передбачених законодавством про захист економічної конкуренції, повідомля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Антимонопольний комітет України про набуття у власність, користування (оренду, концесію тощо) цілісних майнових комплексів або зміну структури відносин контролю ліцензіата на користь іншої особи, що виникли за наявності </w:t>
            </w:r>
            <w:proofErr w:type="spellStart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>зобов</w:t>
            </w:r>
            <w:proofErr w:type="spellEnd"/>
            <w:r w:rsidR="00754CA3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>язань</w:t>
            </w:r>
            <w:proofErr w:type="spellEnd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, у тому числі грошових, торгових </w:t>
            </w:r>
            <w:proofErr w:type="spellStart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>зобов</w:t>
            </w:r>
            <w:proofErr w:type="spellEnd"/>
            <w:r w:rsidR="00754CA3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>язань</w:t>
            </w:r>
            <w:proofErr w:type="spellEnd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>зобов</w:t>
            </w:r>
            <w:proofErr w:type="spellEnd"/>
            <w:r w:rsidR="00754CA3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>язань</w:t>
            </w:r>
            <w:proofErr w:type="spellEnd"/>
            <w:r w:rsidR="009D3A57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з виникнення умов фінансової підтримки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1E44" w:rsidRPr="00A86869" w:rsidRDefault="00141E44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1E44" w:rsidRPr="00A86869" w:rsidRDefault="00141E44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1E44" w:rsidRPr="00A86869" w:rsidRDefault="00141E44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1E44" w:rsidRPr="00A86869" w:rsidRDefault="00141E44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73FF0" w:rsidRDefault="00E73FF0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141E44" w:rsidRPr="00F30A8C" w:rsidRDefault="00E73FF0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A71E13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2573C6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3C6" w:rsidRDefault="00BA66A9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3C6" w:rsidRPr="00DE4FB5" w:rsidRDefault="00BA66A9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дотримується Ліцензійних умов провадження господарської діяльності з перепродажу електричної енергії (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трейдерської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діяльності), у разі провадження господарської діяльності з перепродажу електричної енергії (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трейдерської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діяльності)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3C6" w:rsidRPr="00A86869" w:rsidRDefault="002573C6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3C6" w:rsidRPr="00A86869" w:rsidRDefault="002573C6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3C6" w:rsidRPr="00A86869" w:rsidRDefault="002573C6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3C6" w:rsidRPr="00A86869" w:rsidRDefault="002573C6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A66A9" w:rsidRDefault="00BA66A9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розділ </w:t>
            </w:r>
            <w:r>
              <w:rPr>
                <w:rFonts w:ascii="Times New Roman" w:hAnsi="Times New Roman" w:cs="Times New Roman"/>
                <w:color w:val="000000"/>
              </w:rPr>
              <w:t>X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ЗУ № 2019-VIII;</w:t>
            </w:r>
          </w:p>
          <w:p w:rsidR="00BA66A9" w:rsidRDefault="00BA66A9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Ліцензійн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умов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провадження господарської діяльності з перепродажу електричної енергії (</w:t>
            </w:r>
            <w:proofErr w:type="spellStart"/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трейдерської</w:t>
            </w:r>
            <w:proofErr w:type="spellEnd"/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діяльності), затверджен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постановою </w:t>
            </w:r>
            <w:r w:rsidRPr="004B7200">
              <w:rPr>
                <w:rFonts w:ascii="Times New Roman" w:hAnsi="Times New Roman" w:cs="Times New Roman"/>
                <w:color w:val="000000"/>
                <w:lang w:val="uk-UA"/>
              </w:rPr>
              <w:t xml:space="preserve">Національної комісії, що здійснює державне регулювання у сферах енергетики та комунальних послуг 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від 27 грудня 2017 року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1468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2573C6" w:rsidRPr="00F30A8C" w:rsidRDefault="00BA66A9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A71E13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F16EA3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16EA3" w:rsidRDefault="0049475B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16EA3" w:rsidRPr="00DE4FB5" w:rsidRDefault="0049475B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При провадженні господарської діяльності з агрегації на ринку електричної енергії ліцензіат дотримується Ліцензійних умов провадження господарської діяльності з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агрегації на ринку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16EA3" w:rsidRPr="00A86869" w:rsidRDefault="00F16EA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16EA3" w:rsidRPr="00A86869" w:rsidRDefault="00F16EA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16EA3" w:rsidRPr="00A86869" w:rsidRDefault="00F16EA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16EA3" w:rsidRPr="00A86869" w:rsidRDefault="00F16EA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475B" w:rsidRDefault="0049475B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розділ </w:t>
            </w:r>
            <w:r w:rsidRPr="0049475B">
              <w:rPr>
                <w:rFonts w:ascii="Times New Roman" w:hAnsi="Times New Roman" w:cs="Times New Roman"/>
                <w:color w:val="000000"/>
              </w:rPr>
              <w:t>IV</w:t>
            </w:r>
            <w:r w:rsidRPr="009B245F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ЗУ № 2019-VIII;</w:t>
            </w:r>
          </w:p>
          <w:p w:rsidR="0049475B" w:rsidRDefault="0049475B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Ліцензійн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умов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провадження господарської діяльності з </w:t>
            </w:r>
            <w:r w:rsidR="00126940" w:rsidRPr="00126940">
              <w:rPr>
                <w:rFonts w:ascii="Times New Roman" w:hAnsi="Times New Roman" w:cs="Times New Roman"/>
                <w:color w:val="000000"/>
                <w:lang w:val="uk-UA"/>
              </w:rPr>
              <w:t>агрегації на ринку електричної енергії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, затверджен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постановою </w:t>
            </w:r>
            <w:r w:rsidRPr="004B7200">
              <w:rPr>
                <w:rFonts w:ascii="Times New Roman" w:hAnsi="Times New Roman" w:cs="Times New Roman"/>
                <w:color w:val="000000"/>
                <w:lang w:val="uk-UA"/>
              </w:rPr>
              <w:t xml:space="preserve">Національної комісії, що </w:t>
            </w:r>
            <w:r w:rsidRPr="004B7200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здійснює державне регулювання у сферах енергетики та комунальних послуг 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від </w:t>
            </w:r>
            <w:r w:rsidR="00126940">
              <w:rPr>
                <w:rFonts w:ascii="Times New Roman" w:hAnsi="Times New Roman" w:cs="Times New Roman"/>
                <w:color w:val="000000"/>
                <w:lang w:val="uk-UA"/>
              </w:rPr>
              <w:t>18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126940">
              <w:rPr>
                <w:rFonts w:ascii="Times New Roman" w:hAnsi="Times New Roman" w:cs="Times New Roman"/>
                <w:color w:val="000000"/>
                <w:lang w:val="uk-UA"/>
              </w:rPr>
              <w:t xml:space="preserve">жовтня 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>20</w:t>
            </w:r>
            <w:r w:rsidR="00126940">
              <w:rPr>
                <w:rFonts w:ascii="Times New Roman" w:hAnsi="Times New Roman" w:cs="Times New Roman"/>
                <w:color w:val="000000"/>
                <w:lang w:val="uk-UA"/>
              </w:rPr>
              <w:t>23</w:t>
            </w:r>
            <w:r w:rsidRPr="00BA66A9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="00126940">
              <w:rPr>
                <w:rFonts w:ascii="Times New Roman" w:hAnsi="Times New Roman" w:cs="Times New Roman"/>
                <w:color w:val="000000"/>
                <w:lang w:val="uk-UA"/>
              </w:rPr>
              <w:t>1909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F16EA3" w:rsidRPr="00F30A8C" w:rsidRDefault="0049475B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A71E13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070E89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E89" w:rsidRDefault="0022715D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E89" w:rsidRPr="00DE4FB5" w:rsidRDefault="000248D6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надає оператору системи передачі послуги із зменшення навантаження виробником, який здійснює продаж електричної енергії за </w:t>
            </w:r>
            <w:r w:rsidR="00FF0F28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зеленим</w:t>
            </w:r>
            <w:r w:rsidR="00FF0F28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тарифом, для об</w:t>
            </w:r>
            <w:r w:rsidR="00FF0F28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єктів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генерації, визначених кодексом системи передачі та включених до балансуючої групи гарантованого покупця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70E89" w:rsidRPr="00A86869" w:rsidRDefault="00070E89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70E89" w:rsidRPr="00A86869" w:rsidRDefault="00070E89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70E89" w:rsidRPr="00A86869" w:rsidRDefault="00070E89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70E89" w:rsidRPr="00A86869" w:rsidRDefault="00070E89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65969" w:rsidRDefault="00365969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5969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070E89" w:rsidRDefault="000248D6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ПРЕЕ</w:t>
            </w:r>
            <w:r w:rsidR="00365969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365969" w:rsidRDefault="00365969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КСП;</w:t>
            </w:r>
          </w:p>
          <w:p w:rsidR="00365969" w:rsidRPr="00F30A8C" w:rsidRDefault="00365969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89029B">
              <w:rPr>
                <w:rFonts w:ascii="Times New Roman" w:hAnsi="Times New Roman" w:cs="Times New Roman"/>
                <w:color w:val="000000"/>
                <w:lang w:val="uk-UA"/>
              </w:rPr>
              <w:t>49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1471B3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471B3" w:rsidRDefault="001471B3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471B3" w:rsidRPr="009B245F" w:rsidRDefault="00954024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здійснює відшкодування гарантованому покупцю частки вартості врегулювання небалансу електричної енергії балансуючої групи гарантованого покупця за відхилення фактичних погодинних обсягів відпуску електричної енергії (які не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пов</w:t>
            </w:r>
            <w:proofErr w:type="spellEnd"/>
            <w:r w:rsidR="00ED7F8E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язані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з виконанням команд оператора системи передачі на зменшення навантаження та командами з операційної безпеки) об</w:t>
            </w:r>
            <w:r w:rsidR="00ED7F8E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єктами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електроенергетики або чергами будівництва (пусковими комплексами) виробників за </w:t>
            </w:r>
            <w:r w:rsidR="00ED7F8E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зеленим</w:t>
            </w:r>
            <w:r w:rsidR="00ED7F8E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тарифом, які включені до балансуючої групи гарантованого покупця, від їхніх прогнозних погодинних графіків 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відпуску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71B3" w:rsidRPr="00A86869" w:rsidRDefault="001471B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71B3" w:rsidRPr="00A86869" w:rsidRDefault="001471B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71B3" w:rsidRPr="00A86869" w:rsidRDefault="001471B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471B3" w:rsidRPr="00A86869" w:rsidRDefault="001471B3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D7F8E" w:rsidRDefault="00ED7F8E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5969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1471B3" w:rsidRPr="00365969" w:rsidRDefault="00ED7F8E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89029B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8602F2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602F2" w:rsidRDefault="008602F2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602F2" w:rsidRPr="009B245F" w:rsidRDefault="00491049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виконує спеціальні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обов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язки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із забезпечення збільшення частки виробництва електричної енергії з альтернативних джерел енергії (для виробників електричної енергії з альтернативних джерел енергії, яким встановлено «зелений» тариф та які за результатами аукціону набули право на підтримку на строк застосування «зеленого» тарифу, на строк дії підтримки виробників електричної енергії з альтернативних джерел енергії, які за результатами аукціону набули право на підтримку)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602F2" w:rsidRPr="00A86869" w:rsidRDefault="008602F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602F2" w:rsidRPr="00A86869" w:rsidRDefault="008602F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602F2" w:rsidRPr="00A86869" w:rsidRDefault="008602F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602F2" w:rsidRPr="00A86869" w:rsidRDefault="008602F2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A3BB1" w:rsidRDefault="00CA3BB1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5969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8602F2" w:rsidRPr="00365969" w:rsidRDefault="00CA3BB1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89029B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E72650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72650" w:rsidRDefault="00E72650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</w:t>
            </w:r>
            <w:r w:rsidR="00C7496C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72650" w:rsidRPr="00DE4FB5" w:rsidRDefault="00201D18" w:rsidP="000301D3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надає оператору системи передачі пропозиції (заявки) щодо надання послуги зі зменшення навантаження виробником, який здійснює продаж електричної енергії за «зеленим» тарифом, в обсягах, що відповідають добовому графіку виробництва електричної енергії на об</w:t>
            </w:r>
            <w:r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єктах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електроенергетики або чергах їх будівництва (пускових комплексах) встановленою потужністю від 1 МВт, включених до балансуючої групи гарантованого покупця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72650" w:rsidRPr="00A86869" w:rsidRDefault="00E7265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72650" w:rsidRPr="00A86869" w:rsidRDefault="00E7265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72650" w:rsidRPr="00A86869" w:rsidRDefault="00E7265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72650" w:rsidRPr="00A86869" w:rsidRDefault="00E72650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01D18" w:rsidRDefault="00201D18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5969">
              <w:rPr>
                <w:rFonts w:ascii="Times New Roman" w:hAnsi="Times New Roman" w:cs="Times New Roman"/>
                <w:color w:val="000000"/>
                <w:lang w:val="uk-UA"/>
              </w:rPr>
              <w:t>пункт 1 частини четвертої статті 30 ЗУ № 2019-VIII;</w:t>
            </w:r>
          </w:p>
          <w:p w:rsidR="00E72650" w:rsidRPr="00365969" w:rsidRDefault="00201D18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89029B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BD42CD" w:rsidRPr="00A86869" w:rsidTr="00C7496C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2CD" w:rsidRDefault="00BD42CD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3.38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2CD" w:rsidRPr="00DE4FB5" w:rsidRDefault="00BD42CD" w:rsidP="00EB519A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>нада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 xml:space="preserve"> оператору системи передачі пропозиції (заявки) щодо</w:t>
            </w:r>
            <w:r w:rsidR="00EB51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 xml:space="preserve">надання послуги зі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зменшення навантаження виробником, який здійснює продаж</w:t>
            </w:r>
            <w:r w:rsidR="00EB51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>електричної енергії за «зеленим» тарифом або за аукціонною ціною в обсягах,</w:t>
            </w:r>
            <w:r w:rsidR="00EB51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>що відповідають добовому графіку виробництва електричної енергії на</w:t>
            </w:r>
            <w:r w:rsidR="00EB51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>відповідних об’єктах виробників (для виробників, які здійснюють виробництво</w:t>
            </w:r>
            <w:r w:rsidR="00EB51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>електричної енергії на об’єктах, включених до балансуючої групи гарантованого</w:t>
            </w:r>
            <w:r w:rsidR="00EB51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D42CD">
              <w:rPr>
                <w:rFonts w:ascii="Times New Roman" w:hAnsi="Times New Roman" w:cs="Times New Roman"/>
                <w:color w:val="000000"/>
                <w:lang w:val="uk-UA"/>
              </w:rPr>
              <w:t>покупця)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2CD" w:rsidRPr="00365969" w:rsidRDefault="00EB519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53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F30A8C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  <w:tr w:rsidR="00BD42CD" w:rsidRPr="00A86869" w:rsidTr="00C7496C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2CD" w:rsidRDefault="001A0EC5" w:rsidP="00E155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3.39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2CD" w:rsidRPr="00DE4FB5" w:rsidRDefault="001A0EC5" w:rsidP="001A0EC5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Ліцензіат</w:t>
            </w:r>
            <w:r w:rsidRPr="001A0EC5">
              <w:rPr>
                <w:rFonts w:ascii="Times New Roman" w:hAnsi="Times New Roman" w:cs="Times New Roman"/>
                <w:color w:val="000000"/>
                <w:lang w:val="uk-UA"/>
              </w:rPr>
              <w:t xml:space="preserve"> нада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Pr="001A0EC5">
              <w:rPr>
                <w:rFonts w:ascii="Times New Roman" w:hAnsi="Times New Roman" w:cs="Times New Roman"/>
                <w:color w:val="000000"/>
                <w:lang w:val="uk-UA"/>
              </w:rPr>
              <w:t xml:space="preserve"> оператору системи передачі повідомлення про використання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1A0EC5">
              <w:rPr>
                <w:rFonts w:ascii="Times New Roman" w:hAnsi="Times New Roman" w:cs="Times New Roman"/>
                <w:color w:val="000000"/>
                <w:lang w:val="uk-UA"/>
              </w:rPr>
              <w:t>придбаної ним пропускної спроможності відповідно до правил ринку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D42CD" w:rsidRPr="00A86869" w:rsidRDefault="00BD42CD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D42CD" w:rsidRPr="00365969" w:rsidRDefault="001A0E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1A0EC5">
              <w:rPr>
                <w:rFonts w:ascii="Times New Roman" w:hAnsi="Times New Roman" w:cs="Times New Roman"/>
                <w:color w:val="000000"/>
                <w:lang w:val="uk-UA"/>
              </w:rPr>
              <w:t>підпункт 5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1A0EC5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2.2 ЛУ № 1467</w:t>
            </w:r>
          </w:p>
        </w:tc>
      </w:tr>
      <w:tr w:rsidR="003B4784" w:rsidRPr="00A86869" w:rsidTr="00A86869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6" w:name="1013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4. Технологічні вимоги</w:t>
            </w:r>
          </w:p>
        </w:tc>
        <w:bookmarkEnd w:id="266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A40B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7" w:name="1013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4.1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68" w:name="10134"/>
            <w:bookmarkEnd w:id="267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здійснює ліцензовану діяльність з використанням засобів провадження господарської діяльності, що належать ліцензіату на праві власності та/або господарського відання, та/або користування, та/або перебувають у концесії, лізингу, та за наявності технічної документації на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електрогенеруюче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обладнання</w:t>
            </w:r>
            <w:r w:rsidR="007B439E" w:rsidRPr="009B245F">
              <w:rPr>
                <w:rFonts w:ascii="Times New Roman" w:hAnsi="Times New Roman" w:cs="Times New Roman"/>
              </w:rPr>
              <w:t xml:space="preserve"> </w:t>
            </w:r>
            <w:r w:rsidR="007B439E" w:rsidRPr="00DE4FB5">
              <w:rPr>
                <w:rFonts w:ascii="Times New Roman" w:hAnsi="Times New Roman" w:cs="Times New Roman"/>
                <w:color w:val="000000"/>
                <w:lang w:val="uk-UA"/>
              </w:rPr>
              <w:t>та установки зберігання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9" w:name="10135"/>
            <w:bookmarkEnd w:id="26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0" w:name="10136"/>
            <w:bookmarkEnd w:id="26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1" w:name="10137"/>
            <w:bookmarkEnd w:id="27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2" w:name="10138"/>
            <w:bookmarkEnd w:id="271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3" w:name="10139"/>
            <w:bookmarkEnd w:id="27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підпункти 1 та 2 пункту 2.3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73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2C100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4" w:name="10140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4.2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75" w:name="10141"/>
            <w:bookmarkEnd w:id="274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забезпечує та здійснює комерційний облік електричної енергії та обмін даними комерційного обліку відповідно до встановлених вимог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6" w:name="10142"/>
            <w:bookmarkEnd w:id="27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7" w:name="10143"/>
            <w:bookmarkEnd w:id="27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8" w:name="10144"/>
            <w:bookmarkEnd w:id="27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9" w:name="10145"/>
            <w:bookmarkEnd w:id="278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0" w:name="10146"/>
            <w:bookmarkEnd w:id="27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ККО;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ПРЕЕ;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3 пункту 2.3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80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CD38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1" w:name="10147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4.3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82" w:name="10148"/>
            <w:bookmarkEnd w:id="281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забезпечує інформаційну безпеку та </w:t>
            </w:r>
            <w:proofErr w:type="spellStart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кібербезпеку</w:t>
            </w:r>
            <w:proofErr w:type="spellEnd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засобів провадження ліцензованої діяльності</w:t>
            </w:r>
            <w:r w:rsidR="00B45369" w:rsidRPr="009B245F">
              <w:rPr>
                <w:rFonts w:ascii="Times New Roman" w:hAnsi="Times New Roman" w:cs="Times New Roman"/>
              </w:rPr>
              <w:t xml:space="preserve"> </w:t>
            </w:r>
            <w:r w:rsidR="00B45369" w:rsidRPr="00DE4FB5">
              <w:rPr>
                <w:rFonts w:ascii="Times New Roman" w:hAnsi="Times New Roman" w:cs="Times New Roman"/>
                <w:color w:val="000000"/>
                <w:lang w:val="uk-UA"/>
              </w:rPr>
              <w:t>(інформаційно-телекомунікаційних систем, автоматизованих систем управління тощо)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, а також інформації, що використовується ліцензіатом під час провадження ліцензованої діяльності, та виконує заходи для запобігання загрози безпеці критичної інфраструктури</w:t>
            </w:r>
            <w:r w:rsidR="00530C1A" w:rsidRPr="00DE4FB5">
              <w:t xml:space="preserve"> </w:t>
            </w:r>
            <w:r w:rsidR="00530C1A" w:rsidRPr="00DE4FB5">
              <w:rPr>
                <w:rFonts w:ascii="Times New Roman" w:hAnsi="Times New Roman" w:cs="Times New Roman"/>
                <w:color w:val="000000"/>
                <w:lang w:val="uk-UA"/>
              </w:rPr>
              <w:t>та реалізації системи захисту об</w:t>
            </w:r>
            <w:r w:rsidR="00B45369" w:rsidRPr="00DE4FB5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="00530C1A" w:rsidRPr="00DE4FB5">
              <w:rPr>
                <w:rFonts w:ascii="Times New Roman" w:hAnsi="Times New Roman" w:cs="Times New Roman"/>
                <w:color w:val="000000"/>
                <w:lang w:val="uk-UA"/>
              </w:rPr>
              <w:t>єктів</w:t>
            </w:r>
            <w:proofErr w:type="spellEnd"/>
            <w:r w:rsidR="00530C1A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критичної інфраструктури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3" w:name="10149"/>
            <w:bookmarkEnd w:id="28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4" w:name="10150"/>
            <w:bookmarkEnd w:id="28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5" w:name="10151"/>
            <w:bookmarkEnd w:id="28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6" w:name="10152"/>
            <w:bookmarkEnd w:id="285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7" w:name="10153"/>
            <w:bookmarkEnd w:id="286"/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E553D2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Про основні засади забезпечення </w:t>
            </w:r>
            <w:proofErr w:type="spellStart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кібербезпеки</w:t>
            </w:r>
            <w:proofErr w:type="spellEnd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України</w:t>
            </w:r>
            <w:r w:rsidR="00E553D2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підпункти 4, 5 пункту 2.3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87"/>
      </w:tr>
      <w:tr w:rsidR="003B4784" w:rsidRPr="00A86869" w:rsidTr="00A86869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069E2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8" w:name="1015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5. Спеціальні вимоги</w:t>
            </w:r>
          </w:p>
        </w:tc>
        <w:bookmarkEnd w:id="288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55740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9" w:name="1015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5.1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90" w:name="10156"/>
            <w:bookmarkEnd w:id="289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не допускає перехресного субсидіювання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1" w:name="10157"/>
            <w:bookmarkEnd w:id="29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2" w:name="10158"/>
            <w:bookmarkEnd w:id="29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3" w:name="10159"/>
            <w:bookmarkEnd w:id="29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4" w:name="10160"/>
            <w:bookmarkEnd w:id="293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5" w:name="10161"/>
            <w:bookmarkEnd w:id="29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1 пункту 2.4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295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8526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6" w:name="1016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5.2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97" w:name="10163"/>
            <w:bookmarkEnd w:id="296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не здійснює одноосібний або спільний контроль над оператором системи передачі, не має на праві власності чи в управлінні акцій (частки в статутному капіталі) оператора системи розподілу та/або оператора системи передачі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8" w:name="10164"/>
            <w:bookmarkEnd w:id="29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9" w:name="10165"/>
            <w:bookmarkEnd w:id="29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0" w:name="10166"/>
            <w:bookmarkEnd w:id="29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1" w:name="10167"/>
            <w:bookmarkEnd w:id="300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2" w:name="10168"/>
            <w:bookmarkEnd w:id="301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підпункти 2, 3 пункту 2.4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302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FA29C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3" w:name="10169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5.3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04" w:name="10170"/>
            <w:bookmarkEnd w:id="303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Посадова особа ліцензіата не є посадовою особою оператора системи передачі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5" w:name="10171"/>
            <w:bookmarkEnd w:id="30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6" w:name="10172"/>
            <w:bookmarkEnd w:id="30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7" w:name="10173"/>
            <w:bookmarkEnd w:id="30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8" w:name="10174"/>
            <w:bookmarkEnd w:id="307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9" w:name="10175"/>
            <w:bookmarkEnd w:id="308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4 пункту 2.4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309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FA29C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0" w:name="10176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5.4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11" w:name="10177"/>
            <w:bookmarkEnd w:id="310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виконує спеціальні обов</w:t>
            </w:r>
            <w:r w:rsidR="00A86869" w:rsidRPr="00DE4FB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язки для забезпечення загальносуспільного інтересу у випадку їх покладення Кабінетом Міністрів України відповідно до Закону України </w:t>
            </w:r>
            <w:r w:rsidR="00FA29C4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FA29C4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2" w:name="10178"/>
            <w:bookmarkEnd w:id="31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3" w:name="10179"/>
            <w:bookmarkEnd w:id="31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4" w:name="10180"/>
            <w:bookmarkEnd w:id="31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5" w:name="10181"/>
            <w:bookmarkEnd w:id="314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6" w:name="10182"/>
            <w:bookmarkEnd w:id="315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стаття 62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5 пункту 2.4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316"/>
      </w:tr>
      <w:tr w:rsidR="003B4784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FA29C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7" w:name="10183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5.5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DE4FB5" w:rsidRDefault="003069E2" w:rsidP="003018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18" w:name="10184"/>
            <w:bookmarkEnd w:id="317"/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не допускає здійснення над собою контролю у значенні, наведеному у статті 1 Закону України </w:t>
            </w:r>
            <w:r w:rsidR="00FA29C4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захист економічної конкуренції</w:t>
            </w:r>
            <w:r w:rsidR="00FA29C4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, резидентами держав, що здійснюють збройну агресію проти України у значенні, наведеному у статті 1 Закону України </w:t>
            </w:r>
            <w:r w:rsidR="00FA29C4" w:rsidRPr="00DE4FB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Про оборону України</w:t>
            </w:r>
            <w:r w:rsidR="00FA29C4" w:rsidRPr="00DE4FB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, та/або дії яких створюють умови для виникнення воєнного конфлікту та застосування воєнної сили проти України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9" w:name="10185"/>
            <w:bookmarkEnd w:id="31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0" w:name="10186"/>
            <w:bookmarkEnd w:id="31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1" w:name="10187"/>
            <w:bookmarkEnd w:id="32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4784" w:rsidRPr="00A86869" w:rsidRDefault="003B4784" w:rsidP="00A8686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2" w:name="10188"/>
            <w:bookmarkEnd w:id="321"/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3B4784" w:rsidRPr="00A86869" w:rsidRDefault="003069E2" w:rsidP="009B24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3" w:name="10189"/>
            <w:bookmarkEnd w:id="322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пункт 1 частини четвертої статті 30 ЗУ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bookmarkStart w:id="324" w:name="_GoBack"/>
            <w:bookmarkEnd w:id="324"/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6 пункту 2.4 ЛУ </w:t>
            </w:r>
            <w:r w:rsidR="0058716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  <w:bookmarkEnd w:id="323"/>
      </w:tr>
      <w:tr w:rsidR="00D94111" w:rsidRPr="00A86869" w:rsidTr="009B245F">
        <w:trPr>
          <w:trHeight w:val="45"/>
          <w:tblCellSpacing w:w="0" w:type="auto"/>
        </w:trPr>
        <w:tc>
          <w:tcPr>
            <w:tcW w:w="31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94111" w:rsidRPr="00A86869" w:rsidRDefault="00776A72" w:rsidP="00FA29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5.6</w:t>
            </w:r>
          </w:p>
        </w:tc>
        <w:tc>
          <w:tcPr>
            <w:tcW w:w="145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94111" w:rsidRPr="009B245F" w:rsidRDefault="00C815C5" w:rsidP="00301830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Ліцензіат</w:t>
            </w:r>
            <w:r w:rsidR="00776A72"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невідкладно зверну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  <w:r w:rsidR="00776A72" w:rsidRPr="00DE4FB5">
              <w:rPr>
                <w:rFonts w:ascii="Times New Roman" w:hAnsi="Times New Roman" w:cs="Times New Roman"/>
                <w:color w:val="000000"/>
                <w:lang w:val="uk-UA"/>
              </w:rPr>
              <w:t>ся до НКРЕКП із заявою про отримання ліцензії на провадження господарської діяльності зі зберігання енергії</w:t>
            </w:r>
            <w:r w:rsidRPr="00DE4FB5">
              <w:rPr>
                <w:rFonts w:ascii="Times New Roman" w:hAnsi="Times New Roman" w:cs="Times New Roman"/>
                <w:color w:val="000000"/>
                <w:lang w:val="uk-UA"/>
              </w:rPr>
              <w:t xml:space="preserve"> у разі виникнення відповідних обставин, наведених у ліцензійних умовах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4111" w:rsidRPr="00A86869" w:rsidDel="00FA29C4" w:rsidRDefault="00D94111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4111" w:rsidRPr="00A86869" w:rsidDel="00FA29C4" w:rsidRDefault="00D94111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4111" w:rsidRPr="00A86869" w:rsidDel="00FA29C4" w:rsidRDefault="00D94111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4111" w:rsidRPr="00A86869" w:rsidDel="00FA29C4" w:rsidRDefault="00D94111" w:rsidP="00A868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50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94111" w:rsidRPr="00A86869" w:rsidRDefault="003F5F0E" w:rsidP="009B24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частин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перша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статті 30 ЗУ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2019-VIII;</w:t>
            </w:r>
            <w:r w:rsidRPr="00A86869">
              <w:rPr>
                <w:rFonts w:ascii="Times New Roman" w:hAnsi="Times New Roman" w:cs="Times New Roman"/>
                <w:lang w:val="uk-UA"/>
              </w:rPr>
              <w:br/>
            </w:r>
            <w:r w:rsidR="00950218">
              <w:rPr>
                <w:rFonts w:ascii="Times New Roman" w:hAnsi="Times New Roman" w:cs="Times New Roman"/>
                <w:color w:val="000000"/>
                <w:lang w:val="uk-UA"/>
              </w:rPr>
              <w:t>пункт 1.3</w:t>
            </w:r>
            <w:r w:rsidR="00877EFA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 xml:space="preserve"> пункту 2.4 ЛУ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A86869">
              <w:rPr>
                <w:rFonts w:ascii="Times New Roman" w:hAnsi="Times New Roman" w:cs="Times New Roman"/>
                <w:color w:val="000000"/>
                <w:lang w:val="uk-UA"/>
              </w:rPr>
              <w:t>1467</w:t>
            </w:r>
          </w:p>
        </w:tc>
      </w:tr>
    </w:tbl>
    <w:p w:rsidR="00301830" w:rsidRDefault="00301830" w:rsidP="00301830">
      <w:pPr>
        <w:rPr>
          <w:rFonts w:ascii="Times New Roman" w:hAnsi="Times New Roman" w:cs="Times New Roman"/>
          <w:lang w:val="uk-UA"/>
        </w:rPr>
      </w:pPr>
    </w:p>
    <w:p w:rsidR="00301830" w:rsidRPr="00301830" w:rsidRDefault="00301830" w:rsidP="00301830">
      <w:pPr>
        <w:jc w:val="both"/>
        <w:rPr>
          <w:rFonts w:ascii="Times New Roman" w:hAnsi="Times New Roman" w:cs="Times New Roman"/>
          <w:sz w:val="20"/>
          <w:lang w:val="uk-UA"/>
        </w:rPr>
      </w:pPr>
      <w:r w:rsidRPr="00301830">
        <w:rPr>
          <w:rFonts w:ascii="Times New Roman" w:hAnsi="Times New Roman" w:cs="Times New Roman"/>
          <w:sz w:val="20"/>
          <w:lang w:val="uk-UA"/>
        </w:rPr>
        <w:t xml:space="preserve">* </w:t>
      </w:r>
      <w:r>
        <w:rPr>
          <w:rFonts w:ascii="Times New Roman" w:hAnsi="Times New Roman" w:cs="Times New Roman"/>
          <w:sz w:val="20"/>
        </w:rPr>
        <w:t xml:space="preserve">– </w:t>
      </w:r>
      <w:r w:rsidRPr="00301830">
        <w:rPr>
          <w:rFonts w:ascii="Times New Roman" w:hAnsi="Times New Roman" w:cs="Times New Roman"/>
          <w:sz w:val="20"/>
          <w:lang w:val="uk-UA"/>
        </w:rPr>
        <w:t>заповнюється керівником суб’єкта господарювання або уповноваженою ним особою в добровільному порядку шляхом присвоєння кожному з питань від 1 до 4 балів, де 4 позначає питання щодо вимоги законодавства, дотримання якої має найбільше адміністративне, фінансове або будь-яке інше навантаження на суб’єкта господарювання, а 1 – питання щодо вимоги законодавства, дотримання якої не передбачає такого навантаження на суб’єкта господарювання.</w:t>
      </w:r>
    </w:p>
    <w:p w:rsidR="003B4784" w:rsidRPr="00301830" w:rsidRDefault="003B4784" w:rsidP="00301830">
      <w:pPr>
        <w:spacing w:after="0"/>
        <w:jc w:val="both"/>
        <w:rPr>
          <w:rFonts w:ascii="Times New Roman" w:hAnsi="Times New Roman" w:cs="Times New Roman"/>
          <w:sz w:val="20"/>
          <w:lang w:val="uk-UA"/>
        </w:rPr>
      </w:pPr>
    </w:p>
    <w:sectPr w:rsidR="003B4784" w:rsidRPr="00301830" w:rsidSect="00A86869">
      <w:headerReference w:type="default" r:id="rId7"/>
      <w:pgSz w:w="11907" w:h="16839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349" w:rsidRDefault="006E2349" w:rsidP="00A86869">
      <w:pPr>
        <w:spacing w:after="0" w:line="240" w:lineRule="auto"/>
      </w:pPr>
      <w:r>
        <w:separator/>
      </w:r>
    </w:p>
  </w:endnote>
  <w:endnote w:type="continuationSeparator" w:id="0">
    <w:p w:rsidR="006E2349" w:rsidRDefault="006E2349" w:rsidP="00A8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349" w:rsidRDefault="006E2349" w:rsidP="00A86869">
      <w:pPr>
        <w:spacing w:after="0" w:line="240" w:lineRule="auto"/>
      </w:pPr>
      <w:r>
        <w:separator/>
      </w:r>
    </w:p>
  </w:footnote>
  <w:footnote w:type="continuationSeparator" w:id="0">
    <w:p w:rsidR="006E2349" w:rsidRDefault="006E2349" w:rsidP="00A86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lang w:val="uk-UA"/>
      </w:rPr>
      <w:id w:val="-1661841801"/>
      <w:docPartObj>
        <w:docPartGallery w:val="Page Numbers (Top of Page)"/>
        <w:docPartUnique/>
      </w:docPartObj>
    </w:sdtPr>
    <w:sdtEndPr/>
    <w:sdtContent>
      <w:p w:rsidR="00A66CE4" w:rsidRPr="00301830" w:rsidRDefault="00A66CE4" w:rsidP="00301830">
        <w:pPr>
          <w:pStyle w:val="a3"/>
          <w:spacing w:after="0"/>
          <w:jc w:val="center"/>
          <w:rPr>
            <w:rFonts w:ascii="Times New Roman" w:hAnsi="Times New Roman" w:cs="Times New Roman"/>
            <w:lang w:val="uk-UA"/>
          </w:rPr>
        </w:pPr>
        <w:r w:rsidRPr="00301830">
          <w:rPr>
            <w:rFonts w:ascii="Times New Roman" w:hAnsi="Times New Roman" w:cs="Times New Roman"/>
            <w:lang w:val="uk-UA"/>
          </w:rPr>
          <w:fldChar w:fldCharType="begin"/>
        </w:r>
        <w:r w:rsidRPr="00301830">
          <w:rPr>
            <w:rFonts w:ascii="Times New Roman" w:hAnsi="Times New Roman" w:cs="Times New Roman"/>
            <w:lang w:val="uk-UA"/>
          </w:rPr>
          <w:instrText>PAGE   \* MERGEFORMAT</w:instrText>
        </w:r>
        <w:r w:rsidRPr="00301830">
          <w:rPr>
            <w:rFonts w:ascii="Times New Roman" w:hAnsi="Times New Roman" w:cs="Times New Roman"/>
            <w:lang w:val="uk-UA"/>
          </w:rPr>
          <w:fldChar w:fldCharType="separate"/>
        </w:r>
        <w:r w:rsidRPr="00301830">
          <w:rPr>
            <w:rFonts w:ascii="Times New Roman" w:hAnsi="Times New Roman" w:cs="Times New Roman"/>
            <w:lang w:val="uk-UA"/>
          </w:rPr>
          <w:t>2</w:t>
        </w:r>
        <w:r w:rsidRPr="00301830">
          <w:rPr>
            <w:rFonts w:ascii="Times New Roman" w:hAnsi="Times New Roman" w:cs="Times New Roman"/>
            <w:lang w:val="uk-UA"/>
          </w:rPr>
          <w:fldChar w:fldCharType="end"/>
        </w:r>
      </w:p>
    </w:sdtContent>
  </w:sdt>
  <w:p w:rsidR="00A66CE4" w:rsidRPr="00301830" w:rsidRDefault="00A66CE4" w:rsidP="00301830">
    <w:pPr>
      <w:pStyle w:val="a3"/>
      <w:spacing w:after="0"/>
      <w:jc w:val="right"/>
      <w:rPr>
        <w:rFonts w:ascii="Times New Roman" w:hAnsi="Times New Roman" w:cs="Times New Roman"/>
        <w:lang w:val="uk-UA"/>
      </w:rPr>
    </w:pPr>
    <w:r w:rsidRPr="00301830">
      <w:rPr>
        <w:rFonts w:ascii="Times New Roman" w:hAnsi="Times New Roman" w:cs="Times New Roman"/>
        <w:lang w:val="uk-UA"/>
      </w:rPr>
      <w:t>Продовження додатка 7</w:t>
    </w:r>
  </w:p>
  <w:p w:rsidR="00A66CE4" w:rsidRPr="00301830" w:rsidRDefault="00A66CE4" w:rsidP="00301830">
    <w:pPr>
      <w:pStyle w:val="a3"/>
      <w:spacing w:after="0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84"/>
    <w:rsid w:val="000248D6"/>
    <w:rsid w:val="000301D3"/>
    <w:rsid w:val="0004429B"/>
    <w:rsid w:val="00050564"/>
    <w:rsid w:val="00061C5E"/>
    <w:rsid w:val="00070E89"/>
    <w:rsid w:val="00081DB9"/>
    <w:rsid w:val="000A7892"/>
    <w:rsid w:val="000B444E"/>
    <w:rsid w:val="000F1D66"/>
    <w:rsid w:val="000F3DE3"/>
    <w:rsid w:val="00104017"/>
    <w:rsid w:val="00126940"/>
    <w:rsid w:val="00141E44"/>
    <w:rsid w:val="001471B3"/>
    <w:rsid w:val="001636F5"/>
    <w:rsid w:val="00167888"/>
    <w:rsid w:val="00182C26"/>
    <w:rsid w:val="00197911"/>
    <w:rsid w:val="001A0EC5"/>
    <w:rsid w:val="001C180C"/>
    <w:rsid w:val="001C7D32"/>
    <w:rsid w:val="001D32F3"/>
    <w:rsid w:val="001D75E5"/>
    <w:rsid w:val="00201D18"/>
    <w:rsid w:val="0022715D"/>
    <w:rsid w:val="002573C6"/>
    <w:rsid w:val="00263734"/>
    <w:rsid w:val="002742B3"/>
    <w:rsid w:val="002838F9"/>
    <w:rsid w:val="0029022C"/>
    <w:rsid w:val="002B30CC"/>
    <w:rsid w:val="002B3E48"/>
    <w:rsid w:val="002B4288"/>
    <w:rsid w:val="002B7FAD"/>
    <w:rsid w:val="002C1004"/>
    <w:rsid w:val="002C1CED"/>
    <w:rsid w:val="002F3FA0"/>
    <w:rsid w:val="002F534F"/>
    <w:rsid w:val="00301830"/>
    <w:rsid w:val="003064F8"/>
    <w:rsid w:val="003069E2"/>
    <w:rsid w:val="00315994"/>
    <w:rsid w:val="003159D0"/>
    <w:rsid w:val="003244DF"/>
    <w:rsid w:val="0034366C"/>
    <w:rsid w:val="00361FD5"/>
    <w:rsid w:val="00365969"/>
    <w:rsid w:val="003718D4"/>
    <w:rsid w:val="00372875"/>
    <w:rsid w:val="00383085"/>
    <w:rsid w:val="003A6A7C"/>
    <w:rsid w:val="003B215C"/>
    <w:rsid w:val="003B4784"/>
    <w:rsid w:val="003C7A80"/>
    <w:rsid w:val="003F5366"/>
    <w:rsid w:val="003F5F0E"/>
    <w:rsid w:val="00421A3D"/>
    <w:rsid w:val="00421F18"/>
    <w:rsid w:val="004237A0"/>
    <w:rsid w:val="00491049"/>
    <w:rsid w:val="0049475B"/>
    <w:rsid w:val="004A1E30"/>
    <w:rsid w:val="004A1EBE"/>
    <w:rsid w:val="004B47D7"/>
    <w:rsid w:val="004B7200"/>
    <w:rsid w:val="004E529E"/>
    <w:rsid w:val="004F1E1C"/>
    <w:rsid w:val="004F4D70"/>
    <w:rsid w:val="005048DD"/>
    <w:rsid w:val="005069F4"/>
    <w:rsid w:val="00530C1A"/>
    <w:rsid w:val="0054748C"/>
    <w:rsid w:val="00557407"/>
    <w:rsid w:val="00561D06"/>
    <w:rsid w:val="00587164"/>
    <w:rsid w:val="00587E0E"/>
    <w:rsid w:val="00596574"/>
    <w:rsid w:val="005D30DB"/>
    <w:rsid w:val="005E299F"/>
    <w:rsid w:val="005E4148"/>
    <w:rsid w:val="00602519"/>
    <w:rsid w:val="00603E1D"/>
    <w:rsid w:val="006102DF"/>
    <w:rsid w:val="00616525"/>
    <w:rsid w:val="0062381D"/>
    <w:rsid w:val="00644656"/>
    <w:rsid w:val="00656A81"/>
    <w:rsid w:val="00662E55"/>
    <w:rsid w:val="0067167C"/>
    <w:rsid w:val="00677122"/>
    <w:rsid w:val="00686B9A"/>
    <w:rsid w:val="006A0724"/>
    <w:rsid w:val="006A104B"/>
    <w:rsid w:val="006C2A82"/>
    <w:rsid w:val="006C401C"/>
    <w:rsid w:val="006E2349"/>
    <w:rsid w:val="006E5012"/>
    <w:rsid w:val="006F55F7"/>
    <w:rsid w:val="0071726A"/>
    <w:rsid w:val="00736D95"/>
    <w:rsid w:val="00743A07"/>
    <w:rsid w:val="00751318"/>
    <w:rsid w:val="00754CA3"/>
    <w:rsid w:val="0077056F"/>
    <w:rsid w:val="00776A72"/>
    <w:rsid w:val="007A50A1"/>
    <w:rsid w:val="007B439E"/>
    <w:rsid w:val="007E70A6"/>
    <w:rsid w:val="007F7E0E"/>
    <w:rsid w:val="007F7E9D"/>
    <w:rsid w:val="00810BE6"/>
    <w:rsid w:val="00821849"/>
    <w:rsid w:val="00830FC1"/>
    <w:rsid w:val="0085260F"/>
    <w:rsid w:val="008602F2"/>
    <w:rsid w:val="00870C32"/>
    <w:rsid w:val="008741C5"/>
    <w:rsid w:val="00876D28"/>
    <w:rsid w:val="00877EFA"/>
    <w:rsid w:val="008806FA"/>
    <w:rsid w:val="00882BD0"/>
    <w:rsid w:val="0089029B"/>
    <w:rsid w:val="008E0A33"/>
    <w:rsid w:val="008E60D1"/>
    <w:rsid w:val="008F18B2"/>
    <w:rsid w:val="009235B8"/>
    <w:rsid w:val="00925478"/>
    <w:rsid w:val="0092780C"/>
    <w:rsid w:val="00935596"/>
    <w:rsid w:val="00941DD9"/>
    <w:rsid w:val="0094547A"/>
    <w:rsid w:val="00950218"/>
    <w:rsid w:val="00954024"/>
    <w:rsid w:val="009550AC"/>
    <w:rsid w:val="00955905"/>
    <w:rsid w:val="009652E1"/>
    <w:rsid w:val="00973026"/>
    <w:rsid w:val="00991F5F"/>
    <w:rsid w:val="009A1C5E"/>
    <w:rsid w:val="009B07AD"/>
    <w:rsid w:val="009B245F"/>
    <w:rsid w:val="009B3643"/>
    <w:rsid w:val="009B6C95"/>
    <w:rsid w:val="009C1BBF"/>
    <w:rsid w:val="009C4C28"/>
    <w:rsid w:val="009D3A57"/>
    <w:rsid w:val="009F1239"/>
    <w:rsid w:val="009F366A"/>
    <w:rsid w:val="00A06C05"/>
    <w:rsid w:val="00A22181"/>
    <w:rsid w:val="00A242E3"/>
    <w:rsid w:val="00A257FC"/>
    <w:rsid w:val="00A3051C"/>
    <w:rsid w:val="00A40B9C"/>
    <w:rsid w:val="00A537C5"/>
    <w:rsid w:val="00A55F9C"/>
    <w:rsid w:val="00A66CE4"/>
    <w:rsid w:val="00A71E13"/>
    <w:rsid w:val="00A86869"/>
    <w:rsid w:val="00A92DBA"/>
    <w:rsid w:val="00A97188"/>
    <w:rsid w:val="00AA63A7"/>
    <w:rsid w:val="00AB5D8E"/>
    <w:rsid w:val="00AD0473"/>
    <w:rsid w:val="00AD29A4"/>
    <w:rsid w:val="00AE5FD2"/>
    <w:rsid w:val="00AF6AAD"/>
    <w:rsid w:val="00B10530"/>
    <w:rsid w:val="00B200B1"/>
    <w:rsid w:val="00B30F70"/>
    <w:rsid w:val="00B45369"/>
    <w:rsid w:val="00B63ACF"/>
    <w:rsid w:val="00B92067"/>
    <w:rsid w:val="00B95357"/>
    <w:rsid w:val="00BA66A9"/>
    <w:rsid w:val="00BB6928"/>
    <w:rsid w:val="00BC183F"/>
    <w:rsid w:val="00BC28EF"/>
    <w:rsid w:val="00BC4288"/>
    <w:rsid w:val="00BD42CD"/>
    <w:rsid w:val="00BD46F4"/>
    <w:rsid w:val="00C40473"/>
    <w:rsid w:val="00C622D6"/>
    <w:rsid w:val="00C7496C"/>
    <w:rsid w:val="00C815C5"/>
    <w:rsid w:val="00C86E21"/>
    <w:rsid w:val="00C90CCC"/>
    <w:rsid w:val="00CA14B5"/>
    <w:rsid w:val="00CA3BB1"/>
    <w:rsid w:val="00CB4483"/>
    <w:rsid w:val="00CB65FE"/>
    <w:rsid w:val="00CD19A4"/>
    <w:rsid w:val="00CD381E"/>
    <w:rsid w:val="00CD6546"/>
    <w:rsid w:val="00CE0A75"/>
    <w:rsid w:val="00D3591A"/>
    <w:rsid w:val="00D5527B"/>
    <w:rsid w:val="00D56FFB"/>
    <w:rsid w:val="00D723D7"/>
    <w:rsid w:val="00D81899"/>
    <w:rsid w:val="00D94111"/>
    <w:rsid w:val="00DE32F9"/>
    <w:rsid w:val="00DE4FB5"/>
    <w:rsid w:val="00E12B63"/>
    <w:rsid w:val="00E15506"/>
    <w:rsid w:val="00E553D2"/>
    <w:rsid w:val="00E72650"/>
    <w:rsid w:val="00E73FF0"/>
    <w:rsid w:val="00E818E6"/>
    <w:rsid w:val="00E81FC0"/>
    <w:rsid w:val="00E85EFB"/>
    <w:rsid w:val="00E94CD1"/>
    <w:rsid w:val="00EB519A"/>
    <w:rsid w:val="00EC7E30"/>
    <w:rsid w:val="00ED334B"/>
    <w:rsid w:val="00ED7F8E"/>
    <w:rsid w:val="00EE275F"/>
    <w:rsid w:val="00EE56A2"/>
    <w:rsid w:val="00EE760E"/>
    <w:rsid w:val="00F01214"/>
    <w:rsid w:val="00F11ECE"/>
    <w:rsid w:val="00F16EA3"/>
    <w:rsid w:val="00F30A8C"/>
    <w:rsid w:val="00F63D69"/>
    <w:rsid w:val="00F84228"/>
    <w:rsid w:val="00FA29C4"/>
    <w:rsid w:val="00FC712D"/>
    <w:rsid w:val="00FE7391"/>
    <w:rsid w:val="00FF0F28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EE11"/>
  <w15:docId w15:val="{027F47DC-E59F-4D94-B1DA-204410EC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A868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A86869"/>
  </w:style>
  <w:style w:type="paragraph" w:styleId="af0">
    <w:name w:val="Balloon Text"/>
    <w:basedOn w:val="a"/>
    <w:link w:val="af1"/>
    <w:uiPriority w:val="99"/>
    <w:semiHidden/>
    <w:unhideWhenUsed/>
    <w:rsid w:val="007E7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7E7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16319</Words>
  <Characters>9303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Григорій Туленко</cp:lastModifiedBy>
  <cp:revision>2</cp:revision>
  <dcterms:created xsi:type="dcterms:W3CDTF">2024-05-29T08:41:00Z</dcterms:created>
  <dcterms:modified xsi:type="dcterms:W3CDTF">2024-05-29T08:41:00Z</dcterms:modified>
</cp:coreProperties>
</file>