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5BC" w:rsidRPr="003535BC" w:rsidRDefault="003535BC" w:rsidP="00454038">
      <w:pPr>
        <w:jc w:val="center"/>
        <w:rPr>
          <w:rFonts w:ascii="Times New Roman" w:hAnsi="Times New Roman" w:cs="Times New Roman"/>
          <w:b/>
          <w:sz w:val="24"/>
          <w:szCs w:val="24"/>
        </w:rPr>
      </w:pPr>
      <w:r w:rsidRPr="003535BC">
        <w:rPr>
          <w:rFonts w:ascii="Times New Roman" w:hAnsi="Times New Roman" w:cs="Times New Roman"/>
          <w:b/>
          <w:sz w:val="28"/>
        </w:rPr>
        <w:t xml:space="preserve">Порівняльна таблиця до </w:t>
      </w:r>
      <w:proofErr w:type="spellStart"/>
      <w:r w:rsidRPr="003535BC">
        <w:rPr>
          <w:rFonts w:ascii="Times New Roman" w:hAnsi="Times New Roman" w:cs="Times New Roman"/>
          <w:b/>
          <w:sz w:val="28"/>
        </w:rPr>
        <w:t>проєкту</w:t>
      </w:r>
      <w:proofErr w:type="spellEnd"/>
      <w:r w:rsidRPr="003535BC">
        <w:rPr>
          <w:rFonts w:ascii="Times New Roman" w:hAnsi="Times New Roman" w:cs="Times New Roman"/>
          <w:b/>
          <w:sz w:val="28"/>
        </w:rPr>
        <w:t xml:space="preserve"> постанови НКРЕКП «</w:t>
      </w:r>
      <w:r w:rsidRPr="003535BC">
        <w:rPr>
          <w:rFonts w:ascii="Times New Roman" w:hAnsi="Times New Roman" w:cs="Times New Roman"/>
          <w:b/>
          <w:sz w:val="28"/>
        </w:rPr>
        <w:t>Про затвердження  Змін до деяких постанов НКРЕКП</w:t>
      </w:r>
      <w:r w:rsidRPr="003535BC">
        <w:rPr>
          <w:rFonts w:ascii="Times New Roman" w:hAnsi="Times New Roman" w:cs="Times New Roman"/>
          <w:b/>
          <w:sz w:val="28"/>
        </w:rPr>
        <w:t>», що має ознаки</w:t>
      </w:r>
      <w:bookmarkStart w:id="0" w:name="_GoBack"/>
      <w:bookmarkEnd w:id="0"/>
      <w:r w:rsidRPr="003535BC">
        <w:rPr>
          <w:rFonts w:ascii="Times New Roman" w:hAnsi="Times New Roman" w:cs="Times New Roman"/>
          <w:b/>
          <w:sz w:val="28"/>
        </w:rPr>
        <w:t xml:space="preserve"> регуляторного </w:t>
      </w:r>
      <w:proofErr w:type="spellStart"/>
      <w:r w:rsidRPr="003535BC">
        <w:rPr>
          <w:rFonts w:ascii="Times New Roman" w:hAnsi="Times New Roman" w:cs="Times New Roman"/>
          <w:b/>
          <w:sz w:val="28"/>
        </w:rPr>
        <w:t>акта</w:t>
      </w:r>
      <w:proofErr w:type="spellEnd"/>
    </w:p>
    <w:tbl>
      <w:tblPr>
        <w:tblStyle w:val="a3"/>
        <w:tblW w:w="14596" w:type="dxa"/>
        <w:tblLook w:val="04A0" w:firstRow="1" w:lastRow="0" w:firstColumn="1" w:lastColumn="0" w:noHBand="0" w:noVBand="1"/>
      </w:tblPr>
      <w:tblGrid>
        <w:gridCol w:w="7083"/>
        <w:gridCol w:w="7513"/>
      </w:tblGrid>
      <w:tr w:rsidR="003535BC" w:rsidRPr="003535BC" w:rsidTr="003535BC">
        <w:tc>
          <w:tcPr>
            <w:tcW w:w="7083" w:type="dxa"/>
          </w:tcPr>
          <w:p w:rsidR="003535BC" w:rsidRPr="003535BC" w:rsidRDefault="003535BC" w:rsidP="003535BC">
            <w:pPr>
              <w:jc w:val="center"/>
              <w:rPr>
                <w:rFonts w:ascii="Times New Roman" w:hAnsi="Times New Roman" w:cs="Times New Roman"/>
                <w:b/>
                <w:i/>
                <w:sz w:val="24"/>
                <w:szCs w:val="24"/>
              </w:rPr>
            </w:pPr>
            <w:r w:rsidRPr="003535BC">
              <w:rPr>
                <w:rFonts w:ascii="Times New Roman" w:hAnsi="Times New Roman" w:cs="Times New Roman"/>
                <w:b/>
                <w:i/>
                <w:sz w:val="24"/>
                <w:szCs w:val="24"/>
              </w:rPr>
              <w:t>ЗМІСТ ДІЮЧОЇ РЕДАКЦІЇ НОРМАТИВНО-ПРАВОВОГО АКТУ</w:t>
            </w:r>
          </w:p>
        </w:tc>
        <w:tc>
          <w:tcPr>
            <w:tcW w:w="7513" w:type="dxa"/>
          </w:tcPr>
          <w:p w:rsidR="003535BC" w:rsidRPr="003535BC" w:rsidRDefault="003535BC" w:rsidP="003535BC">
            <w:pPr>
              <w:jc w:val="center"/>
              <w:rPr>
                <w:rFonts w:ascii="Times New Roman" w:hAnsi="Times New Roman" w:cs="Times New Roman"/>
                <w:b/>
                <w:i/>
                <w:sz w:val="24"/>
                <w:szCs w:val="24"/>
              </w:rPr>
            </w:pPr>
            <w:r w:rsidRPr="003535BC">
              <w:rPr>
                <w:rFonts w:ascii="Times New Roman" w:hAnsi="Times New Roman" w:cs="Times New Roman"/>
                <w:b/>
                <w:i/>
                <w:sz w:val="24"/>
                <w:szCs w:val="24"/>
              </w:rPr>
              <w:t>ЗМІСТ ПОЛОЖЕНЬ ПРОЄКТУ ПОСТАНОВИ</w:t>
            </w:r>
          </w:p>
        </w:tc>
      </w:tr>
      <w:tr w:rsidR="003535BC" w:rsidRPr="003535BC" w:rsidTr="00B33DD6">
        <w:tc>
          <w:tcPr>
            <w:tcW w:w="14596" w:type="dxa"/>
            <w:gridSpan w:val="2"/>
          </w:tcPr>
          <w:p w:rsidR="003535BC" w:rsidRPr="003535BC" w:rsidRDefault="003535BC" w:rsidP="003535BC">
            <w:pPr>
              <w:jc w:val="center"/>
              <w:rPr>
                <w:rFonts w:ascii="Times New Roman" w:hAnsi="Times New Roman" w:cs="Times New Roman"/>
                <w:b/>
                <w:i/>
                <w:sz w:val="24"/>
                <w:szCs w:val="24"/>
              </w:rPr>
            </w:pPr>
            <w:r w:rsidRPr="003535BC">
              <w:rPr>
                <w:rFonts w:ascii="Times New Roman" w:hAnsi="Times New Roman" w:cs="Times New Roman"/>
                <w:b/>
                <w:i/>
                <w:sz w:val="24"/>
                <w:szCs w:val="24"/>
              </w:rPr>
              <w:t>МІНІМАЛЬНІ СТАНДАРТИ ТА ВИМОГИ ДО ЯКОСТІ ОБСЛУГОВУВАННЯ СПОЖИВАЧІВ ПРИРОДНОГО ГАЗУ ТА ПОРЯДОК НАДАННЯ КОМПЕНСАЦІЇ СПОЖИВАЧАМ ЗА ЇХ НЕДОТРИМАННЯ (постанова НКРЕКП від 21.09.2017 № 1156)</w:t>
            </w:r>
          </w:p>
        </w:tc>
      </w:tr>
      <w:tr w:rsidR="003535BC" w:rsidRPr="003535BC" w:rsidTr="003535BC">
        <w:tc>
          <w:tcPr>
            <w:tcW w:w="7083" w:type="dxa"/>
          </w:tcPr>
          <w:p w:rsidR="003535BC" w:rsidRPr="003535BC" w:rsidRDefault="003535BC" w:rsidP="00D43F68">
            <w:pPr>
              <w:jc w:val="both"/>
              <w:rPr>
                <w:rFonts w:ascii="Times New Roman" w:hAnsi="Times New Roman" w:cs="Times New Roman"/>
                <w:sz w:val="24"/>
                <w:szCs w:val="24"/>
              </w:rPr>
            </w:pPr>
            <w:r w:rsidRPr="003535BC">
              <w:rPr>
                <w:rFonts w:ascii="Times New Roman" w:hAnsi="Times New Roman" w:cs="Times New Roman"/>
                <w:sz w:val="24"/>
                <w:szCs w:val="24"/>
                <w:shd w:val="clear" w:color="auto" w:fill="FFFFFF"/>
              </w:rPr>
              <w:t>1.2. Дія цих Стандартів та вимог поширюється на Операторів ГРМ та постачальників природного газу.</w:t>
            </w:r>
          </w:p>
        </w:tc>
        <w:tc>
          <w:tcPr>
            <w:tcW w:w="7513" w:type="dxa"/>
          </w:tcPr>
          <w:p w:rsidR="003535BC" w:rsidRPr="003535BC" w:rsidRDefault="003535BC" w:rsidP="00D43F68">
            <w:pPr>
              <w:jc w:val="both"/>
              <w:rPr>
                <w:rFonts w:ascii="Times New Roman" w:hAnsi="Times New Roman" w:cs="Times New Roman"/>
                <w:b/>
                <w:sz w:val="24"/>
                <w:szCs w:val="24"/>
                <w:shd w:val="clear" w:color="auto" w:fill="FFFFFF"/>
              </w:rPr>
            </w:pPr>
            <w:r w:rsidRPr="003535BC">
              <w:rPr>
                <w:rFonts w:ascii="Times New Roman" w:hAnsi="Times New Roman" w:cs="Times New Roman"/>
                <w:sz w:val="24"/>
                <w:szCs w:val="24"/>
                <w:shd w:val="clear" w:color="auto" w:fill="FFFFFF"/>
              </w:rPr>
              <w:t xml:space="preserve">1.2. Дія цих Стандартів та вимог поширюється на Операторів ГРМ та постачальників природного газу. </w:t>
            </w:r>
            <w:r w:rsidRPr="003535BC">
              <w:rPr>
                <w:rFonts w:ascii="Times New Roman" w:hAnsi="Times New Roman" w:cs="Times New Roman"/>
                <w:b/>
                <w:sz w:val="24"/>
                <w:szCs w:val="24"/>
                <w:shd w:val="clear" w:color="auto" w:fill="FFFFFF"/>
              </w:rPr>
              <w:t>Дія цих Стандартів та вимог не поширюється на правовідносини між Операторами ГРМ/постачальниками та споживачами/замовниками, що виникли під час зупинення дії ліцензії на право провадження господарської діяльності з розподілу/постачання природного газу.</w:t>
            </w:r>
          </w:p>
        </w:tc>
      </w:tr>
      <w:tr w:rsidR="003535BC" w:rsidRPr="003535BC" w:rsidTr="003535BC">
        <w:tc>
          <w:tcPr>
            <w:tcW w:w="7083" w:type="dxa"/>
          </w:tcPr>
          <w:p w:rsidR="003535BC" w:rsidRPr="003535BC" w:rsidRDefault="003535BC" w:rsidP="00D43F68">
            <w:pPr>
              <w:jc w:val="both"/>
              <w:rPr>
                <w:rFonts w:ascii="Times New Roman" w:hAnsi="Times New Roman" w:cs="Times New Roman"/>
                <w:sz w:val="24"/>
                <w:szCs w:val="24"/>
              </w:rPr>
            </w:pPr>
            <w:r w:rsidRPr="003535BC">
              <w:rPr>
                <w:rFonts w:ascii="Times New Roman" w:hAnsi="Times New Roman" w:cs="Times New Roman"/>
                <w:sz w:val="24"/>
                <w:szCs w:val="24"/>
                <w:shd w:val="clear" w:color="auto" w:fill="FFFFFF"/>
              </w:rPr>
              <w:t>2.5. Оператор ГРМ надає споживачу або замовнику (у разі недотримання мінімальних стандартів якості під час приєднання до газових мереж за необхідності реконструкції чи технічного переоснащення вже підключеного до ГРМ об'єкта) компенсацію за недотримання мінімальних стандартів якості послуг розподілу природного газу шляхом врахування суми відповідної компенсації в рахунку за послуги розподілу природного газу у строк не більше 45 днів з дня недотримання мінімального стандарту якості (у разі недотримання мінімального стандарту, визначеного </w:t>
            </w:r>
            <w:hyperlink r:id="rId7" w:anchor="n45" w:history="1">
              <w:r w:rsidRPr="003535BC">
                <w:rPr>
                  <w:rStyle w:val="a4"/>
                  <w:rFonts w:ascii="Times New Roman" w:hAnsi="Times New Roman" w:cs="Times New Roman"/>
                  <w:color w:val="auto"/>
                  <w:sz w:val="24"/>
                  <w:szCs w:val="24"/>
                  <w:u w:val="none"/>
                  <w:shd w:val="clear" w:color="auto" w:fill="FFFFFF"/>
                </w:rPr>
                <w:t>підпунктом 15</w:t>
              </w:r>
            </w:hyperlink>
            <w:r w:rsidRPr="003535BC">
              <w:rPr>
                <w:rFonts w:ascii="Times New Roman" w:hAnsi="Times New Roman" w:cs="Times New Roman"/>
                <w:sz w:val="24"/>
                <w:szCs w:val="24"/>
                <w:shd w:val="clear" w:color="auto" w:fill="FFFFFF"/>
              </w:rPr>
              <w:t xml:space="preserve"> пункту 2.2 цієї глави, - з дати складання </w:t>
            </w:r>
            <w:proofErr w:type="spellStart"/>
            <w:r w:rsidRPr="003535BC">
              <w:rPr>
                <w:rFonts w:ascii="Times New Roman" w:hAnsi="Times New Roman" w:cs="Times New Roman"/>
                <w:sz w:val="24"/>
                <w:szCs w:val="24"/>
                <w:shd w:val="clear" w:color="auto" w:fill="FFFFFF"/>
              </w:rPr>
              <w:t>акта</w:t>
            </w:r>
            <w:proofErr w:type="spellEnd"/>
            <w:r w:rsidRPr="003535BC">
              <w:rPr>
                <w:rFonts w:ascii="Times New Roman" w:hAnsi="Times New Roman" w:cs="Times New Roman"/>
                <w:sz w:val="24"/>
                <w:szCs w:val="24"/>
                <w:shd w:val="clear" w:color="auto" w:fill="FFFFFF"/>
              </w:rPr>
              <w:t xml:space="preserve"> про припинення розподілу природного газу).</w:t>
            </w:r>
          </w:p>
        </w:tc>
        <w:tc>
          <w:tcPr>
            <w:tcW w:w="7513" w:type="dxa"/>
          </w:tcPr>
          <w:p w:rsidR="003535BC" w:rsidRPr="003535BC" w:rsidRDefault="003535BC" w:rsidP="00A27833">
            <w:pPr>
              <w:jc w:val="both"/>
              <w:rPr>
                <w:rFonts w:ascii="Times New Roman" w:hAnsi="Times New Roman" w:cs="Times New Roman"/>
                <w:sz w:val="24"/>
                <w:szCs w:val="24"/>
              </w:rPr>
            </w:pPr>
            <w:r w:rsidRPr="003535BC">
              <w:rPr>
                <w:rFonts w:ascii="Times New Roman" w:hAnsi="Times New Roman" w:cs="Times New Roman"/>
                <w:sz w:val="24"/>
                <w:szCs w:val="24"/>
                <w:shd w:val="clear" w:color="auto" w:fill="FFFFFF"/>
              </w:rPr>
              <w:t xml:space="preserve">2.5. Оператор ГРМ надає споживачу або замовнику (у разі недотримання мінімальних стандартів якості під час приєднання до газових мереж за необхідності реконструкції чи технічного переоснащення вже підключеного до ГРМ об'єкта) компенсацію за недотримання мінімальних стандартів якості послуг розподілу природного газу шляхом врахування суми відповідної компенсації в рахунку за послуги розподілу природного газу </w:t>
            </w:r>
            <w:r w:rsidRPr="003535BC">
              <w:rPr>
                <w:rFonts w:ascii="Times New Roman" w:hAnsi="Times New Roman" w:cs="Times New Roman"/>
                <w:b/>
                <w:sz w:val="24"/>
                <w:szCs w:val="24"/>
                <w:shd w:val="clear" w:color="auto" w:fill="FFFFFF"/>
              </w:rPr>
              <w:t>або шляхом перерахування коштів за банківськими реквізитами, наданими споживачем або замовником, у тому числі зазначеними у договорі на приєднання до газорозподільної системи,</w:t>
            </w:r>
            <w:r w:rsidRPr="003535BC">
              <w:rPr>
                <w:rFonts w:ascii="Times New Roman" w:hAnsi="Times New Roman" w:cs="Times New Roman"/>
                <w:sz w:val="24"/>
                <w:szCs w:val="24"/>
                <w:shd w:val="clear" w:color="auto" w:fill="FFFFFF"/>
              </w:rPr>
              <w:t xml:space="preserve"> у строк не більше 45 днів з дня недотримання мінімального стандарту якості (</w:t>
            </w:r>
            <w:r w:rsidRPr="003535BC">
              <w:rPr>
                <w:rFonts w:ascii="Times New Roman" w:hAnsi="Times New Roman" w:cs="Times New Roman"/>
                <w:b/>
                <w:sz w:val="24"/>
                <w:szCs w:val="24"/>
                <w:shd w:val="clear" w:color="auto" w:fill="FFFFFF"/>
              </w:rPr>
              <w:t xml:space="preserve">у разі недотримання мінімальних стандартів, визначених підпунктом 8 пункту 2.2 цієї  глави, – з дати складання </w:t>
            </w:r>
            <w:proofErr w:type="spellStart"/>
            <w:r w:rsidRPr="003535BC">
              <w:rPr>
                <w:rFonts w:ascii="Times New Roman" w:hAnsi="Times New Roman" w:cs="Times New Roman"/>
                <w:b/>
                <w:sz w:val="24"/>
                <w:szCs w:val="24"/>
                <w:shd w:val="clear" w:color="auto" w:fill="FFFFFF"/>
              </w:rPr>
              <w:t>акта</w:t>
            </w:r>
            <w:proofErr w:type="spellEnd"/>
            <w:r w:rsidRPr="003535BC">
              <w:rPr>
                <w:rFonts w:ascii="Times New Roman" w:hAnsi="Times New Roman" w:cs="Times New Roman"/>
                <w:b/>
                <w:sz w:val="24"/>
                <w:szCs w:val="24"/>
                <w:shd w:val="clear" w:color="auto" w:fill="FFFFFF"/>
              </w:rPr>
              <w:t xml:space="preserve"> виконання послуги приєднання,</w:t>
            </w:r>
            <w:r w:rsidRPr="003535BC">
              <w:rPr>
                <w:rFonts w:ascii="Times New Roman" w:hAnsi="Times New Roman" w:cs="Times New Roman"/>
                <w:sz w:val="24"/>
                <w:szCs w:val="24"/>
                <w:shd w:val="clear" w:color="auto" w:fill="FFFFFF"/>
              </w:rPr>
              <w:t xml:space="preserve">  підпунктом 15 пункту 2.2 цієї глави, – з дати складання </w:t>
            </w:r>
            <w:proofErr w:type="spellStart"/>
            <w:r w:rsidRPr="003535BC">
              <w:rPr>
                <w:rFonts w:ascii="Times New Roman" w:hAnsi="Times New Roman" w:cs="Times New Roman"/>
                <w:sz w:val="24"/>
                <w:szCs w:val="24"/>
                <w:shd w:val="clear" w:color="auto" w:fill="FFFFFF"/>
              </w:rPr>
              <w:t>акта</w:t>
            </w:r>
            <w:proofErr w:type="spellEnd"/>
            <w:r w:rsidRPr="003535BC">
              <w:rPr>
                <w:rFonts w:ascii="Times New Roman" w:hAnsi="Times New Roman" w:cs="Times New Roman"/>
                <w:sz w:val="24"/>
                <w:szCs w:val="24"/>
                <w:shd w:val="clear" w:color="auto" w:fill="FFFFFF"/>
              </w:rPr>
              <w:t xml:space="preserve"> про припинення розподілу природного газу).</w:t>
            </w:r>
          </w:p>
        </w:tc>
      </w:tr>
      <w:tr w:rsidR="003535BC" w:rsidRPr="003535BC" w:rsidTr="003535BC">
        <w:tc>
          <w:tcPr>
            <w:tcW w:w="7083" w:type="dxa"/>
          </w:tcPr>
          <w:p w:rsidR="003535BC" w:rsidRPr="003535BC" w:rsidRDefault="003535BC" w:rsidP="00743B64">
            <w:pPr>
              <w:pStyle w:val="rvps2"/>
              <w:shd w:val="clear" w:color="auto" w:fill="FFFFFF"/>
              <w:spacing w:before="0" w:beforeAutospacing="0" w:after="150" w:afterAutospacing="0"/>
              <w:ind w:firstLine="450"/>
              <w:jc w:val="both"/>
            </w:pPr>
            <w:r w:rsidRPr="003535BC">
              <w:t xml:space="preserve">2.6. Оператор ГРМ надає замовнику (у разі недотримання мінімальних стандартів якості під час нового приєднання до газових мереж) компенсацію за недотримання мінімальних стандартів якості послуг розподілу природного газу у рахунок зменшення плати за приєднання або шляхом перерахування коштів за банківськими реквізитами замовника, вказаними у договорі на приєднання до газорозподільної системи, на суму відповідної </w:t>
            </w:r>
            <w:r w:rsidRPr="003535BC">
              <w:lastRenderedPageBreak/>
              <w:t>компенсації у строк не більше 45 днів з дня недотримання мінімального стандарту якості, а у разі відсутності договору - з дня укладання договору на приєднання до газорозподільної системи.</w:t>
            </w:r>
          </w:p>
          <w:p w:rsidR="003535BC" w:rsidRPr="003535BC" w:rsidRDefault="003535BC">
            <w:pPr>
              <w:rPr>
                <w:rFonts w:ascii="Times New Roman" w:hAnsi="Times New Roman" w:cs="Times New Roman"/>
                <w:sz w:val="24"/>
                <w:szCs w:val="24"/>
              </w:rPr>
            </w:pPr>
          </w:p>
        </w:tc>
        <w:tc>
          <w:tcPr>
            <w:tcW w:w="7513" w:type="dxa"/>
          </w:tcPr>
          <w:p w:rsidR="003535BC" w:rsidRPr="003535BC" w:rsidRDefault="003535BC" w:rsidP="00F767D9">
            <w:pPr>
              <w:pStyle w:val="rvps2"/>
              <w:shd w:val="clear" w:color="auto" w:fill="FFFFFF"/>
              <w:spacing w:before="0" w:beforeAutospacing="0" w:after="150" w:afterAutospacing="0"/>
              <w:ind w:firstLine="450"/>
              <w:jc w:val="both"/>
            </w:pPr>
            <w:r w:rsidRPr="003535BC">
              <w:lastRenderedPageBreak/>
              <w:t xml:space="preserve">2.6. Оператор ГРМ надає замовнику (у разі недотримання мінімальних стандартів якості під час нового приєднання до газових мереж) компенсацію за недотримання мінімальних стандартів якості послуг розподілу природного газу у рахунок зменшення плати за приєднання або шляхом перерахування коштів за банківськими реквізитами </w:t>
            </w:r>
            <w:r w:rsidRPr="003535BC">
              <w:rPr>
                <w:b/>
                <w:strike/>
              </w:rPr>
              <w:t>замовника</w:t>
            </w:r>
            <w:r w:rsidRPr="003535BC">
              <w:rPr>
                <w:b/>
              </w:rPr>
              <w:t xml:space="preserve">, </w:t>
            </w:r>
            <w:r w:rsidRPr="003535BC">
              <w:rPr>
                <w:b/>
                <w:strike/>
              </w:rPr>
              <w:t>вказаними у договорі на приєднання до газорозподільної системи</w:t>
            </w:r>
            <w:r w:rsidRPr="003535BC">
              <w:rPr>
                <w:strike/>
              </w:rPr>
              <w:t xml:space="preserve">, </w:t>
            </w:r>
            <w:r w:rsidRPr="003535BC">
              <w:t xml:space="preserve"> </w:t>
            </w:r>
            <w:r w:rsidRPr="003535BC">
              <w:rPr>
                <w:b/>
              </w:rPr>
              <w:t xml:space="preserve">наданими замовником, у тому числі </w:t>
            </w:r>
            <w:r w:rsidRPr="003535BC">
              <w:rPr>
                <w:b/>
              </w:rPr>
              <w:lastRenderedPageBreak/>
              <w:t>зазначеними у договорі на приєднання до газорозподільної системи</w:t>
            </w:r>
            <w:r w:rsidRPr="003535BC">
              <w:t xml:space="preserve">,  у строк не більше 45 днів з дня недотримання мінімального стандарту якості, а у разі відсутності договору </w:t>
            </w:r>
            <w:r w:rsidRPr="003535BC">
              <w:rPr>
                <w:b/>
              </w:rPr>
              <w:t xml:space="preserve">на приєднання до газорозподільної системи, – з дня укладання договору (у разі недотримання мінімального стандарту, визначеного підпунктом 8 пункту 2.2 цієї глави, – з дати складання </w:t>
            </w:r>
            <w:proofErr w:type="spellStart"/>
            <w:r w:rsidRPr="003535BC">
              <w:rPr>
                <w:b/>
              </w:rPr>
              <w:t>акта</w:t>
            </w:r>
            <w:proofErr w:type="spellEnd"/>
            <w:r w:rsidRPr="003535BC">
              <w:rPr>
                <w:b/>
              </w:rPr>
              <w:t xml:space="preserve"> виконання послуги приєднання).</w:t>
            </w:r>
          </w:p>
        </w:tc>
      </w:tr>
      <w:tr w:rsidR="003535BC" w:rsidRPr="003535BC" w:rsidTr="003535BC">
        <w:tc>
          <w:tcPr>
            <w:tcW w:w="7083" w:type="dxa"/>
          </w:tcPr>
          <w:p w:rsidR="003535BC" w:rsidRPr="003535BC" w:rsidRDefault="003535BC" w:rsidP="00743B64">
            <w:pPr>
              <w:pStyle w:val="rvps2"/>
              <w:shd w:val="clear" w:color="auto" w:fill="FFFFFF"/>
              <w:spacing w:before="0" w:beforeAutospacing="0" w:after="150" w:afterAutospacing="0"/>
              <w:ind w:firstLine="450"/>
              <w:jc w:val="both"/>
            </w:pPr>
            <w:r w:rsidRPr="003535BC">
              <w:lastRenderedPageBreak/>
              <w:t>відсутній</w:t>
            </w:r>
          </w:p>
        </w:tc>
        <w:tc>
          <w:tcPr>
            <w:tcW w:w="7513" w:type="dxa"/>
          </w:tcPr>
          <w:p w:rsidR="003535BC" w:rsidRPr="003535BC" w:rsidRDefault="003535BC" w:rsidP="00A27833">
            <w:pPr>
              <w:pStyle w:val="rvps2"/>
              <w:shd w:val="clear" w:color="auto" w:fill="FFFFFF"/>
              <w:tabs>
                <w:tab w:val="left" w:pos="1605"/>
              </w:tabs>
              <w:spacing w:before="0" w:beforeAutospacing="0" w:after="150" w:afterAutospacing="0"/>
              <w:ind w:firstLine="450"/>
              <w:jc w:val="both"/>
              <w:rPr>
                <w:b/>
              </w:rPr>
            </w:pPr>
            <w:r w:rsidRPr="003535BC">
              <w:rPr>
                <w:b/>
              </w:rPr>
              <w:t xml:space="preserve">2.7. Оператор ГРМ, дію ліцензії на право провадження господарської діяльності з розподілу природного газу якого </w:t>
            </w:r>
            <w:proofErr w:type="spellStart"/>
            <w:r w:rsidRPr="003535BC">
              <w:rPr>
                <w:b/>
              </w:rPr>
              <w:t>зупинено</w:t>
            </w:r>
            <w:proofErr w:type="spellEnd"/>
            <w:r w:rsidRPr="003535BC">
              <w:rPr>
                <w:b/>
              </w:rPr>
              <w:t>, у разі недотримання мінімальних стандартів якості послуг розподілу природного газу до зупинення дії ліцензії надає споживачу/замовнику компенсацію виключно шляхом перерахування коштів за банківськими реквізитами, наданими споживачем або замовником. У разі відсутності банківських реквізитів такий Оператор ГРМ протягом 5 робочих днів має звернутись до споживача/замовника щодо надання банківських реквізитів та надати відповідну компенсацію протягом 15 робочих днів з дня їх отримання.</w:t>
            </w:r>
            <w:r w:rsidRPr="003535BC">
              <w:rPr>
                <w:b/>
                <w:shd w:val="clear" w:color="auto" w:fill="FFFFFF"/>
              </w:rPr>
              <w:t xml:space="preserve">  </w:t>
            </w:r>
          </w:p>
        </w:tc>
      </w:tr>
      <w:tr w:rsidR="003535BC" w:rsidRPr="003535BC" w:rsidTr="003535BC">
        <w:tc>
          <w:tcPr>
            <w:tcW w:w="7083" w:type="dxa"/>
          </w:tcPr>
          <w:p w:rsidR="003535BC" w:rsidRPr="003535BC" w:rsidRDefault="003535BC" w:rsidP="00F767D9">
            <w:pPr>
              <w:pStyle w:val="rvps2"/>
              <w:shd w:val="clear" w:color="auto" w:fill="FFFFFF"/>
              <w:spacing w:before="0" w:beforeAutospacing="0" w:after="150" w:afterAutospacing="0"/>
              <w:ind w:firstLine="450"/>
              <w:jc w:val="both"/>
            </w:pPr>
            <w:r w:rsidRPr="003535BC">
              <w:t>2.12. У разі невиплати Оператором ГРМ компенсації за недотримання мінімальних стандартів якості послуг розподілу природного газу НКРЕКП з урахуванням даних звітності та за результатами планових або позапланових перевірок дотримання Оператором ГРМ ліцензійних умов приймає рішення про накладення штрафу у розмірі, визначеному Законом України «Про ринок природного газу», а також щодо надання споживачам (замовникам) компенсації відповідно до пункту 2.11 цієї глави</w:t>
            </w:r>
          </w:p>
        </w:tc>
        <w:tc>
          <w:tcPr>
            <w:tcW w:w="7513" w:type="dxa"/>
          </w:tcPr>
          <w:p w:rsidR="003535BC" w:rsidRPr="003535BC" w:rsidRDefault="003535BC" w:rsidP="00F767D9">
            <w:pPr>
              <w:pStyle w:val="rvps2"/>
              <w:shd w:val="clear" w:color="auto" w:fill="FFFFFF"/>
              <w:spacing w:before="0" w:beforeAutospacing="0" w:after="150" w:afterAutospacing="0"/>
              <w:ind w:firstLine="450"/>
              <w:jc w:val="both"/>
            </w:pPr>
            <w:r w:rsidRPr="003535BC">
              <w:rPr>
                <w:b/>
              </w:rPr>
              <w:t>2.13</w:t>
            </w:r>
            <w:r w:rsidRPr="003535BC">
              <w:t xml:space="preserve">. У разі невиплати Оператором ГРМ компенсації за недотримання мінімальних стандартів якості послуг розподілу природного газу НКРЕКП з урахуванням даних звітності та за результатами планових або позапланових перевірок дотримання Оператором ГРМ ліцензійних умов приймає рішення про накладення штрафу у розмірі, визначеному Законом України «Про ринок природного газу», а також щодо надання споживачам (замовникам) компенсації відповідно до пункту </w:t>
            </w:r>
            <w:r w:rsidRPr="003535BC">
              <w:rPr>
                <w:b/>
              </w:rPr>
              <w:t>2.12</w:t>
            </w:r>
            <w:r w:rsidRPr="003535BC">
              <w:t xml:space="preserve"> цієї глави</w:t>
            </w:r>
          </w:p>
        </w:tc>
      </w:tr>
      <w:tr w:rsidR="003535BC" w:rsidRPr="003535BC" w:rsidTr="003535BC">
        <w:tc>
          <w:tcPr>
            <w:tcW w:w="7083" w:type="dxa"/>
          </w:tcPr>
          <w:p w:rsidR="003535BC" w:rsidRPr="003535BC" w:rsidRDefault="003535BC" w:rsidP="003535BC">
            <w:pPr>
              <w:pStyle w:val="rvps2"/>
              <w:shd w:val="clear" w:color="auto" w:fill="FFFFFF"/>
              <w:spacing w:before="0" w:beforeAutospacing="0" w:after="150" w:afterAutospacing="0"/>
              <w:ind w:firstLine="450"/>
              <w:jc w:val="both"/>
            </w:pPr>
            <w:r w:rsidRPr="003535BC">
              <w:t>3.4. У разі недотримання мінімальних стандартів якості послуг постачання природного газу, зазначених у </w:t>
            </w:r>
            <w:hyperlink r:id="rId8" w:anchor="n87" w:history="1">
              <w:r w:rsidRPr="003535BC">
                <w:rPr>
                  <w:rStyle w:val="a4"/>
                  <w:color w:val="auto"/>
                  <w:u w:val="none"/>
                </w:rPr>
                <w:t>пункті 3.2</w:t>
              </w:r>
            </w:hyperlink>
            <w:r w:rsidRPr="003535BC">
              <w:t> цієї глави, постачальник сплачує споживачу компенсацію у розмірах, наведених у </w:t>
            </w:r>
            <w:hyperlink r:id="rId9" w:anchor="n120" w:history="1">
              <w:r w:rsidRPr="003535BC">
                <w:rPr>
                  <w:rStyle w:val="a4"/>
                  <w:color w:val="auto"/>
                  <w:u w:val="none"/>
                </w:rPr>
                <w:t>додатку 3</w:t>
              </w:r>
            </w:hyperlink>
            <w:r w:rsidRPr="003535BC">
              <w:t> до цих Стандартів та вимог.</w:t>
            </w:r>
          </w:p>
        </w:tc>
        <w:tc>
          <w:tcPr>
            <w:tcW w:w="7513" w:type="dxa"/>
          </w:tcPr>
          <w:p w:rsidR="003535BC" w:rsidRPr="003535BC" w:rsidRDefault="003535BC" w:rsidP="00F767D9">
            <w:pPr>
              <w:pStyle w:val="rvps2"/>
              <w:shd w:val="clear" w:color="auto" w:fill="FFFFFF"/>
              <w:spacing w:before="0" w:beforeAutospacing="0" w:after="150" w:afterAutospacing="0"/>
              <w:ind w:firstLine="450"/>
              <w:jc w:val="both"/>
            </w:pPr>
            <w:r w:rsidRPr="003535BC">
              <w:t>3.4. У разі недотримання мінімальних стандартів якості послуг постачання природного газу, зазначених у </w:t>
            </w:r>
            <w:hyperlink r:id="rId10" w:anchor="n87" w:history="1">
              <w:r w:rsidRPr="003535BC">
                <w:rPr>
                  <w:rStyle w:val="a4"/>
                  <w:color w:val="auto"/>
                  <w:u w:val="none"/>
                </w:rPr>
                <w:t>пункті 3.2</w:t>
              </w:r>
            </w:hyperlink>
            <w:r w:rsidRPr="003535BC">
              <w:t xml:space="preserve"> цієї глави, постачальник </w:t>
            </w:r>
            <w:r w:rsidRPr="003535BC">
              <w:rPr>
                <w:strike/>
              </w:rPr>
              <w:t>сплачує</w:t>
            </w:r>
            <w:r w:rsidRPr="003535BC">
              <w:t xml:space="preserve"> </w:t>
            </w:r>
            <w:r w:rsidRPr="003535BC">
              <w:rPr>
                <w:b/>
              </w:rPr>
              <w:t>надає</w:t>
            </w:r>
            <w:r w:rsidRPr="003535BC">
              <w:t xml:space="preserve"> споживачу компенсацію у розмірах, наведених у </w:t>
            </w:r>
            <w:hyperlink r:id="rId11" w:anchor="n120" w:history="1">
              <w:r w:rsidRPr="003535BC">
                <w:rPr>
                  <w:rStyle w:val="a4"/>
                  <w:color w:val="auto"/>
                  <w:u w:val="none"/>
                </w:rPr>
                <w:t>додатку 3</w:t>
              </w:r>
            </w:hyperlink>
            <w:r w:rsidRPr="003535BC">
              <w:t> до цих Стандартів та вимог.</w:t>
            </w:r>
          </w:p>
        </w:tc>
      </w:tr>
      <w:tr w:rsidR="003535BC" w:rsidRPr="003535BC" w:rsidTr="003535BC">
        <w:tc>
          <w:tcPr>
            <w:tcW w:w="7083" w:type="dxa"/>
          </w:tcPr>
          <w:p w:rsidR="003535BC" w:rsidRPr="003535BC" w:rsidRDefault="003535BC" w:rsidP="00F767D9">
            <w:pPr>
              <w:pStyle w:val="rvps2"/>
              <w:shd w:val="clear" w:color="auto" w:fill="FFFFFF"/>
              <w:spacing w:before="0" w:beforeAutospacing="0" w:after="150" w:afterAutospacing="0"/>
              <w:ind w:firstLine="450"/>
              <w:jc w:val="both"/>
            </w:pPr>
            <w:r w:rsidRPr="003535BC">
              <w:t xml:space="preserve">3.5. Постачальник надає споживачу компенсацію за недотримання мінімальних стандартів якості послуг постачання природного газу шляхом врахування суми відповідної компенсації </w:t>
            </w:r>
            <w:r w:rsidRPr="003535BC">
              <w:lastRenderedPageBreak/>
              <w:t>у рахунку за спожитий природний газ у строк не більше 45 днів з дня недотримання мінімального стандарту якості (у разі недотримання мінімального стандарту, визначеного </w:t>
            </w:r>
            <w:hyperlink r:id="rId12" w:anchor="n89" w:history="1">
              <w:r w:rsidRPr="003535BC">
                <w:rPr>
                  <w:rStyle w:val="a4"/>
                  <w:color w:val="auto"/>
                  <w:u w:val="none"/>
                </w:rPr>
                <w:t>підпунктом 2</w:t>
              </w:r>
            </w:hyperlink>
            <w:r w:rsidRPr="003535BC">
              <w:t> пункту 3.2 цієї глави, - з дати зміни умов договору постачання природного газу для непобутових споживачів).</w:t>
            </w:r>
          </w:p>
        </w:tc>
        <w:tc>
          <w:tcPr>
            <w:tcW w:w="7513" w:type="dxa"/>
          </w:tcPr>
          <w:p w:rsidR="003535BC" w:rsidRPr="003535BC" w:rsidRDefault="003535BC" w:rsidP="00F767D9">
            <w:pPr>
              <w:jc w:val="both"/>
              <w:rPr>
                <w:rFonts w:ascii="Times New Roman" w:hAnsi="Times New Roman" w:cs="Times New Roman"/>
                <w:sz w:val="24"/>
                <w:szCs w:val="24"/>
              </w:rPr>
            </w:pPr>
            <w:r w:rsidRPr="003535BC">
              <w:rPr>
                <w:rFonts w:ascii="Times New Roman" w:hAnsi="Times New Roman" w:cs="Times New Roman"/>
                <w:sz w:val="24"/>
                <w:szCs w:val="24"/>
              </w:rPr>
              <w:lastRenderedPageBreak/>
              <w:t xml:space="preserve">3.5. Постачальник надає споживачу компенсацію за недотримання мінімальних стандартів якості послуг постачання природного газу шляхом врахування суми відповідної компенсації у рахунку за </w:t>
            </w:r>
            <w:r w:rsidRPr="003535BC">
              <w:rPr>
                <w:rFonts w:ascii="Times New Roman" w:hAnsi="Times New Roman" w:cs="Times New Roman"/>
                <w:sz w:val="24"/>
                <w:szCs w:val="24"/>
              </w:rPr>
              <w:lastRenderedPageBreak/>
              <w:t>спожитий природний газ  у строк не більше 45 днів з дня недотримання мінімального стандарту якості (у разі недотримання мінімального стандарту, визначеного </w:t>
            </w:r>
            <w:hyperlink r:id="rId13" w:anchor="n89" w:history="1">
              <w:r w:rsidRPr="003535BC">
                <w:rPr>
                  <w:rStyle w:val="a4"/>
                  <w:rFonts w:ascii="Times New Roman" w:hAnsi="Times New Roman" w:cs="Times New Roman"/>
                  <w:color w:val="auto"/>
                  <w:sz w:val="24"/>
                  <w:szCs w:val="24"/>
                  <w:u w:val="none"/>
                </w:rPr>
                <w:t>підпунктом 2</w:t>
              </w:r>
            </w:hyperlink>
            <w:r w:rsidRPr="003535BC">
              <w:rPr>
                <w:rFonts w:ascii="Times New Roman" w:hAnsi="Times New Roman" w:cs="Times New Roman"/>
                <w:sz w:val="24"/>
                <w:szCs w:val="24"/>
              </w:rPr>
              <w:t> пункту 3.2 цієї глави, - з дати зміни умов договору постачання природного газу для непобутових споживачів).</w:t>
            </w:r>
          </w:p>
          <w:p w:rsidR="003535BC" w:rsidRPr="003535BC" w:rsidRDefault="003535BC" w:rsidP="00F767D9">
            <w:pPr>
              <w:jc w:val="both"/>
              <w:rPr>
                <w:rFonts w:ascii="Times New Roman" w:hAnsi="Times New Roman" w:cs="Times New Roman"/>
                <w:b/>
                <w:sz w:val="24"/>
                <w:szCs w:val="24"/>
              </w:rPr>
            </w:pPr>
            <w:r w:rsidRPr="003535BC">
              <w:rPr>
                <w:rFonts w:ascii="Times New Roman" w:hAnsi="Times New Roman" w:cs="Times New Roman"/>
                <w:b/>
                <w:sz w:val="24"/>
                <w:szCs w:val="24"/>
              </w:rPr>
              <w:t>У разі недотримання попереднім постачальником мінімального стандарту якості послуг постачання природного газу, визначеного підпунктом 3 пункту 3.2 цієї глави, компенсація надається шляхом перерахування коштів попереднім постачальником споживачу, з яким був укладений договір постачання природного газу, за банківськими реквізитами, наданими споживачем, у строк не більше 45 днів з дня недотримання мінімального стандарту якості.</w:t>
            </w:r>
          </w:p>
        </w:tc>
      </w:tr>
      <w:tr w:rsidR="003535BC" w:rsidRPr="003535BC" w:rsidTr="003535BC">
        <w:tc>
          <w:tcPr>
            <w:tcW w:w="7083" w:type="dxa"/>
          </w:tcPr>
          <w:p w:rsidR="003535BC" w:rsidRPr="003535BC" w:rsidRDefault="003535BC" w:rsidP="00F767D9">
            <w:pPr>
              <w:pStyle w:val="rvps2"/>
              <w:shd w:val="clear" w:color="auto" w:fill="FFFFFF"/>
              <w:spacing w:before="0" w:beforeAutospacing="0" w:after="150" w:afterAutospacing="0"/>
              <w:ind w:firstLine="450"/>
              <w:jc w:val="both"/>
            </w:pPr>
            <w:r w:rsidRPr="003535BC">
              <w:lastRenderedPageBreak/>
              <w:t>Додаток 1</w:t>
            </w:r>
          </w:p>
          <w:p w:rsidR="003535BC" w:rsidRPr="003535BC" w:rsidRDefault="003535BC" w:rsidP="00F767D9">
            <w:pPr>
              <w:pStyle w:val="rvps2"/>
              <w:shd w:val="clear" w:color="auto" w:fill="FFFFFF"/>
              <w:spacing w:before="0" w:beforeAutospacing="0" w:after="150" w:afterAutospacing="0"/>
              <w:ind w:firstLine="450"/>
              <w:jc w:val="both"/>
            </w:pPr>
            <w:r w:rsidRPr="003535BC">
              <w:t>Розмір компенсації за недотримання Оператором ГРМ мінімальних стандартів якості послуг розподілу природного газу</w:t>
            </w:r>
          </w:p>
          <w:p w:rsidR="003535BC" w:rsidRPr="003535BC" w:rsidRDefault="003535BC" w:rsidP="00F767D9">
            <w:pPr>
              <w:pStyle w:val="rvps2"/>
              <w:shd w:val="clear" w:color="auto" w:fill="FFFFFF"/>
              <w:spacing w:before="0" w:beforeAutospacing="0" w:after="150" w:afterAutospacing="0"/>
              <w:ind w:firstLine="450"/>
              <w:jc w:val="both"/>
            </w:pPr>
            <w:r w:rsidRPr="003535BC">
              <w:t>Надання послуги з приєднання до газорозподільної системи -</w:t>
            </w:r>
            <w:r w:rsidRPr="003535BC">
              <w:tab/>
              <w:t>протягом строку, визначеного договором на приєднання до ГРМ -</w:t>
            </w:r>
            <w:r w:rsidRPr="003535BC">
              <w:tab/>
              <w:t>0,01 % вартості послуги приєднання за кожен день прострочення але не більше 100 % вартості приєднання</w:t>
            </w:r>
          </w:p>
        </w:tc>
        <w:tc>
          <w:tcPr>
            <w:tcW w:w="7513" w:type="dxa"/>
          </w:tcPr>
          <w:p w:rsidR="003535BC" w:rsidRPr="003535BC" w:rsidRDefault="003535BC" w:rsidP="00F767D9">
            <w:pPr>
              <w:pStyle w:val="rvps2"/>
              <w:shd w:val="clear" w:color="auto" w:fill="FFFFFF"/>
              <w:spacing w:before="0" w:beforeAutospacing="0" w:after="150" w:afterAutospacing="0"/>
              <w:ind w:firstLine="450"/>
              <w:jc w:val="both"/>
            </w:pPr>
            <w:r w:rsidRPr="003535BC">
              <w:t>Додаток 1</w:t>
            </w:r>
          </w:p>
          <w:p w:rsidR="003535BC" w:rsidRPr="003535BC" w:rsidRDefault="003535BC" w:rsidP="00F767D9">
            <w:pPr>
              <w:pStyle w:val="rvps2"/>
              <w:shd w:val="clear" w:color="auto" w:fill="FFFFFF"/>
              <w:spacing w:before="0" w:beforeAutospacing="0" w:after="150" w:afterAutospacing="0"/>
              <w:ind w:firstLine="450"/>
              <w:jc w:val="both"/>
            </w:pPr>
            <w:r w:rsidRPr="003535BC">
              <w:t>Розмір компенсації за недотримання Оператором ГРМ мінімальних стандартів якості послуг розподілу природного газу</w:t>
            </w:r>
          </w:p>
          <w:p w:rsidR="003535BC" w:rsidRPr="003535BC" w:rsidRDefault="003535BC" w:rsidP="00F767D9">
            <w:pPr>
              <w:pStyle w:val="rvps2"/>
              <w:shd w:val="clear" w:color="auto" w:fill="FFFFFF"/>
              <w:spacing w:before="0" w:beforeAutospacing="0" w:after="150" w:afterAutospacing="0"/>
              <w:ind w:firstLine="450"/>
              <w:jc w:val="both"/>
            </w:pPr>
            <w:r w:rsidRPr="003535BC">
              <w:t>Надання послуги з приєднання до газорозподільної системи -</w:t>
            </w:r>
            <w:r w:rsidRPr="003535BC">
              <w:tab/>
              <w:t>протягом строку, визначеного договором на приєднання до ГРМ -</w:t>
            </w:r>
            <w:r w:rsidRPr="003535BC">
              <w:tab/>
            </w:r>
            <w:r w:rsidRPr="003535BC">
              <w:rPr>
                <w:b/>
              </w:rPr>
              <w:t>600 грн +</w:t>
            </w:r>
            <w:r w:rsidRPr="003535BC">
              <w:t xml:space="preserve"> 0,01 % вартості послуги приєднання за кожен день прострочення але не більше 100 % вартості приєднання</w:t>
            </w:r>
          </w:p>
        </w:tc>
      </w:tr>
      <w:tr w:rsidR="003535BC" w:rsidRPr="003535BC" w:rsidTr="003535BC">
        <w:tc>
          <w:tcPr>
            <w:tcW w:w="7083" w:type="dxa"/>
          </w:tcPr>
          <w:p w:rsidR="003535BC" w:rsidRPr="003535BC" w:rsidRDefault="003535BC" w:rsidP="00F767D9">
            <w:pPr>
              <w:pStyle w:val="rvps2"/>
              <w:shd w:val="clear" w:color="auto" w:fill="FFFFFF"/>
              <w:spacing w:before="0" w:beforeAutospacing="0" w:after="150" w:afterAutospacing="0"/>
              <w:ind w:firstLine="450"/>
              <w:jc w:val="both"/>
            </w:pPr>
            <w:r w:rsidRPr="003535BC">
              <w:t>Додаток 2</w:t>
            </w:r>
          </w:p>
          <w:p w:rsidR="003535BC" w:rsidRPr="003535BC" w:rsidRDefault="003535BC" w:rsidP="00F767D9">
            <w:pPr>
              <w:pStyle w:val="rvps2"/>
              <w:shd w:val="clear" w:color="auto" w:fill="FFFFFF"/>
              <w:spacing w:before="0" w:beforeAutospacing="0" w:after="150" w:afterAutospacing="0"/>
              <w:ind w:firstLine="450"/>
              <w:jc w:val="both"/>
            </w:pPr>
            <w:r w:rsidRPr="003535BC">
              <w:t>…. за банківськими реквізитами замовника</w:t>
            </w:r>
          </w:p>
        </w:tc>
        <w:tc>
          <w:tcPr>
            <w:tcW w:w="7513" w:type="dxa"/>
          </w:tcPr>
          <w:p w:rsidR="003535BC" w:rsidRPr="003535BC" w:rsidRDefault="003535BC" w:rsidP="00F767D9">
            <w:pPr>
              <w:pStyle w:val="rvps2"/>
              <w:shd w:val="clear" w:color="auto" w:fill="FFFFFF"/>
              <w:spacing w:before="0" w:beforeAutospacing="0" w:after="150" w:afterAutospacing="0"/>
              <w:ind w:firstLine="450"/>
              <w:jc w:val="both"/>
            </w:pPr>
            <w:r w:rsidRPr="003535BC">
              <w:t>Додаток 2</w:t>
            </w:r>
          </w:p>
          <w:p w:rsidR="003535BC" w:rsidRPr="00F5217D" w:rsidRDefault="003535BC" w:rsidP="00F5217D">
            <w:pPr>
              <w:pStyle w:val="rvps2"/>
              <w:shd w:val="clear" w:color="auto" w:fill="FFFFFF"/>
              <w:spacing w:before="0" w:beforeAutospacing="0" w:after="150" w:afterAutospacing="0"/>
              <w:ind w:firstLine="450"/>
              <w:jc w:val="both"/>
              <w:rPr>
                <w:b/>
                <w:strike/>
              </w:rPr>
            </w:pPr>
            <w:r w:rsidRPr="003535BC">
              <w:t xml:space="preserve">…. за банківськими реквізитами </w:t>
            </w:r>
            <w:r w:rsidRPr="003535BC">
              <w:rPr>
                <w:b/>
                <w:strike/>
              </w:rPr>
              <w:t>замовника</w:t>
            </w:r>
          </w:p>
        </w:tc>
      </w:tr>
      <w:tr w:rsidR="003535BC" w:rsidRPr="003535BC" w:rsidTr="00E53AF1">
        <w:tc>
          <w:tcPr>
            <w:tcW w:w="14596" w:type="dxa"/>
            <w:gridSpan w:val="2"/>
          </w:tcPr>
          <w:p w:rsidR="003535BC" w:rsidRPr="003535BC" w:rsidRDefault="003535BC" w:rsidP="003535BC">
            <w:pPr>
              <w:pStyle w:val="rvps2"/>
              <w:shd w:val="clear" w:color="auto" w:fill="FFFFFF"/>
              <w:spacing w:before="0" w:beforeAutospacing="0" w:after="150" w:afterAutospacing="0"/>
              <w:ind w:firstLine="450"/>
              <w:jc w:val="center"/>
            </w:pPr>
            <w:r w:rsidRPr="003535BC">
              <w:rPr>
                <w:b/>
                <w:i/>
              </w:rPr>
              <w:t>ФОРМИ ЗВІТНОСТІ ЩОДО ПОКАЗНИКІВ ЯКОСТІ ГАЗОПОСТАЧАННЯ ТА ІНСТРУКЦІЇ ЩОДО ЇХ ЗАПОВНЕННЯ</w:t>
            </w:r>
            <w:r>
              <w:t xml:space="preserve"> </w:t>
            </w:r>
            <w:r w:rsidRPr="003535BC">
              <w:rPr>
                <w:b/>
                <w:i/>
              </w:rPr>
              <w:t>(постанова НКРЕКП від 10.11.2022  № 1416)</w:t>
            </w:r>
          </w:p>
        </w:tc>
      </w:tr>
      <w:tr w:rsidR="003535BC" w:rsidRPr="003535BC" w:rsidTr="00D020C8">
        <w:tc>
          <w:tcPr>
            <w:tcW w:w="14596" w:type="dxa"/>
            <w:gridSpan w:val="2"/>
          </w:tcPr>
          <w:p w:rsidR="003535BC" w:rsidRPr="0089191B" w:rsidRDefault="003535BC" w:rsidP="003535BC">
            <w:pPr>
              <w:jc w:val="center"/>
              <w:rPr>
                <w:rFonts w:ascii="Times New Roman" w:hAnsi="Times New Roman" w:cs="Times New Roman"/>
              </w:rPr>
            </w:pPr>
            <w:r w:rsidRPr="0089191B">
              <w:rPr>
                <w:rFonts w:ascii="Times New Roman" w:hAnsi="Times New Roman" w:cs="Times New Roman"/>
                <w:b/>
              </w:rPr>
              <w:t>Форма звітності № 2-НКРЕКП-газ-якість-розподіл (річна) «Звіт щодо безпеки газорозподільних систем»</w:t>
            </w:r>
          </w:p>
        </w:tc>
      </w:tr>
      <w:tr w:rsidR="003535BC" w:rsidRPr="003535BC" w:rsidTr="003535BC">
        <w:tc>
          <w:tcPr>
            <w:tcW w:w="7083" w:type="dxa"/>
          </w:tcPr>
          <w:p w:rsidR="003535BC" w:rsidRPr="003535BC" w:rsidRDefault="003535BC" w:rsidP="003535BC">
            <w:pPr>
              <w:pStyle w:val="rvps2"/>
              <w:shd w:val="clear" w:color="auto" w:fill="FFFFFF"/>
              <w:spacing w:before="0" w:beforeAutospacing="0" w:after="150" w:afterAutospacing="0"/>
              <w:ind w:firstLine="450"/>
              <w:jc w:val="both"/>
            </w:pPr>
            <w:r>
              <w:t>005 «</w:t>
            </w:r>
            <w:r w:rsidRPr="003535BC">
              <w:t>Протяжність газопроводів, що обліковуються на балансі Оператора ГРМ, станом на кінець звітного періоду, у т. ч.:</w:t>
            </w:r>
            <w:r>
              <w:t>»</w:t>
            </w:r>
          </w:p>
        </w:tc>
        <w:tc>
          <w:tcPr>
            <w:tcW w:w="7513" w:type="dxa"/>
          </w:tcPr>
          <w:p w:rsidR="003535BC" w:rsidRPr="003535BC" w:rsidRDefault="003535BC" w:rsidP="003535BC">
            <w:pPr>
              <w:pStyle w:val="rvps2"/>
              <w:shd w:val="clear" w:color="auto" w:fill="FFFFFF"/>
              <w:spacing w:before="0" w:beforeAutospacing="0" w:after="150" w:afterAutospacing="0"/>
              <w:ind w:firstLine="450"/>
              <w:jc w:val="both"/>
            </w:pPr>
            <w:r>
              <w:t>005 «</w:t>
            </w:r>
            <w:r w:rsidRPr="003535BC">
              <w:t>Протяжність газопроводів, що обліковуються на балансі/</w:t>
            </w:r>
            <w:r w:rsidRPr="003535BC">
              <w:rPr>
                <w:b/>
              </w:rPr>
              <w:t>є в обслуговуванні</w:t>
            </w:r>
            <w:r w:rsidRPr="003535BC">
              <w:t xml:space="preserve"> Оператора ГРМ, станом на кінець звітного періоду, у т. ч.:</w:t>
            </w:r>
            <w:r>
              <w:t>»</w:t>
            </w:r>
          </w:p>
        </w:tc>
      </w:tr>
      <w:tr w:rsidR="003535BC" w:rsidRPr="003535BC" w:rsidTr="009F2988">
        <w:tc>
          <w:tcPr>
            <w:tcW w:w="14596" w:type="dxa"/>
            <w:gridSpan w:val="2"/>
          </w:tcPr>
          <w:p w:rsidR="003535BC" w:rsidRPr="0089191B" w:rsidRDefault="003535BC" w:rsidP="003535BC">
            <w:pPr>
              <w:jc w:val="center"/>
              <w:rPr>
                <w:rFonts w:ascii="Times New Roman" w:hAnsi="Times New Roman" w:cs="Times New Roman"/>
                <w:b/>
              </w:rPr>
            </w:pPr>
            <w:r w:rsidRPr="0089191B">
              <w:rPr>
                <w:rFonts w:ascii="Times New Roman" w:hAnsi="Times New Roman" w:cs="Times New Roman"/>
                <w:b/>
              </w:rPr>
              <w:t xml:space="preserve">Інструкція </w:t>
            </w:r>
            <w:r w:rsidRPr="0089191B">
              <w:rPr>
                <w:rFonts w:ascii="Times New Roman" w:hAnsi="Times New Roman" w:cs="Times New Roman"/>
                <w:b/>
              </w:rPr>
              <w:t>щодо заповнення форми звітності № 2-НКРЕКП-газ-якість-розподіл (річна) «Звіт щодо безпеки газорозподільних систем»</w:t>
            </w:r>
          </w:p>
        </w:tc>
      </w:tr>
      <w:tr w:rsidR="003535BC" w:rsidRPr="003535BC" w:rsidTr="003535BC">
        <w:tc>
          <w:tcPr>
            <w:tcW w:w="7083" w:type="dxa"/>
          </w:tcPr>
          <w:p w:rsidR="003535BC" w:rsidRPr="003535BC" w:rsidRDefault="003535BC" w:rsidP="003535BC">
            <w:pPr>
              <w:pStyle w:val="rvps2"/>
              <w:shd w:val="clear" w:color="auto" w:fill="FFFFFF"/>
              <w:spacing w:before="0" w:beforeAutospacing="0" w:after="150" w:afterAutospacing="0"/>
              <w:ind w:firstLine="450"/>
              <w:jc w:val="both"/>
            </w:pPr>
            <w:r w:rsidRPr="003535BC">
              <w:t xml:space="preserve">1) у рядку 005 «Протяжність газопроводів, що обліковуються на балансі Оператора ГРМ, станом на кінець звітного періоду, у т. ч.:» зазначаються сумарні дані щодо протяжності газопроводів, що </w:t>
            </w:r>
            <w:r w:rsidRPr="003535BC">
              <w:lastRenderedPageBreak/>
              <w:t>обліковуються на балансі Оператора ГРМ, станом на кінець звітного року та за типами газопроводів (рядки 010 - 030) з точністю до трьох знаків після коми. Значення рядка 005 дорівнює сумі значень рядків 010, 025 та 030. Дані щодо протяжності розподільних газопроводів мають узгоджуватись з даними розділу Х «Основні техніко-економічні показники активів у розрізі форми власності» форми звітності № 8а-НКРЕКП-газ-моніторинг (річна) «Звіт про забезпечення доступу та приєднання до газорозподільної системи», затвердженої постановою НКРЕКП від 07 липня 2016 року № 1234, щодо протяжності розподільних газопроводів, які є на балансі (в обслуговуванні) ліцензіата;</w:t>
            </w:r>
          </w:p>
        </w:tc>
        <w:tc>
          <w:tcPr>
            <w:tcW w:w="7513" w:type="dxa"/>
          </w:tcPr>
          <w:p w:rsidR="003535BC" w:rsidRPr="003535BC" w:rsidRDefault="003535BC" w:rsidP="003535BC">
            <w:pPr>
              <w:pStyle w:val="rvps2"/>
              <w:shd w:val="clear" w:color="auto" w:fill="FFFFFF"/>
              <w:spacing w:before="0" w:beforeAutospacing="0" w:after="150" w:afterAutospacing="0"/>
              <w:ind w:firstLine="450"/>
              <w:jc w:val="both"/>
            </w:pPr>
            <w:r w:rsidRPr="003535BC">
              <w:lastRenderedPageBreak/>
              <w:t>1) у рядку 005 «Протяжність газопроводів, що обліковуються на балансі/</w:t>
            </w:r>
            <w:r w:rsidRPr="003535BC">
              <w:rPr>
                <w:b/>
              </w:rPr>
              <w:t>є в обслуговуванні</w:t>
            </w:r>
            <w:r w:rsidRPr="003535BC">
              <w:t xml:space="preserve"> Оператора ГРМ, станом на кінець звітного періоду, у т. ч.:» зазначаються сумарні дані щодо протяжності </w:t>
            </w:r>
            <w:r w:rsidRPr="003535BC">
              <w:lastRenderedPageBreak/>
              <w:t>газопроводів, що обліковуються на балансі/</w:t>
            </w:r>
            <w:r w:rsidRPr="003535BC">
              <w:rPr>
                <w:b/>
              </w:rPr>
              <w:t>є в обслуговуванні</w:t>
            </w:r>
            <w:r w:rsidRPr="003535BC">
              <w:t>, Оператора ГРМ, станом на кінець звітного року та за типами газопроводів (рядки 010 - 030) з точністю до трьох знаків після коми. Значення рядка 005 дорівнює сумі значень рядків 010, 025 та 030. Дані щодо протяжності розподільних газопроводів мають узгоджуватись з даними розділу Х «Основні техніко-економічні показники активів у розрізі форми власності» форми звітності № 8а-НКРЕКП-газ-моніторинг (річна) «Звіт про забезпечення доступу та приєднання до газорозподільної системи», затвердженої постановою НКРЕКП від 07 липня 2016 року № 1234, щодо протяжності розподільних газопроводів, які є на балансі (в обслуговуванні) ліцензіата;</w:t>
            </w:r>
          </w:p>
        </w:tc>
      </w:tr>
      <w:tr w:rsidR="003535BC" w:rsidRPr="003535BC" w:rsidTr="000D336A">
        <w:tc>
          <w:tcPr>
            <w:tcW w:w="14596" w:type="dxa"/>
            <w:gridSpan w:val="2"/>
          </w:tcPr>
          <w:p w:rsidR="003535BC" w:rsidRPr="0089191B" w:rsidRDefault="00F5217D" w:rsidP="003535BC">
            <w:pPr>
              <w:jc w:val="center"/>
              <w:rPr>
                <w:rFonts w:ascii="Times New Roman" w:hAnsi="Times New Roman" w:cs="Times New Roman"/>
                <w:b/>
              </w:rPr>
            </w:pPr>
            <w:r w:rsidRPr="0089191B">
              <w:rPr>
                <w:rFonts w:ascii="Times New Roman" w:hAnsi="Times New Roman" w:cs="Times New Roman"/>
                <w:b/>
              </w:rPr>
              <w:lastRenderedPageBreak/>
              <w:t xml:space="preserve">Інструкція </w:t>
            </w:r>
            <w:r w:rsidR="003535BC" w:rsidRPr="0089191B">
              <w:rPr>
                <w:rFonts w:ascii="Times New Roman" w:hAnsi="Times New Roman" w:cs="Times New Roman"/>
                <w:b/>
              </w:rPr>
              <w:t>щодо заповнення форми звітності № 3-НКРЕКП-газ-якість-розподіл (квартальна) «Звіт щодо показників комерційної якості надання послуг розподілу природного газу та надання компенсацій споживачам»</w:t>
            </w:r>
          </w:p>
        </w:tc>
      </w:tr>
      <w:tr w:rsidR="003535BC" w:rsidRPr="003535BC" w:rsidTr="003535BC">
        <w:tc>
          <w:tcPr>
            <w:tcW w:w="7083" w:type="dxa"/>
          </w:tcPr>
          <w:p w:rsidR="003535BC" w:rsidRPr="003535BC" w:rsidRDefault="003535BC" w:rsidP="003535BC">
            <w:pPr>
              <w:pStyle w:val="rvps2"/>
              <w:shd w:val="clear" w:color="auto" w:fill="FFFFFF"/>
              <w:spacing w:before="0" w:beforeAutospacing="0" w:after="150" w:afterAutospacing="0"/>
              <w:ind w:firstLine="450"/>
              <w:jc w:val="both"/>
            </w:pPr>
            <w:r w:rsidRPr="003535BC">
              <w:rPr>
                <w:lang w:val="ru-RU"/>
              </w:rPr>
              <w:t>3</w:t>
            </w:r>
            <w:r w:rsidRPr="003535BC">
              <w:t>.3.</w:t>
            </w:r>
          </w:p>
          <w:p w:rsidR="003535BC" w:rsidRPr="003535BC" w:rsidRDefault="003535BC" w:rsidP="003535BC">
            <w:pPr>
              <w:pStyle w:val="rvps2"/>
              <w:shd w:val="clear" w:color="auto" w:fill="FFFFFF"/>
              <w:spacing w:before="0" w:beforeAutospacing="0" w:after="150" w:afterAutospacing="0"/>
              <w:ind w:firstLine="450"/>
              <w:jc w:val="both"/>
            </w:pPr>
            <w:r w:rsidRPr="003535BC">
              <w:t>…</w:t>
            </w:r>
          </w:p>
          <w:p w:rsidR="003535BC" w:rsidRPr="003535BC" w:rsidRDefault="003535BC" w:rsidP="003535BC">
            <w:pPr>
              <w:pStyle w:val="rvps2"/>
              <w:shd w:val="clear" w:color="auto" w:fill="FFFFFF"/>
              <w:spacing w:before="0" w:beforeAutospacing="0" w:after="150" w:afterAutospacing="0"/>
              <w:ind w:firstLine="450"/>
              <w:jc w:val="both"/>
            </w:pPr>
            <w:r w:rsidRPr="003535BC">
              <w:t>графа 11 – дата завершення надання послуги:</w:t>
            </w:r>
          </w:p>
          <w:p w:rsidR="003535BC" w:rsidRPr="003535BC" w:rsidRDefault="003535BC" w:rsidP="003535BC">
            <w:pPr>
              <w:ind w:firstLine="708"/>
              <w:rPr>
                <w:rFonts w:ascii="Times New Roman" w:hAnsi="Times New Roman" w:cs="Times New Roman"/>
                <w:sz w:val="24"/>
                <w:szCs w:val="24"/>
              </w:rPr>
            </w:pPr>
            <w:r w:rsidRPr="003535BC">
              <w:rPr>
                <w:rFonts w:ascii="Times New Roman" w:hAnsi="Times New Roman" w:cs="Times New Roman"/>
                <w:sz w:val="24"/>
                <w:szCs w:val="24"/>
              </w:rPr>
              <w:t xml:space="preserve">з погодження </w:t>
            </w:r>
            <w:proofErr w:type="spellStart"/>
            <w:r w:rsidRPr="003535BC">
              <w:rPr>
                <w:rFonts w:ascii="Times New Roman" w:hAnsi="Times New Roman" w:cs="Times New Roman"/>
                <w:sz w:val="24"/>
                <w:szCs w:val="24"/>
              </w:rPr>
              <w:t>проєкту</w:t>
            </w:r>
            <w:proofErr w:type="spellEnd"/>
            <w:r w:rsidRPr="003535BC">
              <w:rPr>
                <w:rFonts w:ascii="Times New Roman" w:hAnsi="Times New Roman" w:cs="Times New Roman"/>
                <w:sz w:val="24"/>
                <w:szCs w:val="24"/>
              </w:rPr>
              <w:t xml:space="preserve"> зовнішнього газопостачання та його кошторисної частини у разі його розробки замовником або надання вичерпного переліку зауважень до нього – дата надання споживачеві повідомлення про погодження </w:t>
            </w:r>
            <w:proofErr w:type="spellStart"/>
            <w:r w:rsidRPr="003535BC">
              <w:rPr>
                <w:rFonts w:ascii="Times New Roman" w:hAnsi="Times New Roman" w:cs="Times New Roman"/>
                <w:sz w:val="24"/>
                <w:szCs w:val="24"/>
              </w:rPr>
              <w:t>проєкту</w:t>
            </w:r>
            <w:proofErr w:type="spellEnd"/>
            <w:r w:rsidRPr="003535BC">
              <w:rPr>
                <w:rFonts w:ascii="Times New Roman" w:hAnsi="Times New Roman" w:cs="Times New Roman"/>
                <w:sz w:val="24"/>
                <w:szCs w:val="24"/>
              </w:rPr>
              <w:t xml:space="preserve"> зовнішнього газопостачання та його кошторисної частини, зафіксована у джерелах інформації;</w:t>
            </w:r>
          </w:p>
        </w:tc>
        <w:tc>
          <w:tcPr>
            <w:tcW w:w="7513" w:type="dxa"/>
          </w:tcPr>
          <w:p w:rsidR="003535BC" w:rsidRPr="003535BC" w:rsidRDefault="003535BC" w:rsidP="003535BC">
            <w:pPr>
              <w:pStyle w:val="rvps2"/>
              <w:shd w:val="clear" w:color="auto" w:fill="FFFFFF"/>
              <w:spacing w:before="0" w:beforeAutospacing="0" w:after="150" w:afterAutospacing="0"/>
              <w:ind w:firstLine="450"/>
              <w:jc w:val="both"/>
            </w:pPr>
            <w:r w:rsidRPr="003535BC">
              <w:rPr>
                <w:lang w:val="ru-RU"/>
              </w:rPr>
              <w:t>3</w:t>
            </w:r>
            <w:r w:rsidRPr="003535BC">
              <w:t>.3.</w:t>
            </w:r>
          </w:p>
          <w:p w:rsidR="003535BC" w:rsidRPr="003535BC" w:rsidRDefault="003535BC" w:rsidP="003535BC">
            <w:pPr>
              <w:pStyle w:val="rvps2"/>
              <w:shd w:val="clear" w:color="auto" w:fill="FFFFFF"/>
              <w:spacing w:before="0" w:beforeAutospacing="0" w:after="150" w:afterAutospacing="0"/>
              <w:ind w:firstLine="450"/>
              <w:jc w:val="both"/>
            </w:pPr>
            <w:r w:rsidRPr="003535BC">
              <w:t>…</w:t>
            </w:r>
          </w:p>
          <w:p w:rsidR="003535BC" w:rsidRPr="003535BC" w:rsidRDefault="003535BC" w:rsidP="003535BC">
            <w:pPr>
              <w:pStyle w:val="rvps2"/>
              <w:shd w:val="clear" w:color="auto" w:fill="FFFFFF"/>
              <w:spacing w:before="0" w:beforeAutospacing="0" w:after="150" w:afterAutospacing="0"/>
              <w:ind w:firstLine="450"/>
              <w:jc w:val="both"/>
            </w:pPr>
            <w:r w:rsidRPr="003535BC">
              <w:t>графа 11 – дата завершення надання послуги:</w:t>
            </w:r>
          </w:p>
          <w:p w:rsidR="003535BC" w:rsidRPr="003535BC" w:rsidRDefault="003535BC" w:rsidP="003535BC">
            <w:pPr>
              <w:ind w:firstLine="708"/>
              <w:jc w:val="both"/>
              <w:rPr>
                <w:rFonts w:ascii="Times New Roman" w:hAnsi="Times New Roman" w:cs="Times New Roman"/>
                <w:sz w:val="24"/>
                <w:szCs w:val="24"/>
              </w:rPr>
            </w:pPr>
            <w:r w:rsidRPr="003535BC">
              <w:rPr>
                <w:rFonts w:ascii="Times New Roman" w:hAnsi="Times New Roman" w:cs="Times New Roman"/>
                <w:sz w:val="24"/>
                <w:szCs w:val="24"/>
              </w:rPr>
              <w:t xml:space="preserve">з погодження </w:t>
            </w:r>
            <w:proofErr w:type="spellStart"/>
            <w:r w:rsidRPr="003535BC">
              <w:rPr>
                <w:rFonts w:ascii="Times New Roman" w:hAnsi="Times New Roman" w:cs="Times New Roman"/>
                <w:sz w:val="24"/>
                <w:szCs w:val="24"/>
              </w:rPr>
              <w:t>проєкту</w:t>
            </w:r>
            <w:proofErr w:type="spellEnd"/>
            <w:r w:rsidRPr="003535BC">
              <w:rPr>
                <w:rFonts w:ascii="Times New Roman" w:hAnsi="Times New Roman" w:cs="Times New Roman"/>
                <w:sz w:val="24"/>
                <w:szCs w:val="24"/>
              </w:rPr>
              <w:t xml:space="preserve"> зовнішнього газопостачання та його кошторисної частини у разі його розробки замовником або надання вичерпного переліку зауважень до нього – дата надання споживачеві повідомлення про погодження </w:t>
            </w:r>
            <w:proofErr w:type="spellStart"/>
            <w:r w:rsidRPr="003535BC">
              <w:rPr>
                <w:rFonts w:ascii="Times New Roman" w:hAnsi="Times New Roman" w:cs="Times New Roman"/>
                <w:sz w:val="24"/>
                <w:szCs w:val="24"/>
              </w:rPr>
              <w:t>проєкту</w:t>
            </w:r>
            <w:proofErr w:type="spellEnd"/>
            <w:r w:rsidRPr="003535BC">
              <w:rPr>
                <w:rFonts w:ascii="Times New Roman" w:hAnsi="Times New Roman" w:cs="Times New Roman"/>
                <w:sz w:val="24"/>
                <w:szCs w:val="24"/>
              </w:rPr>
              <w:t xml:space="preserve"> зовнішнього газопостачання та його кошторисної частини </w:t>
            </w:r>
            <w:r w:rsidRPr="003535BC">
              <w:rPr>
                <w:rFonts w:ascii="Times New Roman" w:hAnsi="Times New Roman" w:cs="Times New Roman"/>
                <w:b/>
                <w:sz w:val="24"/>
                <w:szCs w:val="24"/>
              </w:rPr>
              <w:t>або надання вичерпного переліку зауважень до нього</w:t>
            </w:r>
            <w:r w:rsidRPr="003535BC">
              <w:rPr>
                <w:rFonts w:ascii="Times New Roman" w:hAnsi="Times New Roman" w:cs="Times New Roman"/>
                <w:sz w:val="24"/>
                <w:szCs w:val="24"/>
              </w:rPr>
              <w:t>, зафіксована у джерелах інформації;</w:t>
            </w:r>
          </w:p>
        </w:tc>
      </w:tr>
      <w:tr w:rsidR="003535BC" w:rsidRPr="003535BC" w:rsidTr="003535BC">
        <w:tc>
          <w:tcPr>
            <w:tcW w:w="7083" w:type="dxa"/>
          </w:tcPr>
          <w:p w:rsidR="003535BC" w:rsidRPr="003535BC" w:rsidRDefault="003535BC" w:rsidP="003535BC">
            <w:pPr>
              <w:rPr>
                <w:rFonts w:ascii="Times New Roman" w:hAnsi="Times New Roman" w:cs="Times New Roman"/>
                <w:sz w:val="24"/>
                <w:szCs w:val="24"/>
              </w:rPr>
            </w:pPr>
            <w:r w:rsidRPr="003535BC">
              <w:rPr>
                <w:rFonts w:ascii="Times New Roman" w:hAnsi="Times New Roman" w:cs="Times New Roman"/>
                <w:sz w:val="24"/>
                <w:szCs w:val="24"/>
              </w:rPr>
              <w:t>3.7. Реєстр надання компенсацій споживачам (замовникам) формується згідно з додатком 3 до цієї Інструкції.</w:t>
            </w:r>
          </w:p>
          <w:p w:rsidR="003535BC" w:rsidRPr="003535BC" w:rsidRDefault="003535BC" w:rsidP="003535BC">
            <w:pPr>
              <w:pStyle w:val="rvps2"/>
              <w:shd w:val="clear" w:color="auto" w:fill="FFFFFF"/>
              <w:spacing w:before="0" w:beforeAutospacing="0" w:after="150" w:afterAutospacing="0"/>
              <w:ind w:firstLine="450"/>
              <w:jc w:val="both"/>
            </w:pPr>
            <w:r w:rsidRPr="003535BC">
              <w:t>…</w:t>
            </w:r>
          </w:p>
          <w:p w:rsidR="003535BC" w:rsidRPr="003535BC" w:rsidRDefault="003535BC" w:rsidP="003535BC">
            <w:pPr>
              <w:rPr>
                <w:rFonts w:ascii="Times New Roman" w:hAnsi="Times New Roman" w:cs="Times New Roman"/>
                <w:sz w:val="24"/>
                <w:szCs w:val="24"/>
              </w:rPr>
            </w:pPr>
            <w:r w:rsidRPr="003535BC">
              <w:rPr>
                <w:rFonts w:ascii="Times New Roman" w:hAnsi="Times New Roman" w:cs="Times New Roman"/>
                <w:sz w:val="24"/>
                <w:szCs w:val="24"/>
              </w:rPr>
              <w:t>Графи реєстру заповнюються таким чином:</w:t>
            </w:r>
          </w:p>
          <w:p w:rsidR="003535BC" w:rsidRPr="003535BC" w:rsidRDefault="003535BC" w:rsidP="003535BC">
            <w:pPr>
              <w:rPr>
                <w:rFonts w:ascii="Times New Roman" w:hAnsi="Times New Roman" w:cs="Times New Roman"/>
                <w:sz w:val="24"/>
                <w:szCs w:val="24"/>
              </w:rPr>
            </w:pPr>
            <w:r w:rsidRPr="003535BC">
              <w:rPr>
                <w:rFonts w:ascii="Times New Roman" w:hAnsi="Times New Roman" w:cs="Times New Roman"/>
                <w:sz w:val="24"/>
                <w:szCs w:val="24"/>
              </w:rPr>
              <w:t>…</w:t>
            </w:r>
          </w:p>
          <w:p w:rsidR="003535BC" w:rsidRPr="003535BC" w:rsidRDefault="003535BC" w:rsidP="003535BC">
            <w:pPr>
              <w:pStyle w:val="rvps2"/>
              <w:shd w:val="clear" w:color="auto" w:fill="FFFFFF"/>
              <w:spacing w:before="0" w:beforeAutospacing="0" w:after="150" w:afterAutospacing="0"/>
              <w:ind w:firstLine="450"/>
              <w:jc w:val="both"/>
            </w:pPr>
            <w:r w:rsidRPr="003535BC">
              <w:t>графа 7 – дата недотримання мінімального стандарту якості;</w:t>
            </w:r>
          </w:p>
          <w:p w:rsidR="003535BC" w:rsidRPr="003535BC" w:rsidRDefault="003535BC" w:rsidP="003535BC">
            <w:pPr>
              <w:pStyle w:val="rvps2"/>
              <w:shd w:val="clear" w:color="auto" w:fill="FFFFFF"/>
              <w:spacing w:before="0" w:beforeAutospacing="0" w:after="150" w:afterAutospacing="0"/>
              <w:ind w:firstLine="450"/>
              <w:jc w:val="both"/>
            </w:pPr>
          </w:p>
          <w:p w:rsidR="003535BC" w:rsidRPr="003535BC" w:rsidRDefault="003535BC" w:rsidP="003535BC">
            <w:pPr>
              <w:pStyle w:val="rvps2"/>
              <w:shd w:val="clear" w:color="auto" w:fill="FFFFFF"/>
              <w:spacing w:before="0" w:beforeAutospacing="0" w:after="150" w:afterAutospacing="0"/>
              <w:ind w:firstLine="450"/>
              <w:jc w:val="both"/>
            </w:pPr>
          </w:p>
          <w:p w:rsidR="003535BC" w:rsidRDefault="003535BC" w:rsidP="003535BC">
            <w:pPr>
              <w:pStyle w:val="rvps2"/>
              <w:shd w:val="clear" w:color="auto" w:fill="FFFFFF"/>
              <w:spacing w:before="0" w:beforeAutospacing="0" w:after="150" w:afterAutospacing="0"/>
              <w:jc w:val="both"/>
            </w:pPr>
          </w:p>
          <w:p w:rsidR="00F5217D" w:rsidRPr="003535BC" w:rsidRDefault="00F5217D" w:rsidP="003535BC">
            <w:pPr>
              <w:pStyle w:val="rvps2"/>
              <w:shd w:val="clear" w:color="auto" w:fill="FFFFFF"/>
              <w:spacing w:before="0" w:beforeAutospacing="0" w:after="150" w:afterAutospacing="0"/>
              <w:jc w:val="both"/>
            </w:pPr>
          </w:p>
          <w:p w:rsidR="003535BC" w:rsidRPr="003535BC" w:rsidRDefault="003535BC" w:rsidP="003535BC">
            <w:pPr>
              <w:rPr>
                <w:rFonts w:ascii="Times New Roman" w:hAnsi="Times New Roman" w:cs="Times New Roman"/>
                <w:sz w:val="24"/>
                <w:szCs w:val="24"/>
              </w:rPr>
            </w:pPr>
            <w:r w:rsidRPr="003535BC">
              <w:rPr>
                <w:rFonts w:ascii="Times New Roman" w:hAnsi="Times New Roman" w:cs="Times New Roman"/>
                <w:sz w:val="24"/>
                <w:szCs w:val="24"/>
              </w:rPr>
              <w:t>графа 10 – спосіб надання компенсації (урахування в рахунку споживача за отримані послуги розподілу природного газу, у рахунок зменшення плати за приєднання або шляхом перерахування коштів за банківськими реквізитами замовника);</w:t>
            </w:r>
          </w:p>
          <w:p w:rsidR="003535BC" w:rsidRPr="003535BC" w:rsidRDefault="003535BC" w:rsidP="003535BC">
            <w:pPr>
              <w:pStyle w:val="rvps2"/>
              <w:shd w:val="clear" w:color="auto" w:fill="FFFFFF"/>
              <w:spacing w:before="0" w:beforeAutospacing="0" w:after="150" w:afterAutospacing="0"/>
              <w:jc w:val="both"/>
            </w:pPr>
          </w:p>
        </w:tc>
        <w:tc>
          <w:tcPr>
            <w:tcW w:w="7513" w:type="dxa"/>
          </w:tcPr>
          <w:p w:rsidR="003535BC" w:rsidRPr="003535BC" w:rsidRDefault="003535BC" w:rsidP="003535BC">
            <w:pPr>
              <w:jc w:val="both"/>
              <w:rPr>
                <w:rFonts w:ascii="Times New Roman" w:hAnsi="Times New Roman" w:cs="Times New Roman"/>
                <w:sz w:val="24"/>
                <w:szCs w:val="24"/>
              </w:rPr>
            </w:pPr>
            <w:r w:rsidRPr="003535BC">
              <w:rPr>
                <w:rFonts w:ascii="Times New Roman" w:hAnsi="Times New Roman" w:cs="Times New Roman"/>
                <w:sz w:val="24"/>
                <w:szCs w:val="24"/>
              </w:rPr>
              <w:lastRenderedPageBreak/>
              <w:t>3.7. Реєстр надання компенсацій споживачам (замовникам) формується згідно з додатком 3 до цієї Інструкції.</w:t>
            </w:r>
          </w:p>
          <w:p w:rsidR="003535BC" w:rsidRPr="003535BC" w:rsidRDefault="003535BC" w:rsidP="003535BC">
            <w:pPr>
              <w:pStyle w:val="rvps2"/>
              <w:shd w:val="clear" w:color="auto" w:fill="FFFFFF"/>
              <w:spacing w:before="0" w:beforeAutospacing="0" w:after="150" w:afterAutospacing="0"/>
              <w:ind w:firstLine="450"/>
              <w:jc w:val="both"/>
            </w:pPr>
            <w:r w:rsidRPr="003535BC">
              <w:t>…</w:t>
            </w:r>
          </w:p>
          <w:p w:rsidR="003535BC" w:rsidRPr="003535BC" w:rsidRDefault="003535BC" w:rsidP="003535BC">
            <w:pPr>
              <w:jc w:val="both"/>
              <w:rPr>
                <w:rFonts w:ascii="Times New Roman" w:hAnsi="Times New Roman" w:cs="Times New Roman"/>
                <w:sz w:val="24"/>
                <w:szCs w:val="24"/>
              </w:rPr>
            </w:pPr>
            <w:r w:rsidRPr="003535BC">
              <w:rPr>
                <w:rFonts w:ascii="Times New Roman" w:hAnsi="Times New Roman" w:cs="Times New Roman"/>
                <w:sz w:val="24"/>
                <w:szCs w:val="24"/>
              </w:rPr>
              <w:t>Графи реєстру заповнюються таким чином:</w:t>
            </w:r>
          </w:p>
          <w:p w:rsidR="003535BC" w:rsidRPr="003535BC" w:rsidRDefault="003535BC" w:rsidP="003535BC">
            <w:pPr>
              <w:jc w:val="both"/>
              <w:rPr>
                <w:rFonts w:ascii="Times New Roman" w:hAnsi="Times New Roman" w:cs="Times New Roman"/>
                <w:sz w:val="24"/>
                <w:szCs w:val="24"/>
              </w:rPr>
            </w:pPr>
            <w:r w:rsidRPr="003535BC">
              <w:rPr>
                <w:rFonts w:ascii="Times New Roman" w:hAnsi="Times New Roman" w:cs="Times New Roman"/>
                <w:sz w:val="24"/>
                <w:szCs w:val="24"/>
              </w:rPr>
              <w:t>…</w:t>
            </w:r>
          </w:p>
          <w:p w:rsidR="003535BC" w:rsidRPr="003535BC" w:rsidRDefault="003535BC" w:rsidP="003535BC">
            <w:pPr>
              <w:pStyle w:val="rvps2"/>
              <w:shd w:val="clear" w:color="auto" w:fill="FFFFFF"/>
              <w:spacing w:before="0" w:beforeAutospacing="0" w:after="150" w:afterAutospacing="0"/>
              <w:ind w:firstLine="450"/>
              <w:jc w:val="both"/>
              <w:rPr>
                <w:b/>
                <w:shd w:val="clear" w:color="auto" w:fill="FFFFFF"/>
              </w:rPr>
            </w:pPr>
            <w:r w:rsidRPr="003535BC">
              <w:t xml:space="preserve">графа 7 – дата недотримання мінімального стандарту якості. </w:t>
            </w:r>
            <w:r w:rsidRPr="003535BC">
              <w:rPr>
                <w:b/>
                <w:shd w:val="clear" w:color="auto" w:fill="FFFFFF"/>
              </w:rPr>
              <w:t xml:space="preserve">У разі недотримання мінімальних стандартів, визначених підпунктом 8 пункту 2.2 глави 2 Стандартів та вимог, зазначається дата складання </w:t>
            </w:r>
            <w:proofErr w:type="spellStart"/>
            <w:r w:rsidRPr="003535BC">
              <w:rPr>
                <w:b/>
                <w:shd w:val="clear" w:color="auto" w:fill="FFFFFF"/>
              </w:rPr>
              <w:t>акта</w:t>
            </w:r>
            <w:proofErr w:type="spellEnd"/>
            <w:r w:rsidRPr="003535BC">
              <w:rPr>
                <w:b/>
                <w:shd w:val="clear" w:color="auto" w:fill="FFFFFF"/>
              </w:rPr>
              <w:t xml:space="preserve"> виконання послуги приєднання, підпунктом 15 </w:t>
            </w:r>
            <w:r w:rsidRPr="003535BC">
              <w:rPr>
                <w:b/>
                <w:shd w:val="clear" w:color="auto" w:fill="FFFFFF"/>
              </w:rPr>
              <w:lastRenderedPageBreak/>
              <w:t xml:space="preserve">пункту 2.2 глави 2 Стандартів та вимог – дата складання </w:t>
            </w:r>
            <w:proofErr w:type="spellStart"/>
            <w:r w:rsidRPr="003535BC">
              <w:rPr>
                <w:b/>
                <w:shd w:val="clear" w:color="auto" w:fill="FFFFFF"/>
              </w:rPr>
              <w:t>акта</w:t>
            </w:r>
            <w:proofErr w:type="spellEnd"/>
            <w:r w:rsidRPr="003535BC">
              <w:rPr>
                <w:b/>
                <w:shd w:val="clear" w:color="auto" w:fill="FFFFFF"/>
              </w:rPr>
              <w:t xml:space="preserve"> про припинення розподілу природного газу</w:t>
            </w:r>
          </w:p>
          <w:p w:rsidR="003535BC" w:rsidRPr="003535BC" w:rsidRDefault="003535BC" w:rsidP="003535BC">
            <w:pPr>
              <w:jc w:val="both"/>
              <w:rPr>
                <w:rFonts w:ascii="Times New Roman" w:hAnsi="Times New Roman" w:cs="Times New Roman"/>
                <w:sz w:val="24"/>
                <w:szCs w:val="24"/>
              </w:rPr>
            </w:pPr>
            <w:bookmarkStart w:id="1" w:name="_Hlk167270869"/>
            <w:r w:rsidRPr="003535BC">
              <w:rPr>
                <w:rFonts w:ascii="Times New Roman" w:hAnsi="Times New Roman" w:cs="Times New Roman"/>
                <w:sz w:val="24"/>
                <w:szCs w:val="24"/>
              </w:rPr>
              <w:t xml:space="preserve">графа 10 – спосіб надання компенсації (урахування в рахунку споживача за </w:t>
            </w:r>
            <w:r w:rsidRPr="003535BC">
              <w:rPr>
                <w:rFonts w:ascii="Times New Roman" w:hAnsi="Times New Roman" w:cs="Times New Roman"/>
                <w:b/>
                <w:strike/>
                <w:sz w:val="24"/>
                <w:szCs w:val="24"/>
              </w:rPr>
              <w:t>отримані</w:t>
            </w:r>
            <w:r w:rsidRPr="003535BC">
              <w:rPr>
                <w:rFonts w:ascii="Times New Roman" w:hAnsi="Times New Roman" w:cs="Times New Roman"/>
                <w:sz w:val="24"/>
                <w:szCs w:val="24"/>
              </w:rPr>
              <w:t xml:space="preserve"> послуги розподілу природного газу, у рахунок зменшення плати за приєднання або шляхом перерахування коштів за банківськими реквізитами </w:t>
            </w:r>
            <w:r w:rsidRPr="003535BC">
              <w:rPr>
                <w:rFonts w:ascii="Times New Roman" w:hAnsi="Times New Roman" w:cs="Times New Roman"/>
                <w:b/>
                <w:strike/>
                <w:sz w:val="24"/>
                <w:szCs w:val="24"/>
              </w:rPr>
              <w:t>замовника</w:t>
            </w:r>
            <w:r w:rsidRPr="003535BC">
              <w:rPr>
                <w:rFonts w:ascii="Times New Roman" w:hAnsi="Times New Roman" w:cs="Times New Roman"/>
                <w:sz w:val="24"/>
                <w:szCs w:val="24"/>
              </w:rPr>
              <w:t>);</w:t>
            </w:r>
            <w:bookmarkEnd w:id="1"/>
          </w:p>
        </w:tc>
      </w:tr>
      <w:tr w:rsidR="003535BC" w:rsidRPr="003535BC" w:rsidTr="001E2A35">
        <w:tc>
          <w:tcPr>
            <w:tcW w:w="14596" w:type="dxa"/>
            <w:gridSpan w:val="2"/>
          </w:tcPr>
          <w:p w:rsidR="003535BC" w:rsidRPr="0089191B" w:rsidRDefault="003535BC" w:rsidP="003535BC">
            <w:pPr>
              <w:jc w:val="center"/>
              <w:rPr>
                <w:rFonts w:ascii="Times New Roman" w:hAnsi="Times New Roman" w:cs="Times New Roman"/>
                <w:b/>
              </w:rPr>
            </w:pPr>
            <w:r w:rsidRPr="0089191B">
              <w:rPr>
                <w:rFonts w:ascii="Times New Roman" w:hAnsi="Times New Roman" w:cs="Times New Roman"/>
                <w:b/>
              </w:rPr>
              <w:lastRenderedPageBreak/>
              <w:t>Форма</w:t>
            </w:r>
            <w:r w:rsidR="00F5217D">
              <w:rPr>
                <w:rFonts w:ascii="Times New Roman" w:hAnsi="Times New Roman" w:cs="Times New Roman"/>
                <w:b/>
              </w:rPr>
              <w:t xml:space="preserve"> </w:t>
            </w:r>
            <w:r w:rsidR="00F5217D" w:rsidRPr="0089191B">
              <w:rPr>
                <w:rFonts w:ascii="Times New Roman" w:hAnsi="Times New Roman" w:cs="Times New Roman"/>
                <w:b/>
              </w:rPr>
              <w:t>звітності</w:t>
            </w:r>
            <w:r w:rsidRPr="0089191B">
              <w:rPr>
                <w:rFonts w:ascii="Times New Roman" w:hAnsi="Times New Roman" w:cs="Times New Roman"/>
                <w:b/>
              </w:rPr>
              <w:t xml:space="preserve"> № 4-НКРЕКП-газ-якість-постачання (квартальна) «Звіт щодо показників комерційної якості надання послуг з постачання природного газу та надання компенсацій споживачам»</w:t>
            </w:r>
          </w:p>
        </w:tc>
      </w:tr>
      <w:tr w:rsidR="003535BC" w:rsidRPr="003535BC" w:rsidTr="003535BC">
        <w:tc>
          <w:tcPr>
            <w:tcW w:w="7083" w:type="dxa"/>
          </w:tcPr>
          <w:p w:rsidR="003535BC" w:rsidRPr="003535BC" w:rsidRDefault="003535BC" w:rsidP="003535BC">
            <w:pPr>
              <w:rPr>
                <w:rFonts w:ascii="Times New Roman" w:hAnsi="Times New Roman" w:cs="Times New Roman"/>
                <w:sz w:val="24"/>
                <w:szCs w:val="24"/>
              </w:rPr>
            </w:pPr>
            <w:r w:rsidRPr="003535BC">
              <w:rPr>
                <w:rFonts w:ascii="Times New Roman" w:hAnsi="Times New Roman" w:cs="Times New Roman"/>
                <w:sz w:val="24"/>
                <w:szCs w:val="24"/>
              </w:rPr>
              <w:t>Розділ І. Інформація щодо показників комерційної якості надання послуг з постачання природного газу</w:t>
            </w:r>
          </w:p>
          <w:p w:rsidR="003535BC" w:rsidRPr="003535BC" w:rsidRDefault="003535BC" w:rsidP="003535BC">
            <w:pPr>
              <w:rPr>
                <w:rFonts w:ascii="Times New Roman" w:hAnsi="Times New Roman" w:cs="Times New Roman"/>
                <w:sz w:val="24"/>
                <w:szCs w:val="24"/>
              </w:rPr>
            </w:pPr>
          </w:p>
          <w:p w:rsidR="003535BC" w:rsidRPr="003535BC" w:rsidRDefault="003535BC" w:rsidP="003535BC">
            <w:pPr>
              <w:rPr>
                <w:rFonts w:ascii="Times New Roman" w:hAnsi="Times New Roman" w:cs="Times New Roman"/>
                <w:sz w:val="24"/>
                <w:szCs w:val="24"/>
              </w:rPr>
            </w:pPr>
          </w:p>
        </w:tc>
        <w:tc>
          <w:tcPr>
            <w:tcW w:w="7513" w:type="dxa"/>
          </w:tcPr>
          <w:p w:rsidR="003535BC" w:rsidRPr="003535BC" w:rsidRDefault="003535BC" w:rsidP="003535BC">
            <w:pPr>
              <w:jc w:val="both"/>
              <w:rPr>
                <w:rFonts w:ascii="Times New Roman" w:hAnsi="Times New Roman" w:cs="Times New Roman"/>
                <w:sz w:val="24"/>
                <w:szCs w:val="24"/>
              </w:rPr>
            </w:pPr>
            <w:r w:rsidRPr="003535BC">
              <w:rPr>
                <w:rFonts w:ascii="Times New Roman" w:hAnsi="Times New Roman" w:cs="Times New Roman"/>
                <w:sz w:val="24"/>
                <w:szCs w:val="24"/>
              </w:rPr>
              <w:t>Розділ І. Інформація щодо показників комерційної якості надання послуг з постачання природного газу</w:t>
            </w:r>
          </w:p>
          <w:p w:rsidR="003535BC" w:rsidRPr="003535BC" w:rsidRDefault="003535BC" w:rsidP="003535BC">
            <w:pPr>
              <w:jc w:val="both"/>
              <w:rPr>
                <w:rFonts w:ascii="Times New Roman" w:hAnsi="Times New Roman" w:cs="Times New Roman"/>
                <w:b/>
                <w:i/>
                <w:sz w:val="24"/>
                <w:szCs w:val="24"/>
              </w:rPr>
            </w:pPr>
            <w:r w:rsidRPr="003535BC">
              <w:rPr>
                <w:rFonts w:ascii="Times New Roman" w:hAnsi="Times New Roman" w:cs="Times New Roman"/>
                <w:b/>
                <w:i/>
                <w:sz w:val="24"/>
                <w:szCs w:val="24"/>
              </w:rPr>
              <w:t xml:space="preserve">Рядок </w:t>
            </w:r>
            <w:r w:rsidRPr="003535BC">
              <w:rPr>
                <w:rFonts w:ascii="Times New Roman" w:hAnsi="Times New Roman" w:cs="Times New Roman"/>
                <w:b/>
                <w:i/>
                <w:sz w:val="24"/>
                <w:szCs w:val="24"/>
                <w:lang w:val="en-US"/>
              </w:rPr>
              <w:t>S</w:t>
            </w:r>
            <w:r w:rsidRPr="003535BC">
              <w:rPr>
                <w:rFonts w:ascii="Times New Roman" w:hAnsi="Times New Roman" w:cs="Times New Roman"/>
                <w:b/>
                <w:i/>
                <w:sz w:val="24"/>
                <w:szCs w:val="24"/>
                <w:lang w:val="ru-RU"/>
              </w:rPr>
              <w:t>2</w:t>
            </w:r>
            <w:r w:rsidRPr="003535BC">
              <w:rPr>
                <w:rFonts w:ascii="Times New Roman" w:hAnsi="Times New Roman" w:cs="Times New Roman"/>
                <w:b/>
                <w:i/>
                <w:sz w:val="24"/>
                <w:szCs w:val="24"/>
              </w:rPr>
              <w:t xml:space="preserve"> «Надання повідомлення про намір змінити умови договору постачання природного газу для непобутових споживачів (</w:t>
            </w:r>
            <w:bookmarkStart w:id="2" w:name="_Hlk167271199"/>
            <w:r w:rsidRPr="003535BC">
              <w:rPr>
                <w:rFonts w:ascii="Times New Roman" w:hAnsi="Times New Roman" w:cs="Times New Roman"/>
                <w:b/>
                <w:i/>
                <w:sz w:val="24"/>
                <w:szCs w:val="24"/>
              </w:rPr>
              <w:t xml:space="preserve">п. 5 </w:t>
            </w:r>
            <w:bookmarkEnd w:id="2"/>
            <w:r w:rsidRPr="003535BC">
              <w:rPr>
                <w:rFonts w:ascii="Times New Roman" w:hAnsi="Times New Roman" w:cs="Times New Roman"/>
                <w:b/>
                <w:i/>
                <w:sz w:val="24"/>
                <w:szCs w:val="24"/>
              </w:rPr>
              <w:t>розділу ІІ*)» - змінити посилання з п.5 на п.6</w:t>
            </w:r>
            <w:r w:rsidRPr="003535BC">
              <w:rPr>
                <w:rFonts w:ascii="Times New Roman" w:hAnsi="Times New Roman" w:cs="Times New Roman"/>
                <w:b/>
                <w:i/>
                <w:sz w:val="24"/>
                <w:szCs w:val="24"/>
                <w:lang w:val="ru-RU"/>
              </w:rPr>
              <w:t xml:space="preserve"> </w:t>
            </w:r>
            <w:r w:rsidRPr="003535BC">
              <w:rPr>
                <w:rFonts w:ascii="Times New Roman" w:hAnsi="Times New Roman" w:cs="Times New Roman"/>
                <w:b/>
                <w:i/>
                <w:sz w:val="24"/>
                <w:szCs w:val="24"/>
              </w:rPr>
              <w:t>Правил постачання природного газу</w:t>
            </w:r>
          </w:p>
          <w:p w:rsidR="003535BC" w:rsidRPr="003535BC" w:rsidRDefault="003535BC" w:rsidP="003535BC">
            <w:pPr>
              <w:jc w:val="both"/>
              <w:rPr>
                <w:rFonts w:ascii="Times New Roman" w:hAnsi="Times New Roman" w:cs="Times New Roman"/>
                <w:sz w:val="24"/>
                <w:szCs w:val="24"/>
              </w:rPr>
            </w:pPr>
            <w:r w:rsidRPr="003535BC">
              <w:rPr>
                <w:rFonts w:ascii="Times New Roman" w:hAnsi="Times New Roman" w:cs="Times New Roman"/>
                <w:b/>
                <w:i/>
                <w:sz w:val="24"/>
                <w:szCs w:val="24"/>
              </w:rPr>
              <w:t>Доповнити новим рядком 056 – «Разом»</w:t>
            </w:r>
          </w:p>
        </w:tc>
      </w:tr>
      <w:tr w:rsidR="003535BC" w:rsidRPr="003535BC" w:rsidTr="00CE2F17">
        <w:tc>
          <w:tcPr>
            <w:tcW w:w="14596" w:type="dxa"/>
            <w:gridSpan w:val="2"/>
          </w:tcPr>
          <w:p w:rsidR="003535BC" w:rsidRPr="0089191B" w:rsidRDefault="003535BC" w:rsidP="003535BC">
            <w:pPr>
              <w:jc w:val="center"/>
              <w:rPr>
                <w:rFonts w:ascii="Times New Roman" w:hAnsi="Times New Roman" w:cs="Times New Roman"/>
                <w:b/>
              </w:rPr>
            </w:pPr>
            <w:r w:rsidRPr="0089191B">
              <w:rPr>
                <w:rFonts w:ascii="Times New Roman" w:hAnsi="Times New Roman" w:cs="Times New Roman"/>
                <w:b/>
              </w:rPr>
              <w:t xml:space="preserve">Інструкція </w:t>
            </w:r>
            <w:bookmarkStart w:id="3" w:name="_Hlk167271889"/>
            <w:r w:rsidRPr="0089191B">
              <w:rPr>
                <w:rFonts w:ascii="Times New Roman" w:hAnsi="Times New Roman" w:cs="Times New Roman"/>
                <w:b/>
              </w:rPr>
              <w:t xml:space="preserve">щодо заповнення </w:t>
            </w:r>
            <w:bookmarkStart w:id="4" w:name="_Hlk167271111"/>
            <w:r w:rsidRPr="0089191B">
              <w:rPr>
                <w:rFonts w:ascii="Times New Roman" w:hAnsi="Times New Roman" w:cs="Times New Roman"/>
                <w:b/>
              </w:rPr>
              <w:t>форми звітності № 4-НКРЕКП-газ-якість-постачання (квартальна) «Звіт щодо показників комерційної якості надання послуг з постачання природного газу та надання компенсацій споживачам»</w:t>
            </w:r>
            <w:bookmarkEnd w:id="3"/>
            <w:bookmarkEnd w:id="4"/>
          </w:p>
        </w:tc>
      </w:tr>
      <w:tr w:rsidR="003535BC" w:rsidRPr="003535BC" w:rsidTr="003535BC">
        <w:tc>
          <w:tcPr>
            <w:tcW w:w="7083" w:type="dxa"/>
          </w:tcPr>
          <w:p w:rsidR="003535BC" w:rsidRPr="003535BC" w:rsidRDefault="003535BC" w:rsidP="003535BC">
            <w:pPr>
              <w:rPr>
                <w:rFonts w:ascii="Times New Roman" w:hAnsi="Times New Roman" w:cs="Times New Roman"/>
                <w:sz w:val="24"/>
                <w:szCs w:val="24"/>
              </w:rPr>
            </w:pPr>
            <w:r w:rsidRPr="003535BC">
              <w:rPr>
                <w:rFonts w:ascii="Times New Roman" w:hAnsi="Times New Roman" w:cs="Times New Roman"/>
                <w:sz w:val="24"/>
                <w:szCs w:val="24"/>
              </w:rPr>
              <w:t>3.3. Реєстр надання послуг та письмових звернень споживачів формується згідно з додатком 2 до цієї Інструкції.</w:t>
            </w:r>
          </w:p>
          <w:p w:rsidR="003535BC" w:rsidRPr="003535BC" w:rsidRDefault="003535BC" w:rsidP="003535BC">
            <w:pPr>
              <w:rPr>
                <w:rFonts w:ascii="Times New Roman" w:hAnsi="Times New Roman" w:cs="Times New Roman"/>
                <w:sz w:val="24"/>
                <w:szCs w:val="24"/>
              </w:rPr>
            </w:pPr>
            <w:r w:rsidRPr="003535BC">
              <w:rPr>
                <w:rFonts w:ascii="Times New Roman" w:hAnsi="Times New Roman" w:cs="Times New Roman"/>
                <w:sz w:val="24"/>
                <w:szCs w:val="24"/>
              </w:rPr>
              <w:t>…</w:t>
            </w:r>
          </w:p>
          <w:p w:rsidR="003535BC" w:rsidRPr="003535BC" w:rsidRDefault="003535BC" w:rsidP="003535BC">
            <w:pPr>
              <w:rPr>
                <w:rFonts w:ascii="Times New Roman" w:hAnsi="Times New Roman" w:cs="Times New Roman"/>
                <w:sz w:val="24"/>
                <w:szCs w:val="24"/>
              </w:rPr>
            </w:pPr>
            <w:r w:rsidRPr="003535BC">
              <w:rPr>
                <w:rFonts w:ascii="Times New Roman" w:hAnsi="Times New Roman" w:cs="Times New Roman"/>
                <w:sz w:val="24"/>
                <w:szCs w:val="24"/>
              </w:rPr>
              <w:t>Графи реєстру заповнюються таким чином:</w:t>
            </w:r>
          </w:p>
          <w:p w:rsidR="003535BC" w:rsidRPr="003535BC" w:rsidRDefault="003535BC" w:rsidP="003535BC">
            <w:pPr>
              <w:rPr>
                <w:rFonts w:ascii="Times New Roman" w:hAnsi="Times New Roman" w:cs="Times New Roman"/>
                <w:sz w:val="24"/>
                <w:szCs w:val="24"/>
              </w:rPr>
            </w:pPr>
            <w:r w:rsidRPr="003535BC">
              <w:rPr>
                <w:rFonts w:ascii="Times New Roman" w:hAnsi="Times New Roman" w:cs="Times New Roman"/>
                <w:sz w:val="24"/>
                <w:szCs w:val="24"/>
              </w:rPr>
              <w:t>графи 5 – 8 – інформація про споживача: прізвище, ім’я, по батькові побутового споживача або найменування непобутового споживача, адреса споживача, інша інформація (телефон, адреса електронної пошти, реєстраційний номер тощо), тип споживача (побутовий/непобутовий);</w:t>
            </w:r>
          </w:p>
          <w:p w:rsidR="003535BC" w:rsidRPr="003535BC" w:rsidRDefault="003535BC" w:rsidP="003535BC">
            <w:pPr>
              <w:rPr>
                <w:rFonts w:ascii="Times New Roman" w:hAnsi="Times New Roman" w:cs="Times New Roman"/>
                <w:sz w:val="24"/>
                <w:szCs w:val="24"/>
              </w:rPr>
            </w:pPr>
          </w:p>
        </w:tc>
        <w:tc>
          <w:tcPr>
            <w:tcW w:w="7513" w:type="dxa"/>
          </w:tcPr>
          <w:p w:rsidR="003535BC" w:rsidRPr="003535BC" w:rsidRDefault="003535BC" w:rsidP="003535BC">
            <w:pPr>
              <w:jc w:val="both"/>
              <w:rPr>
                <w:rFonts w:ascii="Times New Roman" w:hAnsi="Times New Roman" w:cs="Times New Roman"/>
                <w:sz w:val="24"/>
                <w:szCs w:val="24"/>
              </w:rPr>
            </w:pPr>
            <w:r w:rsidRPr="003535BC">
              <w:rPr>
                <w:rFonts w:ascii="Times New Roman" w:hAnsi="Times New Roman" w:cs="Times New Roman"/>
                <w:sz w:val="24"/>
                <w:szCs w:val="24"/>
              </w:rPr>
              <w:t>3.3. Реєстр надання послуг та письмових звернень споживачів формується згідно з додатком 2 до цієї Інструкції.</w:t>
            </w:r>
          </w:p>
          <w:p w:rsidR="003535BC" w:rsidRPr="003535BC" w:rsidRDefault="003535BC" w:rsidP="003535BC">
            <w:pPr>
              <w:jc w:val="both"/>
              <w:rPr>
                <w:rFonts w:ascii="Times New Roman" w:hAnsi="Times New Roman" w:cs="Times New Roman"/>
                <w:sz w:val="24"/>
                <w:szCs w:val="24"/>
              </w:rPr>
            </w:pPr>
            <w:r w:rsidRPr="003535BC">
              <w:rPr>
                <w:rFonts w:ascii="Times New Roman" w:hAnsi="Times New Roman" w:cs="Times New Roman"/>
                <w:sz w:val="24"/>
                <w:szCs w:val="24"/>
              </w:rPr>
              <w:t>…</w:t>
            </w:r>
          </w:p>
          <w:p w:rsidR="003535BC" w:rsidRPr="003535BC" w:rsidRDefault="003535BC" w:rsidP="003535BC">
            <w:pPr>
              <w:jc w:val="both"/>
              <w:rPr>
                <w:rFonts w:ascii="Times New Roman" w:hAnsi="Times New Roman" w:cs="Times New Roman"/>
                <w:sz w:val="24"/>
                <w:szCs w:val="24"/>
              </w:rPr>
            </w:pPr>
            <w:r w:rsidRPr="003535BC">
              <w:rPr>
                <w:rFonts w:ascii="Times New Roman" w:hAnsi="Times New Roman" w:cs="Times New Roman"/>
                <w:sz w:val="24"/>
                <w:szCs w:val="24"/>
              </w:rPr>
              <w:t>Графи реєстру заповнюються таким чином:</w:t>
            </w:r>
          </w:p>
          <w:p w:rsidR="003535BC" w:rsidRPr="003535BC" w:rsidRDefault="003535BC" w:rsidP="003535BC">
            <w:pPr>
              <w:jc w:val="both"/>
              <w:rPr>
                <w:rFonts w:ascii="Times New Roman" w:hAnsi="Times New Roman" w:cs="Times New Roman"/>
                <w:sz w:val="24"/>
                <w:szCs w:val="24"/>
              </w:rPr>
            </w:pPr>
            <w:r w:rsidRPr="003535BC">
              <w:rPr>
                <w:rFonts w:ascii="Times New Roman" w:hAnsi="Times New Roman" w:cs="Times New Roman"/>
                <w:sz w:val="24"/>
                <w:szCs w:val="24"/>
              </w:rPr>
              <w:t xml:space="preserve">графи 5 – 8 – інформація про споживача: прізвище, ім’я, по батькові побутового споживача або </w:t>
            </w:r>
            <w:bookmarkStart w:id="5" w:name="_Hlk167271927"/>
            <w:r w:rsidRPr="003535BC">
              <w:rPr>
                <w:rFonts w:ascii="Times New Roman" w:hAnsi="Times New Roman" w:cs="Times New Roman"/>
                <w:sz w:val="24"/>
                <w:szCs w:val="24"/>
              </w:rPr>
              <w:t xml:space="preserve">найменування непобутового споживача, адреса </w:t>
            </w:r>
            <w:bookmarkEnd w:id="5"/>
            <w:r w:rsidRPr="003535BC">
              <w:rPr>
                <w:rFonts w:ascii="Times New Roman" w:hAnsi="Times New Roman" w:cs="Times New Roman"/>
                <w:b/>
                <w:sz w:val="24"/>
                <w:szCs w:val="24"/>
              </w:rPr>
              <w:t>об’єкта</w:t>
            </w:r>
            <w:r w:rsidRPr="003535BC">
              <w:rPr>
                <w:rFonts w:ascii="Times New Roman" w:hAnsi="Times New Roman" w:cs="Times New Roman"/>
                <w:sz w:val="24"/>
                <w:szCs w:val="24"/>
              </w:rPr>
              <w:t xml:space="preserve"> споживача, інша інформація (телефон, адреса електронної пошти, реєстраційний номер тощо), тип споживача (побутовий/непобутовий);</w:t>
            </w:r>
          </w:p>
          <w:p w:rsidR="003535BC" w:rsidRPr="003535BC" w:rsidRDefault="003535BC" w:rsidP="003535BC">
            <w:pPr>
              <w:jc w:val="both"/>
              <w:rPr>
                <w:rFonts w:ascii="Times New Roman" w:hAnsi="Times New Roman" w:cs="Times New Roman"/>
                <w:sz w:val="24"/>
                <w:szCs w:val="24"/>
              </w:rPr>
            </w:pPr>
          </w:p>
        </w:tc>
      </w:tr>
    </w:tbl>
    <w:p w:rsidR="0010794E" w:rsidRDefault="0010794E"/>
    <w:p w:rsidR="003535BC" w:rsidRDefault="003535BC"/>
    <w:p w:rsidR="003535BC" w:rsidRPr="003535BC" w:rsidRDefault="003535BC"/>
    <w:sectPr w:rsidR="003535BC" w:rsidRPr="003535BC" w:rsidSect="001C549D">
      <w:headerReference w:type="default" r:id="rId14"/>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47A" w:rsidRDefault="0053347A" w:rsidP="001C549D">
      <w:pPr>
        <w:spacing w:after="0" w:line="240" w:lineRule="auto"/>
      </w:pPr>
      <w:r>
        <w:separator/>
      </w:r>
    </w:p>
  </w:endnote>
  <w:endnote w:type="continuationSeparator" w:id="0">
    <w:p w:rsidR="0053347A" w:rsidRDefault="0053347A" w:rsidP="001C5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47A" w:rsidRDefault="0053347A" w:rsidP="001C549D">
      <w:pPr>
        <w:spacing w:after="0" w:line="240" w:lineRule="auto"/>
      </w:pPr>
      <w:r>
        <w:separator/>
      </w:r>
    </w:p>
  </w:footnote>
  <w:footnote w:type="continuationSeparator" w:id="0">
    <w:p w:rsidR="0053347A" w:rsidRDefault="0053347A" w:rsidP="001C5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7759394"/>
      <w:docPartObj>
        <w:docPartGallery w:val="Page Numbers (Top of Page)"/>
        <w:docPartUnique/>
      </w:docPartObj>
    </w:sdtPr>
    <w:sdtEndPr/>
    <w:sdtContent>
      <w:p w:rsidR="001C549D" w:rsidRDefault="001C549D">
        <w:pPr>
          <w:pStyle w:val="a6"/>
          <w:jc w:val="center"/>
        </w:pPr>
        <w:r>
          <w:fldChar w:fldCharType="begin"/>
        </w:r>
        <w:r>
          <w:instrText>PAGE   \* MERGEFORMAT</w:instrText>
        </w:r>
        <w:r>
          <w:fldChar w:fldCharType="separate"/>
        </w:r>
        <w:r>
          <w:t>2</w:t>
        </w:r>
        <w:r>
          <w:fldChar w:fldCharType="end"/>
        </w:r>
      </w:p>
    </w:sdtContent>
  </w:sdt>
  <w:p w:rsidR="001C549D" w:rsidRDefault="001C549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94E"/>
    <w:rsid w:val="000A3043"/>
    <w:rsid w:val="000C2BA0"/>
    <w:rsid w:val="0010794E"/>
    <w:rsid w:val="00114FB4"/>
    <w:rsid w:val="001C1415"/>
    <w:rsid w:val="001C549D"/>
    <w:rsid w:val="002110CE"/>
    <w:rsid w:val="002C0B13"/>
    <w:rsid w:val="002C409D"/>
    <w:rsid w:val="002F4EAE"/>
    <w:rsid w:val="003204B9"/>
    <w:rsid w:val="003535BC"/>
    <w:rsid w:val="003643B9"/>
    <w:rsid w:val="003F520D"/>
    <w:rsid w:val="004022AB"/>
    <w:rsid w:val="00435660"/>
    <w:rsid w:val="00445B4D"/>
    <w:rsid w:val="00454038"/>
    <w:rsid w:val="0053347A"/>
    <w:rsid w:val="005B4506"/>
    <w:rsid w:val="006123CB"/>
    <w:rsid w:val="00620260"/>
    <w:rsid w:val="00656985"/>
    <w:rsid w:val="00657C9A"/>
    <w:rsid w:val="006B4EDD"/>
    <w:rsid w:val="006D26C3"/>
    <w:rsid w:val="006F4175"/>
    <w:rsid w:val="00716878"/>
    <w:rsid w:val="00743B64"/>
    <w:rsid w:val="00797391"/>
    <w:rsid w:val="007A0ADA"/>
    <w:rsid w:val="007B5F0F"/>
    <w:rsid w:val="007E0E54"/>
    <w:rsid w:val="008225A1"/>
    <w:rsid w:val="008432B7"/>
    <w:rsid w:val="0089191B"/>
    <w:rsid w:val="008E333B"/>
    <w:rsid w:val="00A034B0"/>
    <w:rsid w:val="00A2253D"/>
    <w:rsid w:val="00A27833"/>
    <w:rsid w:val="00A51637"/>
    <w:rsid w:val="00A91EFD"/>
    <w:rsid w:val="00AC04CC"/>
    <w:rsid w:val="00B46B36"/>
    <w:rsid w:val="00B52BD8"/>
    <w:rsid w:val="00B838E9"/>
    <w:rsid w:val="00BE0230"/>
    <w:rsid w:val="00CD5491"/>
    <w:rsid w:val="00D1726F"/>
    <w:rsid w:val="00D41982"/>
    <w:rsid w:val="00D43F68"/>
    <w:rsid w:val="00D51398"/>
    <w:rsid w:val="00E50CC0"/>
    <w:rsid w:val="00E63944"/>
    <w:rsid w:val="00EB2D68"/>
    <w:rsid w:val="00EF0CBB"/>
    <w:rsid w:val="00F166FA"/>
    <w:rsid w:val="00F5217D"/>
    <w:rsid w:val="00F767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4FF10"/>
  <w15:chartTrackingRefBased/>
  <w15:docId w15:val="{D69328D8-5906-4ECB-851F-83AA8AECB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5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743B64"/>
    <w:rPr>
      <w:color w:val="0000FF"/>
      <w:u w:val="single"/>
    </w:rPr>
  </w:style>
  <w:style w:type="paragraph" w:customStyle="1" w:styleId="rvps2">
    <w:name w:val="rvps2"/>
    <w:basedOn w:val="a"/>
    <w:rsid w:val="00743B6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5">
    <w:name w:val="Знак Знак Знак Знак Знак Знак Знак"/>
    <w:basedOn w:val="a"/>
    <w:rsid w:val="002F4EAE"/>
    <w:pPr>
      <w:spacing w:after="0" w:line="240" w:lineRule="auto"/>
    </w:pPr>
    <w:rPr>
      <w:rFonts w:ascii="Verdana" w:eastAsia="Times New Roman" w:hAnsi="Verdana" w:cs="Verdana"/>
      <w:sz w:val="20"/>
      <w:szCs w:val="20"/>
      <w:lang w:val="en-US"/>
    </w:rPr>
  </w:style>
  <w:style w:type="character" w:customStyle="1" w:styleId="rvts9">
    <w:name w:val="rvts9"/>
    <w:basedOn w:val="a0"/>
    <w:rsid w:val="00454038"/>
  </w:style>
  <w:style w:type="paragraph" w:styleId="a6">
    <w:name w:val="header"/>
    <w:basedOn w:val="a"/>
    <w:link w:val="a7"/>
    <w:uiPriority w:val="99"/>
    <w:unhideWhenUsed/>
    <w:rsid w:val="001C549D"/>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1C549D"/>
  </w:style>
  <w:style w:type="paragraph" w:styleId="a8">
    <w:name w:val="footer"/>
    <w:basedOn w:val="a"/>
    <w:link w:val="a9"/>
    <w:uiPriority w:val="99"/>
    <w:unhideWhenUsed/>
    <w:rsid w:val="001C549D"/>
    <w:pPr>
      <w:tabs>
        <w:tab w:val="center" w:pos="4677"/>
        <w:tab w:val="right" w:pos="9355"/>
      </w:tabs>
      <w:spacing w:after="0" w:line="240" w:lineRule="auto"/>
    </w:pPr>
  </w:style>
  <w:style w:type="character" w:customStyle="1" w:styleId="a9">
    <w:name w:val="Нижній колонтитул Знак"/>
    <w:basedOn w:val="a0"/>
    <w:link w:val="a8"/>
    <w:uiPriority w:val="99"/>
    <w:rsid w:val="001C5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8290">
      <w:bodyDiv w:val="1"/>
      <w:marLeft w:val="0"/>
      <w:marRight w:val="0"/>
      <w:marTop w:val="0"/>
      <w:marBottom w:val="0"/>
      <w:divBdr>
        <w:top w:val="none" w:sz="0" w:space="0" w:color="auto"/>
        <w:left w:val="none" w:sz="0" w:space="0" w:color="auto"/>
        <w:bottom w:val="none" w:sz="0" w:space="0" w:color="auto"/>
        <w:right w:val="none" w:sz="0" w:space="0" w:color="auto"/>
      </w:divBdr>
      <w:divsChild>
        <w:div w:id="1732650777">
          <w:marLeft w:val="0"/>
          <w:marRight w:val="0"/>
          <w:marTop w:val="150"/>
          <w:marBottom w:val="150"/>
          <w:divBdr>
            <w:top w:val="none" w:sz="0" w:space="0" w:color="auto"/>
            <w:left w:val="none" w:sz="0" w:space="0" w:color="auto"/>
            <w:bottom w:val="none" w:sz="0" w:space="0" w:color="auto"/>
            <w:right w:val="none" w:sz="0" w:space="0" w:color="auto"/>
          </w:divBdr>
        </w:div>
      </w:divsChild>
    </w:div>
    <w:div w:id="372728917">
      <w:bodyDiv w:val="1"/>
      <w:marLeft w:val="0"/>
      <w:marRight w:val="0"/>
      <w:marTop w:val="0"/>
      <w:marBottom w:val="0"/>
      <w:divBdr>
        <w:top w:val="none" w:sz="0" w:space="0" w:color="auto"/>
        <w:left w:val="none" w:sz="0" w:space="0" w:color="auto"/>
        <w:bottom w:val="none" w:sz="0" w:space="0" w:color="auto"/>
        <w:right w:val="none" w:sz="0" w:space="0" w:color="auto"/>
      </w:divBdr>
    </w:div>
    <w:div w:id="413818811">
      <w:bodyDiv w:val="1"/>
      <w:marLeft w:val="0"/>
      <w:marRight w:val="0"/>
      <w:marTop w:val="0"/>
      <w:marBottom w:val="0"/>
      <w:divBdr>
        <w:top w:val="none" w:sz="0" w:space="0" w:color="auto"/>
        <w:left w:val="none" w:sz="0" w:space="0" w:color="auto"/>
        <w:bottom w:val="none" w:sz="0" w:space="0" w:color="auto"/>
        <w:right w:val="none" w:sz="0" w:space="0" w:color="auto"/>
      </w:divBdr>
    </w:div>
    <w:div w:id="708072413">
      <w:bodyDiv w:val="1"/>
      <w:marLeft w:val="0"/>
      <w:marRight w:val="0"/>
      <w:marTop w:val="0"/>
      <w:marBottom w:val="0"/>
      <w:divBdr>
        <w:top w:val="none" w:sz="0" w:space="0" w:color="auto"/>
        <w:left w:val="none" w:sz="0" w:space="0" w:color="auto"/>
        <w:bottom w:val="none" w:sz="0" w:space="0" w:color="auto"/>
        <w:right w:val="none" w:sz="0" w:space="0" w:color="auto"/>
      </w:divBdr>
    </w:div>
    <w:div w:id="793867048">
      <w:bodyDiv w:val="1"/>
      <w:marLeft w:val="0"/>
      <w:marRight w:val="0"/>
      <w:marTop w:val="0"/>
      <w:marBottom w:val="0"/>
      <w:divBdr>
        <w:top w:val="none" w:sz="0" w:space="0" w:color="auto"/>
        <w:left w:val="none" w:sz="0" w:space="0" w:color="auto"/>
        <w:bottom w:val="none" w:sz="0" w:space="0" w:color="auto"/>
        <w:right w:val="none" w:sz="0" w:space="0" w:color="auto"/>
      </w:divBdr>
    </w:div>
    <w:div w:id="1019117172">
      <w:bodyDiv w:val="1"/>
      <w:marLeft w:val="0"/>
      <w:marRight w:val="0"/>
      <w:marTop w:val="0"/>
      <w:marBottom w:val="0"/>
      <w:divBdr>
        <w:top w:val="none" w:sz="0" w:space="0" w:color="auto"/>
        <w:left w:val="none" w:sz="0" w:space="0" w:color="auto"/>
        <w:bottom w:val="none" w:sz="0" w:space="0" w:color="auto"/>
        <w:right w:val="none" w:sz="0" w:space="0" w:color="auto"/>
      </w:divBdr>
    </w:div>
    <w:div w:id="1052539581">
      <w:bodyDiv w:val="1"/>
      <w:marLeft w:val="0"/>
      <w:marRight w:val="0"/>
      <w:marTop w:val="0"/>
      <w:marBottom w:val="0"/>
      <w:divBdr>
        <w:top w:val="none" w:sz="0" w:space="0" w:color="auto"/>
        <w:left w:val="none" w:sz="0" w:space="0" w:color="auto"/>
        <w:bottom w:val="none" w:sz="0" w:space="0" w:color="auto"/>
        <w:right w:val="none" w:sz="0" w:space="0" w:color="auto"/>
      </w:divBdr>
    </w:div>
    <w:div w:id="1146430044">
      <w:bodyDiv w:val="1"/>
      <w:marLeft w:val="0"/>
      <w:marRight w:val="0"/>
      <w:marTop w:val="0"/>
      <w:marBottom w:val="0"/>
      <w:divBdr>
        <w:top w:val="none" w:sz="0" w:space="0" w:color="auto"/>
        <w:left w:val="none" w:sz="0" w:space="0" w:color="auto"/>
        <w:bottom w:val="none" w:sz="0" w:space="0" w:color="auto"/>
        <w:right w:val="none" w:sz="0" w:space="0" w:color="auto"/>
      </w:divBdr>
    </w:div>
    <w:div w:id="1286081490">
      <w:bodyDiv w:val="1"/>
      <w:marLeft w:val="0"/>
      <w:marRight w:val="0"/>
      <w:marTop w:val="0"/>
      <w:marBottom w:val="0"/>
      <w:divBdr>
        <w:top w:val="none" w:sz="0" w:space="0" w:color="auto"/>
        <w:left w:val="none" w:sz="0" w:space="0" w:color="auto"/>
        <w:bottom w:val="none" w:sz="0" w:space="0" w:color="auto"/>
        <w:right w:val="none" w:sz="0" w:space="0" w:color="auto"/>
      </w:divBdr>
    </w:div>
    <w:div w:id="1293900101">
      <w:bodyDiv w:val="1"/>
      <w:marLeft w:val="0"/>
      <w:marRight w:val="0"/>
      <w:marTop w:val="0"/>
      <w:marBottom w:val="0"/>
      <w:divBdr>
        <w:top w:val="none" w:sz="0" w:space="0" w:color="auto"/>
        <w:left w:val="none" w:sz="0" w:space="0" w:color="auto"/>
        <w:bottom w:val="none" w:sz="0" w:space="0" w:color="auto"/>
        <w:right w:val="none" w:sz="0" w:space="0" w:color="auto"/>
      </w:divBdr>
    </w:div>
    <w:div w:id="1520314880">
      <w:bodyDiv w:val="1"/>
      <w:marLeft w:val="0"/>
      <w:marRight w:val="0"/>
      <w:marTop w:val="0"/>
      <w:marBottom w:val="0"/>
      <w:divBdr>
        <w:top w:val="none" w:sz="0" w:space="0" w:color="auto"/>
        <w:left w:val="none" w:sz="0" w:space="0" w:color="auto"/>
        <w:bottom w:val="none" w:sz="0" w:space="0" w:color="auto"/>
        <w:right w:val="none" w:sz="0" w:space="0" w:color="auto"/>
      </w:divBdr>
    </w:div>
    <w:div w:id="1765758121">
      <w:bodyDiv w:val="1"/>
      <w:marLeft w:val="0"/>
      <w:marRight w:val="0"/>
      <w:marTop w:val="0"/>
      <w:marBottom w:val="0"/>
      <w:divBdr>
        <w:top w:val="none" w:sz="0" w:space="0" w:color="auto"/>
        <w:left w:val="none" w:sz="0" w:space="0" w:color="auto"/>
        <w:bottom w:val="none" w:sz="0" w:space="0" w:color="auto"/>
        <w:right w:val="none" w:sz="0" w:space="0" w:color="auto"/>
      </w:divBdr>
    </w:div>
    <w:div w:id="1817915116">
      <w:bodyDiv w:val="1"/>
      <w:marLeft w:val="0"/>
      <w:marRight w:val="0"/>
      <w:marTop w:val="0"/>
      <w:marBottom w:val="0"/>
      <w:divBdr>
        <w:top w:val="none" w:sz="0" w:space="0" w:color="auto"/>
        <w:left w:val="none" w:sz="0" w:space="0" w:color="auto"/>
        <w:bottom w:val="none" w:sz="0" w:space="0" w:color="auto"/>
        <w:right w:val="none" w:sz="0" w:space="0" w:color="auto"/>
      </w:divBdr>
    </w:div>
    <w:div w:id="2111930215">
      <w:bodyDiv w:val="1"/>
      <w:marLeft w:val="0"/>
      <w:marRight w:val="0"/>
      <w:marTop w:val="0"/>
      <w:marBottom w:val="0"/>
      <w:divBdr>
        <w:top w:val="none" w:sz="0" w:space="0" w:color="auto"/>
        <w:left w:val="none" w:sz="0" w:space="0" w:color="auto"/>
        <w:bottom w:val="none" w:sz="0" w:space="0" w:color="auto"/>
        <w:right w:val="none" w:sz="0" w:space="0" w:color="auto"/>
      </w:divBdr>
    </w:div>
    <w:div w:id="212442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1415874-22" TargetMode="External"/><Relationship Id="rId13" Type="http://schemas.openxmlformats.org/officeDocument/2006/relationships/hyperlink" Target="https://zakon.rada.gov.ua/rada/show/v1415874-22" TargetMode="External"/><Relationship Id="rId3" Type="http://schemas.openxmlformats.org/officeDocument/2006/relationships/settings" Target="settings.xml"/><Relationship Id="rId7" Type="http://schemas.openxmlformats.org/officeDocument/2006/relationships/hyperlink" Target="https://zakon.rada.gov.ua/rada/show/v1415874-22" TargetMode="External"/><Relationship Id="rId12" Type="http://schemas.openxmlformats.org/officeDocument/2006/relationships/hyperlink" Target="https://zakon.rada.gov.ua/rada/show/v1415874-2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rada/show/v1415874-2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rada/show/v1415874-22" TargetMode="External"/><Relationship Id="rId4" Type="http://schemas.openxmlformats.org/officeDocument/2006/relationships/webSettings" Target="webSettings.xml"/><Relationship Id="rId9" Type="http://schemas.openxmlformats.org/officeDocument/2006/relationships/hyperlink" Target="https://zakon.rada.gov.ua/rada/show/v1415874-2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8EF54-ED53-4D7A-AFF4-6B6639BE2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9382</Words>
  <Characters>5349</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Родіон</dc:creator>
  <cp:keywords/>
  <dc:description/>
  <cp:lastModifiedBy>Коваль Родіон</cp:lastModifiedBy>
  <cp:revision>4</cp:revision>
  <cp:lastPrinted>2024-05-21T13:37:00Z</cp:lastPrinted>
  <dcterms:created xsi:type="dcterms:W3CDTF">2024-05-28T13:52:00Z</dcterms:created>
  <dcterms:modified xsi:type="dcterms:W3CDTF">2024-06-03T08:01:00Z</dcterms:modified>
</cp:coreProperties>
</file>