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A6718" w14:textId="77777777" w:rsidR="00AD5B88" w:rsidRPr="00AD5B88" w:rsidRDefault="00AD5B88" w:rsidP="00AD5B8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ТАБЛИЦЯ </w:t>
      </w:r>
    </w:p>
    <w:p w14:paraId="15F12C02" w14:textId="14DEAF0A" w:rsidR="00AD5B88" w:rsidRDefault="00AD5B88" w:rsidP="00AD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проєкту рішення, що має ознаки регуляторного </w:t>
      </w:r>
      <w:proofErr w:type="spellStart"/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- постанови НКРЕКП «Про </w:t>
      </w:r>
      <w:bookmarkStart w:id="0" w:name="_Hlk158638194"/>
      <w:r w:rsidR="005125C9">
        <w:rPr>
          <w:rFonts w:ascii="Times New Roman" w:hAnsi="Times New Roman" w:cs="Times New Roman"/>
          <w:b/>
          <w:sz w:val="28"/>
          <w:szCs w:val="28"/>
          <w:lang w:val="uk-UA"/>
        </w:rPr>
        <w:t>внесення</w:t>
      </w: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25C9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 </w:t>
      </w:r>
      <w:bookmarkEnd w:id="0"/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</w:p>
    <w:p w14:paraId="72B1CEDE" w14:textId="4B5A4156" w:rsidR="00AD5B88" w:rsidRPr="00AD5B88" w:rsidRDefault="005125C9" w:rsidP="00AD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Методики </w:t>
      </w:r>
      <w:r w:rsidRPr="005125C9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встановлення плати за приєднання до теплових мереж</w:t>
      </w:r>
      <w:r w:rsidR="00AD5B88" w:rsidRPr="00AD5B8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3058889" w14:textId="084BEA48" w:rsidR="003B12BA" w:rsidRPr="00E4678C" w:rsidRDefault="003B12BA" w:rsidP="003D2E8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9" w:type="dxa"/>
        <w:tblInd w:w="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7516"/>
      </w:tblGrid>
      <w:tr w:rsidR="00866DFB" w:rsidRPr="00E4678C" w14:paraId="4E427886" w14:textId="77777777" w:rsidTr="004B1029">
        <w:trPr>
          <w:trHeight w:val="387"/>
        </w:trPr>
        <w:tc>
          <w:tcPr>
            <w:tcW w:w="7513" w:type="dxa"/>
            <w:vAlign w:val="center"/>
          </w:tcPr>
          <w:p w14:paraId="61542C63" w14:textId="2CCF9615" w:rsidR="00866DFB" w:rsidRPr="006F4EED" w:rsidRDefault="00866DFB" w:rsidP="00745B7E">
            <w:pPr>
              <w:tabs>
                <w:tab w:val="left" w:pos="2582"/>
              </w:tabs>
              <w:ind w:firstLine="59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516" w:type="dxa"/>
            <w:vAlign w:val="center"/>
          </w:tcPr>
          <w:p w14:paraId="7537B791" w14:textId="77777777" w:rsidR="00866DFB" w:rsidRPr="006F4EED" w:rsidRDefault="00866DFB" w:rsidP="00745B7E">
            <w:pPr>
              <w:tabs>
                <w:tab w:val="left" w:pos="2582"/>
              </w:tabs>
              <w:ind w:firstLine="59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Редакція зі змінами</w:t>
            </w:r>
          </w:p>
        </w:tc>
      </w:tr>
      <w:tr w:rsidR="00866DFB" w:rsidRPr="00E4678C" w14:paraId="16A9BB8A" w14:textId="77777777" w:rsidTr="004B1029">
        <w:trPr>
          <w:trHeight w:val="274"/>
        </w:trPr>
        <w:tc>
          <w:tcPr>
            <w:tcW w:w="7513" w:type="dxa"/>
            <w:vAlign w:val="center"/>
          </w:tcPr>
          <w:p w14:paraId="479DD8F8" w14:textId="68AF04AB" w:rsidR="00866DFB" w:rsidRPr="006F4EED" w:rsidRDefault="00866DFB" w:rsidP="00866DFB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Загальні </w:t>
            </w:r>
            <w:r w:rsidR="005125C9"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положення</w:t>
            </w:r>
          </w:p>
        </w:tc>
        <w:tc>
          <w:tcPr>
            <w:tcW w:w="7516" w:type="dxa"/>
            <w:vAlign w:val="center"/>
          </w:tcPr>
          <w:p w14:paraId="4BDAD766" w14:textId="08514F77" w:rsidR="00866DFB" w:rsidRPr="006F4EED" w:rsidRDefault="00866DFB" w:rsidP="00866DFB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Загальні </w:t>
            </w:r>
            <w:r w:rsidR="005125C9"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положення</w:t>
            </w:r>
          </w:p>
        </w:tc>
      </w:tr>
      <w:tr w:rsidR="00866DFB" w:rsidRPr="00E4678C" w14:paraId="0F6052F7" w14:textId="77777777" w:rsidTr="004B1029">
        <w:trPr>
          <w:trHeight w:val="546"/>
        </w:trPr>
        <w:tc>
          <w:tcPr>
            <w:tcW w:w="7513" w:type="dxa"/>
          </w:tcPr>
          <w:p w14:paraId="2D524021" w14:textId="77777777" w:rsidR="005125C9" w:rsidRPr="006F4EED" w:rsidRDefault="005125C9" w:rsidP="005125C9">
            <w:pPr>
              <w:ind w:left="144" w:right="1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1.14. Оператор має право прийняти рішення щодо надання послуги з приєднання та окремих послуг (робіт), що пов’язані з приєднанням до теплових мереж (у тому числі надання технічних умов на приєднання), на безоплатній основі. Зазначене рішення може бути прийнято окремо для різних послуг та типів об’єктів (</w:t>
            </w:r>
            <w:proofErr w:type="spellStart"/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тепловикористальних</w:t>
            </w:r>
            <w:proofErr w:type="spellEnd"/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або теплогенеруючих/когенераційних установок) та оформлюється наказом по підприємству і повинно застосовуватись Оператором для всіх замовників цих послуг у визначений період.</w:t>
            </w:r>
          </w:p>
          <w:p w14:paraId="4772F8F2" w14:textId="77777777" w:rsidR="005125C9" w:rsidRPr="006F4EED" w:rsidRDefault="005125C9" w:rsidP="005125C9">
            <w:pPr>
              <w:ind w:left="144" w:right="1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Оператор має право прийняти рішення щодо надання послуги з приєднання та окремих послуг (робіт), що пов’язані з приєднанням (у тому числі надання технічних умов на приєднання), замовнику на безоплатній основі у разі, якщо об’єкт замовника був раніше підключений до теплових мереж Оператора та його повторне підключення не потребує розробки проєкту МО та будівництва МО.</w:t>
            </w:r>
          </w:p>
          <w:p w14:paraId="20C53648" w14:textId="77777777" w:rsidR="005125C9" w:rsidRPr="006F4EED" w:rsidRDefault="005125C9" w:rsidP="005125C9">
            <w:pPr>
              <w:ind w:left="144" w:right="1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0CF25C7F" w14:textId="0D4723A6" w:rsidR="00866DFB" w:rsidRPr="006F4EED" w:rsidRDefault="005125C9" w:rsidP="005125C9">
            <w:pPr>
              <w:ind w:left="144" w:right="1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Абзац відсутній</w:t>
            </w:r>
          </w:p>
        </w:tc>
        <w:tc>
          <w:tcPr>
            <w:tcW w:w="7516" w:type="dxa"/>
          </w:tcPr>
          <w:p w14:paraId="00A481B6" w14:textId="77777777" w:rsidR="005125C9" w:rsidRPr="006F4EED" w:rsidRDefault="005125C9" w:rsidP="005125C9">
            <w:pPr>
              <w:ind w:left="147" w:right="1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1.14. Оператор має право прийняти рішення щодо надання послуги з приєднання та окремих послуг (робіт), що пов’язані з приєднанням до теплових мереж (у тому числі надання технічних умов на приєднання), на безоплатній основі. Зазначене рішення може бути прийнято окремо для різних послуг та типів об’єктів (</w:t>
            </w:r>
            <w:proofErr w:type="spellStart"/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тепловикористальних</w:t>
            </w:r>
            <w:proofErr w:type="spellEnd"/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теплогенеруючих/когенераційних установок) та оформлюється наказом по підприємству і повинно застосовуватись Оператором для всіх замовників цих послуг у визначений період.</w:t>
            </w:r>
          </w:p>
          <w:p w14:paraId="4210E62E" w14:textId="77777777" w:rsidR="005125C9" w:rsidRPr="006F4EED" w:rsidRDefault="005125C9" w:rsidP="005125C9">
            <w:pPr>
              <w:ind w:left="147" w:right="1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 має право прийняти рішення щодо надання послуги з приєднання та окремих послуг (робіт), що пов’язані з приєднанням (у тому числі надання технічних умов на приєднання), замовнику на безоплатній основі у разі, якщо об’єкт замовника був раніше підключений до теплових мереж Оператора та його повторне підключення не потребує розробки проєкту МО та будівництва МО.</w:t>
            </w:r>
          </w:p>
          <w:p w14:paraId="48D32B82" w14:textId="432F3E23" w:rsidR="00EF6003" w:rsidRPr="006F4EED" w:rsidRDefault="005125C9" w:rsidP="005125C9">
            <w:pPr>
              <w:ind w:left="147" w:right="1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Плата за послуги з приєднання (плата за приєднання) не стягується за умови прийняття органом місцевого самоврядування рішення про виділення коштів з місцевого бюджету для компенсації витрат розташованих в межах території відповідної територіальної громади Операторів, понесених для приєднання </w:t>
            </w:r>
            <w:proofErr w:type="spellStart"/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тепловикористальних</w:t>
            </w:r>
            <w:proofErr w:type="spellEnd"/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та/або теплогенеруючих установок до теплових мереж цих </w:t>
            </w: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Операторів </w:t>
            </w:r>
            <w:r w:rsidR="006F4EED"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всіх </w:t>
            </w: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замовників, які в установленому порядку подали відповідні заяви на приєднання.</w:t>
            </w:r>
          </w:p>
        </w:tc>
      </w:tr>
      <w:tr w:rsidR="00B12CE2" w:rsidRPr="00E4678C" w14:paraId="24BE7E59" w14:textId="77777777" w:rsidTr="004B1029">
        <w:trPr>
          <w:trHeight w:val="409"/>
        </w:trPr>
        <w:tc>
          <w:tcPr>
            <w:tcW w:w="7513" w:type="dxa"/>
            <w:vAlign w:val="center"/>
          </w:tcPr>
          <w:p w14:paraId="26C9F137" w14:textId="6CBEBB91" w:rsidR="00B12CE2" w:rsidRPr="006F4EED" w:rsidRDefault="005125C9" w:rsidP="00B12C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2. Порядок визначення плати за приєднання до теплових мереж</w:t>
            </w:r>
          </w:p>
        </w:tc>
        <w:tc>
          <w:tcPr>
            <w:tcW w:w="7516" w:type="dxa"/>
            <w:vAlign w:val="center"/>
          </w:tcPr>
          <w:p w14:paraId="2C37A412" w14:textId="629EF933" w:rsidR="00B12CE2" w:rsidRPr="006F4EED" w:rsidRDefault="005125C9" w:rsidP="00B12C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 Порядок визначення плати за приєднання до теплових мереж</w:t>
            </w:r>
          </w:p>
        </w:tc>
      </w:tr>
      <w:tr w:rsidR="00B12CE2" w:rsidRPr="00E4678C" w14:paraId="7B94265D" w14:textId="77777777" w:rsidTr="004B1029">
        <w:trPr>
          <w:trHeight w:val="409"/>
        </w:trPr>
        <w:tc>
          <w:tcPr>
            <w:tcW w:w="7513" w:type="dxa"/>
          </w:tcPr>
          <w:p w14:paraId="789AAE14" w14:textId="77777777" w:rsidR="00FE28E3" w:rsidRDefault="005125C9" w:rsidP="005125C9">
            <w:pPr>
              <w:ind w:left="146" w:right="141" w:firstLine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2.1. Розмір плати за приєднання об'єктів замовників визначається Оператором в договорі на приєднання з урахуванням: </w:t>
            </w:r>
          </w:p>
          <w:p w14:paraId="4DC4E62C" w14:textId="7E896954" w:rsidR="005125C9" w:rsidRPr="006F4EED" w:rsidRDefault="005125C9" w:rsidP="005125C9">
            <w:pPr>
              <w:ind w:left="146" w:right="141" w:firstLine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вартості розробки проєкту МО, якщо розробку проєкту здійснював Оператор;</w:t>
            </w:r>
          </w:p>
          <w:p w14:paraId="15BF12A2" w14:textId="77777777" w:rsidR="005125C9" w:rsidRPr="006F4EED" w:rsidRDefault="005125C9" w:rsidP="005125C9">
            <w:pPr>
              <w:ind w:left="146" w:right="141" w:firstLine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вартості погодження проєкту МО та проєкту МЗ та його кошторисної частини на відповідність наданим технічним умовам </w:t>
            </w:r>
            <w:r w:rsidRPr="006F4EED">
              <w:rPr>
                <w:rFonts w:ascii="Times New Roman" w:hAnsi="Times New Roman" w:cs="Times New Roman"/>
                <w:b/>
                <w:strike/>
                <w:color w:val="000000"/>
                <w:sz w:val="28"/>
                <w:szCs w:val="28"/>
                <w:lang w:val="uk-UA"/>
              </w:rPr>
              <w:t>та чинним нормативно-правовим актам</w:t>
            </w: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 випадках, передбачених Порядком приєднання;</w:t>
            </w:r>
          </w:p>
          <w:p w14:paraId="3B01F054" w14:textId="5E3A92DD" w:rsidR="00B12CE2" w:rsidRPr="006F4EED" w:rsidRDefault="005125C9" w:rsidP="005125C9">
            <w:pPr>
              <w:ind w:left="146" w:right="141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…</w:t>
            </w:r>
            <w:r w:rsidR="00B12CE2" w:rsidRPr="006F4E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7516" w:type="dxa"/>
          </w:tcPr>
          <w:p w14:paraId="2EDD6571" w14:textId="77777777" w:rsidR="00FE28E3" w:rsidRDefault="005125C9" w:rsidP="005125C9">
            <w:pPr>
              <w:ind w:left="147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 Розмір плати за приєднання об'єктів замовників визначається Оператором в договорі на приєднання з урахуванням: </w:t>
            </w:r>
          </w:p>
          <w:p w14:paraId="7B4A81D5" w14:textId="3D1A23D5" w:rsidR="005125C9" w:rsidRPr="006F4EED" w:rsidRDefault="005125C9" w:rsidP="005125C9">
            <w:pPr>
              <w:ind w:left="147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 розробки проєкту МО, якщо розробку проєкту здійснював Оператор;</w:t>
            </w:r>
          </w:p>
          <w:p w14:paraId="7463AFB4" w14:textId="77777777" w:rsidR="005125C9" w:rsidRPr="006F4EED" w:rsidRDefault="005125C9" w:rsidP="005125C9">
            <w:pPr>
              <w:ind w:left="147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 погодження проєкту МО та проєкту МЗ та його кошторисної частини на відповідність наданим технічним умовам у випадках, передбачених Порядком приєднання;</w:t>
            </w:r>
          </w:p>
          <w:p w14:paraId="546D91BE" w14:textId="2F5878D0" w:rsidR="00B12CE2" w:rsidRPr="006F4EED" w:rsidRDefault="005125C9" w:rsidP="005125C9">
            <w:pPr>
              <w:ind w:left="147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</w:tc>
      </w:tr>
    </w:tbl>
    <w:p w14:paraId="68601343" w14:textId="77777777" w:rsidR="00B121DB" w:rsidRPr="00E4678C" w:rsidRDefault="00B121DB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121DB" w:rsidRPr="00E4678C" w:rsidSect="002C236C">
      <w:head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EC648" w14:textId="77777777" w:rsidR="00813C07" w:rsidRDefault="00813C07" w:rsidP="002C236C">
      <w:pPr>
        <w:spacing w:after="0" w:line="240" w:lineRule="auto"/>
      </w:pPr>
      <w:r>
        <w:separator/>
      </w:r>
    </w:p>
  </w:endnote>
  <w:endnote w:type="continuationSeparator" w:id="0">
    <w:p w14:paraId="14F7EC72" w14:textId="77777777" w:rsidR="00813C07" w:rsidRDefault="00813C07" w:rsidP="002C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0E123" w14:textId="77777777" w:rsidR="00813C07" w:rsidRDefault="00813C07" w:rsidP="002C236C">
      <w:pPr>
        <w:spacing w:after="0" w:line="240" w:lineRule="auto"/>
      </w:pPr>
      <w:r>
        <w:separator/>
      </w:r>
    </w:p>
  </w:footnote>
  <w:footnote w:type="continuationSeparator" w:id="0">
    <w:p w14:paraId="3C17C3C6" w14:textId="77777777" w:rsidR="00813C07" w:rsidRDefault="00813C07" w:rsidP="002C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771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252D6B" w14:textId="79DFD5B8" w:rsidR="00807C5F" w:rsidRPr="00E57826" w:rsidRDefault="00807C5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78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78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78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57826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E578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60E7E3" w14:textId="77777777" w:rsidR="00807C5F" w:rsidRDefault="00807C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E57CA"/>
    <w:multiLevelType w:val="hybridMultilevel"/>
    <w:tmpl w:val="A114100C"/>
    <w:lvl w:ilvl="0" w:tplc="0E1CB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1F1081"/>
    <w:multiLevelType w:val="multilevel"/>
    <w:tmpl w:val="1C62308E"/>
    <w:lvl w:ilvl="0">
      <w:start w:val="1"/>
      <w:numFmt w:val="decimal"/>
      <w:lvlText w:val="%1."/>
      <w:lvlJc w:val="left"/>
      <w:pPr>
        <w:ind w:left="1287" w:hanging="360"/>
      </w:pPr>
      <w:rPr>
        <w:rFonts w:ascii="Calibri" w:eastAsia="Calibri" w:hAnsi="Calibri" w:cs="Calibri" w:hint="default"/>
        <w:color w:val="333333"/>
        <w:sz w:val="22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Calibri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Calibri" w:hint="default"/>
      </w:rPr>
    </w:lvl>
  </w:abstractNum>
  <w:abstractNum w:abstractNumId="2" w15:restartNumberingAfterBreak="0">
    <w:nsid w:val="31CD4EFB"/>
    <w:multiLevelType w:val="hybridMultilevel"/>
    <w:tmpl w:val="918074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D5CE9"/>
    <w:multiLevelType w:val="multilevel"/>
    <w:tmpl w:val="645A44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20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4" w15:restartNumberingAfterBreak="0">
    <w:nsid w:val="58DE103F"/>
    <w:multiLevelType w:val="hybridMultilevel"/>
    <w:tmpl w:val="841A649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018F0"/>
    <w:multiLevelType w:val="hybridMultilevel"/>
    <w:tmpl w:val="B33EE8D0"/>
    <w:lvl w:ilvl="0" w:tplc="F3E4116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6F8A4954"/>
    <w:multiLevelType w:val="hybridMultilevel"/>
    <w:tmpl w:val="CD5844C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2695E"/>
    <w:multiLevelType w:val="hybridMultilevel"/>
    <w:tmpl w:val="9F8097CE"/>
    <w:lvl w:ilvl="0" w:tplc="6EEAA86A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85" w:hanging="360"/>
      </w:pPr>
    </w:lvl>
    <w:lvl w:ilvl="2" w:tplc="2000001B" w:tentative="1">
      <w:start w:val="1"/>
      <w:numFmt w:val="lowerRoman"/>
      <w:lvlText w:val="%3."/>
      <w:lvlJc w:val="right"/>
      <w:pPr>
        <w:ind w:left="2405" w:hanging="180"/>
      </w:pPr>
    </w:lvl>
    <w:lvl w:ilvl="3" w:tplc="2000000F" w:tentative="1">
      <w:start w:val="1"/>
      <w:numFmt w:val="decimal"/>
      <w:lvlText w:val="%4."/>
      <w:lvlJc w:val="left"/>
      <w:pPr>
        <w:ind w:left="3125" w:hanging="360"/>
      </w:pPr>
    </w:lvl>
    <w:lvl w:ilvl="4" w:tplc="20000019" w:tentative="1">
      <w:start w:val="1"/>
      <w:numFmt w:val="lowerLetter"/>
      <w:lvlText w:val="%5."/>
      <w:lvlJc w:val="left"/>
      <w:pPr>
        <w:ind w:left="3845" w:hanging="360"/>
      </w:pPr>
    </w:lvl>
    <w:lvl w:ilvl="5" w:tplc="2000001B" w:tentative="1">
      <w:start w:val="1"/>
      <w:numFmt w:val="lowerRoman"/>
      <w:lvlText w:val="%6."/>
      <w:lvlJc w:val="right"/>
      <w:pPr>
        <w:ind w:left="4565" w:hanging="180"/>
      </w:pPr>
    </w:lvl>
    <w:lvl w:ilvl="6" w:tplc="2000000F" w:tentative="1">
      <w:start w:val="1"/>
      <w:numFmt w:val="decimal"/>
      <w:lvlText w:val="%7."/>
      <w:lvlJc w:val="left"/>
      <w:pPr>
        <w:ind w:left="5285" w:hanging="360"/>
      </w:pPr>
    </w:lvl>
    <w:lvl w:ilvl="7" w:tplc="20000019" w:tentative="1">
      <w:start w:val="1"/>
      <w:numFmt w:val="lowerLetter"/>
      <w:lvlText w:val="%8."/>
      <w:lvlJc w:val="left"/>
      <w:pPr>
        <w:ind w:left="6005" w:hanging="360"/>
      </w:pPr>
    </w:lvl>
    <w:lvl w:ilvl="8" w:tplc="2000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2E5"/>
    <w:rsid w:val="00005C2F"/>
    <w:rsid w:val="00006A2E"/>
    <w:rsid w:val="00013757"/>
    <w:rsid w:val="0001397D"/>
    <w:rsid w:val="000165C4"/>
    <w:rsid w:val="00032346"/>
    <w:rsid w:val="00033721"/>
    <w:rsid w:val="000533D7"/>
    <w:rsid w:val="000772DE"/>
    <w:rsid w:val="0008026B"/>
    <w:rsid w:val="0008138D"/>
    <w:rsid w:val="00092FBF"/>
    <w:rsid w:val="00095481"/>
    <w:rsid w:val="000A34CC"/>
    <w:rsid w:val="000B3183"/>
    <w:rsid w:val="000E758E"/>
    <w:rsid w:val="000E7E17"/>
    <w:rsid w:val="001038A5"/>
    <w:rsid w:val="0011275E"/>
    <w:rsid w:val="00113530"/>
    <w:rsid w:val="00122CAF"/>
    <w:rsid w:val="0014408C"/>
    <w:rsid w:val="00144B49"/>
    <w:rsid w:val="0014574E"/>
    <w:rsid w:val="00145D01"/>
    <w:rsid w:val="00150303"/>
    <w:rsid w:val="001701CB"/>
    <w:rsid w:val="00170D75"/>
    <w:rsid w:val="001726DB"/>
    <w:rsid w:val="00190F4C"/>
    <w:rsid w:val="00191FE4"/>
    <w:rsid w:val="00196EC1"/>
    <w:rsid w:val="001A3C96"/>
    <w:rsid w:val="001B3398"/>
    <w:rsid w:val="001F2F61"/>
    <w:rsid w:val="001F2F69"/>
    <w:rsid w:val="00200F25"/>
    <w:rsid w:val="002075C5"/>
    <w:rsid w:val="002322E5"/>
    <w:rsid w:val="0023718F"/>
    <w:rsid w:val="002549DA"/>
    <w:rsid w:val="00257A5E"/>
    <w:rsid w:val="00264E80"/>
    <w:rsid w:val="002678FF"/>
    <w:rsid w:val="00280826"/>
    <w:rsid w:val="00294E67"/>
    <w:rsid w:val="0029781A"/>
    <w:rsid w:val="00297FCC"/>
    <w:rsid w:val="002A3824"/>
    <w:rsid w:val="002A5484"/>
    <w:rsid w:val="002A6C0B"/>
    <w:rsid w:val="002B009B"/>
    <w:rsid w:val="002C236C"/>
    <w:rsid w:val="002D3B47"/>
    <w:rsid w:val="002E5C2B"/>
    <w:rsid w:val="002E7762"/>
    <w:rsid w:val="002E78C3"/>
    <w:rsid w:val="003222F5"/>
    <w:rsid w:val="00332191"/>
    <w:rsid w:val="00335F9A"/>
    <w:rsid w:val="00346CA7"/>
    <w:rsid w:val="00347D5F"/>
    <w:rsid w:val="00366A8D"/>
    <w:rsid w:val="00367E11"/>
    <w:rsid w:val="00375638"/>
    <w:rsid w:val="00377D31"/>
    <w:rsid w:val="003A5F5F"/>
    <w:rsid w:val="003B12BA"/>
    <w:rsid w:val="003C0532"/>
    <w:rsid w:val="003D2E8D"/>
    <w:rsid w:val="003D39F3"/>
    <w:rsid w:val="003E5205"/>
    <w:rsid w:val="003E6478"/>
    <w:rsid w:val="003F6421"/>
    <w:rsid w:val="004010AC"/>
    <w:rsid w:val="0042600F"/>
    <w:rsid w:val="004547F8"/>
    <w:rsid w:val="00456ABB"/>
    <w:rsid w:val="00472DAE"/>
    <w:rsid w:val="00475AB9"/>
    <w:rsid w:val="00477BDA"/>
    <w:rsid w:val="004819BC"/>
    <w:rsid w:val="0048555D"/>
    <w:rsid w:val="004A2EC9"/>
    <w:rsid w:val="004A4234"/>
    <w:rsid w:val="004B1029"/>
    <w:rsid w:val="004D1662"/>
    <w:rsid w:val="004D25B3"/>
    <w:rsid w:val="004D5A29"/>
    <w:rsid w:val="004E2AAB"/>
    <w:rsid w:val="004E516B"/>
    <w:rsid w:val="0050019E"/>
    <w:rsid w:val="005125C9"/>
    <w:rsid w:val="00512DA6"/>
    <w:rsid w:val="00520B1E"/>
    <w:rsid w:val="005315E1"/>
    <w:rsid w:val="00531DE5"/>
    <w:rsid w:val="00537195"/>
    <w:rsid w:val="005417ED"/>
    <w:rsid w:val="005554D3"/>
    <w:rsid w:val="005648C4"/>
    <w:rsid w:val="00571863"/>
    <w:rsid w:val="00572577"/>
    <w:rsid w:val="00574ACF"/>
    <w:rsid w:val="005901FA"/>
    <w:rsid w:val="00591698"/>
    <w:rsid w:val="0059443B"/>
    <w:rsid w:val="00594CBC"/>
    <w:rsid w:val="005968A4"/>
    <w:rsid w:val="005A4AF9"/>
    <w:rsid w:val="005A7D9E"/>
    <w:rsid w:val="005C745B"/>
    <w:rsid w:val="005E00F2"/>
    <w:rsid w:val="005F20FD"/>
    <w:rsid w:val="005F2459"/>
    <w:rsid w:val="005F2D27"/>
    <w:rsid w:val="00603C06"/>
    <w:rsid w:val="00613145"/>
    <w:rsid w:val="00622FFD"/>
    <w:rsid w:val="00630B3A"/>
    <w:rsid w:val="0063275E"/>
    <w:rsid w:val="00644695"/>
    <w:rsid w:val="006836ED"/>
    <w:rsid w:val="0069518A"/>
    <w:rsid w:val="006A40E4"/>
    <w:rsid w:val="006B2F3F"/>
    <w:rsid w:val="006C719A"/>
    <w:rsid w:val="006E5E63"/>
    <w:rsid w:val="006F2B96"/>
    <w:rsid w:val="006F4EED"/>
    <w:rsid w:val="0072781E"/>
    <w:rsid w:val="00733393"/>
    <w:rsid w:val="00733920"/>
    <w:rsid w:val="007342F2"/>
    <w:rsid w:val="00745B7E"/>
    <w:rsid w:val="00773545"/>
    <w:rsid w:val="00780F26"/>
    <w:rsid w:val="0078437C"/>
    <w:rsid w:val="0079178C"/>
    <w:rsid w:val="007B2464"/>
    <w:rsid w:val="007B5D33"/>
    <w:rsid w:val="007C3878"/>
    <w:rsid w:val="007C47A9"/>
    <w:rsid w:val="007C50E1"/>
    <w:rsid w:val="007C5FE0"/>
    <w:rsid w:val="007C7DD1"/>
    <w:rsid w:val="007E0FC7"/>
    <w:rsid w:val="007E4F89"/>
    <w:rsid w:val="007F04D1"/>
    <w:rsid w:val="00804C39"/>
    <w:rsid w:val="00807B02"/>
    <w:rsid w:val="00807C5F"/>
    <w:rsid w:val="00807D2D"/>
    <w:rsid w:val="00813C07"/>
    <w:rsid w:val="00815E6B"/>
    <w:rsid w:val="00830D22"/>
    <w:rsid w:val="008472C9"/>
    <w:rsid w:val="00853191"/>
    <w:rsid w:val="0085421B"/>
    <w:rsid w:val="0085496C"/>
    <w:rsid w:val="00866DFB"/>
    <w:rsid w:val="0088476F"/>
    <w:rsid w:val="008A0D44"/>
    <w:rsid w:val="008A0D6D"/>
    <w:rsid w:val="008C2187"/>
    <w:rsid w:val="008C24FB"/>
    <w:rsid w:val="008C2E96"/>
    <w:rsid w:val="008C338C"/>
    <w:rsid w:val="008C47E7"/>
    <w:rsid w:val="008D06BB"/>
    <w:rsid w:val="008D0B43"/>
    <w:rsid w:val="008D56D5"/>
    <w:rsid w:val="008E1D49"/>
    <w:rsid w:val="008E1D66"/>
    <w:rsid w:val="008E617F"/>
    <w:rsid w:val="008E6FE6"/>
    <w:rsid w:val="008F2F4F"/>
    <w:rsid w:val="008F6F32"/>
    <w:rsid w:val="00903267"/>
    <w:rsid w:val="00911B4D"/>
    <w:rsid w:val="009142F1"/>
    <w:rsid w:val="00934E5C"/>
    <w:rsid w:val="00943CE5"/>
    <w:rsid w:val="00963FF2"/>
    <w:rsid w:val="0096632F"/>
    <w:rsid w:val="009772C9"/>
    <w:rsid w:val="00980EE6"/>
    <w:rsid w:val="00986FAA"/>
    <w:rsid w:val="009A0605"/>
    <w:rsid w:val="009A6DA9"/>
    <w:rsid w:val="009B4EA4"/>
    <w:rsid w:val="009C748A"/>
    <w:rsid w:val="009D050A"/>
    <w:rsid w:val="009D07B7"/>
    <w:rsid w:val="009E32B1"/>
    <w:rsid w:val="00A13B56"/>
    <w:rsid w:val="00A14123"/>
    <w:rsid w:val="00A16E64"/>
    <w:rsid w:val="00A20E1F"/>
    <w:rsid w:val="00A421FE"/>
    <w:rsid w:val="00A44E3D"/>
    <w:rsid w:val="00A73713"/>
    <w:rsid w:val="00A75484"/>
    <w:rsid w:val="00A843CE"/>
    <w:rsid w:val="00A92765"/>
    <w:rsid w:val="00AA0534"/>
    <w:rsid w:val="00AA6DD6"/>
    <w:rsid w:val="00AB1CEE"/>
    <w:rsid w:val="00AB6650"/>
    <w:rsid w:val="00AC2D13"/>
    <w:rsid w:val="00AD40E4"/>
    <w:rsid w:val="00AD5B88"/>
    <w:rsid w:val="00AE063F"/>
    <w:rsid w:val="00AF710E"/>
    <w:rsid w:val="00B06713"/>
    <w:rsid w:val="00B10089"/>
    <w:rsid w:val="00B121DB"/>
    <w:rsid w:val="00B12CE2"/>
    <w:rsid w:val="00B20581"/>
    <w:rsid w:val="00B27248"/>
    <w:rsid w:val="00B31989"/>
    <w:rsid w:val="00B325A9"/>
    <w:rsid w:val="00B32F7C"/>
    <w:rsid w:val="00B34B45"/>
    <w:rsid w:val="00B517D1"/>
    <w:rsid w:val="00B55752"/>
    <w:rsid w:val="00B861DA"/>
    <w:rsid w:val="00B960E1"/>
    <w:rsid w:val="00B96DAC"/>
    <w:rsid w:val="00BA3076"/>
    <w:rsid w:val="00BA65C0"/>
    <w:rsid w:val="00BF1508"/>
    <w:rsid w:val="00C20352"/>
    <w:rsid w:val="00C25E8B"/>
    <w:rsid w:val="00C269A4"/>
    <w:rsid w:val="00C367C1"/>
    <w:rsid w:val="00C40986"/>
    <w:rsid w:val="00C624FE"/>
    <w:rsid w:val="00C65733"/>
    <w:rsid w:val="00C66297"/>
    <w:rsid w:val="00C8187F"/>
    <w:rsid w:val="00C83758"/>
    <w:rsid w:val="00C87CBC"/>
    <w:rsid w:val="00C93A54"/>
    <w:rsid w:val="00C95655"/>
    <w:rsid w:val="00CA29C4"/>
    <w:rsid w:val="00CA65FA"/>
    <w:rsid w:val="00CB4248"/>
    <w:rsid w:val="00CC1DA7"/>
    <w:rsid w:val="00CC26CC"/>
    <w:rsid w:val="00CC564A"/>
    <w:rsid w:val="00CC61DB"/>
    <w:rsid w:val="00CD6EE5"/>
    <w:rsid w:val="00CE0304"/>
    <w:rsid w:val="00CE5A82"/>
    <w:rsid w:val="00CF330A"/>
    <w:rsid w:val="00D03D6C"/>
    <w:rsid w:val="00D06DAB"/>
    <w:rsid w:val="00D071CC"/>
    <w:rsid w:val="00D07E9B"/>
    <w:rsid w:val="00D14519"/>
    <w:rsid w:val="00D210FC"/>
    <w:rsid w:val="00D26D52"/>
    <w:rsid w:val="00D35B2D"/>
    <w:rsid w:val="00D46734"/>
    <w:rsid w:val="00D5458F"/>
    <w:rsid w:val="00D57C86"/>
    <w:rsid w:val="00D66F3D"/>
    <w:rsid w:val="00D8377F"/>
    <w:rsid w:val="00D83873"/>
    <w:rsid w:val="00DA29A1"/>
    <w:rsid w:val="00DB0BD7"/>
    <w:rsid w:val="00DB1232"/>
    <w:rsid w:val="00DC050D"/>
    <w:rsid w:val="00DC2999"/>
    <w:rsid w:val="00DC2E22"/>
    <w:rsid w:val="00DC44A3"/>
    <w:rsid w:val="00DE0708"/>
    <w:rsid w:val="00DF4640"/>
    <w:rsid w:val="00E4569F"/>
    <w:rsid w:val="00E4678C"/>
    <w:rsid w:val="00E53B3A"/>
    <w:rsid w:val="00E57826"/>
    <w:rsid w:val="00E64B0B"/>
    <w:rsid w:val="00E700E0"/>
    <w:rsid w:val="00E720D7"/>
    <w:rsid w:val="00E73D4C"/>
    <w:rsid w:val="00E76520"/>
    <w:rsid w:val="00E8663D"/>
    <w:rsid w:val="00E9176F"/>
    <w:rsid w:val="00EA3833"/>
    <w:rsid w:val="00EB1B1B"/>
    <w:rsid w:val="00EB7072"/>
    <w:rsid w:val="00EC7611"/>
    <w:rsid w:val="00EE2035"/>
    <w:rsid w:val="00EE5E78"/>
    <w:rsid w:val="00EF6003"/>
    <w:rsid w:val="00F00D22"/>
    <w:rsid w:val="00F15523"/>
    <w:rsid w:val="00F423BB"/>
    <w:rsid w:val="00F4250C"/>
    <w:rsid w:val="00F608EE"/>
    <w:rsid w:val="00F73F96"/>
    <w:rsid w:val="00F841E7"/>
    <w:rsid w:val="00F90986"/>
    <w:rsid w:val="00F930FD"/>
    <w:rsid w:val="00FA0B27"/>
    <w:rsid w:val="00FA4BDA"/>
    <w:rsid w:val="00FC02F7"/>
    <w:rsid w:val="00FC3F82"/>
    <w:rsid w:val="00FC5C81"/>
    <w:rsid w:val="00FE28E3"/>
    <w:rsid w:val="00FE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CCF8"/>
  <w15:chartTrackingRefBased/>
  <w15:docId w15:val="{11AABC86-73FB-4F9C-8ED9-1421A68F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30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E76520"/>
    <w:pPr>
      <w:ind w:left="720"/>
      <w:contextualSpacing/>
    </w:pPr>
  </w:style>
  <w:style w:type="paragraph" w:customStyle="1" w:styleId="rvps2">
    <w:name w:val="rvps2"/>
    <w:basedOn w:val="a"/>
    <w:rsid w:val="0057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2C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C236C"/>
  </w:style>
  <w:style w:type="paragraph" w:styleId="a7">
    <w:name w:val="footer"/>
    <w:basedOn w:val="a"/>
    <w:link w:val="a8"/>
    <w:uiPriority w:val="99"/>
    <w:unhideWhenUsed/>
    <w:rsid w:val="002C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C236C"/>
  </w:style>
  <w:style w:type="character" w:styleId="a9">
    <w:name w:val="annotation reference"/>
    <w:basedOn w:val="a0"/>
    <w:uiPriority w:val="99"/>
    <w:semiHidden/>
    <w:unhideWhenUsed/>
    <w:rsid w:val="00A843C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843CE"/>
    <w:pPr>
      <w:spacing w:line="240" w:lineRule="auto"/>
    </w:pPr>
    <w:rPr>
      <w:sz w:val="20"/>
      <w:szCs w:val="20"/>
      <w:lang w:val="uk-UA"/>
    </w:rPr>
  </w:style>
  <w:style w:type="character" w:customStyle="1" w:styleId="ab">
    <w:name w:val="Текст примітки Знак"/>
    <w:basedOn w:val="a0"/>
    <w:link w:val="aa"/>
    <w:uiPriority w:val="99"/>
    <w:rsid w:val="00A843CE"/>
    <w:rPr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A84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A843CE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CB4248"/>
    <w:rPr>
      <w:b/>
      <w:bCs/>
      <w:lang w:val="ru-UA"/>
    </w:rPr>
  </w:style>
  <w:style w:type="character" w:customStyle="1" w:styleId="af">
    <w:name w:val="Тема примітки Знак"/>
    <w:basedOn w:val="ab"/>
    <w:link w:val="ae"/>
    <w:uiPriority w:val="99"/>
    <w:semiHidden/>
    <w:rsid w:val="00CB4248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C1F12-2F1C-4AD7-A251-019BB023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Журавльова</dc:creator>
  <cp:keywords/>
  <dc:description/>
  <cp:lastModifiedBy>Ольга Журавльова</cp:lastModifiedBy>
  <cp:revision>7</cp:revision>
  <cp:lastPrinted>2024-04-24T13:09:00Z</cp:lastPrinted>
  <dcterms:created xsi:type="dcterms:W3CDTF">2024-05-04T21:02:00Z</dcterms:created>
  <dcterms:modified xsi:type="dcterms:W3CDTF">2024-05-07T13:43:00Z</dcterms:modified>
</cp:coreProperties>
</file>