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3E50A" w14:textId="77777777" w:rsidR="00023497" w:rsidRPr="001D23DE" w:rsidRDefault="004F1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A130B51" wp14:editId="27A61179">
                <wp:simplePos x="0" y="0"/>
                <wp:positionH relativeFrom="column">
                  <wp:posOffset>4864100</wp:posOffset>
                </wp:positionH>
                <wp:positionV relativeFrom="paragraph">
                  <wp:posOffset>-393699</wp:posOffset>
                </wp:positionV>
                <wp:extent cx="1395150" cy="1413510"/>
                <wp:effectExtent l="0" t="0" r="0" b="0"/>
                <wp:wrapNone/>
                <wp:docPr id="308" name="Прямокутник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3188" y="3078008"/>
                          <a:ext cx="1385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585E34" w14:textId="77777777" w:rsidR="00023497" w:rsidRDefault="004F16DE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УТОЧНЕННЯ</w:t>
                            </w:r>
                          </w:p>
                          <w:p w14:paraId="1122B6A7" w14:textId="77777777" w:rsidR="00023497" w:rsidRDefault="004F16DE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FFFFFF"/>
                                <w:sz w:val="24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id="Прямокутник 308" o:spid="_x0000_s1026" style="position:absolute;margin-left:383pt;margin-top:-31pt;width:109.85pt;height:111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" stroked="f">
                <v:textbox inset="2.53958mm,1.2694mm,2.53958mm,1.2694mm">
                  <w:txbxContent>
                    <w:p w:rsidR="00023497" w:rsidRDefault="004F16DE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УТОЧНЕННЯ</w:t>
                      </w:r>
                    </w:p>
                    <w:p w:rsidR="00023497" w:rsidRDefault="004F16DE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FFFFFF"/>
                          <w:sz w:val="24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 w:rsidRPr="001D23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8F909C7" wp14:editId="74F8E152">
                <wp:simplePos x="0" y="0"/>
                <wp:positionH relativeFrom="column">
                  <wp:posOffset>4800600</wp:posOffset>
                </wp:positionH>
                <wp:positionV relativeFrom="paragraph">
                  <wp:posOffset>-393699</wp:posOffset>
                </wp:positionV>
                <wp:extent cx="1123950" cy="323850"/>
                <wp:effectExtent l="0" t="0" r="0" b="0"/>
                <wp:wrapNone/>
                <wp:docPr id="309" name="Прямокутник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8788" y="3622838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9FEDFF" w14:textId="77777777" w:rsidR="00023497" w:rsidRDefault="004F16DE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id="Прямокутник 309" o:spid="_x0000_s1027" style="position:absolute;margin-left:378pt;margin-top:-31pt;width:88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" stroked="f">
                <v:textbox inset="2.53958mm,1.2694mm,2.53958mm,1.2694mm">
                  <w:txbxContent>
                    <w:p w:rsidR="00023497" w:rsidRDefault="004F16DE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</w:p>
    <w:p w14:paraId="5E668AEB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AE8F251" wp14:editId="25A4B3B7">
            <wp:extent cx="509270" cy="698500"/>
            <wp:effectExtent l="0" t="0" r="0" b="0"/>
            <wp:docPr id="3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EC54DB" w14:textId="77777777" w:rsidR="00023497" w:rsidRPr="001D23DE" w:rsidRDefault="00023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801638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НАЦІОНАЛЬНА КОМІСІЯ, ЩО ЗДІЙСНЮЄ ДЕРЖАВНЕ </w:t>
      </w:r>
    </w:p>
    <w:p w14:paraId="2BE1592E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РЕГУЛЮВАННЯ У СФЕРАХ ЕНЕРГЕТИКИ </w:t>
      </w:r>
    </w:p>
    <w:p w14:paraId="7F2716D8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 КОМУНАЛЬНИХ ПОСЛУГ</w:t>
      </w:r>
    </w:p>
    <w:p w14:paraId="19A45435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(НКРЕКП</w:t>
      </w:r>
      <w:r w:rsidRPr="001D23D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)</w:t>
      </w:r>
    </w:p>
    <w:p w14:paraId="503F32EB" w14:textId="77777777" w:rsidR="00023497" w:rsidRPr="001D23DE" w:rsidRDefault="00023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14E05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ПОСТАНОВА</w:t>
      </w:r>
    </w:p>
    <w:p w14:paraId="186AD7D5" w14:textId="77777777" w:rsidR="00023497" w:rsidRPr="001D23DE" w:rsidRDefault="004F1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5E6BAD4" w14:textId="77777777" w:rsidR="00023497" w:rsidRPr="001D23DE" w:rsidRDefault="00023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9A368D" w14:textId="77777777" w:rsidR="00023497" w:rsidRPr="001D23DE" w:rsidRDefault="004F16DE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                                                                      № ________________</w:t>
      </w:r>
    </w:p>
    <w:p w14:paraId="2A2B8967" w14:textId="77777777" w:rsidR="00023497" w:rsidRPr="001D23DE" w:rsidRDefault="004F16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color w:val="000000"/>
          <w:sz w:val="24"/>
          <w:szCs w:val="24"/>
        </w:rPr>
        <w:t>Київ</w:t>
      </w:r>
    </w:p>
    <w:p w14:paraId="63430783" w14:textId="77777777" w:rsidR="00023497" w:rsidRPr="001D23DE" w:rsidRDefault="004F16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4"/>
          <w:szCs w:val="24"/>
        </w:rPr>
        <w:br/>
      </w:r>
      <w:r w:rsidRPr="001D23DE">
        <w:rPr>
          <w:rFonts w:ascii="Times New Roman" w:eastAsia="Times New Roman" w:hAnsi="Times New Roman" w:cs="Times New Roman"/>
          <w:sz w:val="24"/>
          <w:szCs w:val="24"/>
        </w:rPr>
        <w:br/>
      </w:r>
      <w:r w:rsidRPr="001D23DE">
        <w:rPr>
          <w:rFonts w:ascii="Times New Roman" w:eastAsia="Times New Roman" w:hAnsi="Times New Roman" w:cs="Times New Roman"/>
          <w:sz w:val="24"/>
          <w:szCs w:val="24"/>
        </w:rPr>
        <w:br/>
      </w: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затвердження Змін </w:t>
      </w:r>
    </w:p>
    <w:p w14:paraId="1D84174A" w14:textId="77777777" w:rsidR="00023497" w:rsidRPr="001D23DE" w:rsidRDefault="004F1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до Правил ринку</w:t>
      </w:r>
    </w:p>
    <w:p w14:paraId="6F7E3E88" w14:textId="77777777" w:rsidR="00023497" w:rsidRPr="001D23DE" w:rsidRDefault="00023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31E0A4" w14:textId="77777777" w:rsidR="00023497" w:rsidRPr="001D23DE" w:rsidRDefault="004F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983C985" w14:textId="77777777" w:rsidR="00023497" w:rsidRPr="001D23DE" w:rsidRDefault="00023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D6DA44" w14:textId="77777777" w:rsidR="00023497" w:rsidRPr="001D23DE" w:rsidRDefault="004F16DE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ПОСТАНОВЛЯЄ:</w:t>
      </w:r>
    </w:p>
    <w:p w14:paraId="70805292" w14:textId="77777777" w:rsidR="00023497" w:rsidRPr="001D23DE" w:rsidRDefault="00023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EC8C3A" w14:textId="77777777" w:rsidR="00023497" w:rsidRPr="001D23DE" w:rsidRDefault="004F16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1. Затвердити Зміни до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що додаються.</w:t>
      </w:r>
    </w:p>
    <w:p w14:paraId="5ECC30CF" w14:textId="77777777" w:rsidR="00023497" w:rsidRPr="001D23DE" w:rsidRDefault="00023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7967B0" w14:textId="77777777" w:rsidR="00023497" w:rsidRPr="001D23DE" w:rsidRDefault="004F16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7E8BB9C1" w14:textId="77777777" w:rsidR="00023497" w:rsidRPr="001D23DE" w:rsidRDefault="00023497">
      <w:pPr>
        <w:spacing w:after="0" w:line="240" w:lineRule="auto"/>
        <w:rPr>
          <w:sz w:val="24"/>
          <w:szCs w:val="24"/>
        </w:rPr>
      </w:pPr>
    </w:p>
    <w:p w14:paraId="516213C1" w14:textId="77777777" w:rsidR="00023497" w:rsidRPr="001D23DE" w:rsidRDefault="00023497">
      <w:pPr>
        <w:spacing w:after="0" w:line="240" w:lineRule="auto"/>
        <w:rPr>
          <w:sz w:val="24"/>
          <w:szCs w:val="24"/>
        </w:rPr>
      </w:pPr>
    </w:p>
    <w:tbl>
      <w:tblPr>
        <w:tblStyle w:val="af4"/>
        <w:tblW w:w="9265" w:type="dxa"/>
        <w:tblInd w:w="37" w:type="dxa"/>
        <w:tblLayout w:type="fixed"/>
        <w:tblLook w:val="0400" w:firstRow="0" w:lastRow="0" w:firstColumn="0" w:lastColumn="0" w:noHBand="0" w:noVBand="1"/>
      </w:tblPr>
      <w:tblGrid>
        <w:gridCol w:w="4611"/>
        <w:gridCol w:w="4654"/>
      </w:tblGrid>
      <w:tr w:rsidR="00023497" w:rsidRPr="001D23DE" w14:paraId="607A4943" w14:textId="77777777">
        <w:tc>
          <w:tcPr>
            <w:tcW w:w="4611" w:type="dxa"/>
          </w:tcPr>
          <w:p w14:paraId="3A9CA9A8" w14:textId="77777777" w:rsidR="00023497" w:rsidRPr="001D23DE" w:rsidRDefault="004F1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 НКРЕКП</w:t>
            </w:r>
          </w:p>
        </w:tc>
        <w:tc>
          <w:tcPr>
            <w:tcW w:w="4654" w:type="dxa"/>
          </w:tcPr>
          <w:p w14:paraId="27256401" w14:textId="77777777" w:rsidR="00023497" w:rsidRPr="001D23DE" w:rsidRDefault="004F16DE" w:rsidP="00FD72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FD7230" w:rsidRPr="001D2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Валерій</w:t>
            </w:r>
            <w:r w:rsidRPr="001D2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D7230" w:rsidRPr="001D23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ТАРАСЮК</w:t>
            </w:r>
          </w:p>
        </w:tc>
      </w:tr>
    </w:tbl>
    <w:p w14:paraId="4E597372" w14:textId="77777777" w:rsidR="00023497" w:rsidRPr="001D23DE" w:rsidRDefault="000234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AEA9AA" w14:textId="77777777" w:rsidR="00023497" w:rsidRPr="001D23DE" w:rsidRDefault="000234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AFC303" w14:textId="77777777" w:rsidR="00023497" w:rsidRPr="001D23DE" w:rsidRDefault="000234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D92547" w14:textId="77777777" w:rsidR="00023497" w:rsidRPr="001D23DE" w:rsidRDefault="000234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77F0CE" w14:textId="77777777" w:rsidR="00023497" w:rsidRPr="001D23DE" w:rsidRDefault="0002349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23497" w:rsidRPr="001D23DE" w:rsidSect="00C91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14:paraId="795DEAC5" w14:textId="77777777" w:rsidR="00023497" w:rsidRPr="001D23DE" w:rsidRDefault="004F16DE">
      <w:pPr>
        <w:spacing w:after="0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lastRenderedPageBreak/>
        <w:t>ЗАТВЕРДЖЕНО</w:t>
      </w:r>
    </w:p>
    <w:p w14:paraId="230482E7" w14:textId="77777777" w:rsidR="00023497" w:rsidRPr="001D23DE" w:rsidRDefault="004F16DE">
      <w:pPr>
        <w:spacing w:after="0"/>
        <w:ind w:left="5954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7F1E8ACA" w14:textId="77777777" w:rsidR="00023497" w:rsidRPr="001D23DE" w:rsidRDefault="000234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51BF7466" w14:textId="77777777" w:rsidR="00023497" w:rsidRPr="001D23DE" w:rsidRDefault="0002349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14133" w14:textId="77777777" w:rsidR="00023497" w:rsidRPr="001D23DE" w:rsidRDefault="004F16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b/>
          <w:sz w:val="28"/>
          <w:szCs w:val="28"/>
        </w:rPr>
        <w:t>Зміни до Правил ринку</w:t>
      </w:r>
    </w:p>
    <w:p w14:paraId="348F1AB1" w14:textId="77777777" w:rsidR="00023497" w:rsidRPr="001D23DE" w:rsidRDefault="0002349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FD7FB" w14:textId="77777777" w:rsidR="00023497" w:rsidRPr="001D23DE" w:rsidRDefault="004F1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У розділі ІІІ:</w:t>
      </w:r>
    </w:p>
    <w:p w14:paraId="220DB6AA" w14:textId="77777777" w:rsidR="00023497" w:rsidRPr="001D23DE" w:rsidRDefault="0002349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5629D" w14:textId="77777777" w:rsidR="00023497" w:rsidRPr="001D23DE" w:rsidRDefault="004F16DE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1) у підпункті 1 пункту 3.1.4 глави 3.1:</w:t>
      </w:r>
    </w:p>
    <w:p w14:paraId="4C44E61E" w14:textId="77777777" w:rsidR="00023497" w:rsidRPr="001D23DE" w:rsidRDefault="004F16DE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таблицю викласти у такій редакції:</w:t>
      </w:r>
    </w:p>
    <w:p w14:paraId="0A3CF8E0" w14:textId="77777777" w:rsidR="00023497" w:rsidRPr="001D23DE" w:rsidRDefault="004F16DE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af5"/>
        <w:tblW w:w="9261" w:type="dxa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1671"/>
        <w:gridCol w:w="1447"/>
        <w:gridCol w:w="2011"/>
        <w:gridCol w:w="2040"/>
        <w:gridCol w:w="1099"/>
      </w:tblGrid>
      <w:tr w:rsidR="00023497" w:rsidRPr="001D23DE" w14:paraId="31A3A4EC" w14:textId="77777777">
        <w:trPr>
          <w:trHeight w:val="31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46A09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Продукт</w:t>
            </w:r>
          </w:p>
        </w:tc>
        <w:tc>
          <w:tcPr>
            <w:tcW w:w="16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4D21A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-16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Мінімальний одиничний обсяг закупівлі</w:t>
            </w:r>
          </w:p>
        </w:tc>
        <w:tc>
          <w:tcPr>
            <w:tcW w:w="14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D32CC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Дискретність не менше</w:t>
            </w:r>
          </w:p>
        </w:tc>
        <w:tc>
          <w:tcPr>
            <w:tcW w:w="20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27F9F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-15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Напрям закупівлі</w:t>
            </w:r>
          </w:p>
        </w:tc>
        <w:tc>
          <w:tcPr>
            <w:tcW w:w="20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6C37D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Кількість пропозицій «ціна - обсяг»</w:t>
            </w:r>
          </w:p>
        </w:tc>
        <w:tc>
          <w:tcPr>
            <w:tcW w:w="10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66C40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-10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Ознака ділимості</w:t>
            </w:r>
          </w:p>
        </w:tc>
      </w:tr>
      <w:tr w:rsidR="00023497" w:rsidRPr="001D23DE" w14:paraId="339AD8AD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ACB1F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РПЧ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4F58DA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106EF4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D2C42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Симетрично - на завантаження і розвантаження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179A7F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ECEA8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Так</w:t>
            </w:r>
          </w:p>
        </w:tc>
      </w:tr>
      <w:tr w:rsidR="00023497" w:rsidRPr="001D23DE" w14:paraId="1ADF4902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72FED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аРВЧс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67116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DD389A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13D19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Симетрично - на завантаження і розвантаження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2190B1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до 10 (включно)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B8C160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39065B07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3008FFF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аРВЧз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7A0DAF0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0FC16F7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209A9D1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завантаження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7C49796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 xml:space="preserve">до 10 (включно) 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82092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0D206AB6" w14:textId="77777777">
        <w:trPr>
          <w:trHeight w:val="313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EFB27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аРВЧр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55D850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86A66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F6B621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розвантаження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5D91E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 xml:space="preserve">до 10 (включно) 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73887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116C432E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AA8F86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рРВЧз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D50E57E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380D622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0A3BB81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завантаження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5D25F3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до 10 (включно)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585D7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1F4EE818" w14:textId="77777777">
        <w:trPr>
          <w:trHeight w:val="313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9E66D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рРВЧр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9853D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9645B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BCB5B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розвантаження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522CB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до 10 (включно)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4C38E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0A3AF01D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A9B77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РЗз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AE74A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7F187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9943F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завантаження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90450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до 10 (включно)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73939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497" w:rsidRPr="001D23DE" w14:paraId="2CFCD8AF" w14:textId="77777777">
        <w:trPr>
          <w:trHeight w:val="313"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A490D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D23DE">
              <w:rPr>
                <w:rFonts w:ascii="Times New Roman" w:eastAsia="Times New Roman" w:hAnsi="Times New Roman" w:cs="Times New Roman"/>
              </w:rPr>
              <w:t>РЗр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145C3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 *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8E175B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1 МВт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2C129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На розвантаження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8FB70" w14:textId="77777777" w:rsidR="00023497" w:rsidRPr="001D23DE" w:rsidRDefault="004F16DE">
            <w:pPr>
              <w:tabs>
                <w:tab w:val="left" w:pos="5812"/>
              </w:tabs>
              <w:spacing w:after="0" w:line="240" w:lineRule="auto"/>
              <w:ind w:left="129" w:right="-7"/>
              <w:jc w:val="center"/>
              <w:rPr>
                <w:rFonts w:ascii="Times New Roman" w:eastAsia="Times New Roman" w:hAnsi="Times New Roman" w:cs="Times New Roman"/>
              </w:rPr>
            </w:pPr>
            <w:r w:rsidRPr="001D23DE">
              <w:rPr>
                <w:rFonts w:ascii="Times New Roman" w:eastAsia="Times New Roman" w:hAnsi="Times New Roman" w:cs="Times New Roman"/>
              </w:rPr>
              <w:t>до 10 (включно)</w:t>
            </w:r>
            <w:r w:rsidRPr="001D23DE">
              <w:rPr>
                <w:rFonts w:ascii="Times New Roman" w:eastAsia="Times New Roman" w:hAnsi="Times New Roman" w:cs="Times New Roman"/>
                <w:strike/>
              </w:rPr>
              <w:t xml:space="preserve"> </w:t>
            </w:r>
          </w:p>
        </w:tc>
        <w:tc>
          <w:tcPr>
            <w:tcW w:w="109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2E4B6" w14:textId="77777777" w:rsidR="00023497" w:rsidRPr="001D23DE" w:rsidRDefault="000234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B117EBF" w14:textId="77777777" w:rsidR="00023497" w:rsidRPr="001D23DE" w:rsidRDefault="004F16DE">
      <w:pPr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9386909" w14:textId="71618C11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у абзаці </w:t>
      </w:r>
      <w:r w:rsidR="005774DB" w:rsidRPr="001D23DE">
        <w:rPr>
          <w:rFonts w:ascii="Times New Roman" w:eastAsia="Times New Roman" w:hAnsi="Times New Roman" w:cs="Times New Roman"/>
          <w:sz w:val="28"/>
          <w:szCs w:val="28"/>
        </w:rPr>
        <w:t xml:space="preserve">п’ятому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знаки та слово «(крок)» виключити;</w:t>
      </w:r>
    </w:p>
    <w:p w14:paraId="34225DA7" w14:textId="690D33E9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у абзаці </w:t>
      </w:r>
      <w:r w:rsidR="005774DB" w:rsidRPr="001D23DE">
        <w:rPr>
          <w:rFonts w:ascii="Times New Roman" w:eastAsia="Times New Roman" w:hAnsi="Times New Roman" w:cs="Times New Roman"/>
          <w:sz w:val="28"/>
          <w:szCs w:val="28"/>
        </w:rPr>
        <w:t xml:space="preserve">шостому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знаки та слово «(кроком)» виключити;</w:t>
      </w:r>
    </w:p>
    <w:p w14:paraId="256FB247" w14:textId="178372BF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у абзаці </w:t>
      </w:r>
      <w:r w:rsidR="005774DB" w:rsidRPr="001D23DE">
        <w:rPr>
          <w:rFonts w:ascii="Times New Roman" w:eastAsia="Times New Roman" w:hAnsi="Times New Roman" w:cs="Times New Roman"/>
          <w:sz w:val="28"/>
          <w:szCs w:val="28"/>
        </w:rPr>
        <w:t xml:space="preserve">восьмому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слово «пар» замінити словом «пропозицій»;</w:t>
      </w:r>
    </w:p>
    <w:p w14:paraId="491702C4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20328" w14:textId="1CBBAB85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3B26D8" w:rsidRPr="001D23D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="003B26D8" w:rsidRPr="001D23DE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перш</w:t>
      </w:r>
      <w:r w:rsidR="003B26D8" w:rsidRPr="001D23DE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пункту 3.3.2 глави 3.3</w:t>
      </w:r>
      <w:r w:rsidR="003B26D8" w:rsidRPr="001D23DE">
        <w:rPr>
          <w:rFonts w:ascii="Times New Roman" w:eastAsia="Times New Roman" w:hAnsi="Times New Roman" w:cs="Times New Roman"/>
          <w:sz w:val="28"/>
          <w:szCs w:val="28"/>
        </w:rPr>
        <w:t xml:space="preserve"> слово «щоквартально» замінити словами «щорічно перед проведенням річних аукціонів»;</w:t>
      </w:r>
    </w:p>
    <w:p w14:paraId="1DCFC2DE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36E01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3) пункт 3.5.2 глави 3.5 викласти у такій редакції:</w:t>
      </w:r>
    </w:p>
    <w:p w14:paraId="554FEE69" w14:textId="796874FC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542C9" w:rsidRPr="001D23DE">
        <w:rPr>
          <w:rFonts w:ascii="Times New Roman" w:eastAsia="Times New Roman" w:hAnsi="Times New Roman" w:cs="Times New Roman"/>
          <w:sz w:val="28"/>
          <w:szCs w:val="28"/>
        </w:rPr>
        <w:t>3.5.2. Усі ПДП мають право подавати ОСП пропозиції щодо надання ДП в обсязі, що не перевищує обсяг</w:t>
      </w:r>
      <w:r w:rsidR="00F92AC8" w:rsidRPr="001D23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2C9" w:rsidRPr="001D23DE">
        <w:rPr>
          <w:rFonts w:ascii="Times New Roman" w:eastAsia="Times New Roman" w:hAnsi="Times New Roman" w:cs="Times New Roman"/>
          <w:sz w:val="28"/>
          <w:szCs w:val="28"/>
        </w:rPr>
        <w:t xml:space="preserve"> зазначений в Свідоцтві про відповідність </w:t>
      </w:r>
      <w:r w:rsidR="00C542C9" w:rsidRPr="001D23DE">
        <w:rPr>
          <w:rFonts w:ascii="Times New Roman" w:eastAsia="Times New Roman" w:hAnsi="Times New Roman" w:cs="Times New Roman"/>
          <w:sz w:val="28"/>
          <w:szCs w:val="28"/>
        </w:rPr>
        <w:lastRenderedPageBreak/>
        <w:t>вимогам до надання допоміжних послуг</w:t>
      </w:r>
      <w:r w:rsidR="00F92AC8" w:rsidRPr="001D23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2C9" w:rsidRPr="001D23DE">
        <w:rPr>
          <w:rFonts w:ascii="Times New Roman" w:eastAsia="Times New Roman" w:hAnsi="Times New Roman" w:cs="Times New Roman"/>
          <w:sz w:val="28"/>
          <w:szCs w:val="28"/>
        </w:rPr>
        <w:t xml:space="preserve"> та</w:t>
      </w:r>
      <w:r w:rsidR="00F92AC8" w:rsidRPr="001D23DE">
        <w:rPr>
          <w:rFonts w:ascii="Times New Roman" w:eastAsia="Times New Roman" w:hAnsi="Times New Roman" w:cs="Times New Roman"/>
          <w:sz w:val="28"/>
          <w:szCs w:val="28"/>
        </w:rPr>
        <w:t xml:space="preserve"> який</w:t>
      </w:r>
      <w:r w:rsidR="00C542C9" w:rsidRPr="001D23DE">
        <w:rPr>
          <w:rFonts w:ascii="Times New Roman" w:eastAsia="Times New Roman" w:hAnsi="Times New Roman" w:cs="Times New Roman"/>
          <w:sz w:val="28"/>
          <w:szCs w:val="28"/>
        </w:rPr>
        <w:t xml:space="preserve"> відповідає вимогам Кодексу системи передачі.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67A0802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23B13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4) підпункт 3 пункту 3.9.3 глави 3.9 викласти у такій редакції:</w:t>
      </w:r>
    </w:p>
    <w:p w14:paraId="7EF11599" w14:textId="3E6B2619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«3) визначення вимог до резерву для всіх розрахункових періодів для кожного типу резерву для всіх торгових днів упродовж наступного року/кварталу/місяця</w:t>
      </w:r>
      <w:r w:rsidR="002E4E6C" w:rsidRPr="001D23DE">
        <w:rPr>
          <w:rFonts w:ascii="Times New Roman" w:eastAsia="Times New Roman" w:hAnsi="Times New Roman" w:cs="Times New Roman"/>
          <w:sz w:val="28"/>
          <w:szCs w:val="28"/>
        </w:rPr>
        <w:t>/тижня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окремо по торгових зонах. Такі вимоги до резерву оприлюднюються на офіційному вебсайті ОСП згідно з графіком  проведення аукціонів на ДП:</w:t>
      </w:r>
    </w:p>
    <w:p w14:paraId="01D69CA6" w14:textId="77777777" w:rsidR="00023497" w:rsidRPr="001D23DE" w:rsidRDefault="004F16DE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для річного аукціону на ДП – не пізніше 20 жовтня;</w:t>
      </w:r>
    </w:p>
    <w:p w14:paraId="21444EC5" w14:textId="77777777" w:rsidR="00023497" w:rsidRPr="001D23DE" w:rsidRDefault="004F16DE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для аукціону на ДП на наступний квартал – не пізніше 25 числа останнього місяця поточного кварталу;</w:t>
      </w:r>
    </w:p>
    <w:p w14:paraId="548E9377" w14:textId="77777777" w:rsidR="00023497" w:rsidRPr="001D23DE" w:rsidRDefault="004F16DE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для аукціону на ДП на наступний місяць – не пізніше 26 числа поточного місяця;</w:t>
      </w:r>
    </w:p>
    <w:p w14:paraId="7CBC1A0A" w14:textId="77777777" w:rsidR="00023497" w:rsidRPr="001D23DE" w:rsidRDefault="006C1732">
      <w:pPr>
        <w:tabs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для тижневого та добового аукціону на ДП – не пізніше ніж за дві години до часу відкриття воріт відповідного аукціону на ДП.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73FDB5B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CF1749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5) у главі 3.10:</w:t>
      </w:r>
    </w:p>
    <w:p w14:paraId="6EBD3491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абзац другий пункту 3.10.7 виключити;</w:t>
      </w:r>
    </w:p>
    <w:p w14:paraId="6B9691D7" w14:textId="3C004406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пункт 3.10.9 після слова «Кожній» доповнити словами «пропозиції на»;</w:t>
      </w:r>
    </w:p>
    <w:p w14:paraId="0A65C5FE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абзац перший пункту 3.10.11 викласти у такій редакції:</w:t>
      </w:r>
    </w:p>
    <w:p w14:paraId="7D694F80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16E1" w:rsidRPr="001D23DE">
        <w:rPr>
          <w:rFonts w:ascii="Times New Roman" w:eastAsia="Times New Roman" w:hAnsi="Times New Roman" w:cs="Times New Roman"/>
          <w:sz w:val="28"/>
          <w:szCs w:val="28"/>
        </w:rPr>
        <w:t xml:space="preserve">3.10.11.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Під час проведення аукціонів та до моменту оголошення їх результатів ОСП вживає заходів щодо збереження конфіденційності змісту пропозицій учасників аукціонів на ДП, що є конфіденційною інформацією»;</w:t>
      </w:r>
    </w:p>
    <w:p w14:paraId="4C1BE479" w14:textId="52C58076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пункт 3.10.12 викласти у такій редакції:</w:t>
      </w:r>
    </w:p>
    <w:p w14:paraId="6518E347" w14:textId="77777777" w:rsidR="00495FFF" w:rsidRPr="001D23DE" w:rsidRDefault="004F16DE" w:rsidP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5FFF" w:rsidRPr="001D23DE">
        <w:rPr>
          <w:rFonts w:ascii="Times New Roman" w:eastAsia="Times New Roman" w:hAnsi="Times New Roman" w:cs="Times New Roman"/>
          <w:sz w:val="28"/>
          <w:szCs w:val="28"/>
        </w:rPr>
        <w:t>3.10.12. ОСП з метою інформування учасників ринку до 25 жовтня року, що передує року надання ДП, оприлюднює на власному офіційному вебсайті графік проведення аукціонів на ДП, у якому зазначаються дати проведення аукціонів на ДП та дати оприлюднення деталей аукціонів на ДП  на наступний календарний рік.</w:t>
      </w:r>
    </w:p>
    <w:p w14:paraId="06D3F529" w14:textId="77777777" w:rsidR="00023497" w:rsidRPr="001D23DE" w:rsidRDefault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Графік проведення аукціонів на ДП формується з урахуванням інформації, зазначеної у плані покриття потреб у ДП.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C70DB9F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A61F4D" w14:textId="475F33CB" w:rsidR="00295011" w:rsidRPr="001D23DE" w:rsidRDefault="00295011" w:rsidP="00EC7F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6)</w:t>
      </w:r>
      <w:r w:rsidR="00EC7F7D" w:rsidRPr="001D23DE">
        <w:rPr>
          <w:rFonts w:ascii="Times New Roman" w:eastAsia="Times New Roman" w:hAnsi="Times New Roman" w:cs="Times New Roman"/>
          <w:sz w:val="28"/>
          <w:szCs w:val="28"/>
        </w:rPr>
        <w:t xml:space="preserve"> у пункті 3.11.1 глави 3.11 слова та </w:t>
      </w:r>
      <w:r w:rsidR="00DB5E55" w:rsidRPr="001D23DE">
        <w:rPr>
          <w:rFonts w:ascii="Times New Roman" w:eastAsia="Times New Roman" w:hAnsi="Times New Roman" w:cs="Times New Roman"/>
          <w:sz w:val="28"/>
          <w:szCs w:val="28"/>
        </w:rPr>
        <w:t xml:space="preserve">знак </w:t>
      </w:r>
      <w:r w:rsidR="00EC7F7D" w:rsidRPr="001D23DE">
        <w:rPr>
          <w:rFonts w:ascii="Times New Roman" w:eastAsia="Times New Roman" w:hAnsi="Times New Roman" w:cs="Times New Roman"/>
          <w:sz w:val="28"/>
          <w:szCs w:val="28"/>
        </w:rPr>
        <w:t xml:space="preserve">«процедури, визначеної» замінити </w:t>
      </w:r>
      <w:r w:rsidR="00F76FD6" w:rsidRPr="001D23DE">
        <w:rPr>
          <w:rFonts w:ascii="Times New Roman" w:eastAsia="Times New Roman" w:hAnsi="Times New Roman" w:cs="Times New Roman"/>
          <w:sz w:val="28"/>
          <w:szCs w:val="28"/>
        </w:rPr>
        <w:t>словами, абревіатурою та знаком</w:t>
      </w:r>
      <w:r w:rsidR="00EC7F7D" w:rsidRPr="001D23DE">
        <w:rPr>
          <w:rFonts w:ascii="Times New Roman" w:eastAsia="Times New Roman" w:hAnsi="Times New Roman" w:cs="Times New Roman"/>
          <w:sz w:val="28"/>
          <w:szCs w:val="28"/>
        </w:rPr>
        <w:t xml:space="preserve"> «Порядку перевірки та проведення випробувань електроустановок ПДП, визначеного»;</w:t>
      </w:r>
    </w:p>
    <w:p w14:paraId="600BC42F" w14:textId="77777777" w:rsidR="00295011" w:rsidRPr="001D23DE" w:rsidRDefault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72188A" w14:textId="77777777" w:rsidR="002D6EFE" w:rsidRPr="001D23DE" w:rsidRDefault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7)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EFE" w:rsidRPr="001D23DE">
        <w:rPr>
          <w:rFonts w:ascii="Times New Roman" w:eastAsia="Times New Roman" w:hAnsi="Times New Roman" w:cs="Times New Roman"/>
          <w:sz w:val="28"/>
          <w:szCs w:val="28"/>
        </w:rPr>
        <w:t>у главі 3.13:</w:t>
      </w:r>
    </w:p>
    <w:p w14:paraId="3A243B54" w14:textId="77777777" w:rsidR="00023497" w:rsidRPr="001D23DE" w:rsidRDefault="004D4D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3.13.4 викласти в такій редакції:</w:t>
      </w:r>
    </w:p>
    <w:p w14:paraId="1B04CD26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lastRenderedPageBreak/>
        <w:t>«3.13.4. Кожен ПДП для кожної одиниці надання ДП має право подавати для кожного продукту з резерву (за винятком продуктів РПЧ) до 10 (вкл</w:t>
      </w:r>
      <w:r w:rsidR="006331D7" w:rsidRPr="001D23DE">
        <w:rPr>
          <w:rFonts w:ascii="Times New Roman" w:eastAsia="Times New Roman" w:hAnsi="Times New Roman" w:cs="Times New Roman"/>
          <w:sz w:val="28"/>
          <w:szCs w:val="28"/>
        </w:rPr>
        <w:t>ючно) пропозицій «ціна - обсяг».»</w:t>
      </w:r>
      <w:r w:rsidR="002D6EFE" w:rsidRPr="001D23D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23EF729" w14:textId="77777777" w:rsidR="002D6EFE" w:rsidRPr="001D23DE" w:rsidRDefault="004D4D67" w:rsidP="002D6E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2D6EFE" w:rsidRPr="001D23DE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2D6EFE" w:rsidRPr="001D23DE">
        <w:rPr>
          <w:rFonts w:ascii="Times New Roman" w:eastAsia="Times New Roman" w:hAnsi="Times New Roman" w:cs="Times New Roman"/>
          <w:sz w:val="28"/>
          <w:szCs w:val="28"/>
        </w:rPr>
        <w:t xml:space="preserve"> 3.13.5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слово «пару» замінити словом «пропозицію»;</w:t>
      </w:r>
    </w:p>
    <w:p w14:paraId="649C96E4" w14:textId="77777777" w:rsidR="002D6EFE" w:rsidRPr="001D23DE" w:rsidRDefault="004D4D67" w:rsidP="002D6E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D6EFE" w:rsidRPr="001D23DE">
        <w:rPr>
          <w:rFonts w:ascii="Times New Roman" w:eastAsia="Times New Roman" w:hAnsi="Times New Roman" w:cs="Times New Roman"/>
          <w:sz w:val="28"/>
          <w:szCs w:val="28"/>
        </w:rPr>
        <w:t>оповнити новим пунктом такого змісту:</w:t>
      </w:r>
    </w:p>
    <w:p w14:paraId="66558F1A" w14:textId="11E48A21" w:rsidR="0090096D" w:rsidRPr="001D23DE" w:rsidRDefault="002D6EFE" w:rsidP="009009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096D" w:rsidRPr="001D23DE">
        <w:rPr>
          <w:rFonts w:ascii="Times New Roman" w:eastAsia="Times New Roman" w:hAnsi="Times New Roman" w:cs="Times New Roman"/>
          <w:sz w:val="28"/>
          <w:szCs w:val="28"/>
        </w:rPr>
        <w:t>3.13.8. Пропозиції резерву потужності на завантаження є пропозиціями ПДП на резервування потужності одиницею надання ДП для збільшення обсягу відпуску електричної енергії або зменшення обсягу відбору електричної енергії.</w:t>
      </w:r>
    </w:p>
    <w:p w14:paraId="7B5FD652" w14:textId="7B1DE58E" w:rsidR="0090096D" w:rsidRPr="001D23DE" w:rsidRDefault="0090096D" w:rsidP="009009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Пропозиції резерву потужності на розвантаження є пропозиціями ПДП на резервування потужності одиницею надання ДП для зменшення обсягу відпуску електричної енергії або збільшення обсяг</w:t>
      </w:r>
      <w:bookmarkStart w:id="0" w:name="_GoBack"/>
      <w:bookmarkEnd w:id="0"/>
      <w:r w:rsidRPr="001D23DE">
        <w:rPr>
          <w:rFonts w:ascii="Times New Roman" w:eastAsia="Times New Roman" w:hAnsi="Times New Roman" w:cs="Times New Roman"/>
          <w:sz w:val="28"/>
          <w:szCs w:val="28"/>
        </w:rPr>
        <w:t>у відбору електричної енергії.</w:t>
      </w:r>
    </w:p>
    <w:p w14:paraId="26AE0DFD" w14:textId="6C640199" w:rsidR="0090096D" w:rsidRPr="001D23DE" w:rsidRDefault="0090096D" w:rsidP="009009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Пропозиції симетричного резерву потужності є пропозиціями ПДП на резервування потужності одиницею надання ДП на завантаження </w:t>
      </w:r>
      <w:r w:rsidR="0005416A">
        <w:rPr>
          <w:rFonts w:ascii="Times New Roman" w:eastAsia="Times New Roman" w:hAnsi="Times New Roman" w:cs="Times New Roman"/>
          <w:sz w:val="28"/>
          <w:szCs w:val="28"/>
        </w:rPr>
        <w:t>та розвантаження одночасно.»;</w:t>
      </w:r>
    </w:p>
    <w:p w14:paraId="7E5B62AC" w14:textId="77777777" w:rsidR="0090096D" w:rsidRPr="001D23DE" w:rsidRDefault="009009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E5506E" w14:textId="77777777" w:rsidR="00023497" w:rsidRPr="001D23DE" w:rsidRDefault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8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) підпункт 2 пункту 3.14.3 глави 3.14 викласти у такій редакції:</w:t>
      </w:r>
    </w:p>
    <w:p w14:paraId="024B4DD4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«2) для добового аукціону на ДП резервною процедурою є зміна засобів подачі пропозицій. ОСП після оприлюднення повідомлення про перехід на резервну процедуру оприлюднює на власному офіційному вебсайті вичерпну інформацію щодо строків, умов </w:t>
      </w:r>
      <w:r w:rsidR="002E4E6C" w:rsidRPr="001D23DE">
        <w:rPr>
          <w:rFonts w:ascii="Times New Roman" w:eastAsia="Times New Roman" w:hAnsi="Times New Roman" w:cs="Times New Roman"/>
          <w:sz w:val="28"/>
          <w:szCs w:val="28"/>
        </w:rPr>
        <w:t xml:space="preserve">та способу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проведення відповідного добового аукціону на ДП.»;</w:t>
      </w:r>
    </w:p>
    <w:p w14:paraId="1DF56488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1E76D2" w14:textId="77777777" w:rsidR="00023497" w:rsidRPr="001D23DE" w:rsidRDefault="002950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9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) речення друге пункту 3.15.3 глави 3.15 виключити.</w:t>
      </w:r>
    </w:p>
    <w:p w14:paraId="2DC136B9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5D2847" w14:textId="77777777" w:rsidR="00023497" w:rsidRPr="001D23DE" w:rsidRDefault="004F16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У розділі ІV:</w:t>
      </w:r>
    </w:p>
    <w:p w14:paraId="58DF1A29" w14:textId="77777777" w:rsidR="00023497" w:rsidRPr="001D23DE" w:rsidRDefault="0002349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FB8618" w14:textId="77777777" w:rsidR="00023497" w:rsidRPr="001D23DE" w:rsidRDefault="004F16DE" w:rsidP="0009114D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абзац перший пункту 4.1.5 глави 4.1 викласти у такій редакції:</w:t>
      </w:r>
    </w:p>
    <w:p w14:paraId="2953E91D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«4.1.5. </w:t>
      </w:r>
      <w:r w:rsidR="000C4F3E"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Продуктом на балансуючому ринку є балансуюча електрична енергія, відпущена/не відпущена або відібрана/не відібрана одиницею надання послуг з балансування за результатом виконання таких типів диспетчерських команд</w:t>
      </w: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:»;</w:t>
      </w:r>
    </w:p>
    <w:p w14:paraId="1322BF54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2B010" w14:textId="77777777" w:rsidR="003E632D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2) підпункт 5 пункту 4.6.4 глави 4.6 викласти у такій редакції:</w:t>
      </w:r>
    </w:p>
    <w:p w14:paraId="62F938A4" w14:textId="4A3FCEDB" w:rsidR="008D7585" w:rsidRPr="001D23DE" w:rsidRDefault="008D7585" w:rsidP="008D758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hyperlink r:id="rId15">
        <w:r w:rsidRPr="001D23DE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5) номінований за одиницями надання ДП обсяг закупленого в ПДП резерву</w:t>
        </w:r>
        <w:r w:rsidR="00612048" w:rsidRPr="001D23DE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у випадку</w:t>
        </w:r>
        <w:r w:rsidRPr="001D23DE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, </w:t>
        </w:r>
      </w:hyperlink>
      <w:r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якщо одиниця відпуску є одиницею надання ДП з акцептованими пропозиціями резервів.»</w:t>
      </w:r>
      <w:r w:rsidR="006331D7" w:rsidRPr="001D23D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FEDBD3" w14:textId="77777777" w:rsidR="003E632D" w:rsidRPr="001D23DE" w:rsidRDefault="003E632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43E4E1" w14:textId="77777777" w:rsidR="00023497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) пункт 4.7.6 глави 4.7 доповнити новим підпунктом такого змісту:</w:t>
      </w:r>
    </w:p>
    <w:p w14:paraId="18B03A32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lastRenderedPageBreak/>
        <w:t>«5) номінований за одиницями надання ДП обсяг закупленого в ПДП резерву у випадку, якщо одиниця відбору є одиницею надання ДП з акцептованими пропозиціями резервів.»;</w:t>
      </w:r>
    </w:p>
    <w:p w14:paraId="3BB55B51" w14:textId="77777777" w:rsidR="008D7585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D1362" w14:textId="77777777" w:rsidR="00023497" w:rsidRPr="001D23DE" w:rsidRDefault="008D7585" w:rsidP="00FC03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FC03DB" w:rsidRPr="001D23DE">
        <w:rPr>
          <w:rFonts w:ascii="Times New Roman" w:eastAsia="Times New Roman" w:hAnsi="Times New Roman" w:cs="Times New Roman"/>
          <w:sz w:val="28"/>
          <w:szCs w:val="28"/>
        </w:rPr>
        <w:t>пункт 4.10.1 глави 4.10 викласти у такій редакції:</w:t>
      </w:r>
    </w:p>
    <w:p w14:paraId="545D7217" w14:textId="77777777" w:rsidR="00F05476" w:rsidRPr="001D23DE" w:rsidRDefault="00FC03DB" w:rsidP="00F054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05476" w:rsidRPr="001D23DE">
        <w:rPr>
          <w:rFonts w:ascii="Times New Roman" w:eastAsia="Times New Roman" w:hAnsi="Times New Roman" w:cs="Times New Roman"/>
          <w:sz w:val="28"/>
          <w:szCs w:val="28"/>
        </w:rPr>
        <w:t>4.10.1. Пропозиції на балансуючу електричну енергію є пропозиціями ППБ щодо відхилень від графіка відпуску/відбору на збільшення або зменшення навантаження.</w:t>
      </w:r>
    </w:p>
    <w:p w14:paraId="1FEEADE1" w14:textId="16513401" w:rsidR="00F05476" w:rsidRPr="001D23DE" w:rsidRDefault="00F05476" w:rsidP="00F054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Пропозиції на балансуючу електричну енергію на завантаження є пропозиціями ППБ на збільшення обсягу відпуску електричної енергії або зменшення обсягу відбору електричної енергії одиницею надання послуг з балансування.</w:t>
      </w:r>
    </w:p>
    <w:p w14:paraId="22915C31" w14:textId="2EDC7E0A" w:rsidR="00F05476" w:rsidRPr="001D23DE" w:rsidRDefault="00F05476" w:rsidP="00FC03D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Пропозиції на балансуючу електричну енергію на розвантаження є пропозиціями ППБ на зменшення обсягу відпуску електричної енергії або збільшення обсягу відбору електричної енергії одиницею надання послуг з балансування.»;</w:t>
      </w:r>
    </w:p>
    <w:p w14:paraId="3D8A9A45" w14:textId="77777777" w:rsidR="008D7585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4D1413" w14:textId="77777777" w:rsidR="00023497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5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) у главі 4.11:</w:t>
      </w:r>
    </w:p>
    <w:p w14:paraId="6D07C98F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пункт 4.11.3 викласти у такій редакції:</w:t>
      </w:r>
    </w:p>
    <w:p w14:paraId="5ECC56AD" w14:textId="2714D656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«4.11.3. При подачі пропозицій на балансуючу електричну енергію для активації на завантаження по кожній одиниці надання послуг балансування, ППБ зобов</w:t>
      </w:r>
      <w:r w:rsidR="00190F7A" w:rsidRPr="001D23DE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язаний подавати щонайменше одну пропозицію, що відповідає зміні виробництва з нуля до технічного мінімуму виробництва (як визначено в зареєстрованих експлуатаційних характеристиках). Такі пропозиції мають подаватися з міткою неподільності. Видача команди на завантаження з нуля до технічного мінімуму виробництва ОСП має здійснюватися до часу набрання потужності, що відповідає технічному мінімуму виробництва.»;</w:t>
      </w:r>
    </w:p>
    <w:p w14:paraId="6026220F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пункт 4.11.4 викласти у такій редакції:</w:t>
      </w:r>
    </w:p>
    <w:p w14:paraId="31F572EA" w14:textId="4693509C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«4.11.4. </w:t>
      </w:r>
      <w:r w:rsidR="00CB03F3" w:rsidRPr="001D23DE">
        <w:rPr>
          <w:rFonts w:ascii="Times New Roman" w:eastAsia="Times New Roman" w:hAnsi="Times New Roman" w:cs="Times New Roman"/>
          <w:sz w:val="28"/>
          <w:szCs w:val="28"/>
        </w:rPr>
        <w:t>При подачі пропозицій на балансуючу електричну енергію для активації на розвантаження по кожній одиниці надання послуг балансування, що заплановані для роботи у графіку відпуску на рівні технічного мінімуму виробництва або вище, ППБ зобов</w:t>
      </w:r>
      <w:r w:rsidR="00190F7A" w:rsidRPr="001D23DE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CB03F3" w:rsidRPr="001D23DE">
        <w:rPr>
          <w:rFonts w:ascii="Times New Roman" w:eastAsia="Times New Roman" w:hAnsi="Times New Roman" w:cs="Times New Roman"/>
          <w:sz w:val="28"/>
          <w:szCs w:val="28"/>
        </w:rPr>
        <w:t>язаний подавати щонайменше одну пропозицію для електричної енергії, що відповідає зміні виробництва від технічного мінімуму виробництва до нуля. Такі пропозиції мають подаватися з міткою неподільності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.»;</w:t>
      </w:r>
    </w:p>
    <w:p w14:paraId="30465034" w14:textId="5E8DB1FF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у пункті 4.11.6 слова «кожного кроку ступінчатої» замінити слов</w:t>
      </w:r>
      <w:r w:rsidR="00B74597" w:rsidRPr="001D23D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м «кожної»;</w:t>
      </w:r>
    </w:p>
    <w:p w14:paraId="147FA286" w14:textId="77777777" w:rsidR="00023497" w:rsidRPr="001D23DE" w:rsidRDefault="004F16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у підпункті 4 пункту 4.11.7 слова «кожен крок повинен» замінити словами «кожна пропозиція повинна»;</w:t>
      </w:r>
    </w:p>
    <w:p w14:paraId="7F8ABB07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5FF45" w14:textId="78150B2F" w:rsidR="00023497" w:rsidRPr="001D23DE" w:rsidRDefault="008D758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6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C6057" w:rsidRPr="001D23DE">
        <w:rPr>
          <w:rFonts w:ascii="Times New Roman" w:eastAsia="Times New Roman" w:hAnsi="Times New Roman" w:cs="Times New Roman"/>
          <w:sz w:val="28"/>
          <w:szCs w:val="28"/>
        </w:rPr>
        <w:t xml:space="preserve">перше речення 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4C6057" w:rsidRPr="001D23D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4.12.2 глави 4.12 </w:t>
      </w:r>
      <w:r w:rsidR="00FB0664" w:rsidRPr="001D23DE">
        <w:rPr>
          <w:rFonts w:ascii="Times New Roman" w:eastAsia="Times New Roman" w:hAnsi="Times New Roman" w:cs="Times New Roman"/>
          <w:sz w:val="28"/>
          <w:szCs w:val="28"/>
        </w:rPr>
        <w:t>викласти у такій редакції:</w:t>
      </w:r>
    </w:p>
    <w:p w14:paraId="1A8EBA22" w14:textId="77777777" w:rsidR="00FB0664" w:rsidRPr="001D23DE" w:rsidRDefault="00FB0664" w:rsidP="00FB06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lastRenderedPageBreak/>
        <w:t>«4.12.2. Якщо пропозиція на балансуючу електричну енергію не відповідає вимогам цього розділу, така пропозиція на балансуючу електричну енергію автоматично відхиляється системою управління ринком.»;</w:t>
      </w:r>
    </w:p>
    <w:p w14:paraId="70876970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E4EBA5" w14:textId="2426BA03" w:rsidR="002F5318" w:rsidRPr="001D23DE" w:rsidRDefault="00B201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="002F5318" w:rsidRPr="001D23D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5B112C" w:rsidRPr="001D23DE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8F2E47" w:rsidRPr="001D23D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5B112C" w:rsidRPr="001D23DE">
        <w:rPr>
          <w:rFonts w:ascii="Times New Roman" w:eastAsia="Times New Roman" w:hAnsi="Times New Roman" w:cs="Times New Roman"/>
          <w:sz w:val="28"/>
          <w:szCs w:val="28"/>
        </w:rPr>
        <w:t xml:space="preserve"> 4.14.7 </w:t>
      </w:r>
      <w:r w:rsidR="00401B56" w:rsidRPr="001D23DE">
        <w:rPr>
          <w:rFonts w:ascii="Times New Roman" w:eastAsia="Times New Roman" w:hAnsi="Times New Roman" w:cs="Times New Roman"/>
          <w:sz w:val="28"/>
          <w:szCs w:val="28"/>
        </w:rPr>
        <w:t>глави 4.14</w:t>
      </w:r>
      <w:r w:rsidR="002F5318" w:rsidRPr="001D23D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A30D975" w14:textId="1C1EAEA9" w:rsidR="00B20165" w:rsidRPr="001D23DE" w:rsidRDefault="002F53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абзац перший </w:t>
      </w:r>
      <w:r w:rsidR="00877892" w:rsidRPr="001D23DE">
        <w:rPr>
          <w:rFonts w:ascii="Times New Roman" w:eastAsia="Times New Roman" w:hAnsi="Times New Roman" w:cs="Times New Roman"/>
          <w:sz w:val="28"/>
          <w:szCs w:val="28"/>
        </w:rPr>
        <w:t xml:space="preserve">викласти </w:t>
      </w:r>
      <w:r w:rsidR="005B112C" w:rsidRPr="001D23DE">
        <w:rPr>
          <w:rFonts w:ascii="Times New Roman" w:eastAsia="Times New Roman" w:hAnsi="Times New Roman" w:cs="Times New Roman"/>
          <w:sz w:val="28"/>
          <w:szCs w:val="28"/>
        </w:rPr>
        <w:t>у такій редакції:</w:t>
      </w:r>
    </w:p>
    <w:p w14:paraId="0F13200B" w14:textId="77777777" w:rsidR="002F5318" w:rsidRPr="001D23DE" w:rsidRDefault="002A2A04" w:rsidP="002F53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F5318" w:rsidRPr="001D23DE">
        <w:rPr>
          <w:rFonts w:ascii="Times New Roman" w:eastAsia="Times New Roman" w:hAnsi="Times New Roman" w:cs="Times New Roman"/>
          <w:sz w:val="28"/>
          <w:szCs w:val="28"/>
        </w:rPr>
        <w:t>4.14.7. Диспетчер оцінює можливість використання пропозиції ППБ або ППВДЕ та в разі недоцільності її активації у відповідному розрахунковому періоді визначає такі пропозиції як «Особливі».»;</w:t>
      </w:r>
    </w:p>
    <w:p w14:paraId="6BC104DC" w14:textId="337A169E" w:rsidR="002F5318" w:rsidRPr="001D23DE" w:rsidRDefault="002F5318" w:rsidP="005B11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абзац друг</w:t>
      </w:r>
      <w:r w:rsidR="002B7D68" w:rsidRPr="001D23DE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після абревіатури «ППБ» доповнити словом та абревіатурою «або ППВДЕ»;</w:t>
      </w:r>
    </w:p>
    <w:p w14:paraId="66E454F8" w14:textId="77777777" w:rsidR="002F5318" w:rsidRPr="001D23DE" w:rsidRDefault="002F5318" w:rsidP="005B112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доповнити двома новими абзацами такого змісту:</w:t>
      </w:r>
    </w:p>
    <w:p w14:paraId="609CA168" w14:textId="77ED8F63" w:rsidR="002F5318" w:rsidRPr="001D23DE" w:rsidRDefault="002F5318" w:rsidP="002F53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«виконання ППБ або ППВДЕ команди </w:t>
      </w:r>
      <w:r w:rsidR="00E20546" w:rsidRPr="001D23DE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технологічно неможлив</w:t>
      </w:r>
      <w:r w:rsidR="00E20546" w:rsidRPr="001D23D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або виконання такої команди призведе до негативних наслідків техногенного або екологічного характеру;</w:t>
      </w:r>
    </w:p>
    <w:p w14:paraId="73E90186" w14:textId="77777777" w:rsidR="002F5318" w:rsidRPr="001D23DE" w:rsidRDefault="002F5318" w:rsidP="002F53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забезпечення безпеки та надійності роботи електричних мереж передачі/розподілу або забезпечення операційної безпеки для окремих регіонів (</w:t>
      </w:r>
      <w:proofErr w:type="spellStart"/>
      <w:r w:rsidRPr="001D23DE">
        <w:rPr>
          <w:rFonts w:ascii="Times New Roman" w:eastAsia="Times New Roman" w:hAnsi="Times New Roman" w:cs="Times New Roman"/>
          <w:sz w:val="28"/>
          <w:szCs w:val="28"/>
        </w:rPr>
        <w:t>енерговузлів</w:t>
      </w:r>
      <w:proofErr w:type="spellEnd"/>
      <w:r w:rsidRPr="001D23DE">
        <w:rPr>
          <w:rFonts w:ascii="Times New Roman" w:eastAsia="Times New Roman" w:hAnsi="Times New Roman" w:cs="Times New Roman"/>
          <w:sz w:val="28"/>
          <w:szCs w:val="28"/>
        </w:rPr>
        <w:t>) ОЕС України (для пропозицій ППВДЕ).»;</w:t>
      </w:r>
    </w:p>
    <w:p w14:paraId="4CEC5D5A" w14:textId="77777777" w:rsidR="00B20165" w:rsidRPr="001D23DE" w:rsidRDefault="00B201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C62049" w14:textId="553D6AA8" w:rsidR="00023497" w:rsidRPr="001D23DE" w:rsidRDefault="00B201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8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) у </w:t>
      </w:r>
      <w:r w:rsidR="00557418" w:rsidRPr="001D23DE">
        <w:rPr>
          <w:rFonts w:ascii="Times New Roman" w:eastAsia="Times New Roman" w:hAnsi="Times New Roman" w:cs="Times New Roman"/>
          <w:sz w:val="28"/>
          <w:szCs w:val="28"/>
        </w:rPr>
        <w:t xml:space="preserve">пунктах 2 та 3 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557418" w:rsidRPr="001D23D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4.16 </w:t>
      </w:r>
      <w:r w:rsidR="00621810" w:rsidRPr="001D23DE">
        <w:rPr>
          <w:rFonts w:ascii="Times New Roman" w:eastAsia="Times New Roman" w:hAnsi="Times New Roman" w:cs="Times New Roman"/>
          <w:sz w:val="28"/>
          <w:szCs w:val="28"/>
        </w:rPr>
        <w:t>букви та знаки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«грн/</w:t>
      </w:r>
      <w:proofErr w:type="spellStart"/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>МВт·г</w:t>
      </w:r>
      <w:proofErr w:type="spellEnd"/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» замінити </w:t>
      </w:r>
      <w:r w:rsidR="00A20966" w:rsidRPr="001D23DE">
        <w:rPr>
          <w:rFonts w:ascii="Times New Roman" w:eastAsia="Times New Roman" w:hAnsi="Times New Roman" w:cs="Times New Roman"/>
          <w:sz w:val="28"/>
          <w:szCs w:val="28"/>
        </w:rPr>
        <w:t>буквами та знаками</w:t>
      </w:r>
      <w:r w:rsidR="004F16DE" w:rsidRPr="001D23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0C1" w:rsidRPr="001D23DE">
        <w:rPr>
          <w:rFonts w:ascii="Times New Roman" w:eastAsia="Times New Roman" w:hAnsi="Times New Roman" w:cs="Times New Roman"/>
          <w:sz w:val="28"/>
          <w:szCs w:val="28"/>
        </w:rPr>
        <w:t>«грн/МВт·год»;</w:t>
      </w:r>
    </w:p>
    <w:p w14:paraId="25D15B26" w14:textId="77777777" w:rsidR="00B170C1" w:rsidRPr="001D23DE" w:rsidRDefault="00B170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A29758" w14:textId="00F0F52A" w:rsidR="00D92277" w:rsidRPr="001D23DE" w:rsidRDefault="00401B56" w:rsidP="00D922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9) пункт 4.21.2 глави 4.21 </w:t>
      </w:r>
      <w:r w:rsidR="00D92277" w:rsidRPr="001D23DE">
        <w:rPr>
          <w:rFonts w:ascii="Times New Roman" w:eastAsia="Times New Roman" w:hAnsi="Times New Roman" w:cs="Times New Roman"/>
          <w:sz w:val="28"/>
          <w:szCs w:val="28"/>
        </w:rPr>
        <w:t>після слова «</w:t>
      </w:r>
      <w:r w:rsidR="00B43E43" w:rsidRPr="001D23DE">
        <w:rPr>
          <w:rFonts w:ascii="Times New Roman" w:eastAsia="Times New Roman" w:hAnsi="Times New Roman" w:cs="Times New Roman"/>
          <w:sz w:val="28"/>
          <w:szCs w:val="28"/>
        </w:rPr>
        <w:t>відпуску</w:t>
      </w:r>
      <w:r w:rsidR="00D92277" w:rsidRPr="001D23DE">
        <w:rPr>
          <w:rFonts w:ascii="Times New Roman" w:eastAsia="Times New Roman" w:hAnsi="Times New Roman" w:cs="Times New Roman"/>
          <w:sz w:val="28"/>
          <w:szCs w:val="28"/>
        </w:rPr>
        <w:t>» доповнити знаком та словом «/відбору»;</w:t>
      </w:r>
    </w:p>
    <w:p w14:paraId="5795034D" w14:textId="77777777" w:rsidR="0033634A" w:rsidRPr="001D23DE" w:rsidRDefault="0033634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AC9664" w14:textId="77777777" w:rsidR="00840572" w:rsidRPr="001D23DE" w:rsidRDefault="0033634A" w:rsidP="008405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840572" w:rsidRPr="001D23DE">
        <w:rPr>
          <w:rFonts w:ascii="Times New Roman" w:eastAsia="Times New Roman" w:hAnsi="Times New Roman" w:cs="Times New Roman"/>
          <w:sz w:val="28"/>
          <w:szCs w:val="28"/>
        </w:rPr>
        <w:t>главу 4.24 доповнити новим пунктом такого змісту:</w:t>
      </w:r>
    </w:p>
    <w:p w14:paraId="1A121FA5" w14:textId="77777777" w:rsidR="00840572" w:rsidRPr="001D23DE" w:rsidRDefault="00840572" w:rsidP="008405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«4.24.5. Про всі випадки визначення пропозицій ППБ або ППВДЕ як «Особливі» ОСП інформує Регулятора із зазначенням підстав та обсягів пропозицій по кожному такому випадку.».</w:t>
      </w:r>
    </w:p>
    <w:p w14:paraId="4454C1F3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A16C49" w14:textId="7C68BE66" w:rsidR="00023497" w:rsidRPr="001D23DE" w:rsidRDefault="00345F5A" w:rsidP="00345F5A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4B70" w:rsidRPr="001D23DE">
        <w:rPr>
          <w:rFonts w:ascii="Times New Roman" w:eastAsia="Times New Roman" w:hAnsi="Times New Roman" w:cs="Times New Roman"/>
          <w:sz w:val="28"/>
          <w:szCs w:val="28"/>
        </w:rPr>
        <w:t xml:space="preserve">ункт 3.2 глави 3 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додатк</w:t>
      </w:r>
      <w:r w:rsidR="00575E98" w:rsidRPr="001D23D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A04B70" w:rsidRPr="001D23DE">
        <w:rPr>
          <w:rFonts w:ascii="Times New Roman" w:eastAsia="Times New Roman" w:hAnsi="Times New Roman" w:cs="Times New Roman"/>
          <w:sz w:val="28"/>
          <w:szCs w:val="28"/>
        </w:rPr>
        <w:t>доповнити новим абзацом такого змісту:</w:t>
      </w:r>
    </w:p>
    <w:p w14:paraId="05C3DA4E" w14:textId="23FB1094" w:rsidR="00A04B70" w:rsidRPr="001D23DE" w:rsidRDefault="00A04B70" w:rsidP="00A04B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114D" w:rsidRPr="001D23DE">
        <w:rPr>
          <w:rFonts w:ascii="Times New Roman" w:eastAsia="Times New Roman" w:hAnsi="Times New Roman" w:cs="Times New Roman"/>
          <w:sz w:val="28"/>
          <w:szCs w:val="28"/>
        </w:rPr>
        <w:t xml:space="preserve">ОСП має право </w:t>
      </w:r>
      <w:r w:rsidR="00AC5707" w:rsidRPr="001D23DE">
        <w:rPr>
          <w:rFonts w:ascii="Times New Roman" w:eastAsia="Times New Roman" w:hAnsi="Times New Roman" w:cs="Times New Roman"/>
          <w:sz w:val="28"/>
          <w:szCs w:val="28"/>
        </w:rPr>
        <w:t>не використовувати</w:t>
      </w:r>
      <w:r w:rsidR="0009114D" w:rsidRPr="001D23DE">
        <w:rPr>
          <w:rFonts w:ascii="Times New Roman" w:eastAsia="Times New Roman" w:hAnsi="Times New Roman" w:cs="Times New Roman"/>
          <w:sz w:val="28"/>
          <w:szCs w:val="28"/>
        </w:rPr>
        <w:t xml:space="preserve"> пропозиції (заявки) ППВДЕ за умови визначення таких пропозицій як «Особливі» відповідно до глави 4.14 </w:t>
      </w:r>
      <w:r w:rsidR="002562BC" w:rsidRPr="001D23DE">
        <w:rPr>
          <w:rFonts w:ascii="Times New Roman" w:eastAsia="Times New Roman" w:hAnsi="Times New Roman" w:cs="Times New Roman"/>
          <w:sz w:val="28"/>
          <w:szCs w:val="28"/>
        </w:rPr>
        <w:t xml:space="preserve">розділу </w:t>
      </w:r>
      <w:r w:rsidR="002562BC" w:rsidRPr="001D23D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2562BC" w:rsidRPr="001D23D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9114D" w:rsidRPr="001D23DE">
        <w:rPr>
          <w:rFonts w:ascii="Times New Roman" w:eastAsia="Times New Roman" w:hAnsi="Times New Roman" w:cs="Times New Roman"/>
          <w:sz w:val="28"/>
          <w:szCs w:val="28"/>
        </w:rPr>
        <w:t>цих Правил.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459A9524" w14:textId="77777777" w:rsidR="00A04B70" w:rsidRPr="001D23DE" w:rsidRDefault="00A04B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585664" w14:textId="77777777" w:rsidR="00023497" w:rsidRPr="001D23DE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F72075" w14:textId="77777777" w:rsidR="00023497" w:rsidRPr="001D23DE" w:rsidRDefault="004F16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Директор</w:t>
      </w:r>
    </w:p>
    <w:p w14:paraId="44A4F215" w14:textId="77777777" w:rsidR="00023497" w:rsidRDefault="004F16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23DE">
        <w:rPr>
          <w:rFonts w:ascii="Times New Roman" w:eastAsia="Times New Roman" w:hAnsi="Times New Roman" w:cs="Times New Roman"/>
          <w:sz w:val="28"/>
          <w:szCs w:val="28"/>
        </w:rPr>
        <w:t>Департаменту енергоринку</w:t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</w:r>
      <w:r w:rsidRPr="001D23DE">
        <w:rPr>
          <w:rFonts w:ascii="Times New Roman" w:eastAsia="Times New Roman" w:hAnsi="Times New Roman" w:cs="Times New Roman"/>
          <w:sz w:val="28"/>
          <w:szCs w:val="28"/>
        </w:rPr>
        <w:tab/>
        <w:t>Ілля СІДОРОВ</w:t>
      </w:r>
    </w:p>
    <w:p w14:paraId="06E7F7B5" w14:textId="77777777" w:rsidR="00023497" w:rsidRDefault="000234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1699B2" w14:textId="77777777" w:rsidR="00023497" w:rsidRDefault="00023497">
      <w:pPr>
        <w:spacing w:after="0"/>
        <w:ind w:left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sectPr w:rsidR="00023497">
      <w:headerReference w:type="default" r:id="rId16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448DA" w14:textId="77777777" w:rsidR="0091756D" w:rsidRDefault="0091756D">
      <w:pPr>
        <w:spacing w:after="0" w:line="240" w:lineRule="auto"/>
      </w:pPr>
      <w:r>
        <w:separator/>
      </w:r>
    </w:p>
  </w:endnote>
  <w:endnote w:type="continuationSeparator" w:id="0">
    <w:p w14:paraId="2BE2F46D" w14:textId="77777777" w:rsidR="0091756D" w:rsidRDefault="00917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4A71C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588DE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13D2D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4B255" w14:textId="77777777" w:rsidR="0091756D" w:rsidRDefault="0091756D">
      <w:pPr>
        <w:spacing w:after="0" w:line="240" w:lineRule="auto"/>
      </w:pPr>
      <w:r>
        <w:separator/>
      </w:r>
    </w:p>
  </w:footnote>
  <w:footnote w:type="continuationSeparator" w:id="0">
    <w:p w14:paraId="1CDF472D" w14:textId="77777777" w:rsidR="0091756D" w:rsidRDefault="00917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C7D80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2BB2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E9AB3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14:paraId="65A19546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6BBB6" w14:textId="6C8DCE80" w:rsidR="00023497" w:rsidRDefault="004F16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8352B">
      <w:rPr>
        <w:noProof/>
        <w:color w:val="000000"/>
      </w:rPr>
      <w:t>6</w:t>
    </w:r>
    <w:r>
      <w:rPr>
        <w:color w:val="000000"/>
      </w:rPr>
      <w:fldChar w:fldCharType="end"/>
    </w:r>
  </w:p>
  <w:p w14:paraId="4DDC14CD" w14:textId="77777777" w:rsidR="00023497" w:rsidRDefault="0002349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4A45"/>
    <w:multiLevelType w:val="hybridMultilevel"/>
    <w:tmpl w:val="08783124"/>
    <w:lvl w:ilvl="0" w:tplc="968E6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182FBE"/>
    <w:multiLevelType w:val="multilevel"/>
    <w:tmpl w:val="AF0C097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83D3C31"/>
    <w:multiLevelType w:val="multilevel"/>
    <w:tmpl w:val="D5AE2D7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97"/>
    <w:rsid w:val="00023497"/>
    <w:rsid w:val="00024F0B"/>
    <w:rsid w:val="0005416A"/>
    <w:rsid w:val="0006784C"/>
    <w:rsid w:val="0009114D"/>
    <w:rsid w:val="000C4F3E"/>
    <w:rsid w:val="000F6CD6"/>
    <w:rsid w:val="00164D2D"/>
    <w:rsid w:val="00190F7A"/>
    <w:rsid w:val="001D23DE"/>
    <w:rsid w:val="001E28F1"/>
    <w:rsid w:val="001F0D2B"/>
    <w:rsid w:val="001F17C2"/>
    <w:rsid w:val="001F1B31"/>
    <w:rsid w:val="00213356"/>
    <w:rsid w:val="00225C2F"/>
    <w:rsid w:val="002562BC"/>
    <w:rsid w:val="00295011"/>
    <w:rsid w:val="002A2A04"/>
    <w:rsid w:val="002B66EB"/>
    <w:rsid w:val="002B7D68"/>
    <w:rsid w:val="002C32C5"/>
    <w:rsid w:val="002C3B96"/>
    <w:rsid w:val="002D6EFE"/>
    <w:rsid w:val="002E4E6C"/>
    <w:rsid w:val="002F5318"/>
    <w:rsid w:val="002F74D1"/>
    <w:rsid w:val="0033634A"/>
    <w:rsid w:val="00345F5A"/>
    <w:rsid w:val="003716E1"/>
    <w:rsid w:val="003A77F6"/>
    <w:rsid w:val="003B14BC"/>
    <w:rsid w:val="003B26D8"/>
    <w:rsid w:val="003E632D"/>
    <w:rsid w:val="00401B56"/>
    <w:rsid w:val="004564BD"/>
    <w:rsid w:val="00462985"/>
    <w:rsid w:val="0047042A"/>
    <w:rsid w:val="00495FFF"/>
    <w:rsid w:val="004B2B1A"/>
    <w:rsid w:val="004C6057"/>
    <w:rsid w:val="004D4D67"/>
    <w:rsid w:val="004F0F8E"/>
    <w:rsid w:val="004F16DE"/>
    <w:rsid w:val="004F4C89"/>
    <w:rsid w:val="00557418"/>
    <w:rsid w:val="00575E98"/>
    <w:rsid w:val="005774DB"/>
    <w:rsid w:val="005855B0"/>
    <w:rsid w:val="00594F5F"/>
    <w:rsid w:val="005B112C"/>
    <w:rsid w:val="00612048"/>
    <w:rsid w:val="00621810"/>
    <w:rsid w:val="006331D7"/>
    <w:rsid w:val="00654DC8"/>
    <w:rsid w:val="006C1732"/>
    <w:rsid w:val="00705B68"/>
    <w:rsid w:val="00787D98"/>
    <w:rsid w:val="007A3CAC"/>
    <w:rsid w:val="007D748A"/>
    <w:rsid w:val="00816459"/>
    <w:rsid w:val="00821A13"/>
    <w:rsid w:val="00840572"/>
    <w:rsid w:val="00877892"/>
    <w:rsid w:val="0088352B"/>
    <w:rsid w:val="00883941"/>
    <w:rsid w:val="008D7585"/>
    <w:rsid w:val="008F2E47"/>
    <w:rsid w:val="008F7893"/>
    <w:rsid w:val="0090096D"/>
    <w:rsid w:val="0091756D"/>
    <w:rsid w:val="009350F7"/>
    <w:rsid w:val="009C0143"/>
    <w:rsid w:val="00A04B70"/>
    <w:rsid w:val="00A20966"/>
    <w:rsid w:val="00A6722A"/>
    <w:rsid w:val="00AA4AB6"/>
    <w:rsid w:val="00AC561B"/>
    <w:rsid w:val="00AC5707"/>
    <w:rsid w:val="00B170C1"/>
    <w:rsid w:val="00B20165"/>
    <w:rsid w:val="00B43E43"/>
    <w:rsid w:val="00B5739D"/>
    <w:rsid w:val="00B670C9"/>
    <w:rsid w:val="00B74597"/>
    <w:rsid w:val="00B92AFE"/>
    <w:rsid w:val="00B935E1"/>
    <w:rsid w:val="00BB24C6"/>
    <w:rsid w:val="00C4713F"/>
    <w:rsid w:val="00C542C9"/>
    <w:rsid w:val="00C848F8"/>
    <w:rsid w:val="00C91856"/>
    <w:rsid w:val="00CB03F3"/>
    <w:rsid w:val="00D22636"/>
    <w:rsid w:val="00D92277"/>
    <w:rsid w:val="00D93A4F"/>
    <w:rsid w:val="00DB5E55"/>
    <w:rsid w:val="00E11F47"/>
    <w:rsid w:val="00E20546"/>
    <w:rsid w:val="00EC7F7D"/>
    <w:rsid w:val="00F05476"/>
    <w:rsid w:val="00F76FD6"/>
    <w:rsid w:val="00F92AC8"/>
    <w:rsid w:val="00FB0664"/>
    <w:rsid w:val="00FB1822"/>
    <w:rsid w:val="00FC03DB"/>
    <w:rsid w:val="00FD6C5D"/>
    <w:rsid w:val="00FD71DD"/>
    <w:rsid w:val="00FD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5536"/>
  <w15:docId w15:val="{4E7E3830-5536-45E9-AB10-5B3A9919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27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673D1"/>
  </w:style>
  <w:style w:type="paragraph" w:styleId="a5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</w:rPr>
  </w:style>
  <w:style w:type="table" w:styleId="a6">
    <w:name w:val="Table Grid"/>
    <w:basedOn w:val="a1"/>
    <w:uiPriority w:val="5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463EE"/>
  </w:style>
  <w:style w:type="paragraph" w:styleId="ab">
    <w:name w:val="footer"/>
    <w:basedOn w:val="a"/>
    <w:link w:val="ac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463EE"/>
  </w:style>
  <w:style w:type="character" w:styleId="ad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rsid w:val="00B463E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463E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B463EE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9B0F2E"/>
    <w:rPr>
      <w:color w:val="0000FF"/>
      <w:u w:val="single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2" w:type="dxa"/>
        <w:left w:w="12" w:type="dxa"/>
        <w:bottom w:w="12" w:type="dxa"/>
        <w:right w:w="12" w:type="dxa"/>
      </w:tblCellMar>
    </w:tblPr>
  </w:style>
  <w:style w:type="paragraph" w:styleId="af6">
    <w:name w:val="Revision"/>
    <w:hidden/>
    <w:uiPriority w:val="99"/>
    <w:semiHidden/>
    <w:rsid w:val="005774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gk56052?ed=2024_02_22&amp;an=17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+ehEUNxFzGMvGR32bwyzg1+bxw==">CgMxLjAyCGguZ2pkZ3hzOAByITE2b3NGMjkxX0xpYUdlazVabXBBTXU2Mmt0Zy05cWFsag==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6433</Words>
  <Characters>3667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Буратинський</dc:creator>
  <cp:lastModifiedBy>Ігор Буратинський</cp:lastModifiedBy>
  <cp:revision>3</cp:revision>
  <dcterms:created xsi:type="dcterms:W3CDTF">2024-03-27T08:11:00Z</dcterms:created>
  <dcterms:modified xsi:type="dcterms:W3CDTF">2024-03-27T08:17:00Z</dcterms:modified>
</cp:coreProperties>
</file>