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71CC4" w14:textId="77777777"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 w:rsidRPr="00D80629">
        <w:rPr>
          <w:b/>
          <w:sz w:val="28"/>
          <w:szCs w:val="28"/>
        </w:rPr>
        <w:t xml:space="preserve">АНАЛІЗ ВПЛИВУ </w:t>
      </w:r>
    </w:p>
    <w:p w14:paraId="18376379" w14:textId="77777777"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проєкту рішення НКРЕКП, що має ознаки регуляторного акта, - постанови НКРЕКП «</w:t>
      </w:r>
      <w:r w:rsidR="006905AD" w:rsidRPr="00BA5FC3">
        <w:rPr>
          <w:b/>
          <w:sz w:val="28"/>
          <w:szCs w:val="28"/>
        </w:rPr>
        <w:t>Про затвердження Змін до Правил ринку</w:t>
      </w:r>
      <w:r w:rsidRPr="00D80629">
        <w:rPr>
          <w:b/>
          <w:sz w:val="28"/>
          <w:szCs w:val="28"/>
        </w:rPr>
        <w:t>»</w:t>
      </w:r>
    </w:p>
    <w:p w14:paraId="1FEFCB63" w14:textId="77777777"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4D5A51CE" w14:textId="77777777" w:rsidR="00071079" w:rsidRPr="00D80629" w:rsidRDefault="00C007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Визначення проблеми</w:t>
      </w:r>
    </w:p>
    <w:p w14:paraId="1D01388F" w14:textId="77777777" w:rsidR="003F7AFE" w:rsidRPr="00D80629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52E38EEE" w14:textId="77777777" w:rsidR="00E53E75" w:rsidRPr="00D80629" w:rsidRDefault="00C0078B" w:rsidP="00D87A9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Згідно з частиною другою статті 2 Закону України «Про ринок електричної енергії» </w:t>
      </w:r>
      <w:r w:rsidR="00B75601" w:rsidRPr="00D80629">
        <w:rPr>
          <w:rFonts w:eastAsiaTheme="minorHAnsi"/>
          <w:position w:val="0"/>
          <w:sz w:val="28"/>
          <w:szCs w:val="28"/>
          <w:lang w:eastAsia="en-US"/>
        </w:rPr>
        <w:t>(далі – Закон</w:t>
      </w:r>
      <w:r w:rsidR="00873446" w:rsidRPr="00D80629">
        <w:rPr>
          <w:rFonts w:eastAsiaTheme="minorHAnsi"/>
          <w:position w:val="0"/>
          <w:sz w:val="28"/>
          <w:szCs w:val="28"/>
          <w:lang w:eastAsia="en-US"/>
        </w:rPr>
        <w:t xml:space="preserve"> про ринок</w:t>
      </w:r>
      <w:r w:rsidR="00B75601" w:rsidRPr="00D80629">
        <w:rPr>
          <w:rFonts w:eastAsiaTheme="minorHAnsi"/>
          <w:position w:val="0"/>
          <w:sz w:val="28"/>
          <w:szCs w:val="28"/>
          <w:lang w:eastAsia="en-US"/>
        </w:rPr>
        <w:t xml:space="preserve">)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>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</w:t>
      </w:r>
      <w:r w:rsidR="00583D42">
        <w:rPr>
          <w:rFonts w:eastAsiaTheme="minorHAnsi"/>
          <w:position w:val="0"/>
          <w:sz w:val="28"/>
          <w:szCs w:val="28"/>
          <w:lang w:eastAsia="en-US"/>
        </w:rPr>
        <w:t>, які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E53E75" w:rsidRPr="00D80629">
        <w:rPr>
          <w:rFonts w:eastAsiaTheme="minorHAnsi"/>
          <w:position w:val="0"/>
          <w:sz w:val="28"/>
          <w:szCs w:val="28"/>
          <w:lang w:eastAsia="en-US"/>
        </w:rPr>
        <w:t xml:space="preserve">розробляються і адмініструються оператором системи передачі </w:t>
      </w:r>
      <w:r w:rsidR="006905AD" w:rsidRPr="00563F74">
        <w:rPr>
          <w:rFonts w:eastAsiaTheme="minorHAnsi"/>
          <w:position w:val="0"/>
          <w:sz w:val="28"/>
          <w:szCs w:val="28"/>
          <w:lang w:eastAsia="en-US"/>
        </w:rPr>
        <w:t>(далі – ОСП)</w:t>
      </w:r>
      <w:r w:rsidR="006905AD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E53E75" w:rsidRPr="00D80629">
        <w:rPr>
          <w:rFonts w:eastAsiaTheme="minorHAnsi"/>
          <w:position w:val="0"/>
          <w:sz w:val="28"/>
          <w:szCs w:val="28"/>
          <w:lang w:eastAsia="en-US"/>
        </w:rPr>
        <w:t>та затверджуються Регулятором.</w:t>
      </w:r>
      <w:bookmarkStart w:id="1" w:name="n125"/>
      <w:bookmarkEnd w:id="1"/>
      <w:r w:rsidR="00E53E75" w:rsidRPr="00D80629">
        <w:rPr>
          <w:rFonts w:eastAsiaTheme="minorHAnsi"/>
          <w:position w:val="0"/>
          <w:sz w:val="28"/>
          <w:szCs w:val="28"/>
          <w:lang w:eastAsia="en-US"/>
        </w:rPr>
        <w:t xml:space="preserve"> </w:t>
      </w:r>
    </w:p>
    <w:p w14:paraId="7EEF1726" w14:textId="77777777" w:rsidR="0042240D" w:rsidRDefault="00E53E75" w:rsidP="0042240D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Згідно </w:t>
      </w:r>
      <w:r w:rsidR="0018007D" w:rsidRPr="00D80629">
        <w:rPr>
          <w:rFonts w:eastAsiaTheme="minorHAnsi"/>
          <w:position w:val="0"/>
          <w:sz w:val="28"/>
          <w:szCs w:val="28"/>
          <w:lang w:eastAsia="en-US"/>
        </w:rPr>
        <w:t>з</w:t>
      </w:r>
      <w:r w:rsidR="00DC28B7">
        <w:rPr>
          <w:rFonts w:eastAsiaTheme="minorHAnsi"/>
          <w:position w:val="0"/>
          <w:sz w:val="28"/>
          <w:szCs w:val="28"/>
          <w:lang w:eastAsia="en-US"/>
        </w:rPr>
        <w:t xml:space="preserve"> положеннями</w:t>
      </w:r>
      <w:r w:rsidR="00DC28B7" w:rsidRPr="00D80629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C28B7" w:rsidRPr="00D80629">
        <w:rPr>
          <w:rFonts w:eastAsiaTheme="minorHAnsi"/>
          <w:position w:val="0"/>
          <w:sz w:val="28"/>
          <w:szCs w:val="28"/>
          <w:lang w:val="ru-RU" w:eastAsia="en-US"/>
        </w:rPr>
        <w:t>Закон</w:t>
      </w:r>
      <w:r w:rsidR="00DC28B7">
        <w:rPr>
          <w:rFonts w:eastAsiaTheme="minorHAnsi"/>
          <w:position w:val="0"/>
          <w:sz w:val="28"/>
          <w:szCs w:val="28"/>
          <w:lang w:val="ru-RU" w:eastAsia="en-US"/>
        </w:rPr>
        <w:t>у</w:t>
      </w:r>
      <w:r w:rsidR="00DC28B7" w:rsidRPr="00D80629">
        <w:rPr>
          <w:rFonts w:eastAsiaTheme="minorHAnsi"/>
          <w:position w:val="0"/>
          <w:sz w:val="28"/>
          <w:szCs w:val="28"/>
          <w:lang w:val="ru-RU" w:eastAsia="en-US"/>
        </w:rPr>
        <w:t xml:space="preserve"> </w:t>
      </w:r>
      <w:r w:rsidR="00873446" w:rsidRPr="00D80629">
        <w:rPr>
          <w:rFonts w:eastAsiaTheme="minorHAnsi"/>
          <w:position w:val="0"/>
          <w:sz w:val="28"/>
          <w:szCs w:val="28"/>
          <w:lang w:val="ru-RU" w:eastAsia="en-US"/>
        </w:rPr>
        <w:t xml:space="preserve">про </w:t>
      </w:r>
      <w:proofErr w:type="spellStart"/>
      <w:r w:rsidR="00873446" w:rsidRPr="00D80629">
        <w:rPr>
          <w:rFonts w:eastAsiaTheme="minorHAnsi"/>
          <w:position w:val="0"/>
          <w:sz w:val="28"/>
          <w:szCs w:val="28"/>
          <w:lang w:val="ru-RU" w:eastAsia="en-US"/>
        </w:rPr>
        <w:t>ринок</w:t>
      </w:r>
      <w:proofErr w:type="spellEnd"/>
      <w:r w:rsidR="00CF758B" w:rsidRPr="00D80629">
        <w:rPr>
          <w:rFonts w:eastAsiaTheme="minorHAnsi"/>
          <w:position w:val="0"/>
          <w:sz w:val="28"/>
          <w:szCs w:val="28"/>
          <w:lang w:val="ru-RU" w:eastAsia="en-US"/>
        </w:rPr>
        <w:t xml:space="preserve"> та</w:t>
      </w:r>
      <w:r w:rsidR="00CF758B" w:rsidRPr="00D80629" w:rsidDel="0018007D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DC28B7" w:rsidRPr="00D80629">
        <w:rPr>
          <w:rFonts w:eastAsiaTheme="minorHAnsi"/>
          <w:position w:val="0"/>
          <w:sz w:val="28"/>
          <w:szCs w:val="28"/>
          <w:lang w:eastAsia="en-US"/>
        </w:rPr>
        <w:t>Закон</w:t>
      </w:r>
      <w:r w:rsidR="00DC28B7">
        <w:rPr>
          <w:rFonts w:eastAsiaTheme="minorHAnsi"/>
          <w:position w:val="0"/>
          <w:sz w:val="28"/>
          <w:szCs w:val="28"/>
          <w:lang w:eastAsia="en-US"/>
        </w:rPr>
        <w:t>у</w:t>
      </w:r>
      <w:r w:rsidR="00DC28B7" w:rsidRPr="00D80629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>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зокрема правила ринку</w:t>
      </w:r>
      <w:r w:rsidR="00583D42">
        <w:rPr>
          <w:rFonts w:eastAsiaTheme="minorHAnsi"/>
          <w:position w:val="0"/>
          <w:sz w:val="28"/>
          <w:szCs w:val="28"/>
          <w:lang w:eastAsia="en-US"/>
        </w:rPr>
        <w:t xml:space="preserve"> та</w:t>
      </w: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 зміни до них.</w:t>
      </w:r>
      <w:r w:rsidR="0050329F">
        <w:rPr>
          <w:rFonts w:eastAsiaTheme="minorHAnsi"/>
          <w:position w:val="0"/>
          <w:sz w:val="28"/>
          <w:szCs w:val="28"/>
          <w:lang w:eastAsia="en-US"/>
        </w:rPr>
        <w:t xml:space="preserve"> </w:t>
      </w:r>
    </w:p>
    <w:p w14:paraId="35581314" w14:textId="77777777" w:rsidR="006D6466" w:rsidRPr="00563F74" w:rsidRDefault="006D6466" w:rsidP="0042240D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Відповідно до частини п’ятої статті 68 Закону про ринок</w:t>
      </w:r>
      <w:r w:rsidR="00974360">
        <w:rPr>
          <w:rFonts w:eastAsiaTheme="minorHAnsi"/>
          <w:position w:val="0"/>
          <w:sz w:val="28"/>
          <w:szCs w:val="28"/>
          <w:lang w:eastAsia="en-US"/>
        </w:rPr>
        <w:t>,</w:t>
      </w:r>
      <w:r w:rsidRPr="00563F74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6905AD">
        <w:rPr>
          <w:rFonts w:eastAsiaTheme="minorHAnsi"/>
          <w:position w:val="0"/>
          <w:sz w:val="28"/>
          <w:szCs w:val="28"/>
          <w:lang w:eastAsia="en-US"/>
        </w:rPr>
        <w:t>ОСП</w:t>
      </w:r>
      <w:r w:rsidR="00563F74" w:rsidRPr="00563F74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Pr="00563F74">
        <w:rPr>
          <w:rFonts w:eastAsiaTheme="minorHAnsi"/>
          <w:position w:val="0"/>
          <w:sz w:val="28"/>
          <w:szCs w:val="28"/>
          <w:lang w:eastAsia="en-US"/>
        </w:rPr>
        <w:t>за межами балансуючого ринку має право надавати команди на зменшення навантаження виробникам, які здійснюють виробництво електричної енергії на об’єктах електроенергетики, включених до балансуючої групи гарантованого покупця, яким встановлено «зелений» тариф.</w:t>
      </w:r>
    </w:p>
    <w:p w14:paraId="0EE0ACED" w14:textId="77777777" w:rsidR="006D6466" w:rsidRPr="00563F74" w:rsidRDefault="006D6466" w:rsidP="006D6466">
      <w:pPr>
        <w:suppressAutoHyphens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bookmarkStart w:id="2" w:name="n3187"/>
      <w:bookmarkEnd w:id="2"/>
      <w:r w:rsidRPr="00563F74">
        <w:rPr>
          <w:rFonts w:eastAsiaTheme="minorHAnsi"/>
          <w:position w:val="0"/>
          <w:sz w:val="28"/>
          <w:szCs w:val="28"/>
          <w:lang w:eastAsia="en-US"/>
        </w:rPr>
        <w:t>Виробники, які здійснюють виробництво електричної енергії на об’єктах електроенергетики або чергах їх будівництва (пускових комплексах) встановленою потужністю від 1 МВт, включених до балансуючої групи гарантованого покупця, зобов’язані надавати ОСП пропозиції (заявки) щодо надання послуги зі зменшення навантаження виробником, який здійснює продаж електричної енергії за «зеленим» тарифом, в обсягах, що відповідають добовому графіку виробництва електричної енергії на відповідних об’єктах виробників.</w:t>
      </w:r>
    </w:p>
    <w:p w14:paraId="5C56BE96" w14:textId="77777777" w:rsidR="006D6466" w:rsidRPr="005D0555" w:rsidRDefault="006D6466" w:rsidP="006D6466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Порядок надання послуг із зменшення навантаження виробником, який здійснює продаж електричної енергії за «зеленим» тарифом, визначається правилами ринку.</w:t>
      </w:r>
    </w:p>
    <w:p w14:paraId="06DA6D11" w14:textId="210A07D6" w:rsidR="0050329F" w:rsidRDefault="0050329F" w:rsidP="0050329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>
        <w:rPr>
          <w:rFonts w:eastAsiaTheme="minorHAnsi"/>
          <w:position w:val="0"/>
          <w:sz w:val="28"/>
          <w:szCs w:val="28"/>
          <w:lang w:eastAsia="en-US"/>
        </w:rPr>
        <w:t>Відповідно до пункт</w:t>
      </w:r>
      <w:r w:rsidR="004566D0">
        <w:rPr>
          <w:rFonts w:eastAsiaTheme="minorHAnsi"/>
          <w:position w:val="0"/>
          <w:sz w:val="28"/>
          <w:szCs w:val="28"/>
          <w:lang w:eastAsia="en-US"/>
        </w:rPr>
        <w:t>ів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 1.13.1 </w:t>
      </w:r>
      <w:r w:rsidR="00176FB2">
        <w:rPr>
          <w:rFonts w:eastAsiaTheme="minorHAnsi"/>
          <w:position w:val="0"/>
          <w:sz w:val="28"/>
          <w:szCs w:val="28"/>
          <w:lang w:eastAsia="en-US"/>
        </w:rPr>
        <w:t xml:space="preserve">та 1.13.5 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глави 1.13 розділу І Правил ринку, </w:t>
      </w:r>
      <w:r w:rsidRPr="00F846FD">
        <w:rPr>
          <w:sz w:val="28"/>
          <w:szCs w:val="28"/>
        </w:rPr>
        <w:t>затверджени</w:t>
      </w:r>
      <w:r>
        <w:rPr>
          <w:sz w:val="28"/>
          <w:szCs w:val="28"/>
        </w:rPr>
        <w:t>х</w:t>
      </w:r>
      <w:r w:rsidRPr="00F846FD">
        <w:rPr>
          <w:sz w:val="28"/>
          <w:szCs w:val="28"/>
        </w:rPr>
        <w:t xml:space="preserve"> постановою НКРЕКП від 14.03.2018 № 307 (далі – Правила ринку</w:t>
      </w:r>
      <w:r>
        <w:rPr>
          <w:sz w:val="28"/>
          <w:szCs w:val="28"/>
        </w:rPr>
        <w:t>)</w:t>
      </w:r>
      <w:bookmarkStart w:id="3" w:name="_GoBack"/>
      <w:r w:rsidR="004566D0">
        <w:rPr>
          <w:sz w:val="28"/>
          <w:szCs w:val="28"/>
        </w:rPr>
        <w:t>,</w:t>
      </w:r>
      <w:bookmarkEnd w:id="3"/>
      <w:r>
        <w:rPr>
          <w:sz w:val="28"/>
          <w:szCs w:val="28"/>
        </w:rPr>
        <w:t xml:space="preserve"> </w:t>
      </w:r>
      <w:r w:rsidRPr="0050329F">
        <w:rPr>
          <w:rFonts w:eastAsiaTheme="minorHAnsi"/>
          <w:position w:val="0"/>
          <w:sz w:val="28"/>
          <w:szCs w:val="28"/>
          <w:lang w:eastAsia="en-US"/>
        </w:rPr>
        <w:t xml:space="preserve">ОСП або учасники ринку мають право ініціювати внесення змін та доповнень до Правил 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ринку </w:t>
      </w:r>
      <w:r w:rsidRPr="0050329F">
        <w:rPr>
          <w:rFonts w:eastAsiaTheme="minorHAnsi"/>
          <w:position w:val="0"/>
          <w:sz w:val="28"/>
          <w:szCs w:val="28"/>
          <w:lang w:eastAsia="en-US"/>
        </w:rPr>
        <w:t>відповідно до процедури, визначеної в цій главі.</w:t>
      </w:r>
      <w:r w:rsidR="00176FB2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176FB2" w:rsidRPr="00176FB2">
        <w:rPr>
          <w:rFonts w:eastAsiaTheme="minorHAnsi"/>
          <w:position w:val="0"/>
          <w:sz w:val="28"/>
          <w:szCs w:val="28"/>
          <w:lang w:eastAsia="en-US"/>
        </w:rPr>
        <w:t xml:space="preserve">Остаточне рішення щодо внесення змін/доповнень до Правил </w:t>
      </w:r>
      <w:r w:rsidR="00176FB2">
        <w:rPr>
          <w:rFonts w:eastAsiaTheme="minorHAnsi"/>
          <w:position w:val="0"/>
          <w:sz w:val="28"/>
          <w:szCs w:val="28"/>
          <w:lang w:eastAsia="en-US"/>
        </w:rPr>
        <w:t xml:space="preserve">ринку </w:t>
      </w:r>
      <w:r w:rsidR="00176FB2" w:rsidRPr="00176FB2">
        <w:rPr>
          <w:rFonts w:eastAsiaTheme="minorHAnsi"/>
          <w:position w:val="0"/>
          <w:sz w:val="28"/>
          <w:szCs w:val="28"/>
          <w:lang w:eastAsia="en-US"/>
        </w:rPr>
        <w:t>приймає Регулятор у порядку, встановленому законодавством.</w:t>
      </w:r>
    </w:p>
    <w:p w14:paraId="0496E039" w14:textId="77777777" w:rsidR="0050329F" w:rsidRPr="0050329F" w:rsidRDefault="00974360" w:rsidP="0050329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>
        <w:rPr>
          <w:rFonts w:eastAsiaTheme="minorHAnsi"/>
          <w:position w:val="0"/>
          <w:sz w:val="28"/>
          <w:szCs w:val="28"/>
          <w:lang w:eastAsia="en-US"/>
        </w:rPr>
        <w:t xml:space="preserve">Так, </w:t>
      </w:r>
      <w:r w:rsidR="006905AD" w:rsidRPr="006905AD">
        <w:rPr>
          <w:rFonts w:eastAsiaTheme="minorHAnsi"/>
          <w:position w:val="0"/>
          <w:sz w:val="28"/>
          <w:szCs w:val="28"/>
          <w:lang w:eastAsia="en-US"/>
        </w:rPr>
        <w:t>НЕК «УКРЕНЕРГО» листом від 22.09.2023 № 01/47618 звернулась до НКРЕКП з пропозиціє</w:t>
      </w:r>
      <w:r w:rsidR="006905AD">
        <w:rPr>
          <w:rFonts w:eastAsiaTheme="minorHAnsi"/>
          <w:position w:val="0"/>
          <w:sz w:val="28"/>
          <w:szCs w:val="28"/>
          <w:lang w:eastAsia="en-US"/>
        </w:rPr>
        <w:t>ю внесення змін до Правил ринку</w:t>
      </w:r>
      <w:r w:rsidR="006905AD" w:rsidRPr="006905AD">
        <w:rPr>
          <w:rFonts w:eastAsiaTheme="minorHAnsi"/>
          <w:position w:val="0"/>
          <w:sz w:val="28"/>
          <w:szCs w:val="28"/>
          <w:lang w:eastAsia="en-US"/>
        </w:rPr>
        <w:t xml:space="preserve"> у частині вдосконалення механізму подачі </w:t>
      </w:r>
      <w:r w:rsidR="00C113CF" w:rsidRPr="006905AD">
        <w:rPr>
          <w:rFonts w:eastAsiaTheme="minorHAnsi"/>
          <w:position w:val="0"/>
          <w:sz w:val="28"/>
          <w:szCs w:val="28"/>
          <w:lang w:eastAsia="en-US"/>
        </w:rPr>
        <w:t>пропозицій учасник</w:t>
      </w:r>
      <w:r w:rsidR="00C113CF">
        <w:rPr>
          <w:rFonts w:eastAsiaTheme="minorHAnsi"/>
          <w:position w:val="0"/>
          <w:sz w:val="28"/>
          <w:szCs w:val="28"/>
          <w:lang w:eastAsia="en-US"/>
        </w:rPr>
        <w:t>ів</w:t>
      </w:r>
      <w:r w:rsidR="00C113CF" w:rsidRPr="006905AD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6905AD" w:rsidRPr="006905AD">
        <w:rPr>
          <w:rFonts w:eastAsiaTheme="minorHAnsi"/>
          <w:position w:val="0"/>
          <w:sz w:val="28"/>
          <w:szCs w:val="28"/>
          <w:lang w:eastAsia="en-US"/>
        </w:rPr>
        <w:t xml:space="preserve">ринку на аукціони </w:t>
      </w:r>
      <w:r w:rsidR="009C1E64">
        <w:rPr>
          <w:rFonts w:eastAsiaTheme="minorHAnsi"/>
          <w:position w:val="0"/>
          <w:sz w:val="28"/>
          <w:szCs w:val="28"/>
          <w:lang w:eastAsia="en-US"/>
        </w:rPr>
        <w:t xml:space="preserve">на </w:t>
      </w:r>
      <w:r w:rsidR="009C1E64" w:rsidRPr="006905AD">
        <w:rPr>
          <w:rFonts w:eastAsiaTheme="minorHAnsi"/>
          <w:position w:val="0"/>
          <w:sz w:val="28"/>
          <w:szCs w:val="28"/>
          <w:lang w:eastAsia="en-US"/>
        </w:rPr>
        <w:t>допоміжн</w:t>
      </w:r>
      <w:r w:rsidR="009C1E64">
        <w:rPr>
          <w:rFonts w:eastAsiaTheme="minorHAnsi"/>
          <w:position w:val="0"/>
          <w:sz w:val="28"/>
          <w:szCs w:val="28"/>
          <w:lang w:eastAsia="en-US"/>
        </w:rPr>
        <w:t>і</w:t>
      </w:r>
      <w:r w:rsidR="009C1E64" w:rsidRPr="006905AD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6905AD" w:rsidRPr="006905AD">
        <w:rPr>
          <w:rFonts w:eastAsiaTheme="minorHAnsi"/>
          <w:position w:val="0"/>
          <w:sz w:val="28"/>
          <w:szCs w:val="28"/>
          <w:lang w:eastAsia="en-US"/>
        </w:rPr>
        <w:t>послуг</w:t>
      </w:r>
      <w:r w:rsidR="009C1E64">
        <w:rPr>
          <w:rFonts w:eastAsiaTheme="minorHAnsi"/>
          <w:position w:val="0"/>
          <w:sz w:val="28"/>
          <w:szCs w:val="28"/>
          <w:lang w:eastAsia="en-US"/>
        </w:rPr>
        <w:t>и</w:t>
      </w:r>
      <w:r w:rsidR="006905AD" w:rsidRPr="006905AD">
        <w:rPr>
          <w:rFonts w:eastAsiaTheme="minorHAnsi"/>
          <w:position w:val="0"/>
          <w:sz w:val="28"/>
          <w:szCs w:val="28"/>
          <w:lang w:eastAsia="en-US"/>
        </w:rPr>
        <w:t xml:space="preserve"> та на балансуючому ринку. </w:t>
      </w:r>
      <w:r w:rsidR="0050329F" w:rsidRPr="0050329F">
        <w:rPr>
          <w:rFonts w:eastAsiaTheme="minorHAnsi"/>
          <w:position w:val="0"/>
          <w:sz w:val="28"/>
          <w:szCs w:val="28"/>
          <w:lang w:eastAsia="en-US"/>
        </w:rPr>
        <w:t xml:space="preserve">Попередні пропозиції НЕК «УКРЕНЕРГО» були оприлюднені на його офіційному веб-сайті ОСП, отримані зауваження від учасників ринку та зацікавлених сторін, проведена </w:t>
      </w:r>
      <w:r w:rsidR="0050329F" w:rsidRPr="0050329F">
        <w:rPr>
          <w:rFonts w:eastAsiaTheme="minorHAnsi"/>
          <w:position w:val="0"/>
          <w:sz w:val="28"/>
          <w:szCs w:val="28"/>
          <w:lang w:eastAsia="en-US"/>
        </w:rPr>
        <w:lastRenderedPageBreak/>
        <w:t>узгоджувальна нарада та складено</w:t>
      </w:r>
      <w:r>
        <w:rPr>
          <w:rFonts w:eastAsiaTheme="minorHAnsi"/>
          <w:position w:val="0"/>
          <w:sz w:val="28"/>
          <w:szCs w:val="28"/>
          <w:lang w:eastAsia="en-US"/>
        </w:rPr>
        <w:t xml:space="preserve"> відповідний</w:t>
      </w:r>
      <w:r w:rsidR="0050329F" w:rsidRPr="0050329F">
        <w:rPr>
          <w:rFonts w:eastAsiaTheme="minorHAnsi"/>
          <w:position w:val="0"/>
          <w:sz w:val="28"/>
          <w:szCs w:val="28"/>
          <w:lang w:eastAsia="en-US"/>
        </w:rPr>
        <w:t xml:space="preserve"> протокол засідань робочої групи</w:t>
      </w:r>
      <w:r w:rsidR="009C1E64" w:rsidRPr="009D7FB7">
        <w:rPr>
          <w:rFonts w:eastAsiaTheme="minorHAnsi"/>
          <w:position w:val="0"/>
          <w:sz w:val="28"/>
          <w:szCs w:val="28"/>
          <w:lang w:eastAsia="en-US"/>
        </w:rPr>
        <w:t xml:space="preserve"> з підготовки змін до Правил ринку</w:t>
      </w:r>
      <w:r w:rsidR="0050329F" w:rsidRPr="0050329F">
        <w:rPr>
          <w:rFonts w:eastAsiaTheme="minorHAnsi"/>
          <w:position w:val="0"/>
          <w:sz w:val="28"/>
          <w:szCs w:val="28"/>
          <w:lang w:eastAsia="en-US"/>
        </w:rPr>
        <w:t>.</w:t>
      </w:r>
    </w:p>
    <w:p w14:paraId="2B24A348" w14:textId="77777777" w:rsidR="007F6F06" w:rsidRPr="007F6F06" w:rsidRDefault="007F6F06" w:rsidP="007F6F06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7F6F06">
        <w:rPr>
          <w:rFonts w:eastAsiaTheme="minorHAnsi"/>
          <w:position w:val="0"/>
          <w:sz w:val="28"/>
          <w:szCs w:val="28"/>
          <w:lang w:eastAsia="en-US"/>
        </w:rPr>
        <w:t xml:space="preserve">Разом з цим, НЕК «УКРЕНЕРГО» листами від 08.12.2023 № 01/67443 та </w:t>
      </w:r>
      <w:r w:rsidRPr="007F6F06">
        <w:rPr>
          <w:rFonts w:eastAsiaTheme="minorHAnsi"/>
          <w:position w:val="0"/>
          <w:sz w:val="28"/>
          <w:szCs w:val="28"/>
          <w:lang w:eastAsia="en-US"/>
        </w:rPr>
        <w:br/>
        <w:t>від 20.02.2024 № 01/10668 звернулась до НКРЕКП із пропозицією внесення змін до Правил ринку, у частині удосконалення Порядку надання послуги зі зменшення навантаження ВДЕ з підтримкою, а саме можливості ОСП здійснювати відбір пропозицій (заявок) на розвантаження постачальників послуг із зменшення навантаження ВДЕ з підтримкою, які необхідно залишити в роботі з огляду на необхідність забезпечення безпеки та надійності роботи електричних мереж передачі/розподілу або забезпечення операційної безпеки для окремих регіонів (</w:t>
      </w:r>
      <w:proofErr w:type="spellStart"/>
      <w:r w:rsidRPr="007F6F06">
        <w:rPr>
          <w:rFonts w:eastAsiaTheme="minorHAnsi"/>
          <w:position w:val="0"/>
          <w:sz w:val="28"/>
          <w:szCs w:val="28"/>
          <w:lang w:eastAsia="en-US"/>
        </w:rPr>
        <w:t>енерговузлів</w:t>
      </w:r>
      <w:proofErr w:type="spellEnd"/>
      <w:r w:rsidRPr="007F6F06">
        <w:rPr>
          <w:rFonts w:eastAsiaTheme="minorHAnsi"/>
          <w:position w:val="0"/>
          <w:sz w:val="28"/>
          <w:szCs w:val="28"/>
          <w:lang w:eastAsia="en-US"/>
        </w:rPr>
        <w:t>) ОЕС України.</w:t>
      </w:r>
    </w:p>
    <w:p w14:paraId="3798B9F4" w14:textId="77777777" w:rsidR="00071079" w:rsidRPr="00D80629" w:rsidRDefault="00C0078B" w:rsidP="00CA116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p w14:paraId="79229357" w14:textId="77777777"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4D6C22" w:rsidRPr="00D80629" w14:paraId="76DAB55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584F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912A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B027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b/>
                <w:sz w:val="23"/>
                <w:szCs w:val="23"/>
              </w:rPr>
              <w:t>Ні</w:t>
            </w:r>
          </w:p>
        </w:tc>
      </w:tr>
      <w:tr w:rsidR="004D6C22" w:rsidRPr="00D80629" w14:paraId="3F5A6D88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9708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F23D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C9F3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  <w:tr w:rsidR="004D6C22" w:rsidRPr="00D80629" w14:paraId="448DEF8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D6B9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224B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5BBC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  <w:tr w:rsidR="00071079" w:rsidRPr="00D80629" w14:paraId="74AE075F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250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573E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Так</w:t>
            </w:r>
          </w:p>
          <w:p w14:paraId="45AAB77F" w14:textId="77777777"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5209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D80629">
              <w:rPr>
                <w:sz w:val="23"/>
                <w:szCs w:val="23"/>
              </w:rPr>
              <w:t>Ні</w:t>
            </w:r>
          </w:p>
        </w:tc>
      </w:tr>
    </w:tbl>
    <w:p w14:paraId="535DBB20" w14:textId="77777777"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4DE09EF4" w14:textId="77777777"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ІІ. Цілі державного регулювання</w:t>
      </w:r>
    </w:p>
    <w:p w14:paraId="3D3ED8CC" w14:textId="77777777"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2F0FE200" w14:textId="77777777" w:rsidR="00176FB2" w:rsidRDefault="00FE7184" w:rsidP="00ED2DF1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вдосконалення положень </w:t>
      </w:r>
      <w:r w:rsidR="001F2A92" w:rsidRPr="00D80629">
        <w:rPr>
          <w:rFonts w:eastAsiaTheme="minorHAnsi"/>
          <w:position w:val="0"/>
          <w:sz w:val="28"/>
          <w:szCs w:val="28"/>
          <w:lang w:eastAsia="en-US"/>
        </w:rPr>
        <w:t xml:space="preserve">Правил ринку </w:t>
      </w:r>
      <w:r w:rsidR="00176FB2" w:rsidRPr="00925336">
        <w:rPr>
          <w:sz w:val="28"/>
          <w:szCs w:val="28"/>
        </w:rPr>
        <w:t xml:space="preserve">у частині </w:t>
      </w:r>
      <w:r w:rsidR="00176FB2">
        <w:rPr>
          <w:sz w:val="28"/>
          <w:szCs w:val="28"/>
        </w:rPr>
        <w:t>удосконалення механізму подачі пропозицій на аукціони допоміжних послуг та балансуючого ринку, та у частині удосконалення Порядку надання послуги зі зменшення навантаження ВДЕ з підтримкою.</w:t>
      </w:r>
    </w:p>
    <w:p w14:paraId="0F5DF651" w14:textId="77777777" w:rsidR="00071079" w:rsidRPr="00D80629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22BF2C83" w14:textId="77777777"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1B1B6214" w14:textId="77777777" w:rsidR="00071079" w:rsidRPr="00D80629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048E4D7F" w14:textId="77777777" w:rsidR="00071079" w:rsidRPr="00D80629" w:rsidRDefault="00C007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D80629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345"/>
      </w:tblGrid>
      <w:tr w:rsidR="004D6C22" w:rsidRPr="00D80629" w14:paraId="627E4D56" w14:textId="77777777">
        <w:trPr>
          <w:trHeight w:val="241"/>
        </w:trPr>
        <w:tc>
          <w:tcPr>
            <w:tcW w:w="3150" w:type="dxa"/>
          </w:tcPr>
          <w:p w14:paraId="623FA566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345" w:type="dxa"/>
          </w:tcPr>
          <w:p w14:paraId="3EB936F6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Опис альтернативи</w:t>
            </w:r>
          </w:p>
        </w:tc>
      </w:tr>
      <w:tr w:rsidR="004D6C22" w:rsidRPr="00D80629" w14:paraId="5EE7DC39" w14:textId="77777777">
        <w:tc>
          <w:tcPr>
            <w:tcW w:w="3150" w:type="dxa"/>
          </w:tcPr>
          <w:p w14:paraId="2269D182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14:paraId="509725F7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345" w:type="dxa"/>
          </w:tcPr>
          <w:p w14:paraId="51986858" w14:textId="77777777" w:rsidR="00071079" w:rsidRPr="00D80629" w:rsidRDefault="00C0078B" w:rsidP="00176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Залишити без змін Правила ринку.</w:t>
            </w:r>
          </w:p>
        </w:tc>
      </w:tr>
      <w:tr w:rsidR="004D6C22" w:rsidRPr="00D80629" w14:paraId="03B5D210" w14:textId="77777777">
        <w:tc>
          <w:tcPr>
            <w:tcW w:w="3150" w:type="dxa"/>
          </w:tcPr>
          <w:p w14:paraId="7FF851E4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14:paraId="746A9A33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6345" w:type="dxa"/>
          </w:tcPr>
          <w:p w14:paraId="38AA98D4" w14:textId="77777777" w:rsidR="00071079" w:rsidRPr="00D80629" w:rsidRDefault="00C0078B" w:rsidP="00176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</w:t>
            </w:r>
            <w:r w:rsidR="00710B5D" w:rsidRPr="00D80629">
              <w:rPr>
                <w:sz w:val="22"/>
                <w:szCs w:val="22"/>
              </w:rPr>
              <w:t>ти</w:t>
            </w:r>
            <w:r w:rsidRPr="00D80629">
              <w:rPr>
                <w:sz w:val="22"/>
                <w:szCs w:val="22"/>
              </w:rPr>
              <w:t xml:space="preserve"> змін</w:t>
            </w:r>
            <w:r w:rsidR="00710B5D" w:rsidRPr="00D80629">
              <w:rPr>
                <w:sz w:val="22"/>
                <w:szCs w:val="22"/>
              </w:rPr>
              <w:t>и</w:t>
            </w:r>
            <w:r w:rsidRPr="00D80629">
              <w:rPr>
                <w:sz w:val="22"/>
                <w:szCs w:val="22"/>
              </w:rPr>
              <w:t xml:space="preserve"> до Правил ринку.</w:t>
            </w:r>
          </w:p>
        </w:tc>
      </w:tr>
      <w:tr w:rsidR="004D6C22" w:rsidRPr="00D80629" w14:paraId="79E7DCBF" w14:textId="77777777">
        <w:tc>
          <w:tcPr>
            <w:tcW w:w="3150" w:type="dxa"/>
          </w:tcPr>
          <w:p w14:paraId="71486981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14:paraId="020474D3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6345" w:type="dxa"/>
          </w:tcPr>
          <w:p w14:paraId="000278FB" w14:textId="77777777" w:rsidR="00071079" w:rsidRPr="00D80629" w:rsidRDefault="00C0078B" w:rsidP="00176F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Визна</w:t>
            </w:r>
            <w:r w:rsidR="00710B5D" w:rsidRPr="00D80629">
              <w:rPr>
                <w:sz w:val="22"/>
                <w:szCs w:val="22"/>
              </w:rPr>
              <w:t>ти</w:t>
            </w:r>
            <w:r w:rsidRPr="00D80629">
              <w:rPr>
                <w:sz w:val="22"/>
                <w:szCs w:val="22"/>
              </w:rPr>
              <w:t xml:space="preserve"> такими, що втратили чинність, Правила ринку та прийнят</w:t>
            </w:r>
            <w:r w:rsidR="00710B5D" w:rsidRPr="00D80629">
              <w:rPr>
                <w:sz w:val="22"/>
                <w:szCs w:val="22"/>
              </w:rPr>
              <w:t>и</w:t>
            </w:r>
            <w:r w:rsidRPr="00D80629">
              <w:rPr>
                <w:sz w:val="22"/>
                <w:szCs w:val="22"/>
              </w:rPr>
              <w:t xml:space="preserve"> нов</w:t>
            </w:r>
            <w:r w:rsidR="009472C0" w:rsidRPr="00D80629">
              <w:rPr>
                <w:sz w:val="22"/>
                <w:szCs w:val="22"/>
              </w:rPr>
              <w:t xml:space="preserve">ий </w:t>
            </w:r>
            <w:r w:rsidRPr="00D80629">
              <w:rPr>
                <w:sz w:val="22"/>
                <w:szCs w:val="22"/>
              </w:rPr>
              <w:t>регуляторн</w:t>
            </w:r>
            <w:r w:rsidR="009472C0" w:rsidRPr="00D80629">
              <w:rPr>
                <w:sz w:val="22"/>
                <w:szCs w:val="22"/>
              </w:rPr>
              <w:t>ий</w:t>
            </w:r>
            <w:r w:rsidRPr="00D80629">
              <w:rPr>
                <w:sz w:val="22"/>
                <w:szCs w:val="22"/>
              </w:rPr>
              <w:t xml:space="preserve"> акт</w:t>
            </w:r>
            <w:r w:rsidR="00B93F7F" w:rsidRPr="00D80629">
              <w:rPr>
                <w:sz w:val="22"/>
                <w:szCs w:val="22"/>
              </w:rPr>
              <w:t>.</w:t>
            </w:r>
          </w:p>
        </w:tc>
      </w:tr>
    </w:tbl>
    <w:p w14:paraId="4F0C78A0" w14:textId="77777777" w:rsidR="002A7B61" w:rsidRPr="00D80629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2C7C7B1A" w14:textId="77777777" w:rsidR="00071079" w:rsidRPr="00D80629" w:rsidRDefault="00C0078B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вибраних альтернативних способів досягнення цілей</w:t>
      </w:r>
    </w:p>
    <w:p w14:paraId="3E8B5A47" w14:textId="77777777" w:rsidR="00071079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03133ABA" w14:textId="77777777" w:rsidR="00071079" w:rsidRPr="00D80629" w:rsidRDefault="00C0078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 w14:paraId="28D75ADE" w14:textId="77777777">
        <w:tc>
          <w:tcPr>
            <w:tcW w:w="2410" w:type="dxa"/>
          </w:tcPr>
          <w:p w14:paraId="13C09863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395" w:type="dxa"/>
          </w:tcPr>
          <w:p w14:paraId="5EA2C4E3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25682EC7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 w14:paraId="3F2F838F" w14:textId="77777777" w:rsidTr="007F6F06">
        <w:trPr>
          <w:trHeight w:val="611"/>
        </w:trPr>
        <w:tc>
          <w:tcPr>
            <w:tcW w:w="2410" w:type="dxa"/>
          </w:tcPr>
          <w:p w14:paraId="68C5B091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14:paraId="0313942E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5" w:type="dxa"/>
          </w:tcPr>
          <w:p w14:paraId="21285299" w14:textId="77777777" w:rsidR="00071079" w:rsidRPr="00265C9B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265C9B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22F57FAB" w14:textId="77777777" w:rsidR="00EC3627" w:rsidRPr="00265C9B" w:rsidRDefault="00F919AF" w:rsidP="009D7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265C9B">
              <w:rPr>
                <w:sz w:val="22"/>
                <w:szCs w:val="22"/>
              </w:rPr>
              <w:t xml:space="preserve">Можливі порушення безпеки постачання електричної енергії, зокрема в частині надійності роботи </w:t>
            </w:r>
            <w:r w:rsidRPr="00265C9B">
              <w:rPr>
                <w:sz w:val="22"/>
                <w:szCs w:val="22"/>
              </w:rPr>
              <w:lastRenderedPageBreak/>
              <w:t>електричних мереж та операційної безпеки для окремих регіонів (</w:t>
            </w:r>
            <w:proofErr w:type="spellStart"/>
            <w:r w:rsidRPr="00265C9B">
              <w:rPr>
                <w:sz w:val="22"/>
                <w:szCs w:val="22"/>
              </w:rPr>
              <w:t>енерговузлів</w:t>
            </w:r>
            <w:proofErr w:type="spellEnd"/>
            <w:r w:rsidRPr="00265C9B">
              <w:rPr>
                <w:sz w:val="22"/>
                <w:szCs w:val="22"/>
              </w:rPr>
              <w:t>) ОЕС України.</w:t>
            </w:r>
          </w:p>
        </w:tc>
      </w:tr>
      <w:tr w:rsidR="004D6C22" w:rsidRPr="00D80629" w14:paraId="19813356" w14:textId="77777777">
        <w:tc>
          <w:tcPr>
            <w:tcW w:w="2410" w:type="dxa"/>
          </w:tcPr>
          <w:p w14:paraId="1CD6E6E2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lastRenderedPageBreak/>
              <w:t xml:space="preserve">Альтернатива 2 </w:t>
            </w:r>
          </w:p>
          <w:p w14:paraId="7B642F16" w14:textId="77777777" w:rsidR="00071079" w:rsidRPr="00D80629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395" w:type="dxa"/>
          </w:tcPr>
          <w:p w14:paraId="4D6F47AB" w14:textId="77777777" w:rsidR="00EC3627" w:rsidRPr="00265C9B" w:rsidRDefault="00F919AF" w:rsidP="006D64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both"/>
              <w:rPr>
                <w:sz w:val="22"/>
                <w:szCs w:val="22"/>
              </w:rPr>
            </w:pPr>
            <w:r w:rsidRPr="00265C9B">
              <w:rPr>
                <w:sz w:val="22"/>
                <w:szCs w:val="22"/>
              </w:rPr>
              <w:t>Забезпечення безпеки постачання електричної енергії, зокрема в частині надійності роботи електричних мереж</w:t>
            </w:r>
            <w:r w:rsidR="009C1E64">
              <w:rPr>
                <w:sz w:val="22"/>
                <w:szCs w:val="22"/>
              </w:rPr>
              <w:t xml:space="preserve">, </w:t>
            </w:r>
            <w:r w:rsidRPr="00265C9B">
              <w:rPr>
                <w:sz w:val="22"/>
                <w:szCs w:val="22"/>
              </w:rPr>
              <w:t>операційної безпеки для окремих регіонів (</w:t>
            </w:r>
            <w:proofErr w:type="spellStart"/>
            <w:r w:rsidRPr="00265C9B">
              <w:rPr>
                <w:sz w:val="22"/>
                <w:szCs w:val="22"/>
              </w:rPr>
              <w:t>енерговузлів</w:t>
            </w:r>
            <w:proofErr w:type="spellEnd"/>
            <w:r w:rsidRPr="00265C9B">
              <w:rPr>
                <w:sz w:val="22"/>
                <w:szCs w:val="22"/>
              </w:rPr>
              <w:t>) ОЕС України</w:t>
            </w:r>
            <w:r w:rsidR="009C1E64">
              <w:rPr>
                <w:sz w:val="22"/>
                <w:szCs w:val="22"/>
              </w:rPr>
              <w:t xml:space="preserve"> та удосконалення функціонування балансуючого ринку та ринку допоміжних послуг.</w:t>
            </w:r>
            <w:r w:rsidRPr="00265C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14:paraId="411D3B85" w14:textId="77777777" w:rsidR="00071079" w:rsidRPr="00265C9B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265C9B">
              <w:rPr>
                <w:sz w:val="22"/>
                <w:szCs w:val="22"/>
              </w:rPr>
              <w:t>Відсутні</w:t>
            </w:r>
          </w:p>
        </w:tc>
      </w:tr>
      <w:tr w:rsidR="004D6C22" w:rsidRPr="00D80629" w14:paraId="174E10CF" w14:textId="77777777">
        <w:tc>
          <w:tcPr>
            <w:tcW w:w="2410" w:type="dxa"/>
          </w:tcPr>
          <w:p w14:paraId="0C9B31CD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14:paraId="38D24ADB" w14:textId="77777777" w:rsidR="00071079" w:rsidRPr="00D80629" w:rsidRDefault="00C0078B" w:rsidP="006D64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395" w:type="dxa"/>
          </w:tcPr>
          <w:p w14:paraId="768E950A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56F88689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Захід є надмірним</w:t>
            </w:r>
          </w:p>
        </w:tc>
      </w:tr>
    </w:tbl>
    <w:p w14:paraId="28E7A347" w14:textId="77777777" w:rsidR="00176FB2" w:rsidRDefault="00176FB2" w:rsidP="00176FB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outlineLvl w:val="9"/>
        <w:rPr>
          <w:sz w:val="28"/>
          <w:szCs w:val="28"/>
        </w:rPr>
      </w:pPr>
    </w:p>
    <w:p w14:paraId="596F989C" w14:textId="77777777" w:rsidR="00071079" w:rsidRPr="00D80629" w:rsidRDefault="00C0078B" w:rsidP="00176FB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outlineLvl w:val="9"/>
        <w:rPr>
          <w:sz w:val="28"/>
          <w:szCs w:val="28"/>
        </w:rPr>
      </w:pPr>
      <w:r w:rsidRPr="00D80629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 w14:paraId="552367F9" w14:textId="77777777">
        <w:tc>
          <w:tcPr>
            <w:tcW w:w="2410" w:type="dxa"/>
          </w:tcPr>
          <w:p w14:paraId="293E6CE5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  <w:p w14:paraId="5AE446F6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028326EF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7C7950F3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 w14:paraId="4FB8074A" w14:textId="77777777">
        <w:tc>
          <w:tcPr>
            <w:tcW w:w="2410" w:type="dxa"/>
          </w:tcPr>
          <w:p w14:paraId="4A58A960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14:paraId="4666B39F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14:paraId="6D05BC3E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10137C6E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56993CA2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</w:tr>
      <w:tr w:rsidR="004D6C22" w:rsidRPr="00D80629" w14:paraId="6E50E292" w14:textId="77777777">
        <w:trPr>
          <w:trHeight w:val="986"/>
        </w:trPr>
        <w:tc>
          <w:tcPr>
            <w:tcW w:w="2410" w:type="dxa"/>
          </w:tcPr>
          <w:p w14:paraId="61FC860F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14:paraId="2FAFE809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  <w:p w14:paraId="0A655B0B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6D626A31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7390D8A7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  <w:p w14:paraId="16D46C71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D80629" w14:paraId="2DF938EF" w14:textId="77777777">
        <w:trPr>
          <w:trHeight w:val="986"/>
        </w:trPr>
        <w:tc>
          <w:tcPr>
            <w:tcW w:w="2410" w:type="dxa"/>
          </w:tcPr>
          <w:p w14:paraId="3010EBBC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14:paraId="143045F8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395" w:type="dxa"/>
          </w:tcPr>
          <w:p w14:paraId="1AF8F730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5C2FB9D6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</w:tr>
    </w:tbl>
    <w:p w14:paraId="4D09FBC5" w14:textId="77777777" w:rsidR="00071079" w:rsidRPr="00D80629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14:paraId="130C9155" w14:textId="77777777" w:rsidR="00071079" w:rsidRPr="00D80629" w:rsidRDefault="00C0078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  <w:r w:rsidRPr="00D80629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4D6C22" w:rsidRPr="00D80629" w14:paraId="72D45CA2" w14:textId="77777777">
        <w:tc>
          <w:tcPr>
            <w:tcW w:w="2410" w:type="dxa"/>
          </w:tcPr>
          <w:p w14:paraId="64301868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Вид альтернативи</w:t>
            </w:r>
          </w:p>
          <w:p w14:paraId="24254645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45057B8A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7E6138FE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</w:t>
            </w:r>
          </w:p>
        </w:tc>
      </w:tr>
      <w:tr w:rsidR="004D6C22" w:rsidRPr="00D80629" w14:paraId="086E6E5F" w14:textId="77777777">
        <w:tc>
          <w:tcPr>
            <w:tcW w:w="2410" w:type="dxa"/>
          </w:tcPr>
          <w:p w14:paraId="57F2B680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14:paraId="15502BE3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14:paraId="3FB05FB5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6C547E17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  <w:p w14:paraId="0076224F" w14:textId="77777777" w:rsidR="00071079" w:rsidRPr="00D80629" w:rsidRDefault="00071079" w:rsidP="00A665D9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4F0EDE2E" w14:textId="77777777" w:rsidR="00071079" w:rsidRPr="00D80629" w:rsidRDefault="00FA7C05" w:rsidP="009D7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Відсутність можливості використання </w:t>
            </w:r>
            <w:r>
              <w:rPr>
                <w:sz w:val="22"/>
                <w:szCs w:val="22"/>
                <w:lang w:val="en-US"/>
              </w:rPr>
              <w:t>XML</w:t>
            </w:r>
            <w:r w:rsidRPr="009D7FB7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файлів, які можна подавати через </w:t>
            </w:r>
            <w:r>
              <w:rPr>
                <w:sz w:val="22"/>
                <w:szCs w:val="22"/>
                <w:lang w:val="en-US"/>
              </w:rPr>
              <w:t>API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під час  </w:t>
            </w:r>
            <w:r w:rsidR="00C97DDE">
              <w:rPr>
                <w:sz w:val="22"/>
                <w:szCs w:val="22"/>
              </w:rPr>
              <w:t>процес</w:t>
            </w:r>
            <w:r>
              <w:rPr>
                <w:sz w:val="22"/>
                <w:szCs w:val="22"/>
              </w:rPr>
              <w:t>у</w:t>
            </w:r>
            <w:r w:rsidR="00C97DDE">
              <w:rPr>
                <w:sz w:val="22"/>
                <w:szCs w:val="22"/>
              </w:rPr>
              <w:t xml:space="preserve"> надання пропозицій </w:t>
            </w:r>
            <w:r w:rsidR="00C97DDE" w:rsidRPr="00C97DDE">
              <w:rPr>
                <w:sz w:val="22"/>
                <w:szCs w:val="22"/>
              </w:rPr>
              <w:t>на аукціони</w:t>
            </w:r>
            <w:r>
              <w:rPr>
                <w:sz w:val="22"/>
                <w:szCs w:val="22"/>
              </w:rPr>
              <w:t xml:space="preserve"> на</w:t>
            </w:r>
            <w:r w:rsidR="00C97DDE" w:rsidRPr="00C97DDE">
              <w:rPr>
                <w:sz w:val="22"/>
                <w:szCs w:val="22"/>
              </w:rPr>
              <w:t xml:space="preserve"> допоміжн</w:t>
            </w:r>
            <w:r>
              <w:rPr>
                <w:sz w:val="22"/>
                <w:szCs w:val="22"/>
              </w:rPr>
              <w:t>і</w:t>
            </w:r>
            <w:r w:rsidR="00C97DDE" w:rsidRPr="00C97DDE">
              <w:rPr>
                <w:sz w:val="22"/>
                <w:szCs w:val="22"/>
              </w:rPr>
              <w:t xml:space="preserve"> послуг</w:t>
            </w:r>
            <w:r>
              <w:rPr>
                <w:sz w:val="22"/>
                <w:szCs w:val="22"/>
              </w:rPr>
              <w:t>и</w:t>
            </w:r>
            <w:r w:rsidR="00C97DDE" w:rsidRPr="00C97DDE">
              <w:rPr>
                <w:sz w:val="22"/>
                <w:szCs w:val="22"/>
              </w:rPr>
              <w:t xml:space="preserve"> та</w:t>
            </w:r>
            <w:r>
              <w:rPr>
                <w:sz w:val="22"/>
                <w:szCs w:val="22"/>
              </w:rPr>
              <w:t xml:space="preserve"> пропозицій на</w:t>
            </w:r>
            <w:r w:rsidR="00C97DDE" w:rsidRPr="00C97DDE">
              <w:rPr>
                <w:sz w:val="22"/>
                <w:szCs w:val="22"/>
              </w:rPr>
              <w:t xml:space="preserve"> </w:t>
            </w:r>
            <w:r w:rsidRPr="00C97DDE">
              <w:rPr>
                <w:sz w:val="22"/>
                <w:szCs w:val="22"/>
              </w:rPr>
              <w:t>балансуюч</w:t>
            </w:r>
            <w:r>
              <w:rPr>
                <w:sz w:val="22"/>
                <w:szCs w:val="22"/>
              </w:rPr>
              <w:t>ому</w:t>
            </w:r>
            <w:r w:rsidRPr="00C97DDE">
              <w:rPr>
                <w:sz w:val="22"/>
                <w:szCs w:val="22"/>
              </w:rPr>
              <w:t xml:space="preserve"> </w:t>
            </w:r>
            <w:r w:rsidR="00C97DDE" w:rsidRPr="00C97DDE">
              <w:rPr>
                <w:sz w:val="22"/>
                <w:szCs w:val="22"/>
              </w:rPr>
              <w:t>ринку</w:t>
            </w:r>
            <w:r>
              <w:rPr>
                <w:sz w:val="22"/>
                <w:szCs w:val="22"/>
              </w:rPr>
              <w:t>.</w:t>
            </w:r>
          </w:p>
        </w:tc>
      </w:tr>
      <w:tr w:rsidR="004D6C22" w:rsidRPr="00D80629" w14:paraId="0A4ABAF0" w14:textId="77777777">
        <w:trPr>
          <w:trHeight w:val="701"/>
        </w:trPr>
        <w:tc>
          <w:tcPr>
            <w:tcW w:w="2410" w:type="dxa"/>
          </w:tcPr>
          <w:p w14:paraId="0F8CE16C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14:paraId="2AB09479" w14:textId="77777777" w:rsidR="00071079" w:rsidRPr="00D80629" w:rsidRDefault="00C0078B" w:rsidP="006D64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</w:t>
            </w:r>
            <w:r w:rsidR="006D6466">
              <w:rPr>
                <w:sz w:val="22"/>
                <w:szCs w:val="22"/>
              </w:rPr>
              <w:t xml:space="preserve"> </w:t>
            </w:r>
            <w:r w:rsidRPr="00D80629">
              <w:rPr>
                <w:sz w:val="22"/>
                <w:szCs w:val="22"/>
              </w:rPr>
              <w:t>регуляторного акта</w:t>
            </w:r>
          </w:p>
        </w:tc>
        <w:tc>
          <w:tcPr>
            <w:tcW w:w="4395" w:type="dxa"/>
          </w:tcPr>
          <w:p w14:paraId="533CAE30" w14:textId="77777777" w:rsidR="003F435B" w:rsidRPr="00D80629" w:rsidRDefault="00C97DDE" w:rsidP="00C9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Оптимізація процесу надання пропозицій </w:t>
            </w:r>
            <w:r w:rsidRPr="00C97DDE">
              <w:rPr>
                <w:sz w:val="22"/>
                <w:szCs w:val="22"/>
              </w:rPr>
              <w:t>на аукціони</w:t>
            </w:r>
            <w:r w:rsidR="00FA7C05">
              <w:rPr>
                <w:sz w:val="22"/>
                <w:szCs w:val="22"/>
              </w:rPr>
              <w:t xml:space="preserve"> на</w:t>
            </w:r>
            <w:r w:rsidRPr="00C97DDE">
              <w:rPr>
                <w:sz w:val="22"/>
                <w:szCs w:val="22"/>
              </w:rPr>
              <w:t xml:space="preserve"> </w:t>
            </w:r>
            <w:r w:rsidR="00FA7C05" w:rsidRPr="00C97DDE">
              <w:rPr>
                <w:sz w:val="22"/>
                <w:szCs w:val="22"/>
              </w:rPr>
              <w:t>допоміжн</w:t>
            </w:r>
            <w:r w:rsidR="00FA7C05">
              <w:rPr>
                <w:sz w:val="22"/>
                <w:szCs w:val="22"/>
              </w:rPr>
              <w:t>і</w:t>
            </w:r>
            <w:r w:rsidR="00FA7C05" w:rsidRPr="00C97DDE">
              <w:rPr>
                <w:sz w:val="22"/>
                <w:szCs w:val="22"/>
              </w:rPr>
              <w:t xml:space="preserve"> </w:t>
            </w:r>
            <w:r w:rsidRPr="00C97DDE">
              <w:rPr>
                <w:sz w:val="22"/>
                <w:szCs w:val="22"/>
              </w:rPr>
              <w:t>послуг</w:t>
            </w:r>
            <w:r w:rsidR="00FA7C05">
              <w:rPr>
                <w:sz w:val="22"/>
                <w:szCs w:val="22"/>
              </w:rPr>
              <w:t>у</w:t>
            </w:r>
            <w:r w:rsidRPr="00C97DDE">
              <w:rPr>
                <w:sz w:val="22"/>
                <w:szCs w:val="22"/>
              </w:rPr>
              <w:t xml:space="preserve"> та </w:t>
            </w:r>
            <w:r w:rsidR="00FA7C05">
              <w:rPr>
                <w:sz w:val="22"/>
                <w:szCs w:val="22"/>
              </w:rPr>
              <w:t xml:space="preserve">пропозицій на </w:t>
            </w:r>
            <w:r w:rsidR="00FA7C05" w:rsidRPr="00C97DDE">
              <w:rPr>
                <w:sz w:val="22"/>
                <w:szCs w:val="22"/>
              </w:rPr>
              <w:t>балансуючо</w:t>
            </w:r>
            <w:r w:rsidR="00FA7C05">
              <w:rPr>
                <w:sz w:val="22"/>
                <w:szCs w:val="22"/>
              </w:rPr>
              <w:t>му</w:t>
            </w:r>
            <w:r w:rsidR="00FA7C05" w:rsidRPr="00C97DDE">
              <w:rPr>
                <w:sz w:val="22"/>
                <w:szCs w:val="22"/>
              </w:rPr>
              <w:t xml:space="preserve"> </w:t>
            </w:r>
            <w:r w:rsidRPr="00C97DDE">
              <w:rPr>
                <w:sz w:val="22"/>
                <w:szCs w:val="22"/>
              </w:rPr>
              <w:t>ринку</w:t>
            </w:r>
            <w:r w:rsidR="00FA7C05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59F3452C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  <w:p w14:paraId="64B18BBD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D6C22" w:rsidRPr="00D80629" w14:paraId="7FF4B7C3" w14:textId="77777777">
        <w:trPr>
          <w:trHeight w:val="701"/>
        </w:trPr>
        <w:tc>
          <w:tcPr>
            <w:tcW w:w="2410" w:type="dxa"/>
          </w:tcPr>
          <w:p w14:paraId="6FF24487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14:paraId="3C3BE9DA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  <w:p w14:paraId="61871EF1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14:paraId="17BB0016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7BFEFB1E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Захід є надмірним</w:t>
            </w:r>
          </w:p>
        </w:tc>
      </w:tr>
    </w:tbl>
    <w:p w14:paraId="6A3ABC6F" w14:textId="77777777" w:rsidR="009D7FB7" w:rsidRDefault="009D7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6A5BCD42" w14:textId="77777777" w:rsidR="00FA7C05" w:rsidRPr="00D80629" w:rsidRDefault="009D7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14:paraId="5EDE3C22" w14:textId="77777777" w:rsidR="00071079" w:rsidRPr="00D80629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D80629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14:paraId="0EB5D86B" w14:textId="77777777" w:rsidR="00071079" w:rsidRPr="00D80629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4D6C22" w:rsidRPr="00D80629" w14:paraId="13ACE784" w14:textId="77777777">
        <w:tc>
          <w:tcPr>
            <w:tcW w:w="3686" w:type="dxa"/>
          </w:tcPr>
          <w:p w14:paraId="713C4235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14:paraId="2FC4D414" w14:textId="77777777"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D08E19A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Бал результативності (за чотирибальною системою оцінки)</w:t>
            </w:r>
          </w:p>
        </w:tc>
        <w:tc>
          <w:tcPr>
            <w:tcW w:w="3402" w:type="dxa"/>
          </w:tcPr>
          <w:p w14:paraId="48C39EB8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D80629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4D6C22" w:rsidRPr="00D80629" w14:paraId="17A1C67B" w14:textId="77777777">
        <w:trPr>
          <w:trHeight w:val="854"/>
        </w:trPr>
        <w:tc>
          <w:tcPr>
            <w:tcW w:w="3686" w:type="dxa"/>
          </w:tcPr>
          <w:p w14:paraId="6B3A714B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14:paraId="3C1928E2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2410" w:type="dxa"/>
          </w:tcPr>
          <w:p w14:paraId="2C422977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1</w:t>
            </w:r>
          </w:p>
          <w:p w14:paraId="013D7906" w14:textId="77777777"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E5896E6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Не забезпечує досягнення поставленої цілі. </w:t>
            </w:r>
          </w:p>
        </w:tc>
      </w:tr>
      <w:tr w:rsidR="004D6C22" w:rsidRPr="00D80629" w14:paraId="186A59D1" w14:textId="77777777">
        <w:trPr>
          <w:trHeight w:val="1263"/>
        </w:trPr>
        <w:tc>
          <w:tcPr>
            <w:tcW w:w="3686" w:type="dxa"/>
          </w:tcPr>
          <w:p w14:paraId="34482241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14:paraId="4E56F755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14:paraId="795B66A8" w14:textId="77777777" w:rsidR="00071079" w:rsidRPr="00D80629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2410" w:type="dxa"/>
          </w:tcPr>
          <w:p w14:paraId="427E3D68" w14:textId="77777777" w:rsidR="00071079" w:rsidRPr="00D80629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14:paraId="00069AB9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Дозволяє вирішити питання найбільш ефективним шляхом.</w:t>
            </w:r>
          </w:p>
        </w:tc>
      </w:tr>
      <w:tr w:rsidR="004D6C22" w:rsidRPr="00D80629" w14:paraId="5ADBA294" w14:textId="77777777">
        <w:trPr>
          <w:trHeight w:val="998"/>
        </w:trPr>
        <w:tc>
          <w:tcPr>
            <w:tcW w:w="3686" w:type="dxa"/>
          </w:tcPr>
          <w:p w14:paraId="430459A7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14:paraId="18F0420B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2410" w:type="dxa"/>
          </w:tcPr>
          <w:p w14:paraId="54225040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436D8031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Захід є надмірним.</w:t>
            </w:r>
          </w:p>
        </w:tc>
      </w:tr>
    </w:tbl>
    <w:p w14:paraId="36F8EC3F" w14:textId="77777777" w:rsidR="00071079" w:rsidRPr="00D80629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4D6C22" w:rsidRPr="00D80629" w14:paraId="40789651" w14:textId="77777777">
        <w:tc>
          <w:tcPr>
            <w:tcW w:w="1843" w:type="dxa"/>
          </w:tcPr>
          <w:p w14:paraId="068BF69F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14:paraId="4280DB0C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14:paraId="6460386B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14:paraId="5A6151A3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14:paraId="6285C237" w14:textId="77777777"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D80629" w14:paraId="64573F39" w14:textId="77777777">
        <w:trPr>
          <w:trHeight w:val="1859"/>
        </w:trPr>
        <w:tc>
          <w:tcPr>
            <w:tcW w:w="1843" w:type="dxa"/>
          </w:tcPr>
          <w:p w14:paraId="6D2B6F33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14:paraId="3655E633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6" w:type="dxa"/>
          </w:tcPr>
          <w:p w14:paraId="186CF0F2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14:paraId="26643328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14:paraId="6D0B44B2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 не дозволяє вирішити поставлену задачу.</w:t>
            </w:r>
          </w:p>
        </w:tc>
      </w:tr>
      <w:tr w:rsidR="004D6C22" w:rsidRPr="00D80629" w14:paraId="71C977E4" w14:textId="77777777">
        <w:trPr>
          <w:trHeight w:val="1930"/>
        </w:trPr>
        <w:tc>
          <w:tcPr>
            <w:tcW w:w="1843" w:type="dxa"/>
          </w:tcPr>
          <w:p w14:paraId="0221508B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2</w:t>
            </w:r>
          </w:p>
          <w:p w14:paraId="531B8803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14:paraId="623DB8AD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3686" w:type="dxa"/>
          </w:tcPr>
          <w:p w14:paraId="74E2B0AB" w14:textId="77777777" w:rsidR="00A665D9" w:rsidRPr="00265C9B" w:rsidRDefault="00C0078B" w:rsidP="00B5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265C9B">
              <w:rPr>
                <w:sz w:val="22"/>
                <w:szCs w:val="22"/>
              </w:rPr>
              <w:t xml:space="preserve">Реалізація регуляторного акта дозволить </w:t>
            </w:r>
            <w:r w:rsidR="00C97DDE" w:rsidRPr="00265C9B">
              <w:rPr>
                <w:sz w:val="22"/>
                <w:szCs w:val="22"/>
              </w:rPr>
              <w:t>забезпечити безпеку постачання електричної енергії, зокрема в частині надійності роботи електричних мереж</w:t>
            </w:r>
            <w:r w:rsidR="00FA7C05">
              <w:rPr>
                <w:sz w:val="22"/>
                <w:szCs w:val="22"/>
              </w:rPr>
              <w:t xml:space="preserve">, </w:t>
            </w:r>
            <w:r w:rsidR="00C97DDE" w:rsidRPr="00265C9B">
              <w:rPr>
                <w:sz w:val="22"/>
                <w:szCs w:val="22"/>
              </w:rPr>
              <w:t>операційної безпеки для окремих регіонів (</w:t>
            </w:r>
            <w:proofErr w:type="spellStart"/>
            <w:r w:rsidR="00C97DDE" w:rsidRPr="00265C9B">
              <w:rPr>
                <w:sz w:val="22"/>
                <w:szCs w:val="22"/>
              </w:rPr>
              <w:t>енерговузлів</w:t>
            </w:r>
            <w:proofErr w:type="spellEnd"/>
            <w:r w:rsidR="00C97DDE" w:rsidRPr="00265C9B">
              <w:rPr>
                <w:sz w:val="22"/>
                <w:szCs w:val="22"/>
              </w:rPr>
              <w:t>) ОЕС України</w:t>
            </w:r>
            <w:r w:rsidR="00FA7C05">
              <w:rPr>
                <w:sz w:val="22"/>
                <w:szCs w:val="22"/>
              </w:rPr>
              <w:t xml:space="preserve"> та удосконалення функціонування балансуючого ринку та ринку допоміжних послуг.</w:t>
            </w:r>
          </w:p>
          <w:p w14:paraId="37A07892" w14:textId="77777777" w:rsidR="00DC1F97" w:rsidRPr="00265C9B" w:rsidRDefault="00DC1F97" w:rsidP="00B5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23E5AF9" w14:textId="77777777" w:rsidR="00071079" w:rsidRPr="00265C9B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265C9B">
              <w:rPr>
                <w:sz w:val="22"/>
                <w:szCs w:val="22"/>
              </w:rPr>
              <w:t>Відсутні</w:t>
            </w:r>
          </w:p>
          <w:p w14:paraId="4D34C571" w14:textId="77777777" w:rsidR="00071079" w:rsidRPr="00265C9B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7C8768B9" w14:textId="77777777" w:rsidR="00071079" w:rsidRPr="00265C9B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265C9B">
              <w:rPr>
                <w:sz w:val="22"/>
                <w:szCs w:val="22"/>
              </w:rPr>
              <w:t>Альтернатива 2 дозволить досягнути задекларованих цілей повною мірою.</w:t>
            </w:r>
          </w:p>
        </w:tc>
      </w:tr>
      <w:tr w:rsidR="004D6C22" w:rsidRPr="00D80629" w14:paraId="608B5F32" w14:textId="77777777">
        <w:trPr>
          <w:trHeight w:val="2022"/>
        </w:trPr>
        <w:tc>
          <w:tcPr>
            <w:tcW w:w="1843" w:type="dxa"/>
          </w:tcPr>
          <w:p w14:paraId="59095B3D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14:paraId="56FE2546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686" w:type="dxa"/>
          </w:tcPr>
          <w:p w14:paraId="6EE8E0C5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14:paraId="7703C672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14:paraId="66E0FE5F" w14:textId="77777777" w:rsidR="00071079" w:rsidRPr="00D80629" w:rsidRDefault="00A665D9" w:rsidP="00A66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3 не дозволяє вирішити поставлену задачу</w:t>
            </w:r>
            <w:r w:rsidR="00FA7C05">
              <w:rPr>
                <w:sz w:val="22"/>
                <w:szCs w:val="22"/>
              </w:rPr>
              <w:t xml:space="preserve"> ефективним шляхом, з огляду на надмірність заходів</w:t>
            </w:r>
            <w:r w:rsidRPr="00D80629">
              <w:rPr>
                <w:sz w:val="22"/>
                <w:szCs w:val="22"/>
              </w:rPr>
              <w:t>.</w:t>
            </w:r>
          </w:p>
        </w:tc>
      </w:tr>
    </w:tbl>
    <w:p w14:paraId="5DCFF574" w14:textId="77777777" w:rsidR="009D7FB7" w:rsidRDefault="009D7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p w14:paraId="0E083963" w14:textId="77777777" w:rsidR="00265C9B" w:rsidRDefault="009D7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</w: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4D6C22" w:rsidRPr="00D80629" w14:paraId="70789BC1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6C8E4110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2862E233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748C7AD7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14:paraId="4C5192C6" w14:textId="77777777"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4D6C22" w:rsidRPr="00D80629" w14:paraId="324A5D14" w14:textId="77777777">
        <w:tc>
          <w:tcPr>
            <w:tcW w:w="2410" w:type="dxa"/>
          </w:tcPr>
          <w:p w14:paraId="5DFC358B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Альтернатива 1</w:t>
            </w:r>
          </w:p>
          <w:p w14:paraId="2F9F0E35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Збереження чинного регулювання</w:t>
            </w:r>
          </w:p>
          <w:p w14:paraId="03F0D2A3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48CD605A" w14:textId="77777777" w:rsidR="00071079" w:rsidRPr="00563F74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563F74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09F62BD3" w14:textId="77777777" w:rsidR="00DC1F97" w:rsidRPr="00D80629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  <w:p w14:paraId="43FBE9EF" w14:textId="77777777"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4D6C22" w:rsidRPr="00D80629" w14:paraId="015645EA" w14:textId="77777777">
        <w:tc>
          <w:tcPr>
            <w:tcW w:w="2410" w:type="dxa"/>
          </w:tcPr>
          <w:p w14:paraId="69E18747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2 </w:t>
            </w:r>
          </w:p>
          <w:p w14:paraId="0C0FA5C8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(обрана альтернатива) </w:t>
            </w:r>
          </w:p>
          <w:p w14:paraId="4F57AE37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Унесення змін до чинного регуляторного акта</w:t>
            </w:r>
          </w:p>
          <w:p w14:paraId="71C35589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6DB555A3" w14:textId="77777777" w:rsidR="00071079" w:rsidRPr="00563F74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563F74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60A34B91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  <w:p w14:paraId="7396F588" w14:textId="77777777" w:rsidR="00071079" w:rsidRPr="00D80629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4D6C22" w:rsidRPr="00D80629" w14:paraId="5CFDE8CF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65C4DDE0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 xml:space="preserve">Альтернатива 3 </w:t>
            </w:r>
          </w:p>
          <w:p w14:paraId="4C80B93C" w14:textId="77777777" w:rsidR="00071079" w:rsidRPr="00D80629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Прийняття нового регуляторного акта</w:t>
            </w:r>
          </w:p>
          <w:p w14:paraId="014F1675" w14:textId="77777777" w:rsidR="00071079" w:rsidRPr="00D80629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521D29F2" w14:textId="77777777" w:rsidR="00071079" w:rsidRPr="00563F74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563F74">
              <w:rPr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43DEFF88" w14:textId="77777777" w:rsidR="00071079" w:rsidRPr="00D80629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D80629">
              <w:rPr>
                <w:sz w:val="22"/>
                <w:szCs w:val="22"/>
              </w:rPr>
              <w:t>Відсутній</w:t>
            </w:r>
          </w:p>
        </w:tc>
      </w:tr>
    </w:tbl>
    <w:p w14:paraId="13D93654" w14:textId="77777777" w:rsidR="008919C4" w:rsidRPr="00D80629" w:rsidRDefault="008919C4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14:paraId="0F05E1ED" w14:textId="77777777"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V. Механізми та заходи, які забезпечать розв</w:t>
      </w:r>
      <w:r w:rsidR="009A55F4" w:rsidRPr="009A55F4">
        <w:rPr>
          <w:b/>
          <w:sz w:val="28"/>
          <w:szCs w:val="28"/>
        </w:rPr>
        <w:t>’</w:t>
      </w:r>
      <w:r w:rsidRPr="00D80629">
        <w:rPr>
          <w:b/>
          <w:sz w:val="28"/>
          <w:szCs w:val="28"/>
        </w:rPr>
        <w:t>язання визначеної проблеми</w:t>
      </w:r>
    </w:p>
    <w:p w14:paraId="6FB8F76B" w14:textId="77777777" w:rsidR="005B6024" w:rsidRPr="009A55F4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25F8B829" w14:textId="77777777" w:rsidR="00563F74" w:rsidRPr="00563F74" w:rsidRDefault="005B6024" w:rsidP="009472C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Розв’язання визначеної проблеми буде досягнуто шляхом прийняття регуляторного акта, що передбачає внесення змін до Правил ринку</w:t>
      </w:r>
      <w:r w:rsidR="00FA7C05">
        <w:rPr>
          <w:rFonts w:eastAsiaTheme="minorHAnsi"/>
          <w:position w:val="0"/>
          <w:sz w:val="28"/>
          <w:szCs w:val="28"/>
          <w:lang w:eastAsia="en-US"/>
        </w:rPr>
        <w:t>,</w:t>
      </w:r>
      <w:r w:rsidRPr="00563F74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563F74" w:rsidRPr="00563F74">
        <w:rPr>
          <w:sz w:val="28"/>
          <w:szCs w:val="28"/>
        </w:rPr>
        <w:t>у частині удосконалення механізму подачі пропозицій на аукціони</w:t>
      </w:r>
      <w:r w:rsidR="00FA7C05">
        <w:rPr>
          <w:sz w:val="28"/>
          <w:szCs w:val="28"/>
        </w:rPr>
        <w:t xml:space="preserve"> на</w:t>
      </w:r>
      <w:r w:rsidR="00563F74" w:rsidRPr="00563F74">
        <w:rPr>
          <w:sz w:val="28"/>
          <w:szCs w:val="28"/>
        </w:rPr>
        <w:t xml:space="preserve"> </w:t>
      </w:r>
      <w:r w:rsidR="00FA7C05" w:rsidRPr="00563F74">
        <w:rPr>
          <w:sz w:val="28"/>
          <w:szCs w:val="28"/>
        </w:rPr>
        <w:t>допоміжн</w:t>
      </w:r>
      <w:r w:rsidR="00FA7C05">
        <w:rPr>
          <w:sz w:val="28"/>
          <w:szCs w:val="28"/>
        </w:rPr>
        <w:t>і</w:t>
      </w:r>
      <w:r w:rsidR="00FA7C05" w:rsidRPr="00563F74">
        <w:rPr>
          <w:sz w:val="28"/>
          <w:szCs w:val="28"/>
        </w:rPr>
        <w:t xml:space="preserve"> </w:t>
      </w:r>
      <w:r w:rsidR="00563F74" w:rsidRPr="00563F74">
        <w:rPr>
          <w:sz w:val="28"/>
          <w:szCs w:val="28"/>
        </w:rPr>
        <w:t>послуг</w:t>
      </w:r>
      <w:r w:rsidR="00FA7C05">
        <w:rPr>
          <w:sz w:val="28"/>
          <w:szCs w:val="28"/>
        </w:rPr>
        <w:t>и</w:t>
      </w:r>
      <w:r w:rsidR="00563F74" w:rsidRPr="00563F74">
        <w:rPr>
          <w:sz w:val="28"/>
          <w:szCs w:val="28"/>
        </w:rPr>
        <w:t xml:space="preserve"> та</w:t>
      </w:r>
      <w:r w:rsidR="00FA7C05">
        <w:rPr>
          <w:sz w:val="28"/>
          <w:szCs w:val="28"/>
        </w:rPr>
        <w:t xml:space="preserve"> пропозицій</w:t>
      </w:r>
      <w:r w:rsidR="00563F74" w:rsidRPr="00563F74">
        <w:rPr>
          <w:sz w:val="28"/>
          <w:szCs w:val="28"/>
        </w:rPr>
        <w:t xml:space="preserve"> </w:t>
      </w:r>
      <w:r w:rsidR="00FA7C05" w:rsidRPr="00563F74">
        <w:rPr>
          <w:sz w:val="28"/>
          <w:szCs w:val="28"/>
        </w:rPr>
        <w:t>балансуючо</w:t>
      </w:r>
      <w:r w:rsidR="00FA7C05">
        <w:rPr>
          <w:sz w:val="28"/>
          <w:szCs w:val="28"/>
        </w:rPr>
        <w:t>му</w:t>
      </w:r>
      <w:r w:rsidR="00FA7C05" w:rsidRPr="00563F74">
        <w:rPr>
          <w:sz w:val="28"/>
          <w:szCs w:val="28"/>
        </w:rPr>
        <w:t xml:space="preserve"> </w:t>
      </w:r>
      <w:r w:rsidR="00563F74" w:rsidRPr="00563F74">
        <w:rPr>
          <w:sz w:val="28"/>
          <w:szCs w:val="28"/>
        </w:rPr>
        <w:t>ринку, та у частині удосконалення Порядку надання послуги зі зменшення навантаження ВДЕ з підтримкою.</w:t>
      </w:r>
    </w:p>
    <w:p w14:paraId="51BDD323" w14:textId="77777777" w:rsidR="005B6024" w:rsidRPr="00563F74" w:rsidRDefault="005B602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Впливу зовнішніх факторів, що можуть негативно позначитись на виконання вимог регуляторного акта, не очікується.</w:t>
      </w:r>
    </w:p>
    <w:p w14:paraId="7A59C22C" w14:textId="77777777" w:rsidR="005B6024" w:rsidRPr="00563F74" w:rsidRDefault="005B6024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14:paraId="607B17BB" w14:textId="77777777" w:rsidR="00DF19B7" w:rsidRPr="00563F74" w:rsidRDefault="005B6024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Функції в частині здійснення державного контролю та нагляду за додержанням вимог акта будуть здійснюватись державними органами, яким, відповідно до законодавства, надані такі повноваження.</w:t>
      </w:r>
    </w:p>
    <w:p w14:paraId="6D4A439D" w14:textId="77777777" w:rsidR="00CB3F33" w:rsidRPr="00D80629" w:rsidRDefault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5510C057" w14:textId="77777777" w:rsidR="00071079" w:rsidRPr="00D80629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14:paraId="7EAFAF6E" w14:textId="77777777" w:rsidR="00071079" w:rsidRPr="00D80629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34EA0965" w14:textId="77777777" w:rsidR="00071079" w:rsidRPr="00D80629" w:rsidRDefault="00C0078B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D80629">
        <w:rPr>
          <w:rFonts w:eastAsiaTheme="minorHAnsi"/>
          <w:position w:val="0"/>
          <w:sz w:val="28"/>
          <w:szCs w:val="28"/>
          <w:lang w:eastAsia="en-US"/>
        </w:rPr>
        <w:t>Строк дії акта необмежений. Він може бути змінений у разі внесення відповідних змін до законодавства або за пропозиціями сторін у порядку, передбаченому законодавством.</w:t>
      </w:r>
    </w:p>
    <w:p w14:paraId="11773A0A" w14:textId="77777777" w:rsidR="008919C4" w:rsidRPr="00D80629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25FA5D03" w14:textId="77777777" w:rsidR="00071079" w:rsidRPr="00D80629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14:paraId="10CF0B98" w14:textId="77777777" w:rsidR="00071079" w:rsidRPr="00D80629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4" w:name="_heading=h.30j0zll" w:colFirst="0" w:colLast="0"/>
      <w:bookmarkEnd w:id="4"/>
    </w:p>
    <w:p w14:paraId="71FC6EFA" w14:textId="77777777" w:rsidR="00071079" w:rsidRPr="00563F74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Після набрання чинності регуляторним актом, його результативність визначатиметься такими показниками:</w:t>
      </w:r>
    </w:p>
    <w:p w14:paraId="7C3A65D3" w14:textId="77777777" w:rsidR="00071079" w:rsidRPr="00563F74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дія акта не передбачає надходжень та/або видатків з/до державного та місцевих бюджетів і державних цільових фондів, пов’язаних з дією акта;</w:t>
      </w:r>
    </w:p>
    <w:p w14:paraId="67615D57" w14:textId="77777777" w:rsidR="00071079" w:rsidRPr="00563F74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lastRenderedPageBreak/>
        <w:t>кількість суб</w:t>
      </w:r>
      <w:r w:rsidR="009A55F4" w:rsidRPr="00563F74">
        <w:rPr>
          <w:rFonts w:eastAsiaTheme="minorHAnsi"/>
          <w:position w:val="0"/>
          <w:sz w:val="28"/>
          <w:szCs w:val="28"/>
          <w:lang w:eastAsia="en-US"/>
        </w:rPr>
        <w:t>’</w:t>
      </w:r>
      <w:r w:rsidRPr="00563F74">
        <w:rPr>
          <w:rFonts w:eastAsiaTheme="minorHAnsi"/>
          <w:position w:val="0"/>
          <w:sz w:val="28"/>
          <w:szCs w:val="28"/>
          <w:lang w:eastAsia="en-US"/>
        </w:rPr>
        <w:t>єктів господарювання та/або фізичних осіб, на яких поширюватиметься дія акта, – суб’єкти господарювання, що провадять діяльність у сферах енергетики та комунальних послуг;</w:t>
      </w:r>
    </w:p>
    <w:p w14:paraId="1D46BF07" w14:textId="77777777" w:rsidR="00071079" w:rsidRPr="00563F74" w:rsidRDefault="00C0078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563F74">
        <w:rPr>
          <w:rFonts w:eastAsiaTheme="minorHAnsi"/>
          <w:position w:val="0"/>
          <w:sz w:val="28"/>
          <w:szCs w:val="28"/>
          <w:lang w:eastAsia="en-US"/>
        </w:rPr>
        <w:t>рівень поінформованості суб</w:t>
      </w:r>
      <w:r w:rsidR="009A55F4" w:rsidRPr="00563F74">
        <w:rPr>
          <w:rFonts w:eastAsiaTheme="minorHAnsi"/>
          <w:position w:val="0"/>
          <w:sz w:val="28"/>
          <w:szCs w:val="28"/>
          <w:lang w:eastAsia="en-US"/>
        </w:rPr>
        <w:t>’</w:t>
      </w:r>
      <w:r w:rsidRPr="00563F74">
        <w:rPr>
          <w:rFonts w:eastAsiaTheme="minorHAnsi"/>
          <w:position w:val="0"/>
          <w:sz w:val="28"/>
          <w:szCs w:val="28"/>
          <w:lang w:eastAsia="en-US"/>
        </w:rPr>
        <w:t>єктів господарювання та/або фізичних осіб з основних положень акта – середній. 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«</w:t>
      </w:r>
      <w:r w:rsidR="007F6F06" w:rsidRPr="007F6F06">
        <w:rPr>
          <w:rFonts w:eastAsiaTheme="minorHAnsi"/>
          <w:position w:val="0"/>
          <w:sz w:val="28"/>
          <w:szCs w:val="28"/>
          <w:lang w:eastAsia="en-US"/>
        </w:rPr>
        <w:t>Про затвердження Змін до Правил ринку</w:t>
      </w:r>
      <w:r w:rsidRPr="00563F74">
        <w:rPr>
          <w:rFonts w:eastAsiaTheme="minorHAnsi"/>
          <w:position w:val="0"/>
          <w:sz w:val="28"/>
          <w:szCs w:val="28"/>
          <w:lang w:eastAsia="en-US"/>
        </w:rPr>
        <w:t xml:space="preserve">», що має ознаки регуляторного акта, разом з матеріалами, що обґрунтовують необхідність його прийняття, та аналізом впливу оприлюднено на офіційному вебсайті НКРЕКП в мережі Інтернет: </w:t>
      </w:r>
      <w:hyperlink r:id="rId7">
        <w:r w:rsidRPr="00563F74">
          <w:rPr>
            <w:rFonts w:eastAsiaTheme="minorHAnsi"/>
            <w:position w:val="0"/>
            <w:sz w:val="28"/>
            <w:szCs w:val="28"/>
            <w:lang w:eastAsia="en-US"/>
          </w:rPr>
          <w:t>http://nerc.gov.ua</w:t>
        </w:r>
      </w:hyperlink>
      <w:r w:rsidRPr="00563F74">
        <w:rPr>
          <w:rFonts w:eastAsiaTheme="minorHAnsi"/>
          <w:position w:val="0"/>
          <w:sz w:val="28"/>
          <w:szCs w:val="28"/>
          <w:lang w:eastAsia="en-US"/>
        </w:rPr>
        <w:t xml:space="preserve"> з метою одержання зауважень і пропозицій від інших органів державної влади, фізичних та юридичних осіб, їх об</w:t>
      </w:r>
      <w:r w:rsidR="009A55F4" w:rsidRPr="00563F74">
        <w:rPr>
          <w:rFonts w:eastAsiaTheme="minorHAnsi"/>
          <w:position w:val="0"/>
          <w:sz w:val="28"/>
          <w:szCs w:val="28"/>
          <w:lang w:eastAsia="en-US"/>
        </w:rPr>
        <w:t>’</w:t>
      </w:r>
      <w:r w:rsidRPr="00563F74">
        <w:rPr>
          <w:rFonts w:eastAsiaTheme="minorHAnsi"/>
          <w:position w:val="0"/>
          <w:sz w:val="28"/>
          <w:szCs w:val="28"/>
          <w:lang w:eastAsia="en-US"/>
        </w:rPr>
        <w:t xml:space="preserve">єднань та інших заінтересованих осіб. НКРЕКП у межах компетенції надає необхідні роз’яснення щодо норм регуляторного акта і надаватиме роз’яснення щодо застосування акта, який буде </w:t>
      </w:r>
      <w:r w:rsidR="007D47DE" w:rsidRPr="00563F74">
        <w:rPr>
          <w:rFonts w:eastAsiaTheme="minorHAnsi"/>
          <w:position w:val="0"/>
          <w:sz w:val="28"/>
          <w:szCs w:val="28"/>
          <w:lang w:eastAsia="en-US"/>
        </w:rPr>
        <w:t xml:space="preserve">оприлюднено </w:t>
      </w:r>
      <w:r w:rsidRPr="00563F74">
        <w:rPr>
          <w:rFonts w:eastAsiaTheme="minorHAnsi"/>
          <w:position w:val="0"/>
          <w:sz w:val="28"/>
          <w:szCs w:val="28"/>
          <w:lang w:eastAsia="en-US"/>
        </w:rPr>
        <w:t>на офіційному вебсайті НКРЕКП після його прийняття.</w:t>
      </w:r>
    </w:p>
    <w:p w14:paraId="3E1B4303" w14:textId="77777777"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36E6B144" w14:textId="77777777" w:rsidR="00071079" w:rsidRPr="00D80629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D80629">
        <w:rPr>
          <w:b/>
          <w:sz w:val="28"/>
          <w:szCs w:val="28"/>
        </w:rPr>
        <w:t>VІII. Очікувані результати прийняття регуляторного акта</w:t>
      </w:r>
    </w:p>
    <w:p w14:paraId="4B2B5C1D" w14:textId="77777777" w:rsidR="00071079" w:rsidRPr="00D80629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14:paraId="59799947" w14:textId="77777777" w:rsidR="007F6F06" w:rsidRDefault="00FD0924" w:rsidP="00B5530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563F74">
        <w:rPr>
          <w:sz w:val="28"/>
          <w:szCs w:val="28"/>
        </w:rPr>
        <w:t>Очікуваним результатом п</w:t>
      </w:r>
      <w:r w:rsidR="00C0078B" w:rsidRPr="00563F74">
        <w:rPr>
          <w:sz w:val="28"/>
          <w:szCs w:val="28"/>
        </w:rPr>
        <w:t xml:space="preserve">рийняття регуляторного акта </w:t>
      </w:r>
      <w:r w:rsidRPr="00563F74">
        <w:rPr>
          <w:sz w:val="28"/>
          <w:szCs w:val="28"/>
        </w:rPr>
        <w:t xml:space="preserve">є </w:t>
      </w:r>
      <w:r w:rsidR="001F05C5">
        <w:rPr>
          <w:sz w:val="28"/>
          <w:szCs w:val="28"/>
        </w:rPr>
        <w:t>удосконалення</w:t>
      </w:r>
      <w:r w:rsidR="00563F74" w:rsidRPr="00563F74">
        <w:rPr>
          <w:sz w:val="28"/>
          <w:szCs w:val="28"/>
        </w:rPr>
        <w:t xml:space="preserve"> </w:t>
      </w:r>
      <w:r w:rsidR="007F6F06">
        <w:rPr>
          <w:sz w:val="28"/>
          <w:szCs w:val="28"/>
        </w:rPr>
        <w:t xml:space="preserve">процесу </w:t>
      </w:r>
      <w:r w:rsidR="00563F74" w:rsidRPr="00563F74">
        <w:rPr>
          <w:sz w:val="28"/>
          <w:szCs w:val="28"/>
        </w:rPr>
        <w:t>подачі пропозицій на аукціони</w:t>
      </w:r>
      <w:r w:rsidR="001F05C5">
        <w:rPr>
          <w:sz w:val="28"/>
          <w:szCs w:val="28"/>
        </w:rPr>
        <w:t xml:space="preserve"> на</w:t>
      </w:r>
      <w:r w:rsidR="00563F74" w:rsidRPr="00563F74">
        <w:rPr>
          <w:sz w:val="28"/>
          <w:szCs w:val="28"/>
        </w:rPr>
        <w:t xml:space="preserve"> допоміжн</w:t>
      </w:r>
      <w:r w:rsidR="001F05C5">
        <w:rPr>
          <w:sz w:val="28"/>
          <w:szCs w:val="28"/>
        </w:rPr>
        <w:t>і</w:t>
      </w:r>
      <w:r w:rsidR="00563F74" w:rsidRPr="00563F74">
        <w:rPr>
          <w:sz w:val="28"/>
          <w:szCs w:val="28"/>
        </w:rPr>
        <w:t xml:space="preserve"> послуг</w:t>
      </w:r>
      <w:r w:rsidR="001F05C5">
        <w:rPr>
          <w:sz w:val="28"/>
          <w:szCs w:val="28"/>
        </w:rPr>
        <w:t>и</w:t>
      </w:r>
      <w:r w:rsidR="00563F74" w:rsidRPr="00563F74">
        <w:rPr>
          <w:sz w:val="28"/>
          <w:szCs w:val="28"/>
        </w:rPr>
        <w:t xml:space="preserve"> та</w:t>
      </w:r>
      <w:r w:rsidR="001F05C5">
        <w:rPr>
          <w:sz w:val="28"/>
          <w:szCs w:val="28"/>
        </w:rPr>
        <w:t xml:space="preserve"> пропозицій на</w:t>
      </w:r>
      <w:r w:rsidR="00563F74" w:rsidRPr="00563F74">
        <w:rPr>
          <w:sz w:val="28"/>
          <w:szCs w:val="28"/>
        </w:rPr>
        <w:t xml:space="preserve"> </w:t>
      </w:r>
      <w:r w:rsidR="001F05C5" w:rsidRPr="00563F74">
        <w:rPr>
          <w:sz w:val="28"/>
          <w:szCs w:val="28"/>
        </w:rPr>
        <w:t>балансуючо</w:t>
      </w:r>
      <w:r w:rsidR="001F05C5">
        <w:rPr>
          <w:sz w:val="28"/>
          <w:szCs w:val="28"/>
        </w:rPr>
        <w:t>му</w:t>
      </w:r>
      <w:r w:rsidR="001F05C5" w:rsidRPr="00563F74">
        <w:rPr>
          <w:sz w:val="28"/>
          <w:szCs w:val="28"/>
        </w:rPr>
        <w:t xml:space="preserve"> </w:t>
      </w:r>
      <w:r w:rsidR="00563F74" w:rsidRPr="00563F74">
        <w:rPr>
          <w:sz w:val="28"/>
          <w:szCs w:val="28"/>
        </w:rPr>
        <w:t>ринку</w:t>
      </w:r>
      <w:r w:rsidR="007F6F06">
        <w:rPr>
          <w:sz w:val="28"/>
          <w:szCs w:val="28"/>
        </w:rPr>
        <w:t>,</w:t>
      </w:r>
      <w:r w:rsidR="00563F74" w:rsidRPr="00563F74">
        <w:rPr>
          <w:sz w:val="28"/>
          <w:szCs w:val="28"/>
        </w:rPr>
        <w:t xml:space="preserve"> та</w:t>
      </w:r>
      <w:r w:rsidR="001F05C5">
        <w:rPr>
          <w:sz w:val="28"/>
          <w:szCs w:val="28"/>
        </w:rPr>
        <w:t xml:space="preserve"> врегулювання питання</w:t>
      </w:r>
      <w:r w:rsidR="00563F74" w:rsidRPr="00563F74">
        <w:rPr>
          <w:sz w:val="28"/>
          <w:szCs w:val="28"/>
        </w:rPr>
        <w:t xml:space="preserve"> надання </w:t>
      </w:r>
      <w:r w:rsidR="007F6F06">
        <w:rPr>
          <w:sz w:val="28"/>
          <w:szCs w:val="28"/>
        </w:rPr>
        <w:t xml:space="preserve">диспетчерських команд ОСП на </w:t>
      </w:r>
      <w:r w:rsidR="007F6F06" w:rsidRPr="007F6F06">
        <w:rPr>
          <w:rFonts w:eastAsiaTheme="minorHAnsi"/>
          <w:position w:val="0"/>
          <w:sz w:val="28"/>
          <w:szCs w:val="28"/>
          <w:lang w:eastAsia="en-US"/>
        </w:rPr>
        <w:t>зменшення навантаження ВДЕ з підтримкою</w:t>
      </w:r>
      <w:r w:rsidR="007F6F06">
        <w:rPr>
          <w:rFonts w:eastAsiaTheme="minorHAnsi"/>
          <w:position w:val="0"/>
          <w:sz w:val="28"/>
          <w:szCs w:val="28"/>
          <w:lang w:eastAsia="en-US"/>
        </w:rPr>
        <w:t xml:space="preserve"> із урахуванням необхідності </w:t>
      </w:r>
      <w:r w:rsidR="007F6F06" w:rsidRPr="007F6F06">
        <w:rPr>
          <w:rFonts w:eastAsiaTheme="minorHAnsi"/>
          <w:position w:val="0"/>
          <w:sz w:val="28"/>
          <w:szCs w:val="28"/>
          <w:lang w:eastAsia="en-US"/>
        </w:rPr>
        <w:t>забезпечення безпеки та надійності роботи електричних мереж передачі/розподілу або забезпечення операційної безпеки для окремих регіонів (</w:t>
      </w:r>
      <w:proofErr w:type="spellStart"/>
      <w:r w:rsidR="007F6F06" w:rsidRPr="007F6F06">
        <w:rPr>
          <w:rFonts w:eastAsiaTheme="minorHAnsi"/>
          <w:position w:val="0"/>
          <w:sz w:val="28"/>
          <w:szCs w:val="28"/>
          <w:lang w:eastAsia="en-US"/>
        </w:rPr>
        <w:t>енерговузлів</w:t>
      </w:r>
      <w:proofErr w:type="spellEnd"/>
      <w:r w:rsidR="007F6F06" w:rsidRPr="007F6F06">
        <w:rPr>
          <w:rFonts w:eastAsiaTheme="minorHAnsi"/>
          <w:position w:val="0"/>
          <w:sz w:val="28"/>
          <w:szCs w:val="28"/>
          <w:lang w:eastAsia="en-US"/>
        </w:rPr>
        <w:t>) ОЕС України</w:t>
      </w:r>
      <w:r w:rsidR="007F6F06">
        <w:rPr>
          <w:rFonts w:eastAsiaTheme="minorHAnsi"/>
          <w:position w:val="0"/>
          <w:sz w:val="28"/>
          <w:szCs w:val="28"/>
          <w:lang w:eastAsia="en-US"/>
        </w:rPr>
        <w:t>.</w:t>
      </w:r>
    </w:p>
    <w:p w14:paraId="28FA2358" w14:textId="77777777" w:rsidR="007F6F06" w:rsidRDefault="007F6F06" w:rsidP="00B5530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1F2AA5B0" w14:textId="77777777" w:rsidR="007F6F06" w:rsidRPr="00563F74" w:rsidRDefault="007F6F06" w:rsidP="00B5530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14:paraId="422305B0" w14:textId="77777777" w:rsidR="004D6C22" w:rsidRPr="00D80629" w:rsidRDefault="004D6C22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14:paraId="549E05FB" w14:textId="77777777" w:rsidR="00071079" w:rsidRPr="004D6C22" w:rsidRDefault="00C0078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both"/>
        <w:rPr>
          <w:rFonts w:ascii="Arial" w:eastAsia="Arial" w:hAnsi="Arial" w:cs="Arial"/>
          <w:i/>
          <w:sz w:val="28"/>
          <w:szCs w:val="28"/>
        </w:rPr>
      </w:pPr>
      <w:r w:rsidRPr="00D80629">
        <w:rPr>
          <w:sz w:val="28"/>
          <w:szCs w:val="28"/>
        </w:rPr>
        <w:t xml:space="preserve">Голова НКРЕКП </w:t>
      </w:r>
      <w:r w:rsidRPr="00D80629">
        <w:rPr>
          <w:sz w:val="28"/>
          <w:szCs w:val="28"/>
        </w:rPr>
        <w:tab/>
      </w:r>
      <w:r w:rsidR="00E91567">
        <w:rPr>
          <w:sz w:val="28"/>
          <w:szCs w:val="28"/>
        </w:rPr>
        <w:t>Валерій ТАРАСЮК</w:t>
      </w:r>
    </w:p>
    <w:sectPr w:rsidR="00071079" w:rsidRPr="004D6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426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D0A1A" w14:textId="77777777" w:rsidR="00CF408A" w:rsidRDefault="00CF408A">
      <w:pPr>
        <w:spacing w:line="240" w:lineRule="auto"/>
        <w:ind w:left="0" w:hanging="2"/>
      </w:pPr>
      <w:r>
        <w:separator/>
      </w:r>
    </w:p>
  </w:endnote>
  <w:endnote w:type="continuationSeparator" w:id="0">
    <w:p w14:paraId="7A057868" w14:textId="77777777" w:rsidR="00CF408A" w:rsidRDefault="00CF408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28368" w14:textId="77777777"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C974F" w14:textId="77777777"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36CE7" w14:textId="77777777"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76521" w14:textId="77777777" w:rsidR="00CF408A" w:rsidRDefault="00CF408A">
      <w:pPr>
        <w:spacing w:line="240" w:lineRule="auto"/>
        <w:ind w:left="0" w:hanging="2"/>
      </w:pPr>
      <w:r>
        <w:separator/>
      </w:r>
    </w:p>
  </w:footnote>
  <w:footnote w:type="continuationSeparator" w:id="0">
    <w:p w14:paraId="588A8DF0" w14:textId="77777777" w:rsidR="00CF408A" w:rsidRDefault="00CF408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25B10" w14:textId="77777777"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76B8D" w14:textId="77777777" w:rsidR="00071079" w:rsidRPr="00EC626B" w:rsidRDefault="00071079" w:rsidP="00EC626B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D2EB2" w14:textId="77777777"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48A4"/>
    <w:multiLevelType w:val="multilevel"/>
    <w:tmpl w:val="D6B8F38E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79"/>
    <w:rsid w:val="00010280"/>
    <w:rsid w:val="00045875"/>
    <w:rsid w:val="00066D44"/>
    <w:rsid w:val="00071079"/>
    <w:rsid w:val="000754FA"/>
    <w:rsid w:val="00107FCD"/>
    <w:rsid w:val="00146743"/>
    <w:rsid w:val="00146E12"/>
    <w:rsid w:val="00161139"/>
    <w:rsid w:val="00176FB2"/>
    <w:rsid w:val="0018007D"/>
    <w:rsid w:val="001A1FB0"/>
    <w:rsid w:val="001F05C5"/>
    <w:rsid w:val="001F2A92"/>
    <w:rsid w:val="00220E37"/>
    <w:rsid w:val="00251931"/>
    <w:rsid w:val="00265C9B"/>
    <w:rsid w:val="002937EA"/>
    <w:rsid w:val="002944F7"/>
    <w:rsid w:val="002A7B61"/>
    <w:rsid w:val="002C1F90"/>
    <w:rsid w:val="003258D2"/>
    <w:rsid w:val="00346CC2"/>
    <w:rsid w:val="00354800"/>
    <w:rsid w:val="0035616B"/>
    <w:rsid w:val="00360BB7"/>
    <w:rsid w:val="00391C8A"/>
    <w:rsid w:val="003A1FC3"/>
    <w:rsid w:val="003F435B"/>
    <w:rsid w:val="003F7AFE"/>
    <w:rsid w:val="0042240D"/>
    <w:rsid w:val="00427719"/>
    <w:rsid w:val="00427B79"/>
    <w:rsid w:val="004566D0"/>
    <w:rsid w:val="0046681D"/>
    <w:rsid w:val="00483377"/>
    <w:rsid w:val="004915AD"/>
    <w:rsid w:val="004B1D9C"/>
    <w:rsid w:val="004B6F2B"/>
    <w:rsid w:val="004C2146"/>
    <w:rsid w:val="004D670E"/>
    <w:rsid w:val="004D6C22"/>
    <w:rsid w:val="0050329F"/>
    <w:rsid w:val="005100F5"/>
    <w:rsid w:val="005148FC"/>
    <w:rsid w:val="00515399"/>
    <w:rsid w:val="00515CE7"/>
    <w:rsid w:val="00563F74"/>
    <w:rsid w:val="00565386"/>
    <w:rsid w:val="00583D42"/>
    <w:rsid w:val="00585AEF"/>
    <w:rsid w:val="00594EAE"/>
    <w:rsid w:val="005A6128"/>
    <w:rsid w:val="005B6024"/>
    <w:rsid w:val="005C4B95"/>
    <w:rsid w:val="006015E9"/>
    <w:rsid w:val="00602C68"/>
    <w:rsid w:val="006905AD"/>
    <w:rsid w:val="006B3412"/>
    <w:rsid w:val="006B6233"/>
    <w:rsid w:val="006D6466"/>
    <w:rsid w:val="006D7CA4"/>
    <w:rsid w:val="00710B5D"/>
    <w:rsid w:val="00730590"/>
    <w:rsid w:val="007458FF"/>
    <w:rsid w:val="007615E6"/>
    <w:rsid w:val="00775799"/>
    <w:rsid w:val="007A292B"/>
    <w:rsid w:val="007A31A4"/>
    <w:rsid w:val="007A3DC9"/>
    <w:rsid w:val="007C5A60"/>
    <w:rsid w:val="007D3B5F"/>
    <w:rsid w:val="007D47DE"/>
    <w:rsid w:val="007D70C5"/>
    <w:rsid w:val="007F2851"/>
    <w:rsid w:val="007F6F06"/>
    <w:rsid w:val="00815056"/>
    <w:rsid w:val="00817FFD"/>
    <w:rsid w:val="00873446"/>
    <w:rsid w:val="008919C4"/>
    <w:rsid w:val="008C74E9"/>
    <w:rsid w:val="009021EA"/>
    <w:rsid w:val="00905A1E"/>
    <w:rsid w:val="0092321F"/>
    <w:rsid w:val="00930437"/>
    <w:rsid w:val="00933338"/>
    <w:rsid w:val="00943944"/>
    <w:rsid w:val="009472C0"/>
    <w:rsid w:val="00974360"/>
    <w:rsid w:val="009754B3"/>
    <w:rsid w:val="009A55F4"/>
    <w:rsid w:val="009B6A10"/>
    <w:rsid w:val="009B6AFA"/>
    <w:rsid w:val="009C1E64"/>
    <w:rsid w:val="009D7FB7"/>
    <w:rsid w:val="00A10463"/>
    <w:rsid w:val="00A46C14"/>
    <w:rsid w:val="00A57A1B"/>
    <w:rsid w:val="00A665D9"/>
    <w:rsid w:val="00A75F0C"/>
    <w:rsid w:val="00AA0EDD"/>
    <w:rsid w:val="00AB1458"/>
    <w:rsid w:val="00AC0F7B"/>
    <w:rsid w:val="00AC5660"/>
    <w:rsid w:val="00B027BF"/>
    <w:rsid w:val="00B0792C"/>
    <w:rsid w:val="00B1100C"/>
    <w:rsid w:val="00B42C88"/>
    <w:rsid w:val="00B55302"/>
    <w:rsid w:val="00B75601"/>
    <w:rsid w:val="00B83ADC"/>
    <w:rsid w:val="00B86672"/>
    <w:rsid w:val="00B93F7F"/>
    <w:rsid w:val="00BD0B38"/>
    <w:rsid w:val="00C0078B"/>
    <w:rsid w:val="00C113CF"/>
    <w:rsid w:val="00C12F50"/>
    <w:rsid w:val="00C601FF"/>
    <w:rsid w:val="00C64D8B"/>
    <w:rsid w:val="00C91934"/>
    <w:rsid w:val="00C95826"/>
    <w:rsid w:val="00C97DDE"/>
    <w:rsid w:val="00CA1163"/>
    <w:rsid w:val="00CB3F33"/>
    <w:rsid w:val="00CC538F"/>
    <w:rsid w:val="00CF1F1B"/>
    <w:rsid w:val="00CF2970"/>
    <w:rsid w:val="00CF408A"/>
    <w:rsid w:val="00CF758B"/>
    <w:rsid w:val="00D22E9B"/>
    <w:rsid w:val="00D355F4"/>
    <w:rsid w:val="00D44C89"/>
    <w:rsid w:val="00D47212"/>
    <w:rsid w:val="00D71C29"/>
    <w:rsid w:val="00D765B0"/>
    <w:rsid w:val="00D80629"/>
    <w:rsid w:val="00D87A9B"/>
    <w:rsid w:val="00D91A43"/>
    <w:rsid w:val="00D94801"/>
    <w:rsid w:val="00DC1F97"/>
    <w:rsid w:val="00DC28B7"/>
    <w:rsid w:val="00DD0B19"/>
    <w:rsid w:val="00DF19B7"/>
    <w:rsid w:val="00DF43A7"/>
    <w:rsid w:val="00E239A8"/>
    <w:rsid w:val="00E2792D"/>
    <w:rsid w:val="00E374CE"/>
    <w:rsid w:val="00E53E75"/>
    <w:rsid w:val="00E73E21"/>
    <w:rsid w:val="00E86D86"/>
    <w:rsid w:val="00E91567"/>
    <w:rsid w:val="00EC3627"/>
    <w:rsid w:val="00EC626B"/>
    <w:rsid w:val="00ED2DF1"/>
    <w:rsid w:val="00EE22B3"/>
    <w:rsid w:val="00EE5760"/>
    <w:rsid w:val="00EE6144"/>
    <w:rsid w:val="00F13899"/>
    <w:rsid w:val="00F567B0"/>
    <w:rsid w:val="00F6417D"/>
    <w:rsid w:val="00F908BA"/>
    <w:rsid w:val="00F919AF"/>
    <w:rsid w:val="00FA7C05"/>
    <w:rsid w:val="00FD0924"/>
    <w:rsid w:val="00FD6A13"/>
    <w:rsid w:val="00FE297D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FC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F6F06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erc.gov.u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7204</Words>
  <Characters>4107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2024-04-02T06:44:00Z</dcterms:created>
  <dcterms:modified xsi:type="dcterms:W3CDTF">2024-04-02T06:47:00Z</dcterms:modified>
</cp:coreProperties>
</file>