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15F" w:rsidRPr="00E836A4" w:rsidRDefault="00EC615F" w:rsidP="002C3DAC">
      <w:pPr>
        <w:jc w:val="center"/>
        <w:rPr>
          <w:b/>
          <w:sz w:val="28"/>
          <w:szCs w:val="28"/>
          <w:lang w:val="uk-UA"/>
        </w:rPr>
      </w:pPr>
      <w:r w:rsidRPr="00E836A4">
        <w:rPr>
          <w:b/>
          <w:sz w:val="28"/>
          <w:szCs w:val="28"/>
          <w:lang w:val="uk-UA"/>
        </w:rPr>
        <w:t>Обґрунтування</w:t>
      </w:r>
    </w:p>
    <w:p w:rsidR="00D137BE" w:rsidRPr="00E836A4" w:rsidRDefault="00EC615F" w:rsidP="002C3DAC">
      <w:pPr>
        <w:jc w:val="center"/>
        <w:rPr>
          <w:b/>
          <w:sz w:val="28"/>
          <w:szCs w:val="28"/>
          <w:lang w:val="uk-UA"/>
        </w:rPr>
      </w:pPr>
      <w:r w:rsidRPr="00E836A4">
        <w:rPr>
          <w:b/>
          <w:sz w:val="28"/>
          <w:szCs w:val="28"/>
          <w:lang w:val="uk-UA"/>
        </w:rPr>
        <w:t xml:space="preserve">до питання про схвалення проєкту постанови НКРЕКП </w:t>
      </w:r>
      <w:r w:rsidR="00D137BE" w:rsidRPr="00E836A4">
        <w:rPr>
          <w:b/>
          <w:sz w:val="28"/>
          <w:szCs w:val="28"/>
          <w:lang w:val="uk-UA"/>
        </w:rPr>
        <w:br/>
        <w:t>«</w:t>
      </w:r>
      <w:r w:rsidR="00924CD6" w:rsidRPr="00E836A4">
        <w:rPr>
          <w:b/>
          <w:sz w:val="28"/>
          <w:szCs w:val="28"/>
          <w:lang w:val="uk-UA"/>
        </w:rPr>
        <w:t>Про внесення змін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00D137BE" w:rsidRPr="00E836A4">
        <w:rPr>
          <w:b/>
          <w:sz w:val="28"/>
          <w:szCs w:val="28"/>
          <w:lang w:val="uk-UA"/>
        </w:rPr>
        <w:t xml:space="preserve">» </w:t>
      </w:r>
    </w:p>
    <w:p w:rsidR="00EC615F" w:rsidRPr="00E836A4" w:rsidRDefault="00EC615F" w:rsidP="002C3DAC">
      <w:pPr>
        <w:ind w:firstLine="709"/>
        <w:jc w:val="both"/>
        <w:rPr>
          <w:rFonts w:eastAsia="Calibri"/>
          <w:sz w:val="28"/>
          <w:szCs w:val="28"/>
          <w:lang w:val="uk-UA" w:eastAsia="en-US"/>
        </w:rPr>
      </w:pPr>
    </w:p>
    <w:p w:rsidR="00266ECF" w:rsidRPr="00E836A4" w:rsidRDefault="00F105B7" w:rsidP="002C3DAC">
      <w:pPr>
        <w:tabs>
          <w:tab w:val="left" w:pos="720"/>
        </w:tabs>
        <w:ind w:firstLine="709"/>
        <w:jc w:val="both"/>
        <w:rPr>
          <w:sz w:val="28"/>
          <w:szCs w:val="28"/>
          <w:lang w:val="uk-UA" w:eastAsia="uk-UA"/>
        </w:rPr>
      </w:pPr>
      <w:r>
        <w:rPr>
          <w:sz w:val="28"/>
          <w:szCs w:val="28"/>
          <w:lang w:val="uk-UA" w:eastAsia="uk-UA"/>
        </w:rPr>
        <w:t>Відповідно до положень</w:t>
      </w:r>
      <w:r w:rsidR="00266ECF" w:rsidRPr="00E836A4">
        <w:rPr>
          <w:sz w:val="28"/>
          <w:szCs w:val="28"/>
          <w:lang w:val="uk-UA" w:eastAsia="uk-UA"/>
        </w:rPr>
        <w:t xml:space="preserve"> </w:t>
      </w:r>
      <w:r w:rsidRPr="00F105B7">
        <w:rPr>
          <w:sz w:val="28"/>
          <w:szCs w:val="28"/>
          <w:lang w:val="uk-UA" w:eastAsia="uk-UA"/>
        </w:rPr>
        <w:t>Типового договору зберігання (закачування, відбору) природного газу</w:t>
      </w:r>
      <w:r>
        <w:rPr>
          <w:sz w:val="28"/>
          <w:szCs w:val="28"/>
          <w:lang w:val="uk-UA" w:eastAsia="uk-UA"/>
        </w:rPr>
        <w:t xml:space="preserve">, затвердженого постановою НКРЕКП від </w:t>
      </w:r>
      <w:r w:rsidRPr="00F105B7">
        <w:rPr>
          <w:sz w:val="28"/>
          <w:szCs w:val="28"/>
          <w:lang w:val="uk-UA" w:eastAsia="uk-UA"/>
        </w:rPr>
        <w:t>30.09.2015 №</w:t>
      </w:r>
      <w:r w:rsidR="00E469A6">
        <w:rPr>
          <w:sz w:val="28"/>
          <w:szCs w:val="28"/>
          <w:lang w:val="en-US" w:eastAsia="uk-UA"/>
        </w:rPr>
        <w:t> </w:t>
      </w:r>
      <w:r w:rsidRPr="00F105B7">
        <w:rPr>
          <w:sz w:val="28"/>
          <w:szCs w:val="28"/>
          <w:lang w:val="uk-UA" w:eastAsia="uk-UA"/>
        </w:rPr>
        <w:t>2499</w:t>
      </w:r>
      <w:r w:rsidR="001C7955" w:rsidRPr="001C7955">
        <w:rPr>
          <w:sz w:val="28"/>
          <w:szCs w:val="28"/>
          <w:lang w:eastAsia="uk-UA"/>
        </w:rPr>
        <w:t xml:space="preserve"> (</w:t>
      </w:r>
      <w:r w:rsidR="001C7955">
        <w:rPr>
          <w:sz w:val="28"/>
          <w:szCs w:val="28"/>
          <w:lang w:val="uk-UA" w:eastAsia="uk-UA"/>
        </w:rPr>
        <w:t>далі – Типовий договір)</w:t>
      </w:r>
      <w:r>
        <w:rPr>
          <w:sz w:val="28"/>
          <w:szCs w:val="28"/>
          <w:lang w:val="uk-UA" w:eastAsia="uk-UA"/>
        </w:rPr>
        <w:t>,</w:t>
      </w:r>
      <w:r w:rsidRPr="00F105B7">
        <w:rPr>
          <w:sz w:val="28"/>
          <w:szCs w:val="28"/>
          <w:lang w:val="uk-UA" w:eastAsia="uk-UA"/>
        </w:rPr>
        <w:t xml:space="preserve"> </w:t>
      </w:r>
      <w:r w:rsidR="00266ECF" w:rsidRPr="00E836A4">
        <w:rPr>
          <w:sz w:val="28"/>
          <w:szCs w:val="28"/>
          <w:lang w:val="uk-UA" w:eastAsia="uk-UA"/>
        </w:rPr>
        <w:t>та Методики</w:t>
      </w:r>
      <w:r w:rsidR="00382AE8">
        <w:rPr>
          <w:sz w:val="28"/>
          <w:szCs w:val="28"/>
          <w:lang w:val="uk-UA" w:eastAsia="uk-UA"/>
        </w:rPr>
        <w:t xml:space="preserve"> </w:t>
      </w:r>
      <w:r w:rsidRPr="00266ECF">
        <w:rPr>
          <w:sz w:val="28"/>
          <w:szCs w:val="28"/>
          <w:lang w:val="uk-UA"/>
        </w:rPr>
        <w:t>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Pr>
          <w:sz w:val="28"/>
          <w:szCs w:val="28"/>
          <w:lang w:val="uk-UA"/>
        </w:rPr>
        <w:t xml:space="preserve">, </w:t>
      </w:r>
      <w:r w:rsidRPr="00F105B7">
        <w:rPr>
          <w:sz w:val="28"/>
          <w:szCs w:val="28"/>
          <w:lang w:val="uk-UA"/>
        </w:rPr>
        <w:t>затверджено</w:t>
      </w:r>
      <w:r>
        <w:rPr>
          <w:sz w:val="28"/>
          <w:szCs w:val="28"/>
          <w:lang w:val="uk-UA"/>
        </w:rPr>
        <w:t>ї</w:t>
      </w:r>
      <w:r w:rsidRPr="00F105B7">
        <w:rPr>
          <w:sz w:val="28"/>
          <w:szCs w:val="28"/>
          <w:lang w:val="uk-UA"/>
        </w:rPr>
        <w:t xml:space="preserve"> постановою НКРЕКП від </w:t>
      </w:r>
      <w:r w:rsidR="001A2205" w:rsidRPr="001A2205">
        <w:rPr>
          <w:sz w:val="28"/>
          <w:szCs w:val="28"/>
          <w:lang w:val="uk-UA"/>
        </w:rPr>
        <w:t>13.06.2016 № 1131</w:t>
      </w:r>
      <w:r w:rsidR="001C7955">
        <w:rPr>
          <w:sz w:val="28"/>
          <w:szCs w:val="28"/>
          <w:lang w:val="uk-UA"/>
        </w:rPr>
        <w:t xml:space="preserve"> (далі – Методика)</w:t>
      </w:r>
      <w:r w:rsidRPr="00F105B7">
        <w:rPr>
          <w:sz w:val="28"/>
          <w:szCs w:val="28"/>
          <w:lang w:val="uk-UA"/>
        </w:rPr>
        <w:t xml:space="preserve">, </w:t>
      </w:r>
      <w:r w:rsidR="00266ECF" w:rsidRPr="00E836A4">
        <w:rPr>
          <w:sz w:val="28"/>
          <w:szCs w:val="28"/>
          <w:lang w:val="uk-UA" w:eastAsia="uk-UA"/>
        </w:rPr>
        <w:t>при замовленні послуг зберігання (закачування, відбору) природного газу до тарифів на послуги зберігання (закачування, відбору) природного газу застос</w:t>
      </w:r>
      <w:r w:rsidR="003C2C8E">
        <w:rPr>
          <w:sz w:val="28"/>
          <w:szCs w:val="28"/>
          <w:lang w:val="uk-UA" w:eastAsia="uk-UA"/>
        </w:rPr>
        <w:t>овуються</w:t>
      </w:r>
      <w:r w:rsidR="00266ECF" w:rsidRPr="00E836A4">
        <w:rPr>
          <w:sz w:val="28"/>
          <w:szCs w:val="28"/>
          <w:lang w:val="uk-UA" w:eastAsia="uk-UA"/>
        </w:rPr>
        <w:t xml:space="preserve"> коефіцієнт</w:t>
      </w:r>
      <w:r w:rsidR="005705BF">
        <w:rPr>
          <w:sz w:val="28"/>
          <w:szCs w:val="28"/>
          <w:lang w:val="uk-UA" w:eastAsia="uk-UA"/>
        </w:rPr>
        <w:t>и</w:t>
      </w:r>
      <w:r w:rsidR="00266ECF" w:rsidRPr="00E836A4">
        <w:rPr>
          <w:sz w:val="28"/>
          <w:szCs w:val="28"/>
          <w:lang w:val="uk-UA" w:eastAsia="uk-UA"/>
        </w:rPr>
        <w:t>, які враховують замовлення індивідуальних послуг.</w:t>
      </w:r>
    </w:p>
    <w:p w:rsidR="001C7955" w:rsidRDefault="00266ECF" w:rsidP="002C3DAC">
      <w:pPr>
        <w:tabs>
          <w:tab w:val="left" w:pos="720"/>
        </w:tabs>
        <w:ind w:firstLine="709"/>
        <w:jc w:val="both"/>
        <w:rPr>
          <w:sz w:val="28"/>
          <w:szCs w:val="28"/>
          <w:lang w:val="uk-UA"/>
        </w:rPr>
      </w:pPr>
      <w:r w:rsidRPr="00A059B2">
        <w:rPr>
          <w:sz w:val="28"/>
          <w:szCs w:val="28"/>
          <w:lang w:val="uk-UA"/>
        </w:rPr>
        <w:t xml:space="preserve">Регулятором </w:t>
      </w:r>
      <w:r w:rsidR="001C7955" w:rsidRPr="00A059B2">
        <w:rPr>
          <w:sz w:val="28"/>
          <w:szCs w:val="28"/>
          <w:lang w:val="uk-UA"/>
        </w:rPr>
        <w:t xml:space="preserve">20.02.2024 </w:t>
      </w:r>
      <w:r w:rsidR="00AE4B29" w:rsidRPr="00A059B2">
        <w:rPr>
          <w:sz w:val="28"/>
          <w:szCs w:val="28"/>
          <w:lang w:val="uk-UA"/>
        </w:rPr>
        <w:t>було</w:t>
      </w:r>
      <w:r w:rsidR="00AE4B29">
        <w:rPr>
          <w:sz w:val="28"/>
          <w:szCs w:val="28"/>
          <w:lang w:val="uk-UA"/>
        </w:rPr>
        <w:t xml:space="preserve"> </w:t>
      </w:r>
      <w:r>
        <w:rPr>
          <w:sz w:val="28"/>
          <w:szCs w:val="28"/>
          <w:lang w:val="uk-UA"/>
        </w:rPr>
        <w:t>схвалено</w:t>
      </w:r>
      <w:r w:rsidR="00AE4B29" w:rsidRPr="00AE4B29">
        <w:t xml:space="preserve"> </w:t>
      </w:r>
      <w:r w:rsidR="00AE4B29" w:rsidRPr="00AE4B29">
        <w:rPr>
          <w:sz w:val="28"/>
          <w:szCs w:val="28"/>
          <w:lang w:val="uk-UA"/>
        </w:rPr>
        <w:t xml:space="preserve">проєкт постанови НКРЕКП «Про затвердження Змін до деяких постанов НКРЕКП», положеннями якого передбачається внесення </w:t>
      </w:r>
      <w:r w:rsidR="00AE4B29">
        <w:rPr>
          <w:sz w:val="28"/>
          <w:szCs w:val="28"/>
          <w:lang w:val="uk-UA"/>
        </w:rPr>
        <w:t xml:space="preserve">низки </w:t>
      </w:r>
      <w:r w:rsidR="00AE4B29" w:rsidRPr="00AE4B29">
        <w:rPr>
          <w:sz w:val="28"/>
          <w:szCs w:val="28"/>
          <w:lang w:val="uk-UA"/>
        </w:rPr>
        <w:t xml:space="preserve">змін </w:t>
      </w:r>
      <w:r>
        <w:rPr>
          <w:sz w:val="28"/>
          <w:szCs w:val="28"/>
          <w:lang w:val="uk-UA"/>
        </w:rPr>
        <w:t xml:space="preserve">до Кодексу </w:t>
      </w:r>
      <w:r w:rsidRPr="00266ECF">
        <w:rPr>
          <w:sz w:val="28"/>
          <w:szCs w:val="28"/>
          <w:lang w:val="uk-UA"/>
        </w:rPr>
        <w:t>газосховищ, затверджен</w:t>
      </w:r>
      <w:r>
        <w:rPr>
          <w:sz w:val="28"/>
          <w:szCs w:val="28"/>
          <w:lang w:val="uk-UA"/>
        </w:rPr>
        <w:t>ого</w:t>
      </w:r>
      <w:r w:rsidRPr="00266ECF">
        <w:rPr>
          <w:sz w:val="28"/>
          <w:szCs w:val="28"/>
          <w:lang w:val="uk-UA"/>
        </w:rPr>
        <w:t xml:space="preserve"> постановою НКРЕКП від 30.09.2015 № 2495, та Типов</w:t>
      </w:r>
      <w:r>
        <w:rPr>
          <w:sz w:val="28"/>
          <w:szCs w:val="28"/>
          <w:lang w:val="uk-UA"/>
        </w:rPr>
        <w:t>ого</w:t>
      </w:r>
      <w:r w:rsidRPr="00266ECF">
        <w:rPr>
          <w:sz w:val="28"/>
          <w:szCs w:val="28"/>
          <w:lang w:val="uk-UA"/>
        </w:rPr>
        <w:t xml:space="preserve"> договор</w:t>
      </w:r>
      <w:r>
        <w:rPr>
          <w:sz w:val="28"/>
          <w:szCs w:val="28"/>
          <w:lang w:val="uk-UA"/>
        </w:rPr>
        <w:t xml:space="preserve">у, </w:t>
      </w:r>
      <w:r w:rsidR="00AE4B29">
        <w:rPr>
          <w:sz w:val="28"/>
          <w:szCs w:val="28"/>
          <w:lang w:val="uk-UA"/>
        </w:rPr>
        <w:t>у тому числі</w:t>
      </w:r>
      <w:r w:rsidRPr="00266ECF">
        <w:rPr>
          <w:sz w:val="28"/>
          <w:szCs w:val="28"/>
          <w:lang w:val="uk-UA"/>
        </w:rPr>
        <w:t xml:space="preserve"> в частині </w:t>
      </w:r>
      <w:r w:rsidR="001C7955" w:rsidRPr="001C7955">
        <w:rPr>
          <w:sz w:val="28"/>
          <w:szCs w:val="28"/>
          <w:lang w:val="uk-UA"/>
        </w:rPr>
        <w:t>розширення періодів розподілу потужності, зокрема надання можливості замовляти потужність газосховищ на базовий сезон закачування та базовий сезон відбору окремо</w:t>
      </w:r>
      <w:r w:rsidR="001C7955">
        <w:rPr>
          <w:sz w:val="28"/>
          <w:szCs w:val="28"/>
          <w:lang w:val="uk-UA"/>
        </w:rPr>
        <w:t>.</w:t>
      </w:r>
    </w:p>
    <w:p w:rsidR="002C3DAC" w:rsidRDefault="002C3DAC" w:rsidP="002C3DAC">
      <w:pPr>
        <w:tabs>
          <w:tab w:val="left" w:pos="720"/>
        </w:tabs>
        <w:ind w:firstLine="709"/>
        <w:jc w:val="both"/>
        <w:rPr>
          <w:sz w:val="28"/>
          <w:szCs w:val="28"/>
          <w:lang w:val="uk-UA"/>
        </w:rPr>
      </w:pPr>
      <w:r>
        <w:rPr>
          <w:sz w:val="28"/>
          <w:szCs w:val="28"/>
          <w:lang w:val="uk-UA"/>
        </w:rPr>
        <w:t>Такі</w:t>
      </w:r>
      <w:r w:rsidR="001C7955">
        <w:rPr>
          <w:sz w:val="28"/>
          <w:szCs w:val="28"/>
          <w:lang w:val="uk-UA"/>
        </w:rPr>
        <w:t xml:space="preserve"> </w:t>
      </w:r>
      <w:r w:rsidR="001C7955" w:rsidRPr="001C7955">
        <w:rPr>
          <w:sz w:val="28"/>
          <w:szCs w:val="28"/>
          <w:lang w:val="uk-UA"/>
        </w:rPr>
        <w:t>зміни спрямовані на удосконалення умов надання послуг зберігання (закачування, відбору) природного газу, створення більш гнучких умов доступу до потужності газосховищ та підвищення їх привабливості для замовників</w:t>
      </w:r>
      <w:r w:rsidR="001C7955">
        <w:rPr>
          <w:sz w:val="28"/>
          <w:szCs w:val="28"/>
          <w:lang w:val="uk-UA"/>
        </w:rPr>
        <w:t>.</w:t>
      </w:r>
    </w:p>
    <w:p w:rsidR="002C3DAC" w:rsidRDefault="002C3DAC" w:rsidP="002C3DAC">
      <w:pPr>
        <w:tabs>
          <w:tab w:val="left" w:pos="720"/>
        </w:tabs>
        <w:ind w:firstLine="709"/>
        <w:jc w:val="both"/>
        <w:rPr>
          <w:sz w:val="28"/>
          <w:szCs w:val="28"/>
          <w:lang w:val="uk-UA"/>
        </w:rPr>
      </w:pPr>
      <w:r>
        <w:rPr>
          <w:sz w:val="28"/>
          <w:szCs w:val="28"/>
          <w:lang w:val="uk-UA"/>
        </w:rPr>
        <w:t>З огляду на зазначене вище</w:t>
      </w:r>
      <w:r w:rsidR="00336044">
        <w:rPr>
          <w:sz w:val="28"/>
          <w:szCs w:val="28"/>
          <w:lang w:val="uk-UA"/>
        </w:rPr>
        <w:t xml:space="preserve"> </w:t>
      </w:r>
      <w:r w:rsidRPr="00E836A4">
        <w:rPr>
          <w:sz w:val="28"/>
          <w:szCs w:val="28"/>
          <w:lang w:val="uk-UA"/>
        </w:rPr>
        <w:t xml:space="preserve">Департаментом із регулювання відносин у нафтогазовій сфері було розроблено проєкт постанови НКРЕКП «Про внесення змін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(далі – Проєкт постанови), </w:t>
      </w:r>
      <w:r>
        <w:rPr>
          <w:sz w:val="28"/>
          <w:szCs w:val="28"/>
          <w:lang w:val="uk-UA"/>
        </w:rPr>
        <w:t xml:space="preserve">яким </w:t>
      </w:r>
      <w:r w:rsidRPr="00E836A4">
        <w:rPr>
          <w:sz w:val="28"/>
          <w:szCs w:val="28"/>
          <w:lang w:val="uk-UA"/>
        </w:rPr>
        <w:t xml:space="preserve">передбачається </w:t>
      </w:r>
      <w:r>
        <w:rPr>
          <w:sz w:val="28"/>
          <w:szCs w:val="28"/>
          <w:lang w:val="uk-UA"/>
        </w:rPr>
        <w:t xml:space="preserve">удосконалення </w:t>
      </w:r>
      <w:r w:rsidRPr="00E836A4">
        <w:rPr>
          <w:sz w:val="28"/>
          <w:szCs w:val="28"/>
          <w:lang w:val="uk-UA"/>
        </w:rPr>
        <w:t>положень Методик</w:t>
      </w:r>
      <w:r w:rsidR="00DB52DD">
        <w:rPr>
          <w:sz w:val="28"/>
          <w:szCs w:val="28"/>
          <w:lang w:val="uk-UA"/>
        </w:rPr>
        <w:t xml:space="preserve">и </w:t>
      </w:r>
      <w:r w:rsidR="0063695D">
        <w:rPr>
          <w:sz w:val="28"/>
          <w:szCs w:val="28"/>
          <w:lang w:val="uk-UA"/>
        </w:rPr>
        <w:t>у зв’язку з</w:t>
      </w:r>
      <w:r w:rsidR="00336044">
        <w:rPr>
          <w:sz w:val="28"/>
          <w:szCs w:val="28"/>
          <w:lang w:val="uk-UA"/>
        </w:rPr>
        <w:t xml:space="preserve"> </w:t>
      </w:r>
      <w:r w:rsidR="00336044" w:rsidRPr="00336044">
        <w:rPr>
          <w:sz w:val="28"/>
          <w:szCs w:val="28"/>
          <w:lang w:val="uk-UA"/>
        </w:rPr>
        <w:t>розширення</w:t>
      </w:r>
      <w:r w:rsidR="0063695D">
        <w:rPr>
          <w:sz w:val="28"/>
          <w:szCs w:val="28"/>
          <w:lang w:val="uk-UA"/>
        </w:rPr>
        <w:t>м</w:t>
      </w:r>
      <w:r w:rsidR="00336044" w:rsidRPr="00336044">
        <w:rPr>
          <w:sz w:val="28"/>
          <w:szCs w:val="28"/>
          <w:lang w:val="uk-UA"/>
        </w:rPr>
        <w:t xml:space="preserve"> періодів розподілу потужності</w:t>
      </w:r>
      <w:r w:rsidR="0063695D">
        <w:rPr>
          <w:sz w:val="28"/>
          <w:szCs w:val="28"/>
          <w:lang w:val="uk-UA"/>
        </w:rPr>
        <w:t xml:space="preserve">, у тому числі </w:t>
      </w:r>
      <w:r w:rsidRPr="00E836A4">
        <w:rPr>
          <w:sz w:val="28"/>
          <w:szCs w:val="28"/>
          <w:lang w:val="uk-UA"/>
        </w:rPr>
        <w:t xml:space="preserve">в частині </w:t>
      </w:r>
      <w:bookmarkStart w:id="0" w:name="_GoBack"/>
      <w:bookmarkEnd w:id="0"/>
      <w:r w:rsidR="0063695D" w:rsidRPr="00873D7A">
        <w:rPr>
          <w:sz w:val="28"/>
          <w:lang w:val="uk-UA"/>
        </w:rPr>
        <w:t>зміни назви продуктів</w:t>
      </w:r>
      <w:r w:rsidR="0063695D" w:rsidRPr="00873D7A">
        <w:rPr>
          <w:sz w:val="28"/>
          <w:szCs w:val="28"/>
          <w:lang w:val="uk-UA"/>
        </w:rPr>
        <w:t xml:space="preserve"> зберігання (закачування, відбору) природного газу</w:t>
      </w:r>
      <w:r>
        <w:rPr>
          <w:sz w:val="28"/>
          <w:szCs w:val="28"/>
          <w:lang w:val="uk-UA"/>
        </w:rPr>
        <w:t>.</w:t>
      </w:r>
    </w:p>
    <w:p w:rsidR="00EC615F" w:rsidRPr="00E836A4" w:rsidRDefault="00EC615F" w:rsidP="002C3DAC">
      <w:pPr>
        <w:ind w:firstLine="709"/>
        <w:jc w:val="both"/>
        <w:rPr>
          <w:sz w:val="28"/>
          <w:szCs w:val="28"/>
          <w:lang w:val="uk-UA" w:eastAsia="en-US"/>
        </w:rPr>
      </w:pPr>
      <w:r w:rsidRPr="00E836A4">
        <w:rPr>
          <w:sz w:val="28"/>
          <w:szCs w:val="28"/>
          <w:lang w:val="uk-UA" w:eastAsia="en-US"/>
        </w:rPr>
        <w:t>Цей Проєкт постанови має ознаки регуляторного акта.</w:t>
      </w:r>
    </w:p>
    <w:p w:rsidR="00EC615F" w:rsidRPr="00E836A4" w:rsidRDefault="00EC615F" w:rsidP="002C3DAC">
      <w:pPr>
        <w:ind w:firstLine="709"/>
        <w:jc w:val="both"/>
        <w:rPr>
          <w:rFonts w:eastAsia="Calibri"/>
          <w:sz w:val="28"/>
          <w:szCs w:val="28"/>
          <w:lang w:val="uk-UA" w:eastAsia="uk-UA"/>
        </w:rPr>
      </w:pPr>
      <w:r w:rsidRPr="00E836A4">
        <w:rPr>
          <w:rFonts w:eastAsia="Calibri"/>
          <w:sz w:val="28"/>
          <w:szCs w:val="28"/>
          <w:lang w:val="uk-UA" w:eastAsia="uk-UA"/>
        </w:rPr>
        <w:t xml:space="preserve">Враховуючи вищевикладене, Департамент із регулювання відносин у нафтогазовій сфері пропонує: </w:t>
      </w:r>
    </w:p>
    <w:p w:rsidR="00EC615F" w:rsidRPr="00E836A4" w:rsidRDefault="00EC615F" w:rsidP="002C3DAC">
      <w:pPr>
        <w:ind w:firstLine="709"/>
        <w:jc w:val="both"/>
        <w:rPr>
          <w:sz w:val="28"/>
          <w:szCs w:val="28"/>
          <w:lang w:val="uk-UA" w:eastAsia="en-US"/>
        </w:rPr>
      </w:pPr>
      <w:r w:rsidRPr="00E836A4">
        <w:rPr>
          <w:sz w:val="28"/>
          <w:szCs w:val="28"/>
          <w:lang w:val="uk-UA" w:eastAsia="en-US"/>
        </w:rPr>
        <w:t xml:space="preserve">1. Схвалити проєкт постанови НКРЕКП </w:t>
      </w:r>
      <w:r w:rsidRPr="00E836A4">
        <w:rPr>
          <w:rFonts w:eastAsia="Calibri"/>
          <w:sz w:val="28"/>
          <w:szCs w:val="28"/>
          <w:shd w:val="clear" w:color="auto" w:fill="FFFFFF"/>
          <w:lang w:val="uk-UA"/>
        </w:rPr>
        <w:t>«</w:t>
      </w:r>
      <w:r w:rsidR="00924CD6" w:rsidRPr="00E836A4">
        <w:rPr>
          <w:bCs/>
          <w:sz w:val="28"/>
          <w:szCs w:val="28"/>
          <w:lang w:val="uk-UA"/>
        </w:rPr>
        <w:t>Про внесення змін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Pr="00E836A4">
        <w:rPr>
          <w:rFonts w:eastAsia="Calibri"/>
          <w:sz w:val="28"/>
          <w:szCs w:val="28"/>
          <w:shd w:val="clear" w:color="auto" w:fill="FFFFFF"/>
          <w:lang w:val="uk-UA"/>
        </w:rPr>
        <w:t>»</w:t>
      </w:r>
      <w:r w:rsidR="00C30BCF" w:rsidRPr="00E836A4">
        <w:rPr>
          <w:rFonts w:eastAsia="Calibri"/>
          <w:sz w:val="28"/>
          <w:szCs w:val="28"/>
          <w:shd w:val="clear" w:color="auto" w:fill="FFFFFF"/>
          <w:lang w:val="uk-UA"/>
        </w:rPr>
        <w:t>;</w:t>
      </w:r>
    </w:p>
    <w:p w:rsidR="00EC615F" w:rsidRPr="00E836A4" w:rsidRDefault="00EC615F" w:rsidP="002C3DAC">
      <w:pPr>
        <w:ind w:firstLine="709"/>
        <w:jc w:val="both"/>
        <w:rPr>
          <w:sz w:val="28"/>
          <w:szCs w:val="28"/>
          <w:lang w:val="uk-UA" w:eastAsia="en-US"/>
        </w:rPr>
      </w:pPr>
      <w:r w:rsidRPr="00E836A4">
        <w:rPr>
          <w:sz w:val="28"/>
          <w:szCs w:val="28"/>
          <w:lang w:val="uk-UA" w:eastAsia="en-US"/>
        </w:rPr>
        <w:t xml:space="preserve">2. </w:t>
      </w:r>
      <w:r w:rsidRPr="00E836A4">
        <w:rPr>
          <w:rFonts w:eastAsia="Calibri"/>
          <w:sz w:val="28"/>
          <w:szCs w:val="28"/>
          <w:lang w:val="uk-UA" w:eastAsia="uk-UA"/>
        </w:rPr>
        <w:t xml:space="preserve">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проєкт постанови НКРЕКП </w:t>
      </w:r>
      <w:r w:rsidRPr="00E836A4">
        <w:rPr>
          <w:rFonts w:eastAsia="Calibri"/>
          <w:sz w:val="28"/>
          <w:szCs w:val="28"/>
          <w:shd w:val="clear" w:color="auto" w:fill="FFFFFF"/>
          <w:lang w:val="uk-UA"/>
        </w:rPr>
        <w:t>«</w:t>
      </w:r>
      <w:r w:rsidR="00924CD6" w:rsidRPr="00E836A4">
        <w:rPr>
          <w:bCs/>
          <w:sz w:val="28"/>
          <w:szCs w:val="28"/>
          <w:lang w:val="uk-UA"/>
        </w:rPr>
        <w:t xml:space="preserve">Про внесення </w:t>
      </w:r>
      <w:r w:rsidR="00924CD6" w:rsidRPr="00E836A4">
        <w:rPr>
          <w:bCs/>
          <w:sz w:val="28"/>
          <w:szCs w:val="28"/>
          <w:lang w:val="uk-UA"/>
        </w:rPr>
        <w:lastRenderedPageBreak/>
        <w:t>змін 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Pr="00E836A4">
        <w:rPr>
          <w:rFonts w:eastAsia="Calibri"/>
          <w:sz w:val="28"/>
          <w:szCs w:val="28"/>
          <w:shd w:val="clear" w:color="auto" w:fill="FFFFFF"/>
          <w:lang w:val="uk-UA"/>
        </w:rPr>
        <w:t>»</w:t>
      </w:r>
      <w:r w:rsidR="00781B28" w:rsidRPr="00E836A4">
        <w:rPr>
          <w:rFonts w:eastAsia="Calibri"/>
          <w:sz w:val="28"/>
          <w:szCs w:val="28"/>
          <w:shd w:val="clear" w:color="auto" w:fill="FFFFFF"/>
          <w:lang w:val="uk-UA"/>
        </w:rPr>
        <w:t xml:space="preserve"> </w:t>
      </w:r>
      <w:r w:rsidRPr="00E836A4">
        <w:rPr>
          <w:sz w:val="28"/>
          <w:szCs w:val="28"/>
          <w:lang w:val="uk-UA" w:eastAsia="en-US"/>
        </w:rPr>
        <w:t xml:space="preserve">на офіційному вебсайті НКРЕКП </w:t>
      </w:r>
      <w:hyperlink r:id="rId6" w:history="1">
        <w:r w:rsidRPr="00E836A4">
          <w:rPr>
            <w:sz w:val="28"/>
            <w:szCs w:val="28"/>
            <w:lang w:val="uk-UA" w:eastAsia="en-US"/>
          </w:rPr>
          <w:t>www.nerc.gov.ua</w:t>
        </w:r>
      </w:hyperlink>
      <w:r w:rsidRPr="00E836A4">
        <w:rPr>
          <w:sz w:val="28"/>
          <w:szCs w:val="28"/>
          <w:lang w:val="uk-UA" w:eastAsia="en-US"/>
        </w:rPr>
        <w:t xml:space="preserve">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rsidR="00EC615F" w:rsidRDefault="00EC615F" w:rsidP="002C3DAC">
      <w:pPr>
        <w:jc w:val="both"/>
        <w:rPr>
          <w:sz w:val="28"/>
          <w:szCs w:val="28"/>
          <w:lang w:val="uk-UA"/>
        </w:rPr>
      </w:pPr>
    </w:p>
    <w:p w:rsidR="00E469A6" w:rsidRPr="00E836A4" w:rsidRDefault="00E469A6" w:rsidP="002C3DAC">
      <w:pPr>
        <w:jc w:val="both"/>
        <w:rPr>
          <w:sz w:val="28"/>
          <w:szCs w:val="28"/>
          <w:lang w:val="uk-UA"/>
        </w:rPr>
      </w:pPr>
    </w:p>
    <w:p w:rsidR="00EC615F" w:rsidRPr="00E836A4" w:rsidRDefault="00EC615F" w:rsidP="002C3DAC">
      <w:pPr>
        <w:jc w:val="both"/>
        <w:rPr>
          <w:b/>
          <w:sz w:val="28"/>
          <w:szCs w:val="28"/>
          <w:lang w:val="uk-UA" w:eastAsia="en-US"/>
        </w:rPr>
      </w:pPr>
      <w:r w:rsidRPr="00E836A4">
        <w:rPr>
          <w:b/>
          <w:sz w:val="28"/>
          <w:szCs w:val="28"/>
          <w:lang w:val="uk-UA" w:eastAsia="en-US"/>
        </w:rPr>
        <w:t>Директор Департаменту</w:t>
      </w:r>
      <w:r w:rsidRPr="00E836A4">
        <w:rPr>
          <w:b/>
          <w:sz w:val="28"/>
          <w:szCs w:val="28"/>
          <w:lang w:val="uk-UA" w:eastAsia="en-US"/>
        </w:rPr>
        <w:tab/>
      </w:r>
      <w:r w:rsidRPr="00E836A4">
        <w:rPr>
          <w:b/>
          <w:sz w:val="28"/>
          <w:szCs w:val="28"/>
          <w:lang w:val="uk-UA" w:eastAsia="en-US"/>
        </w:rPr>
        <w:tab/>
      </w:r>
      <w:r w:rsidRPr="00E836A4">
        <w:rPr>
          <w:b/>
          <w:sz w:val="28"/>
          <w:szCs w:val="28"/>
          <w:lang w:val="uk-UA" w:eastAsia="en-US"/>
        </w:rPr>
        <w:tab/>
      </w:r>
      <w:r w:rsidRPr="00E836A4">
        <w:rPr>
          <w:b/>
          <w:sz w:val="28"/>
          <w:szCs w:val="28"/>
          <w:lang w:val="uk-UA" w:eastAsia="en-US"/>
        </w:rPr>
        <w:tab/>
      </w:r>
      <w:r w:rsidRPr="00E836A4">
        <w:rPr>
          <w:b/>
          <w:sz w:val="28"/>
          <w:szCs w:val="28"/>
          <w:lang w:val="uk-UA" w:eastAsia="en-US"/>
        </w:rPr>
        <w:tab/>
        <w:t>Олександр КОСЯНЧУК</w:t>
      </w:r>
    </w:p>
    <w:sectPr w:rsidR="00EC615F" w:rsidRPr="00E836A4" w:rsidSect="002C3DAC">
      <w:foot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DAC" w:rsidRDefault="002C3DAC" w:rsidP="002C3DAC">
      <w:r>
        <w:separator/>
      </w:r>
    </w:p>
  </w:endnote>
  <w:endnote w:type="continuationSeparator" w:id="0">
    <w:p w:rsidR="002C3DAC" w:rsidRDefault="002C3DAC" w:rsidP="002C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AC" w:rsidRDefault="002C3DAC">
    <w:pPr>
      <w:pStyle w:val="a6"/>
    </w:pPr>
  </w:p>
  <w:p w:rsidR="002C3DAC" w:rsidRDefault="002C3DAC">
    <w:pPr>
      <w:pStyle w:val="a6"/>
    </w:pPr>
  </w:p>
  <w:p w:rsidR="002C3DAC" w:rsidRDefault="002C3DAC">
    <w:pPr>
      <w:pStyle w:val="a6"/>
    </w:pPr>
  </w:p>
  <w:p w:rsidR="002C3DAC" w:rsidRDefault="002C3DA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DAC" w:rsidRDefault="002C3DAC" w:rsidP="002C3DAC">
      <w:r>
        <w:separator/>
      </w:r>
    </w:p>
  </w:footnote>
  <w:footnote w:type="continuationSeparator" w:id="0">
    <w:p w:rsidR="002C3DAC" w:rsidRDefault="002C3DAC" w:rsidP="002C3D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5F"/>
    <w:rsid w:val="00031DFC"/>
    <w:rsid w:val="001A2205"/>
    <w:rsid w:val="001C7955"/>
    <w:rsid w:val="00266ECF"/>
    <w:rsid w:val="002B127C"/>
    <w:rsid w:val="002C3DAC"/>
    <w:rsid w:val="002D1C5D"/>
    <w:rsid w:val="00336044"/>
    <w:rsid w:val="00382AE8"/>
    <w:rsid w:val="00394EE2"/>
    <w:rsid w:val="003C2C8E"/>
    <w:rsid w:val="00445AF6"/>
    <w:rsid w:val="00563E8E"/>
    <w:rsid w:val="005705BF"/>
    <w:rsid w:val="005926EC"/>
    <w:rsid w:val="005A52E8"/>
    <w:rsid w:val="0063695D"/>
    <w:rsid w:val="006A16E5"/>
    <w:rsid w:val="007257B6"/>
    <w:rsid w:val="00781B28"/>
    <w:rsid w:val="007B2D49"/>
    <w:rsid w:val="008341CD"/>
    <w:rsid w:val="00874F47"/>
    <w:rsid w:val="00924CD6"/>
    <w:rsid w:val="009D3DB9"/>
    <w:rsid w:val="00A059B2"/>
    <w:rsid w:val="00A1092F"/>
    <w:rsid w:val="00A43A6F"/>
    <w:rsid w:val="00AE4416"/>
    <w:rsid w:val="00AE4B29"/>
    <w:rsid w:val="00B66D6D"/>
    <w:rsid w:val="00C30BCF"/>
    <w:rsid w:val="00D137BE"/>
    <w:rsid w:val="00DB52DD"/>
    <w:rsid w:val="00DC7CED"/>
    <w:rsid w:val="00DE05D3"/>
    <w:rsid w:val="00E469A6"/>
    <w:rsid w:val="00E82854"/>
    <w:rsid w:val="00E836A4"/>
    <w:rsid w:val="00EC615F"/>
    <w:rsid w:val="00F105B7"/>
    <w:rsid w:val="00FB6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C598"/>
  <w15:chartTrackingRefBased/>
  <w15:docId w15:val="{6D7BC49F-F190-4233-966B-75FF58C5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7CE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C615F"/>
    <w:pPr>
      <w:spacing w:before="100" w:beforeAutospacing="1" w:after="100" w:afterAutospacing="1"/>
    </w:pPr>
  </w:style>
  <w:style w:type="paragraph" w:styleId="a4">
    <w:name w:val="header"/>
    <w:basedOn w:val="a"/>
    <w:link w:val="a5"/>
    <w:uiPriority w:val="99"/>
    <w:unhideWhenUsed/>
    <w:rsid w:val="002C3DAC"/>
    <w:pPr>
      <w:tabs>
        <w:tab w:val="center" w:pos="4819"/>
        <w:tab w:val="right" w:pos="9639"/>
      </w:tabs>
    </w:pPr>
  </w:style>
  <w:style w:type="character" w:customStyle="1" w:styleId="a5">
    <w:name w:val="Верхній колонтитул Знак"/>
    <w:basedOn w:val="a0"/>
    <w:link w:val="a4"/>
    <w:uiPriority w:val="99"/>
    <w:rsid w:val="002C3DAC"/>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2C3DAC"/>
    <w:pPr>
      <w:tabs>
        <w:tab w:val="center" w:pos="4819"/>
        <w:tab w:val="right" w:pos="9639"/>
      </w:tabs>
    </w:pPr>
  </w:style>
  <w:style w:type="character" w:customStyle="1" w:styleId="a7">
    <w:name w:val="Нижній колонтитул Знак"/>
    <w:basedOn w:val="a0"/>
    <w:link w:val="a6"/>
    <w:uiPriority w:val="99"/>
    <w:rsid w:val="002C3DA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2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rc.gov.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2012</Words>
  <Characters>1148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В Кравченко</cp:lastModifiedBy>
  <cp:revision>3</cp:revision>
  <cp:lastPrinted>2024-02-14T13:11:00Z</cp:lastPrinted>
  <dcterms:created xsi:type="dcterms:W3CDTF">2024-03-27T10:56:00Z</dcterms:created>
  <dcterms:modified xsi:type="dcterms:W3CDTF">2024-03-27T11:24:00Z</dcterms:modified>
</cp:coreProperties>
</file>