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67E7E" w14:textId="77777777" w:rsidR="005E73E8" w:rsidRPr="006D5764" w:rsidRDefault="005E73E8" w:rsidP="007F4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D5764">
        <w:rPr>
          <w:rFonts w:ascii="Times New Roman" w:hAnsi="Times New Roman" w:cs="Times New Roman"/>
          <w:b/>
          <w:sz w:val="28"/>
          <w:lang w:val="uk-UA"/>
        </w:rPr>
        <w:t>Порівняльна таблиця до про</w:t>
      </w:r>
      <w:r w:rsidR="00DB5C20" w:rsidRPr="006D5764">
        <w:rPr>
          <w:rFonts w:ascii="Times New Roman" w:hAnsi="Times New Roman" w:cs="Times New Roman"/>
          <w:b/>
          <w:sz w:val="28"/>
          <w:lang w:val="uk-UA"/>
        </w:rPr>
        <w:t>є</w:t>
      </w:r>
      <w:r w:rsidRPr="006D5764">
        <w:rPr>
          <w:rFonts w:ascii="Times New Roman" w:hAnsi="Times New Roman" w:cs="Times New Roman"/>
          <w:b/>
          <w:sz w:val="28"/>
          <w:lang w:val="uk-UA"/>
        </w:rPr>
        <w:t xml:space="preserve">кту постанови НКРЕКП «Про </w:t>
      </w:r>
      <w:r w:rsidR="006A2253" w:rsidRPr="006D5764">
        <w:rPr>
          <w:rFonts w:ascii="Times New Roman" w:hAnsi="Times New Roman" w:cs="Times New Roman"/>
          <w:b/>
          <w:sz w:val="28"/>
          <w:lang w:val="uk-UA"/>
        </w:rPr>
        <w:t>венесення з</w:t>
      </w:r>
      <w:r w:rsidRPr="006D5764">
        <w:rPr>
          <w:rFonts w:ascii="Times New Roman" w:hAnsi="Times New Roman" w:cs="Times New Roman"/>
          <w:b/>
          <w:sz w:val="28"/>
          <w:lang w:val="uk-UA"/>
        </w:rPr>
        <w:t>мін до</w:t>
      </w:r>
      <w:r w:rsidR="008B6573" w:rsidRPr="006D5764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6A2253" w:rsidRPr="006D5764">
        <w:rPr>
          <w:rFonts w:ascii="Times New Roman" w:hAnsi="Times New Roman" w:cs="Times New Roman"/>
          <w:b/>
          <w:sz w:val="28"/>
          <w:lang w:val="uk-UA"/>
        </w:rPr>
        <w:t>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  <w:r w:rsidRPr="006D5764">
        <w:rPr>
          <w:rFonts w:ascii="Times New Roman" w:hAnsi="Times New Roman" w:cs="Times New Roman"/>
          <w:b/>
          <w:sz w:val="28"/>
          <w:lang w:val="uk-UA"/>
        </w:rPr>
        <w:t>», що має ознаки регуляторного акта</w:t>
      </w:r>
    </w:p>
    <w:p w14:paraId="317F6DFC" w14:textId="77777777" w:rsidR="00AA31C1" w:rsidRPr="006D5764" w:rsidRDefault="00AA31C1" w:rsidP="007F4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95"/>
        <w:gridCol w:w="7296"/>
      </w:tblGrid>
      <w:tr w:rsidR="00D66017" w:rsidRPr="006D5764" w14:paraId="7DFFE161" w14:textId="77777777" w:rsidTr="003737EF">
        <w:tc>
          <w:tcPr>
            <w:tcW w:w="7295" w:type="dxa"/>
          </w:tcPr>
          <w:p w14:paraId="4816EBA9" w14:textId="77777777" w:rsidR="003737EF" w:rsidRPr="00E31703" w:rsidRDefault="00AA31C1" w:rsidP="007F4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6"/>
                <w:lang w:val="uk-UA"/>
              </w:rPr>
            </w:pPr>
            <w:r w:rsidRPr="00E31703">
              <w:rPr>
                <w:rFonts w:ascii="Times New Roman" w:hAnsi="Times New Roman" w:cs="Times New Roman"/>
                <w:b/>
                <w:i/>
                <w:sz w:val="24"/>
                <w:szCs w:val="26"/>
                <w:lang w:val="uk-UA"/>
              </w:rPr>
              <w:t>ЗМІСТ ДІЮЧОЇ РЕДАКЦІЇ НОРМАТИВНО-ПРАВОВОГО АКТУ</w:t>
            </w:r>
          </w:p>
        </w:tc>
        <w:tc>
          <w:tcPr>
            <w:tcW w:w="7296" w:type="dxa"/>
          </w:tcPr>
          <w:p w14:paraId="325B9214" w14:textId="77777777" w:rsidR="003737EF" w:rsidRPr="00E31703" w:rsidRDefault="003737EF" w:rsidP="007F4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6"/>
                <w:lang w:val="uk-UA"/>
              </w:rPr>
            </w:pPr>
            <w:r w:rsidRPr="00E31703">
              <w:rPr>
                <w:rFonts w:ascii="Times New Roman" w:hAnsi="Times New Roman" w:cs="Times New Roman"/>
                <w:b/>
                <w:i/>
                <w:sz w:val="24"/>
                <w:szCs w:val="26"/>
                <w:lang w:val="uk-UA"/>
              </w:rPr>
              <w:t>ЗМІСТ ПОЛОЖЕНЬ ПРО</w:t>
            </w:r>
            <w:r w:rsidR="00BA4B2A" w:rsidRPr="00E31703">
              <w:rPr>
                <w:rFonts w:ascii="Times New Roman" w:hAnsi="Times New Roman" w:cs="Times New Roman"/>
                <w:b/>
                <w:i/>
                <w:sz w:val="24"/>
                <w:szCs w:val="26"/>
                <w:lang w:val="uk-UA"/>
              </w:rPr>
              <w:t>Є</w:t>
            </w:r>
            <w:r w:rsidRPr="00E31703">
              <w:rPr>
                <w:rFonts w:ascii="Times New Roman" w:hAnsi="Times New Roman" w:cs="Times New Roman"/>
                <w:b/>
                <w:i/>
                <w:sz w:val="24"/>
                <w:szCs w:val="26"/>
                <w:lang w:val="uk-UA"/>
              </w:rPr>
              <w:t>КТУ ПОСТАНОВИ</w:t>
            </w:r>
          </w:p>
        </w:tc>
      </w:tr>
      <w:tr w:rsidR="00E31703" w:rsidRPr="006D5764" w14:paraId="46230EEA" w14:textId="77777777" w:rsidTr="004F66FB">
        <w:tc>
          <w:tcPr>
            <w:tcW w:w="14591" w:type="dxa"/>
            <w:gridSpan w:val="2"/>
          </w:tcPr>
          <w:p w14:paraId="6B8D396B" w14:textId="77777777" w:rsidR="00E31703" w:rsidRPr="00E31703" w:rsidRDefault="00E31703" w:rsidP="00E317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E31703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МЕТОДИКА</w:t>
            </w:r>
          </w:p>
          <w:p w14:paraId="23E0B5FC" w14:textId="77777777" w:rsidR="00E31703" w:rsidRPr="00E31703" w:rsidRDefault="00E31703" w:rsidP="00E317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E31703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  </w:t>
            </w:r>
          </w:p>
          <w:p w14:paraId="27215E15" w14:textId="7EB23E9D" w:rsidR="00E31703" w:rsidRPr="006D5764" w:rsidRDefault="00E31703" w:rsidP="00E317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E31703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(Постанова НКРЕКП від 13.06.2016 № 1131)</w:t>
            </w:r>
          </w:p>
        </w:tc>
      </w:tr>
      <w:tr w:rsidR="00AA31C1" w:rsidRPr="006D5764" w14:paraId="5D026E55" w14:textId="77777777" w:rsidTr="003737EF">
        <w:tc>
          <w:tcPr>
            <w:tcW w:w="7295" w:type="dxa"/>
          </w:tcPr>
          <w:p w14:paraId="5C763774" w14:textId="32E44BCC" w:rsidR="00AA31C1" w:rsidRPr="006D5764" w:rsidRDefault="00B35D22" w:rsidP="007F4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35D2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ІІ. Розрахунок тарифів на послуги зберігання (закачування, відбору) природного газу</w:t>
            </w:r>
          </w:p>
        </w:tc>
        <w:tc>
          <w:tcPr>
            <w:tcW w:w="7296" w:type="dxa"/>
          </w:tcPr>
          <w:p w14:paraId="3E3A48AA" w14:textId="416FD12D" w:rsidR="00AA31C1" w:rsidRPr="006D5764" w:rsidRDefault="00B35D22" w:rsidP="007F4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35D2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ІІ. Розрахунок тарифів на послуги зберігання (закачування, відбору) природного газу</w:t>
            </w:r>
          </w:p>
        </w:tc>
      </w:tr>
      <w:tr w:rsidR="00AA31C1" w:rsidRPr="006D5764" w14:paraId="1180DD4D" w14:textId="77777777" w:rsidTr="003737EF">
        <w:tc>
          <w:tcPr>
            <w:tcW w:w="7295" w:type="dxa"/>
          </w:tcPr>
          <w:p w14:paraId="414FA525" w14:textId="77777777" w:rsidR="006E3F4E" w:rsidRPr="006D5764" w:rsidRDefault="0077130B" w:rsidP="000A6D4F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6D576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>10</w:t>
            </w:r>
            <w:r w:rsidR="00880987" w:rsidRPr="006D576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 xml:space="preserve">. </w:t>
            </w:r>
            <w:r w:rsidRPr="006D576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>Загальна планована річна гарантована потужність газосховища, гарантована річна потужність закачування та гарантована річна потужність відбору природного газу визначаються за даними оператора газосховища відповідно до договорів зберігання (закачування, відбору) природного газу з урахуванням прогнозованих змін.</w:t>
            </w:r>
          </w:p>
        </w:tc>
        <w:tc>
          <w:tcPr>
            <w:tcW w:w="7296" w:type="dxa"/>
          </w:tcPr>
          <w:p w14:paraId="277F565B" w14:textId="5A17488B" w:rsidR="00B062A9" w:rsidRPr="006D5764" w:rsidRDefault="00DD1144" w:rsidP="000A6D4F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DD114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>10. Загальний планований середній за рік робочий обсяг зберігання, планована потужність закачування та планована потужність відбору природного газу визначаються за даними оператора газосховища відповідно до договорів зберігання (закачування, відбору) природного газу з урахуванням прогнозованих змін.</w:t>
            </w:r>
          </w:p>
          <w:p w14:paraId="5B20B9B3" w14:textId="35C085BD" w:rsidR="00AF3E83" w:rsidRPr="00037E1C" w:rsidRDefault="00DD1144" w:rsidP="00037E1C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b/>
                <w:sz w:val="26"/>
                <w:szCs w:val="26"/>
                <w:highlight w:val="lightGray"/>
                <w:lang w:val="uk-UA"/>
              </w:rPr>
            </w:pPr>
            <w:r w:rsidRPr="00DD11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Для розрахунку тарифів на послуги зберігання (закачування, відбору) природного газу використовується планована гарантована та умовно-гарантована потужність.</w:t>
            </w:r>
          </w:p>
        </w:tc>
      </w:tr>
      <w:tr w:rsidR="007739DD" w:rsidRPr="00DD1144" w14:paraId="7AEAB8C8" w14:textId="77777777" w:rsidTr="003737EF">
        <w:tc>
          <w:tcPr>
            <w:tcW w:w="7295" w:type="dxa"/>
          </w:tcPr>
          <w:p w14:paraId="17B67B36" w14:textId="77777777" w:rsidR="00880987" w:rsidRPr="006D5764" w:rsidRDefault="006726FB" w:rsidP="000A6D4F">
            <w:pPr>
              <w:pStyle w:val="rvps2"/>
              <w:shd w:val="clear" w:color="auto" w:fill="FFFFFF"/>
              <w:spacing w:before="0" w:beforeAutospacing="0" w:after="150" w:afterAutospacing="0"/>
              <w:ind w:firstLine="306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6D5764">
              <w:rPr>
                <w:color w:val="000000" w:themeColor="text1"/>
                <w:sz w:val="26"/>
                <w:szCs w:val="26"/>
              </w:rPr>
              <w:t>11</w:t>
            </w:r>
            <w:r w:rsidR="00880987" w:rsidRPr="006D5764">
              <w:rPr>
                <w:color w:val="000000" w:themeColor="text1"/>
                <w:sz w:val="26"/>
                <w:szCs w:val="26"/>
              </w:rPr>
              <w:t>. При замовленні індивідуальних послуг до тарифів на закачування, відбір та зберігання застосовуються такі коефіцієнти:</w:t>
            </w:r>
          </w:p>
          <w:p w14:paraId="4EA18ED9" w14:textId="77777777" w:rsidR="00880987" w:rsidRPr="006D5764" w:rsidRDefault="00880987" w:rsidP="000A6D4F">
            <w:pPr>
              <w:pStyle w:val="rvps2"/>
              <w:shd w:val="clear" w:color="auto" w:fill="FFFFFF"/>
              <w:spacing w:before="0" w:beforeAutospacing="0" w:after="150" w:afterAutospacing="0"/>
              <w:ind w:firstLine="306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bookmarkStart w:id="0" w:name="n232"/>
            <w:bookmarkEnd w:id="0"/>
            <w:r w:rsidRPr="006D5764">
              <w:rPr>
                <w:color w:val="000000" w:themeColor="text1"/>
                <w:sz w:val="26"/>
                <w:szCs w:val="26"/>
              </w:rPr>
              <w:t>коефіцієнти, які враховують замовлення індивідуальних послуг строком на місяць -  від 1,1 до 2,5;</w:t>
            </w:r>
          </w:p>
          <w:p w14:paraId="26F1F892" w14:textId="77777777" w:rsidR="00880987" w:rsidRPr="006D5764" w:rsidRDefault="00880987" w:rsidP="000A6D4F">
            <w:pPr>
              <w:pStyle w:val="rvps2"/>
              <w:shd w:val="clear" w:color="auto" w:fill="FFFFFF"/>
              <w:spacing w:before="0" w:beforeAutospacing="0" w:after="150" w:afterAutospacing="0"/>
              <w:ind w:firstLine="306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bookmarkStart w:id="1" w:name="n233"/>
            <w:bookmarkEnd w:id="1"/>
            <w:r w:rsidRPr="006D5764">
              <w:rPr>
                <w:color w:val="000000" w:themeColor="text1"/>
                <w:sz w:val="26"/>
                <w:szCs w:val="26"/>
              </w:rPr>
              <w:t>коефіцієнти, які враховують замовлення індивідуальних послуг на добу наперед -  від 1,2 до 3,0.</w:t>
            </w:r>
          </w:p>
          <w:p w14:paraId="2BD9B56F" w14:textId="77777777" w:rsidR="00880987" w:rsidRPr="006D5764" w:rsidRDefault="00880987" w:rsidP="000A6D4F">
            <w:pPr>
              <w:pStyle w:val="rvps2"/>
              <w:shd w:val="clear" w:color="auto" w:fill="FFFFFF"/>
              <w:spacing w:before="0" w:beforeAutospacing="0" w:after="150" w:afterAutospacing="0"/>
              <w:ind w:firstLine="306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bookmarkStart w:id="2" w:name="n234"/>
            <w:bookmarkEnd w:id="2"/>
            <w:r w:rsidRPr="006D5764">
              <w:rPr>
                <w:color w:val="000000" w:themeColor="text1"/>
                <w:sz w:val="26"/>
                <w:szCs w:val="26"/>
              </w:rPr>
              <w:t>Коефіцієнти визначаються операторам газосховища та затверджуються Регулятором.</w:t>
            </w:r>
          </w:p>
          <w:p w14:paraId="5A12263C" w14:textId="77777777" w:rsidR="00880987" w:rsidRPr="006D5764" w:rsidRDefault="00880987" w:rsidP="000A6D4F">
            <w:pPr>
              <w:pStyle w:val="rvps2"/>
              <w:shd w:val="clear" w:color="auto" w:fill="FFFFFF"/>
              <w:spacing w:before="0" w:beforeAutospacing="0" w:after="150" w:afterAutospacing="0"/>
              <w:ind w:firstLine="306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bookmarkStart w:id="3" w:name="n235"/>
            <w:bookmarkEnd w:id="3"/>
            <w:r w:rsidRPr="006D5764">
              <w:rPr>
                <w:color w:val="000000" w:themeColor="text1"/>
                <w:sz w:val="26"/>
                <w:szCs w:val="26"/>
              </w:rPr>
              <w:t>Оператор газосховища надає НКРЕКП розрахунок коефіцієнтів, які враховують особливості умов замовлення послуг, та обґрунтування такого розрахунку.</w:t>
            </w:r>
          </w:p>
          <w:p w14:paraId="0551AD82" w14:textId="77777777" w:rsidR="007739DD" w:rsidRPr="006D5764" w:rsidRDefault="00880987" w:rsidP="000A6D4F">
            <w:pPr>
              <w:pStyle w:val="rvps2"/>
              <w:shd w:val="clear" w:color="auto" w:fill="FFFFFF"/>
              <w:spacing w:before="0" w:beforeAutospacing="0" w:after="150" w:afterAutospacing="0"/>
              <w:ind w:firstLine="306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bookmarkStart w:id="4" w:name="n236"/>
            <w:bookmarkEnd w:id="4"/>
            <w:r w:rsidRPr="006D5764">
              <w:rPr>
                <w:color w:val="000000" w:themeColor="text1"/>
                <w:sz w:val="26"/>
                <w:szCs w:val="26"/>
              </w:rPr>
              <w:lastRenderedPageBreak/>
              <w:t>НКРЕКП затверджує запропоновані коефіцієнти або корегує їх з метою дотримання оператором газосховища планової тарифної виручки.</w:t>
            </w:r>
          </w:p>
        </w:tc>
        <w:tc>
          <w:tcPr>
            <w:tcW w:w="7296" w:type="dxa"/>
          </w:tcPr>
          <w:p w14:paraId="24BC448E" w14:textId="79E8A769" w:rsidR="00B35D22" w:rsidRPr="00B35D22" w:rsidRDefault="00B35D22" w:rsidP="00B35D22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lastRenderedPageBreak/>
              <w:t xml:space="preserve">11. При замовленні </w:t>
            </w:r>
            <w:r w:rsidRPr="00D44E19">
              <w:rPr>
                <w:rFonts w:ascii="Times New Roman" w:hAnsi="Times New Roman" w:cs="Times New Roman"/>
                <w:strike/>
                <w:sz w:val="26"/>
                <w:szCs w:val="26"/>
                <w:shd w:val="clear" w:color="auto" w:fill="FFFFFF"/>
                <w:lang w:val="uk-UA"/>
              </w:rPr>
              <w:t>індивідуальних послуг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D44E19" w:rsidRPr="00D44E1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послуг</w:t>
            </w:r>
            <w:proofErr w:type="spellEnd"/>
            <w:r w:rsidR="00D44E1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D44E19" w:rsidRPr="00D44E1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зберігання (закачування, відбору) природного газу</w:t>
            </w:r>
            <w:r w:rsidR="00D44E19" w:rsidRPr="00D44E1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до тарифів на закачування, відбір та зберігання застосовуються такі коефіцієнти:</w:t>
            </w:r>
          </w:p>
          <w:p w14:paraId="659EB282" w14:textId="4C561A80" w:rsidR="00B35D22" w:rsidRPr="00B35D22" w:rsidRDefault="00B35D22" w:rsidP="00B35D22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коефіцієнти, які враховують замовлення </w:t>
            </w:r>
            <w:r w:rsidRPr="00B35D22">
              <w:rPr>
                <w:rFonts w:ascii="Times New Roman" w:hAnsi="Times New Roman" w:cs="Times New Roman"/>
                <w:strike/>
                <w:sz w:val="26"/>
                <w:szCs w:val="26"/>
                <w:shd w:val="clear" w:color="auto" w:fill="FFFFFF"/>
                <w:lang w:val="uk-UA"/>
              </w:rPr>
              <w:t>індивідуальних послуг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35D2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потужності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строком на місяць -  від 1,1 до 2,5;</w:t>
            </w:r>
          </w:p>
          <w:p w14:paraId="1433048A" w14:textId="0B1A0AD4" w:rsidR="00B35D22" w:rsidRPr="00B35D22" w:rsidRDefault="00B35D22" w:rsidP="00B35D22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коефіцієнти, які враховують замовлення </w:t>
            </w:r>
            <w:r w:rsidRPr="00B35D22">
              <w:rPr>
                <w:rFonts w:ascii="Times New Roman" w:hAnsi="Times New Roman" w:cs="Times New Roman"/>
                <w:strike/>
                <w:sz w:val="26"/>
                <w:szCs w:val="26"/>
                <w:shd w:val="clear" w:color="auto" w:fill="FFFFFF"/>
                <w:lang w:val="uk-UA"/>
              </w:rPr>
              <w:t>індивідуальних послуг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35D2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потужності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на добу наперед -  від 1,2 до 3,0.</w:t>
            </w:r>
          </w:p>
          <w:p w14:paraId="0441D769" w14:textId="77777777" w:rsidR="00B35D22" w:rsidRPr="00B35D22" w:rsidRDefault="00B35D22" w:rsidP="00B35D22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Коефіцієнти визначаються опера</w:t>
            </w:r>
            <w:bookmarkStart w:id="5" w:name="_GoBack"/>
            <w:bookmarkEnd w:id="5"/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торам газосховища та затверджуються Регулятором.</w:t>
            </w:r>
          </w:p>
          <w:p w14:paraId="6CF1903D" w14:textId="77777777" w:rsidR="00B35D22" w:rsidRPr="00B35D22" w:rsidRDefault="00B35D22" w:rsidP="00B35D22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Оператор газосховища надає НКРЕКП розрахунок коефіцієнтів, які враховують особливості умов замовлення послуг, та обґрунтування такого розрахунку.</w:t>
            </w:r>
          </w:p>
          <w:p w14:paraId="31ADFDB4" w14:textId="0A375DBD" w:rsidR="0007406F" w:rsidRPr="006D5764" w:rsidRDefault="00B35D22" w:rsidP="00B35D22">
            <w:pPr>
              <w:spacing w:after="0" w:line="240" w:lineRule="auto"/>
              <w:ind w:firstLine="246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</w:pPr>
            <w:r w:rsidRPr="00B35D2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lastRenderedPageBreak/>
              <w:t>НКРЕКП затверджує запропоновані коефіцієнти або корегує їх з метою дотримання оператором газосховища планової тарифної виручки.</w:t>
            </w:r>
          </w:p>
        </w:tc>
      </w:tr>
      <w:tr w:rsidR="00AA31C1" w:rsidRPr="006D5764" w14:paraId="70BB976C" w14:textId="77777777" w:rsidTr="003737EF">
        <w:tc>
          <w:tcPr>
            <w:tcW w:w="7295" w:type="dxa"/>
          </w:tcPr>
          <w:p w14:paraId="19BFBB0F" w14:textId="6E4218F4" w:rsidR="00AA31C1" w:rsidRPr="006D5764" w:rsidRDefault="008D21BF" w:rsidP="008D2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D57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V</w:t>
            </w:r>
            <w:r w:rsidR="00B35D2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  <w:r w:rsidRPr="006D57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 Коригування планованої тарифної виручки</w:t>
            </w:r>
          </w:p>
        </w:tc>
        <w:tc>
          <w:tcPr>
            <w:tcW w:w="7296" w:type="dxa"/>
          </w:tcPr>
          <w:p w14:paraId="6B77DF3A" w14:textId="78C4362F" w:rsidR="006E3F4E" w:rsidRPr="006D5764" w:rsidRDefault="008D21BF" w:rsidP="008D2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val="uk-UA"/>
              </w:rPr>
            </w:pPr>
            <w:r w:rsidRPr="006D57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V</w:t>
            </w:r>
            <w:r w:rsidR="00B35D2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  <w:r w:rsidRPr="006D576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 Коригування планованої тарифної виручки</w:t>
            </w:r>
          </w:p>
        </w:tc>
      </w:tr>
      <w:tr w:rsidR="00AA31C1" w:rsidRPr="00B35D22" w14:paraId="7AC69872" w14:textId="77777777" w:rsidTr="003737EF">
        <w:tc>
          <w:tcPr>
            <w:tcW w:w="7295" w:type="dxa"/>
          </w:tcPr>
          <w:p w14:paraId="67AD050A" w14:textId="77777777" w:rsidR="00AA31C1" w:rsidRPr="006D5764" w:rsidRDefault="008D21BF" w:rsidP="000A6D4F">
            <w:pPr>
              <w:spacing w:after="0" w:line="240" w:lineRule="auto"/>
              <w:ind w:firstLine="30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D57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…</w:t>
            </w:r>
          </w:p>
          <w:p w14:paraId="73A745BE" w14:textId="77777777" w:rsidR="008D21BF" w:rsidRPr="006D5764" w:rsidRDefault="008D21BF" w:rsidP="000A6D4F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D57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коригування планованої тарифної виручки у зв'язку із відхиленням фактичних обсягів надання послуг зберігання (закачування, відбору) природного газу від планованих, у тому числі за рахунок надання індивідуальних послуг;</w:t>
            </w:r>
          </w:p>
          <w:p w14:paraId="732B868D" w14:textId="77777777" w:rsidR="008D21BF" w:rsidRPr="006D5764" w:rsidRDefault="008D21BF" w:rsidP="000A6D4F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D57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…</w:t>
            </w:r>
          </w:p>
        </w:tc>
        <w:tc>
          <w:tcPr>
            <w:tcW w:w="7296" w:type="dxa"/>
          </w:tcPr>
          <w:p w14:paraId="67D5CB3A" w14:textId="77777777" w:rsidR="00AA31C1" w:rsidRPr="006D5764" w:rsidRDefault="003C0BDE" w:rsidP="000A6D4F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  <w:lang w:val="uk-UA"/>
              </w:rPr>
            </w:pPr>
            <w:r w:rsidRPr="006D5764"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  <w:lang w:val="uk-UA"/>
              </w:rPr>
              <w:t>…</w:t>
            </w:r>
          </w:p>
          <w:p w14:paraId="0FE26197" w14:textId="516C5CB2" w:rsidR="003C0BDE" w:rsidRPr="006D5764" w:rsidRDefault="003C0BDE" w:rsidP="00AF3E83">
            <w:pPr>
              <w:spacing w:after="0" w:line="240" w:lineRule="auto"/>
              <w:ind w:firstLine="306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D576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коригування планованої тарифної виручки у зв'язку із відхиленням фактичних обсягів надання послуг зберігання (закачування, відбору) природного газу від </w:t>
            </w:r>
            <w:r w:rsidRPr="00B35D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планованих, у тому числі </w:t>
            </w:r>
            <w:r w:rsidRPr="00DD1144">
              <w:rPr>
                <w:rFonts w:ascii="Times New Roman" w:hAnsi="Times New Roman" w:cs="Times New Roman"/>
                <w:strike/>
                <w:sz w:val="26"/>
                <w:szCs w:val="26"/>
                <w:lang w:val="uk-UA"/>
              </w:rPr>
              <w:t>за рахуно</w:t>
            </w:r>
            <w:r w:rsidR="00460435" w:rsidRPr="00DD1144">
              <w:rPr>
                <w:rFonts w:ascii="Times New Roman" w:hAnsi="Times New Roman" w:cs="Times New Roman"/>
                <w:strike/>
                <w:sz w:val="26"/>
                <w:szCs w:val="26"/>
                <w:lang w:val="uk-UA"/>
              </w:rPr>
              <w:t>к надання</w:t>
            </w:r>
            <w:r w:rsidR="00460435" w:rsidRPr="00B35D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460435" w:rsidRPr="00B35D22">
              <w:rPr>
                <w:rFonts w:ascii="Times New Roman" w:hAnsi="Times New Roman" w:cs="Times New Roman"/>
                <w:strike/>
                <w:sz w:val="26"/>
                <w:szCs w:val="26"/>
                <w:lang w:val="uk-UA"/>
              </w:rPr>
              <w:t>індивідуальних послуг</w:t>
            </w:r>
            <w:r w:rsidR="00460435" w:rsidRPr="00B35D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35D22" w:rsidRPr="00B35D2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доступу до потужності строком на місяць та на добу наперед</w:t>
            </w:r>
            <w:r w:rsidR="00B35D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</w:t>
            </w:r>
          </w:p>
        </w:tc>
      </w:tr>
    </w:tbl>
    <w:p w14:paraId="2FD34F44" w14:textId="77777777" w:rsidR="007E47BB" w:rsidRPr="006D5764" w:rsidRDefault="007E47BB" w:rsidP="007F42F5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sectPr w:rsidR="007E47BB" w:rsidRPr="006D5764" w:rsidSect="005E73E8">
      <w:pgSz w:w="16838" w:h="11906" w:orient="landscape"/>
      <w:pgMar w:top="568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0269"/>
    <w:multiLevelType w:val="hybridMultilevel"/>
    <w:tmpl w:val="E9A2A7C2"/>
    <w:lvl w:ilvl="0" w:tplc="D8EA2886">
      <w:start w:val="1"/>
      <w:numFmt w:val="decimal"/>
      <w:lvlText w:val="10.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F22F0A"/>
    <w:multiLevelType w:val="hybridMultilevel"/>
    <w:tmpl w:val="990CD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99A"/>
    <w:rsid w:val="00037E1C"/>
    <w:rsid w:val="000655D7"/>
    <w:rsid w:val="00072BBB"/>
    <w:rsid w:val="0007406F"/>
    <w:rsid w:val="00080C55"/>
    <w:rsid w:val="00085042"/>
    <w:rsid w:val="00095194"/>
    <w:rsid w:val="000A6D4F"/>
    <w:rsid w:val="000B5A8F"/>
    <w:rsid w:val="000C43F0"/>
    <w:rsid w:val="000E1F01"/>
    <w:rsid w:val="000E2D6E"/>
    <w:rsid w:val="001029DC"/>
    <w:rsid w:val="00117684"/>
    <w:rsid w:val="00135117"/>
    <w:rsid w:val="0014406E"/>
    <w:rsid w:val="00144CDF"/>
    <w:rsid w:val="00152EF0"/>
    <w:rsid w:val="001562B4"/>
    <w:rsid w:val="0016492C"/>
    <w:rsid w:val="00186D1D"/>
    <w:rsid w:val="00191450"/>
    <w:rsid w:val="00194E2A"/>
    <w:rsid w:val="001B4EB7"/>
    <w:rsid w:val="001C5D56"/>
    <w:rsid w:val="001C72CC"/>
    <w:rsid w:val="001D71AF"/>
    <w:rsid w:val="001D7431"/>
    <w:rsid w:val="001E77F5"/>
    <w:rsid w:val="001E7BDD"/>
    <w:rsid w:val="00201D8E"/>
    <w:rsid w:val="002601DF"/>
    <w:rsid w:val="002B0CF6"/>
    <w:rsid w:val="002D0C61"/>
    <w:rsid w:val="003117D2"/>
    <w:rsid w:val="00317B33"/>
    <w:rsid w:val="00343E51"/>
    <w:rsid w:val="00345F6F"/>
    <w:rsid w:val="003516A5"/>
    <w:rsid w:val="00352EC9"/>
    <w:rsid w:val="00356C21"/>
    <w:rsid w:val="00362659"/>
    <w:rsid w:val="003737EF"/>
    <w:rsid w:val="00375C7C"/>
    <w:rsid w:val="0038199A"/>
    <w:rsid w:val="003C0BDE"/>
    <w:rsid w:val="003E3866"/>
    <w:rsid w:val="003F5E8D"/>
    <w:rsid w:val="004224A0"/>
    <w:rsid w:val="00422DD1"/>
    <w:rsid w:val="00427889"/>
    <w:rsid w:val="00450866"/>
    <w:rsid w:val="00460435"/>
    <w:rsid w:val="00482E2D"/>
    <w:rsid w:val="004A31E8"/>
    <w:rsid w:val="004B57E5"/>
    <w:rsid w:val="004C2300"/>
    <w:rsid w:val="004E1AAE"/>
    <w:rsid w:val="004E7CFE"/>
    <w:rsid w:val="004F2D47"/>
    <w:rsid w:val="0050152D"/>
    <w:rsid w:val="00510F09"/>
    <w:rsid w:val="005231C7"/>
    <w:rsid w:val="00554FE8"/>
    <w:rsid w:val="00597BBF"/>
    <w:rsid w:val="005A5715"/>
    <w:rsid w:val="005B2E8A"/>
    <w:rsid w:val="005C5DBF"/>
    <w:rsid w:val="005D3D26"/>
    <w:rsid w:val="005E73E8"/>
    <w:rsid w:val="005F5810"/>
    <w:rsid w:val="006104A3"/>
    <w:rsid w:val="006216A1"/>
    <w:rsid w:val="006402D6"/>
    <w:rsid w:val="0064268E"/>
    <w:rsid w:val="006726FB"/>
    <w:rsid w:val="00674A1F"/>
    <w:rsid w:val="006A090C"/>
    <w:rsid w:val="006A2253"/>
    <w:rsid w:val="006B08FC"/>
    <w:rsid w:val="006B6C7C"/>
    <w:rsid w:val="006D5764"/>
    <w:rsid w:val="006E3F4E"/>
    <w:rsid w:val="007560AD"/>
    <w:rsid w:val="007621B2"/>
    <w:rsid w:val="0076285C"/>
    <w:rsid w:val="0077130B"/>
    <w:rsid w:val="007739DD"/>
    <w:rsid w:val="00776520"/>
    <w:rsid w:val="00782C0B"/>
    <w:rsid w:val="007C6AC3"/>
    <w:rsid w:val="007E47BB"/>
    <w:rsid w:val="007F0BB3"/>
    <w:rsid w:val="007F1D21"/>
    <w:rsid w:val="007F42F5"/>
    <w:rsid w:val="00807083"/>
    <w:rsid w:val="00820228"/>
    <w:rsid w:val="008752B3"/>
    <w:rsid w:val="00877085"/>
    <w:rsid w:val="00880987"/>
    <w:rsid w:val="008B6573"/>
    <w:rsid w:val="008D21BF"/>
    <w:rsid w:val="008D554C"/>
    <w:rsid w:val="009065E1"/>
    <w:rsid w:val="0091476E"/>
    <w:rsid w:val="009159B0"/>
    <w:rsid w:val="00915A7B"/>
    <w:rsid w:val="00925A62"/>
    <w:rsid w:val="009412D9"/>
    <w:rsid w:val="009569F5"/>
    <w:rsid w:val="00962E2A"/>
    <w:rsid w:val="009C29DA"/>
    <w:rsid w:val="00A07BE4"/>
    <w:rsid w:val="00A16AA2"/>
    <w:rsid w:val="00A40DD6"/>
    <w:rsid w:val="00A471E7"/>
    <w:rsid w:val="00A60316"/>
    <w:rsid w:val="00A6422D"/>
    <w:rsid w:val="00AA31C1"/>
    <w:rsid w:val="00AB36A6"/>
    <w:rsid w:val="00AB64AB"/>
    <w:rsid w:val="00AF02ED"/>
    <w:rsid w:val="00AF3E83"/>
    <w:rsid w:val="00B062A9"/>
    <w:rsid w:val="00B35D22"/>
    <w:rsid w:val="00B741DE"/>
    <w:rsid w:val="00B82A37"/>
    <w:rsid w:val="00B8307F"/>
    <w:rsid w:val="00B97522"/>
    <w:rsid w:val="00BA4B2A"/>
    <w:rsid w:val="00BA6B5E"/>
    <w:rsid w:val="00C03B53"/>
    <w:rsid w:val="00C044F2"/>
    <w:rsid w:val="00C41EFE"/>
    <w:rsid w:val="00C429C6"/>
    <w:rsid w:val="00C5038B"/>
    <w:rsid w:val="00C52BFC"/>
    <w:rsid w:val="00C80C45"/>
    <w:rsid w:val="00C85762"/>
    <w:rsid w:val="00CB179B"/>
    <w:rsid w:val="00CB4980"/>
    <w:rsid w:val="00CE0D56"/>
    <w:rsid w:val="00D10A79"/>
    <w:rsid w:val="00D13FAB"/>
    <w:rsid w:val="00D44E19"/>
    <w:rsid w:val="00D54D45"/>
    <w:rsid w:val="00D637B7"/>
    <w:rsid w:val="00D66017"/>
    <w:rsid w:val="00D66AA6"/>
    <w:rsid w:val="00D737FD"/>
    <w:rsid w:val="00D86502"/>
    <w:rsid w:val="00D92FB5"/>
    <w:rsid w:val="00D96FE9"/>
    <w:rsid w:val="00DA2990"/>
    <w:rsid w:val="00DB5C20"/>
    <w:rsid w:val="00DC7E59"/>
    <w:rsid w:val="00DD1144"/>
    <w:rsid w:val="00E21438"/>
    <w:rsid w:val="00E31703"/>
    <w:rsid w:val="00E7140C"/>
    <w:rsid w:val="00EB679A"/>
    <w:rsid w:val="00EF501F"/>
    <w:rsid w:val="00F051BC"/>
    <w:rsid w:val="00F07759"/>
    <w:rsid w:val="00F11A42"/>
    <w:rsid w:val="00FA2313"/>
    <w:rsid w:val="00FA69F4"/>
    <w:rsid w:val="00FB10B0"/>
    <w:rsid w:val="00FB42AA"/>
    <w:rsid w:val="00FD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6B01"/>
  <w15:chartTrackingRefBased/>
  <w15:docId w15:val="{0AE46050-5488-4991-B541-0919225A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73E8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373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737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37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3737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rvps2">
    <w:name w:val="rvps2"/>
    <w:basedOn w:val="a"/>
    <w:rsid w:val="00880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annotation reference"/>
    <w:basedOn w:val="a0"/>
    <w:uiPriority w:val="99"/>
    <w:semiHidden/>
    <w:unhideWhenUsed/>
    <w:rsid w:val="0008504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8504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85042"/>
    <w:rPr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8504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85042"/>
    <w:rPr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85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8504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EE11F-4F82-432E-9F3D-55B88AD8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Сергій Пузіков</cp:lastModifiedBy>
  <cp:revision>4</cp:revision>
  <cp:lastPrinted>2024-03-27T07:13:00Z</cp:lastPrinted>
  <dcterms:created xsi:type="dcterms:W3CDTF">2024-03-27T09:50:00Z</dcterms:created>
  <dcterms:modified xsi:type="dcterms:W3CDTF">2024-04-01T07:52:00Z</dcterms:modified>
</cp:coreProperties>
</file>