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1E60D7" w14:textId="77777777" w:rsidR="00774251" w:rsidRPr="006D2D5C" w:rsidRDefault="00774251" w:rsidP="008B0793">
      <w:pPr>
        <w:keepNext/>
        <w:tabs>
          <w:tab w:val="left" w:pos="0"/>
        </w:tabs>
        <w:spacing w:after="0" w:line="240" w:lineRule="auto"/>
        <w:ind w:right="85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14"/>
          <w:szCs w:val="28"/>
          <w:lang w:val="en-US" w:eastAsia="ru-RU"/>
        </w:rPr>
      </w:pPr>
    </w:p>
    <w:p w14:paraId="360145D0" w14:textId="77777777" w:rsidR="00DB5FC9" w:rsidRDefault="00CB79B1" w:rsidP="00F03B23">
      <w:pPr>
        <w:keepNext/>
        <w:tabs>
          <w:tab w:val="left" w:pos="0"/>
        </w:tabs>
        <w:spacing w:after="0" w:line="240" w:lineRule="auto"/>
        <w:ind w:right="85" w:firstLine="426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Порівняльна таблиця до </w:t>
      </w:r>
      <w:proofErr w:type="spellStart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проєкту</w:t>
      </w:r>
      <w:proofErr w:type="spellEnd"/>
      <w:r w:rsidRPr="00CB79B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постанови 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НКРЕКП</w:t>
      </w:r>
      <w:r w:rsidR="008919B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«Про внесення змін до Порядку формування </w:t>
      </w:r>
      <w:r w:rsid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/>
      </w:r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тарифу на послуги з диспетчерського (</w:t>
      </w:r>
      <w:proofErr w:type="spellStart"/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оперативно</w:t>
      </w:r>
      <w:proofErr w:type="spellEnd"/>
      <w:r w:rsidR="00DB5FC9" w:rsidRPr="00DB5FC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-технологічного) управління» </w:t>
      </w:r>
    </w:p>
    <w:p w14:paraId="0175D673" w14:textId="13F19582" w:rsidR="008919BF" w:rsidRPr="00DB5FC9" w:rsidRDefault="00DB5FC9" w:rsidP="00F03B23">
      <w:pPr>
        <w:keepNext/>
        <w:tabs>
          <w:tab w:val="left" w:pos="0"/>
        </w:tabs>
        <w:spacing w:after="0" w:line="240" w:lineRule="auto"/>
        <w:ind w:right="85" w:firstLine="426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B5F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(зміни до постанови НКРЕКП від 22.04.2019 </w:t>
      </w:r>
      <w:bookmarkStart w:id="0" w:name="_Hlk14700798"/>
      <w:r w:rsidRPr="00DB5F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№ 586</w:t>
      </w:r>
      <w:bookmarkEnd w:id="0"/>
      <w:r w:rsidRPr="00DB5F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</w:p>
    <w:p w14:paraId="20B0B20D" w14:textId="77777777" w:rsidR="00C33F3D" w:rsidRPr="003A68CD" w:rsidRDefault="00C33F3D" w:rsidP="00C33F3D">
      <w:pPr>
        <w:spacing w:after="0" w:line="240" w:lineRule="auto"/>
        <w:rPr>
          <w:rFonts w:ascii="Times New Roman" w:eastAsia="Times New Roman" w:hAnsi="Times New Roman" w:cs="Times New Roman"/>
          <w:vanish/>
          <w:sz w:val="12"/>
          <w:szCs w:val="32"/>
          <w:lang w:eastAsia="ru-RU"/>
        </w:rPr>
      </w:pPr>
    </w:p>
    <w:tbl>
      <w:tblPr>
        <w:tblW w:w="155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7796"/>
      </w:tblGrid>
      <w:tr w:rsidR="00C33F3D" w:rsidRPr="000F5294" w14:paraId="2E5BAF09" w14:textId="77777777" w:rsidTr="00B15185">
        <w:trPr>
          <w:trHeight w:val="706"/>
        </w:trPr>
        <w:tc>
          <w:tcPr>
            <w:tcW w:w="7797" w:type="dxa"/>
            <w:vAlign w:val="center"/>
          </w:tcPr>
          <w:p w14:paraId="35AB6003" w14:textId="77777777" w:rsidR="00C33F3D" w:rsidRPr="000F5294" w:rsidRDefault="00C33F3D" w:rsidP="00471A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Чинна редакція Порядку</w:t>
            </w:r>
          </w:p>
        </w:tc>
        <w:tc>
          <w:tcPr>
            <w:tcW w:w="7796" w:type="dxa"/>
            <w:vAlign w:val="center"/>
          </w:tcPr>
          <w:p w14:paraId="0A8F166B" w14:textId="77777777" w:rsidR="00C33F3D" w:rsidRPr="000F5294" w:rsidRDefault="00C33F3D" w:rsidP="00471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</w:pPr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Редакція, що пропонується</w:t>
            </w:r>
          </w:p>
        </w:tc>
      </w:tr>
      <w:tr w:rsidR="00471A73" w:rsidRPr="000F5294" w14:paraId="728CB6E3" w14:textId="77777777" w:rsidTr="00B15185">
        <w:trPr>
          <w:trHeight w:val="706"/>
        </w:trPr>
        <w:tc>
          <w:tcPr>
            <w:tcW w:w="7797" w:type="dxa"/>
          </w:tcPr>
          <w:p w14:paraId="5EF01B4F" w14:textId="70D27A59" w:rsidR="00471A73" w:rsidRPr="000F5294" w:rsidRDefault="00471A73" w:rsidP="00471A73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F5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2. Вимоги до оформлення заяви та документів, що додаються до неї</w:t>
            </w:r>
          </w:p>
          <w:p w14:paraId="55ACA59C" w14:textId="77777777" w:rsidR="00471A73" w:rsidRPr="000F5294" w:rsidRDefault="00471A73" w:rsidP="00471A73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14:paraId="3C549B30" w14:textId="77777777" w:rsidR="00471A73" w:rsidRPr="000F5294" w:rsidRDefault="00471A73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2.1. Для встановлення (перегляду) тарифу на послуги з диспетчерського (</w:t>
            </w:r>
            <w:proofErr w:type="spellStart"/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оперативно</w:t>
            </w:r>
            <w:proofErr w:type="spellEnd"/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-технологічного) управління заявник подає до НКРЕКП заяву (за формою, наведеною в додатку 1 до цього Порядку) і такі документи у друкованій та електронній формах в одному примірнику:</w:t>
            </w:r>
          </w:p>
          <w:p w14:paraId="0D41A1D0" w14:textId="6CE246F5" w:rsidR="00471A73" w:rsidRPr="000F5294" w:rsidRDefault="00471A73" w:rsidP="00471A73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0F5294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08775F26" w14:textId="77777777" w:rsidR="00471A73" w:rsidRPr="000F5294" w:rsidRDefault="00471A73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CC6CD62" w14:textId="78419ED6" w:rsidR="00471A73" w:rsidRPr="000F5294" w:rsidRDefault="00471A73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10) прогнозований баланс електричної енергії;</w:t>
            </w:r>
          </w:p>
          <w:p w14:paraId="50113E6B" w14:textId="77777777" w:rsidR="000F5294" w:rsidRPr="000F5294" w:rsidRDefault="000F5294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1C1F075" w14:textId="77777777" w:rsidR="00471A73" w:rsidRPr="00467F57" w:rsidRDefault="00471A73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11) джерела фінансування інвестиційної програми на прогнозний рік, визначені з урахуванням </w:t>
            </w:r>
            <w:r w:rsidRPr="00467F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Порядку формування інвестиційних програм ліцензіатів з передачі електричної енергії магістральними та міждержавними електричними мережами та з виробництва теплової та/або електричної енергії на атомних електростанціях, гідроелектростанціях та </w:t>
            </w:r>
            <w:proofErr w:type="spellStart"/>
            <w:r w:rsidRPr="00467F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гідроакумулюючих</w:t>
            </w:r>
            <w:proofErr w:type="spellEnd"/>
            <w:r w:rsidRPr="00467F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електростанціях, затвердженого </w:t>
            </w:r>
            <w:hyperlink r:id="rId8" w:tgtFrame="_blank" w:history="1">
              <w:r w:rsidRPr="00467F57">
                <w:rPr>
                  <w:rFonts w:ascii="Times New Roman" w:eastAsia="Times New Roman" w:hAnsi="Times New Roman" w:cs="Times New Roman"/>
                  <w:sz w:val="24"/>
                  <w:szCs w:val="24"/>
                  <w:lang w:eastAsia="uk-UA"/>
                </w:rPr>
                <w:t>постановою НКРЕКП від 30 червня 2015 року N 1972</w:t>
              </w:r>
            </w:hyperlink>
            <w:r w:rsidRPr="00467F5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зареєстрованого в Міністерстві юстиції України 14 липня 2015 року за N 840/27285;</w:t>
            </w:r>
          </w:p>
          <w:p w14:paraId="0C0817A9" w14:textId="77777777" w:rsidR="000F5294" w:rsidRPr="000F5294" w:rsidRDefault="000F5294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83299C2" w14:textId="77777777" w:rsidR="00471A73" w:rsidRPr="000F5294" w:rsidRDefault="00471A73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12) інші </w:t>
            </w:r>
            <w:proofErr w:type="spellStart"/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обґрунтовуючі</w:t>
            </w:r>
            <w:proofErr w:type="spellEnd"/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матеріали.</w:t>
            </w:r>
          </w:p>
          <w:p w14:paraId="6DF80807" w14:textId="7ABFD7CD" w:rsidR="00471A73" w:rsidRPr="000F5294" w:rsidRDefault="00471A73" w:rsidP="00471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</w:tcPr>
          <w:p w14:paraId="4AA123B6" w14:textId="77777777" w:rsidR="00471A73" w:rsidRPr="00467F57" w:rsidRDefault="00471A73" w:rsidP="00471A73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467F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2. Вимоги до оформлення заяви та документів, що додаються до неї</w:t>
            </w:r>
          </w:p>
          <w:p w14:paraId="22E3E857" w14:textId="77777777" w:rsidR="00471A73" w:rsidRPr="00467F57" w:rsidRDefault="00471A73" w:rsidP="00471A73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  <w:p w14:paraId="1C5528AD" w14:textId="77777777" w:rsidR="00471A73" w:rsidRPr="000F5294" w:rsidRDefault="00471A73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2.1. Для встановлення (перегляду) тарифу на послуги з диспетчерського (</w:t>
            </w:r>
            <w:proofErr w:type="spellStart"/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оперативно</w:t>
            </w:r>
            <w:proofErr w:type="spellEnd"/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-технологічного) управління заявник подає до НКРЕКП заяву (за формою, наведеною в додатку 1 до цього Порядку) і такі документи у друкованій та електронній формах в одному примірнику:</w:t>
            </w:r>
          </w:p>
          <w:p w14:paraId="0A062AE0" w14:textId="77777777" w:rsidR="00471A73" w:rsidRPr="000F5294" w:rsidRDefault="00471A73" w:rsidP="00471A73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0F5294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29A7856E" w14:textId="77777777" w:rsidR="00471A73" w:rsidRPr="000F5294" w:rsidRDefault="00471A73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AB68D54" w14:textId="77777777" w:rsidR="00471A73" w:rsidRPr="000F5294" w:rsidRDefault="00471A73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10) прогнозований баланс електричної енергії;</w:t>
            </w:r>
          </w:p>
          <w:p w14:paraId="1A030E76" w14:textId="77777777" w:rsidR="000F5294" w:rsidRPr="000F5294" w:rsidRDefault="000F5294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81A6C58" w14:textId="51611B40" w:rsidR="000F5294" w:rsidRPr="00467F57" w:rsidRDefault="00471A73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11) </w:t>
            </w:r>
            <w:r w:rsidRPr="00394D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джерела фінансування інвестиційної програми на прогнозний рік, визначені з урахуванням</w:t>
            </w:r>
            <w:r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FF5BA9" w:rsidRPr="00467F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вимог </w:t>
            </w:r>
            <w:r w:rsidR="006D2D5C" w:rsidRPr="00467F57">
              <w:rPr>
                <w:rFonts w:ascii="Times New Roman" w:hAnsi="Times New Roman" w:cs="Times New Roman"/>
                <w:b/>
                <w:sz w:val="24"/>
                <w:szCs w:val="24"/>
              </w:rPr>
              <w:t>Порядку розроблення, подання на схвалення та виконання інвестиційної програми оператора системи передачі, що є додатком 12 до Кодексу системи передачі, згідно з формою, наведеною в додатку 13 до Кодексу системи передачі</w:t>
            </w:r>
            <w:r w:rsidR="00FF5BA9" w:rsidRPr="00467F57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14:paraId="74355F13" w14:textId="77777777" w:rsidR="000F5294" w:rsidRPr="00467F57" w:rsidRDefault="000F5294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CC4D66F" w14:textId="33C82951" w:rsidR="004A2392" w:rsidRDefault="004A2392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0E5D036" w14:textId="6F2F94D8" w:rsidR="00FF5BA9" w:rsidRDefault="00FF5BA9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bookmarkStart w:id="1" w:name="_GoBack"/>
            <w:bookmarkEnd w:id="1"/>
          </w:p>
          <w:p w14:paraId="0F6E08E6" w14:textId="77777777" w:rsidR="00394D71" w:rsidRDefault="00394D71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6D1B89E" w14:textId="77777777" w:rsidR="00FF5BA9" w:rsidRDefault="00FF5BA9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6D13A02" w14:textId="457320F9" w:rsidR="00471A73" w:rsidRPr="000F5294" w:rsidRDefault="006D3C86" w:rsidP="00471A7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471A73"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2) інші </w:t>
            </w:r>
            <w:proofErr w:type="spellStart"/>
            <w:r w:rsidR="00471A73"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обґрунтовуючі</w:t>
            </w:r>
            <w:proofErr w:type="spellEnd"/>
            <w:r w:rsidR="00471A73" w:rsidRPr="000F5294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матеріали.</w:t>
            </w:r>
          </w:p>
          <w:p w14:paraId="5F58F3C5" w14:textId="5A126BBC" w:rsidR="00471A73" w:rsidRPr="000F5294" w:rsidRDefault="00471A73" w:rsidP="00471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71F" w:rsidRPr="000F5294" w14:paraId="0F4A97DA" w14:textId="77777777" w:rsidTr="00B15185">
        <w:trPr>
          <w:trHeight w:val="706"/>
        </w:trPr>
        <w:tc>
          <w:tcPr>
            <w:tcW w:w="7797" w:type="dxa"/>
          </w:tcPr>
          <w:p w14:paraId="6602B0E4" w14:textId="77777777" w:rsidR="004E771F" w:rsidRPr="000F5294" w:rsidRDefault="004E771F" w:rsidP="004E771F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F5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5. Визначення прогнозованого необхідного доходу</w:t>
            </w:r>
          </w:p>
          <w:p w14:paraId="24CD3D97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t>5.3. Визначення операційних витрат:</w:t>
            </w:r>
          </w:p>
          <w:p w14:paraId="70C095AE" w14:textId="3E0187C5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t xml:space="preserve">1) операційні витрати суб'єкта господарювання для забезпечення діяльності з </w:t>
            </w:r>
            <w:proofErr w:type="spellStart"/>
            <w:r w:rsidRPr="000F5294">
              <w:t>оперативно</w:t>
            </w:r>
            <w:proofErr w:type="spellEnd"/>
            <w:r w:rsidRPr="000F5294">
              <w:t>-технологічного управління ОЕС України на прогнозний рік (ОВ) визначаються за економічними елементами та їх окремими складовими і розраховуються за формулою</w:t>
            </w:r>
          </w:p>
          <w:p w14:paraId="5BC267B5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6"/>
              <w:gridCol w:w="455"/>
            </w:tblGrid>
            <w:tr w:rsidR="004E771F" w:rsidRPr="000F5294" w14:paraId="64CDC807" w14:textId="77777777" w:rsidTr="001A3703">
              <w:tc>
                <w:tcPr>
                  <w:tcW w:w="47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73B2D86" w14:textId="77777777" w:rsidR="004E771F" w:rsidRPr="000F5294" w:rsidRDefault="004E771F" w:rsidP="004E771F">
                  <w:pPr>
                    <w:pStyle w:val="tc"/>
                    <w:spacing w:before="0" w:beforeAutospacing="0" w:after="0" w:afterAutospacing="0"/>
                    <w:jc w:val="both"/>
                  </w:pPr>
                  <w:r w:rsidRPr="000F5294">
                    <w:rPr>
                      <w:i/>
                      <w:iCs/>
                    </w:rPr>
                    <w:t>ОВ</w:t>
                  </w:r>
                  <w:r w:rsidRPr="000F5294">
                    <w:t> = </w:t>
                  </w:r>
                  <w:r w:rsidRPr="000F5294">
                    <w:rPr>
                      <w:i/>
                      <w:iCs/>
                    </w:rPr>
                    <w:t>МВ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ОП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ВС</w:t>
                  </w:r>
                  <w:r w:rsidRPr="000F5294">
                    <w:t>+ </w:t>
                  </w:r>
                  <w:r w:rsidRPr="000F5294">
                    <w:rPr>
                      <w:i/>
                      <w:iCs/>
                    </w:rPr>
                    <w:t>А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ПАР</w:t>
                  </w:r>
                  <w:r w:rsidRPr="000F5294">
                    <w:t>+</w:t>
                  </w:r>
                  <w:r w:rsidRPr="000F5294">
                    <w:rPr>
                      <w:i/>
                      <w:iCs/>
                    </w:rPr>
                    <w:t>ПАК</w:t>
                  </w:r>
                  <w:r w:rsidRPr="000F5294">
                    <w:t>+</w:t>
                  </w:r>
                  <w:r w:rsidRPr="000F5294">
                    <w:rPr>
                      <w:i/>
                      <w:iCs/>
                    </w:rPr>
                    <w:t>ВСО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ДП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ІВ</w:t>
                  </w:r>
                  <w:r w:rsidRPr="000F5294">
                    <w:t> </w:t>
                  </w:r>
                  <w:hyperlink r:id="rId9" w:tgtFrame="_blank" w:history="1">
                    <w:r w:rsidRPr="000F5294">
                      <w:rPr>
                        <w:rStyle w:val="af"/>
                        <w:i/>
                        <w:iCs/>
                        <w:color w:val="auto"/>
                        <w:u w:val="none"/>
                      </w:rPr>
                      <w:t>+ КВ</w:t>
                    </w:r>
                  </w:hyperlink>
                  <w:r w:rsidRPr="000F5294">
                    <w:t>, тис. грн,</w:t>
                  </w:r>
                </w:p>
              </w:tc>
              <w:tc>
                <w:tcPr>
                  <w:tcW w:w="3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44E2428" w14:textId="77777777" w:rsidR="004E771F" w:rsidRPr="000F5294" w:rsidRDefault="004E771F" w:rsidP="004E771F">
                  <w:pPr>
                    <w:pStyle w:val="tr"/>
                    <w:spacing w:before="0" w:beforeAutospacing="0" w:after="0" w:afterAutospacing="0"/>
                    <w:jc w:val="both"/>
                  </w:pPr>
                  <w:r w:rsidRPr="000F5294">
                    <w:t>(2)</w:t>
                  </w:r>
                </w:p>
              </w:tc>
            </w:tr>
          </w:tbl>
          <w:p w14:paraId="4D7FA97E" w14:textId="77777777" w:rsidR="004E771F" w:rsidRPr="000F5294" w:rsidRDefault="004E771F" w:rsidP="004E771F">
            <w:pPr>
              <w:pStyle w:val="tc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t> </w:t>
            </w:r>
          </w:p>
          <w:p w14:paraId="35961F1D" w14:textId="4C116E1C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lastRenderedPageBreak/>
              <w:t>де </w:t>
            </w:r>
            <w:r w:rsidRPr="000F5294">
              <w:rPr>
                <w:i/>
                <w:iCs/>
              </w:rPr>
              <w:t>МВ</w:t>
            </w:r>
            <w:r w:rsidRPr="000F5294">
              <w:t xml:space="preserve"> - матеріальні витрати на провадження діяльності з </w:t>
            </w:r>
            <w:proofErr w:type="spellStart"/>
            <w:r w:rsidRPr="000F5294">
              <w:t>оперативно</w:t>
            </w:r>
            <w:proofErr w:type="spellEnd"/>
            <w:r w:rsidRPr="000F5294">
              <w:t>-технологічного управління ОЕС України на прогнозний рік, тис. грн, що розраховуються за формулою</w:t>
            </w:r>
          </w:p>
          <w:p w14:paraId="53B9FC77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6"/>
              <w:gridCol w:w="455"/>
            </w:tblGrid>
            <w:tr w:rsidR="004E771F" w:rsidRPr="000F5294" w14:paraId="2707429D" w14:textId="77777777" w:rsidTr="001A3703">
              <w:tc>
                <w:tcPr>
                  <w:tcW w:w="47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B347B4B" w14:textId="77777777" w:rsidR="004E771F" w:rsidRPr="000F5294" w:rsidRDefault="004E771F" w:rsidP="004E771F">
                  <w:pPr>
                    <w:pStyle w:val="tc"/>
                    <w:spacing w:before="0" w:beforeAutospacing="0" w:after="0" w:afterAutospacing="0"/>
                    <w:jc w:val="both"/>
                  </w:pPr>
                  <w:r w:rsidRPr="000F5294">
                    <w:rPr>
                      <w:i/>
                      <w:iCs/>
                    </w:rPr>
                    <w:t>МВ</w:t>
                  </w:r>
                  <w:r w:rsidRPr="000F5294">
                    <w:t> = </w:t>
                  </w:r>
                  <w:r w:rsidRPr="000F5294">
                    <w:rPr>
                      <w:i/>
                      <w:iCs/>
                    </w:rPr>
                    <w:t>СД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ПВ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ПС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Р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ЕГП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ВОП</w:t>
                  </w:r>
                  <w:r w:rsidRPr="000F5294">
                    <w:t>, тис. грн,</w:t>
                  </w:r>
                </w:p>
              </w:tc>
              <w:tc>
                <w:tcPr>
                  <w:tcW w:w="3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076ACB55" w14:textId="77777777" w:rsidR="004E771F" w:rsidRPr="000F5294" w:rsidRDefault="004E771F" w:rsidP="004E771F">
                  <w:pPr>
                    <w:pStyle w:val="tr"/>
                    <w:spacing w:before="0" w:beforeAutospacing="0" w:after="0" w:afterAutospacing="0"/>
                    <w:jc w:val="both"/>
                  </w:pPr>
                  <w:r w:rsidRPr="000F5294">
                    <w:t>(3)</w:t>
                  </w:r>
                </w:p>
              </w:tc>
            </w:tr>
          </w:tbl>
          <w:p w14:paraId="5C93467E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t>де </w:t>
            </w:r>
            <w:r w:rsidRPr="000F5294">
              <w:rPr>
                <w:i/>
                <w:iCs/>
              </w:rPr>
              <w:t>СД</w:t>
            </w:r>
            <w:r w:rsidRPr="000F5294">
              <w:t xml:space="preserve"> - витрати на сировину і допоміжні матеріали для провадження діяльності з </w:t>
            </w:r>
            <w:proofErr w:type="spellStart"/>
            <w:r w:rsidRPr="000F5294">
              <w:t>оперативно</w:t>
            </w:r>
            <w:proofErr w:type="spellEnd"/>
            <w:r w:rsidRPr="000F5294">
              <w:t>-технологічного управління ОЕС України на прогнозний рік, тис. грн;</w:t>
            </w:r>
          </w:p>
          <w:p w14:paraId="7A8A369C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0F5294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5F6F35F5" w14:textId="1C3DD2A3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rPr>
                <w:i/>
                <w:iCs/>
              </w:rPr>
              <w:t>ВСО</w:t>
            </w:r>
            <w:r w:rsidRPr="000F5294">
              <w:t> - витрати на врегулювання системних обмежень</w:t>
            </w:r>
            <w:hyperlink r:id="rId10" w:tgtFrame="_blank" w:history="1">
              <w:r w:rsidRPr="000F5294">
                <w:rPr>
                  <w:rStyle w:val="af"/>
                  <w:color w:val="auto"/>
                  <w:u w:val="none"/>
                </w:rPr>
                <w:t xml:space="preserve">, у тому числі </w:t>
              </w:r>
              <w:r w:rsidR="0014413A" w:rsidRPr="0014413A">
                <w:rPr>
                  <w:rStyle w:val="af"/>
                  <w:color w:val="auto"/>
                  <w:u w:val="none"/>
                  <w:lang w:val="en-US"/>
                </w:rPr>
                <w:t>c</w:t>
              </w:r>
              <w:proofErr w:type="spellStart"/>
              <w:r w:rsidRPr="00467F57">
                <w:rPr>
                  <w:rStyle w:val="af"/>
                  <w:color w:val="auto"/>
                  <w:u w:val="none"/>
                </w:rPr>
                <w:t>альдований</w:t>
              </w:r>
              <w:proofErr w:type="spellEnd"/>
              <w:r w:rsidRPr="00467F57">
                <w:rPr>
                  <w:rStyle w:val="af"/>
                  <w:color w:val="auto"/>
                  <w:u w:val="none"/>
                </w:rPr>
                <w:t xml:space="preserve"> розмір збору за небаланс електричної енергії,</w:t>
              </w:r>
              <w:r w:rsidRPr="000F5294">
                <w:rPr>
                  <w:rStyle w:val="af"/>
                  <w:color w:val="auto"/>
                  <w:u w:val="none"/>
                </w:rPr>
                <w:t xml:space="preserve"> що підтверджується результатами здійснення заходів контролю за дотриманням</w:t>
              </w:r>
            </w:hyperlink>
            <w:r w:rsidRPr="000F5294">
              <w:t> </w:t>
            </w:r>
            <w:hyperlink r:id="rId11" w:tgtFrame="_blank" w:history="1">
              <w:r w:rsidRPr="000F5294">
                <w:rPr>
                  <w:rStyle w:val="hard-blue-color"/>
                </w:rPr>
                <w:t>Ліцензійних умов</w:t>
              </w:r>
            </w:hyperlink>
            <w:r w:rsidRPr="000F5294">
              <w:t>, тис. грн;</w:t>
            </w:r>
          </w:p>
          <w:p w14:paraId="20998744" w14:textId="3CE70150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p w14:paraId="3D9D6788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0F5294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406B4EA6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</w:p>
        </w:tc>
        <w:tc>
          <w:tcPr>
            <w:tcW w:w="7796" w:type="dxa"/>
          </w:tcPr>
          <w:p w14:paraId="7A117EB7" w14:textId="77777777" w:rsidR="004E771F" w:rsidRPr="000F5294" w:rsidRDefault="004E771F" w:rsidP="004E771F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0F52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5. Визначення прогнозованого необхідного доходу</w:t>
            </w:r>
          </w:p>
          <w:p w14:paraId="0C371F48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t>5.3. Визначення операційних витрат:</w:t>
            </w:r>
          </w:p>
          <w:p w14:paraId="39B7B6BE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t xml:space="preserve">1) операційні витрати суб'єкта господарювання для забезпечення діяльності з </w:t>
            </w:r>
            <w:proofErr w:type="spellStart"/>
            <w:r w:rsidRPr="000F5294">
              <w:t>оперативно</w:t>
            </w:r>
            <w:proofErr w:type="spellEnd"/>
            <w:r w:rsidRPr="000F5294">
              <w:t>-технологічного управління ОЕС України на прогнозний рік (ОВ) визначаються за економічними елементами та їх окремими складовими і розраховуються за формулою</w:t>
            </w:r>
          </w:p>
          <w:p w14:paraId="57EA6998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5"/>
              <w:gridCol w:w="455"/>
            </w:tblGrid>
            <w:tr w:rsidR="004E771F" w:rsidRPr="000F5294" w14:paraId="582AB43F" w14:textId="77777777" w:rsidTr="00E47390">
              <w:tc>
                <w:tcPr>
                  <w:tcW w:w="47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56E1CC80" w14:textId="77777777" w:rsidR="004E771F" w:rsidRPr="000F5294" w:rsidRDefault="004E771F" w:rsidP="004E771F">
                  <w:pPr>
                    <w:pStyle w:val="tc"/>
                    <w:spacing w:before="0" w:beforeAutospacing="0" w:after="0" w:afterAutospacing="0"/>
                    <w:jc w:val="both"/>
                  </w:pPr>
                  <w:r w:rsidRPr="000F5294">
                    <w:rPr>
                      <w:i/>
                      <w:iCs/>
                    </w:rPr>
                    <w:t>ОВ</w:t>
                  </w:r>
                  <w:r w:rsidRPr="000F5294">
                    <w:t> = </w:t>
                  </w:r>
                  <w:r w:rsidRPr="000F5294">
                    <w:rPr>
                      <w:i/>
                      <w:iCs/>
                    </w:rPr>
                    <w:t>МВ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ОП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ВС</w:t>
                  </w:r>
                  <w:r w:rsidRPr="000F5294">
                    <w:t>+ </w:t>
                  </w:r>
                  <w:r w:rsidRPr="000F5294">
                    <w:rPr>
                      <w:i/>
                      <w:iCs/>
                    </w:rPr>
                    <w:t>А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ПАР</w:t>
                  </w:r>
                  <w:r w:rsidRPr="000F5294">
                    <w:t>+</w:t>
                  </w:r>
                  <w:r w:rsidRPr="000F5294">
                    <w:rPr>
                      <w:i/>
                      <w:iCs/>
                    </w:rPr>
                    <w:t>ПАК</w:t>
                  </w:r>
                  <w:r w:rsidRPr="000F5294">
                    <w:t>+</w:t>
                  </w:r>
                  <w:r w:rsidRPr="000F5294">
                    <w:rPr>
                      <w:i/>
                      <w:iCs/>
                    </w:rPr>
                    <w:t>ВСО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ДП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ІВ</w:t>
                  </w:r>
                  <w:r w:rsidRPr="000F5294">
                    <w:t> </w:t>
                  </w:r>
                  <w:hyperlink r:id="rId12" w:tgtFrame="_blank" w:history="1">
                    <w:r w:rsidRPr="000F5294">
                      <w:rPr>
                        <w:rStyle w:val="af"/>
                        <w:i/>
                        <w:iCs/>
                        <w:color w:val="auto"/>
                        <w:u w:val="none"/>
                      </w:rPr>
                      <w:t>+ КВ</w:t>
                    </w:r>
                  </w:hyperlink>
                  <w:r w:rsidRPr="000F5294">
                    <w:t>, тис. грн,</w:t>
                  </w:r>
                </w:p>
              </w:tc>
              <w:tc>
                <w:tcPr>
                  <w:tcW w:w="3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2F6F3400" w14:textId="77777777" w:rsidR="004E771F" w:rsidRPr="000F5294" w:rsidRDefault="004E771F" w:rsidP="004E771F">
                  <w:pPr>
                    <w:pStyle w:val="tr"/>
                    <w:spacing w:before="0" w:beforeAutospacing="0" w:after="0" w:afterAutospacing="0"/>
                    <w:jc w:val="both"/>
                  </w:pPr>
                  <w:r w:rsidRPr="000F5294">
                    <w:t>(2)</w:t>
                  </w:r>
                </w:p>
              </w:tc>
            </w:tr>
          </w:tbl>
          <w:p w14:paraId="7951C354" w14:textId="77777777" w:rsidR="004E771F" w:rsidRPr="000F5294" w:rsidRDefault="004E771F" w:rsidP="004E771F">
            <w:pPr>
              <w:pStyle w:val="tc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t> </w:t>
            </w:r>
          </w:p>
          <w:p w14:paraId="50BF63AD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lastRenderedPageBreak/>
              <w:t>де </w:t>
            </w:r>
            <w:r w:rsidRPr="000F5294">
              <w:rPr>
                <w:i/>
                <w:iCs/>
              </w:rPr>
              <w:t>МВ</w:t>
            </w:r>
            <w:r w:rsidRPr="000F5294">
              <w:t xml:space="preserve"> - матеріальні витрати на провадження діяльності з </w:t>
            </w:r>
            <w:proofErr w:type="spellStart"/>
            <w:r w:rsidRPr="000F5294">
              <w:t>оперативно</w:t>
            </w:r>
            <w:proofErr w:type="spellEnd"/>
            <w:r w:rsidRPr="000F5294">
              <w:t>-технологічного управління ОЕС України на прогнозний рік, тис. грн, що розраховуються за формулою</w:t>
            </w:r>
          </w:p>
          <w:p w14:paraId="595FCEEB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tbl>
            <w:tblPr>
              <w:tblW w:w="5000" w:type="pct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5"/>
              <w:gridCol w:w="455"/>
            </w:tblGrid>
            <w:tr w:rsidR="004E771F" w:rsidRPr="000F5294" w14:paraId="6FDD7EAC" w14:textId="77777777" w:rsidTr="00E47390">
              <w:tc>
                <w:tcPr>
                  <w:tcW w:w="47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4B91FCDD" w14:textId="77777777" w:rsidR="004E771F" w:rsidRPr="000F5294" w:rsidRDefault="004E771F" w:rsidP="004E771F">
                  <w:pPr>
                    <w:pStyle w:val="tc"/>
                    <w:spacing w:before="0" w:beforeAutospacing="0" w:after="0" w:afterAutospacing="0"/>
                    <w:jc w:val="both"/>
                  </w:pPr>
                  <w:r w:rsidRPr="000F5294">
                    <w:rPr>
                      <w:i/>
                      <w:iCs/>
                    </w:rPr>
                    <w:t>МВ</w:t>
                  </w:r>
                  <w:r w:rsidRPr="000F5294">
                    <w:t> = </w:t>
                  </w:r>
                  <w:r w:rsidRPr="000F5294">
                    <w:rPr>
                      <w:i/>
                      <w:iCs/>
                    </w:rPr>
                    <w:t>СД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ПВ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ПС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Р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ЕГП</w:t>
                  </w:r>
                  <w:r w:rsidRPr="000F5294">
                    <w:t> + </w:t>
                  </w:r>
                  <w:r w:rsidRPr="000F5294">
                    <w:rPr>
                      <w:i/>
                      <w:iCs/>
                    </w:rPr>
                    <w:t>ВОП</w:t>
                  </w:r>
                  <w:r w:rsidRPr="000F5294">
                    <w:t>, тис. грн,</w:t>
                  </w:r>
                </w:p>
              </w:tc>
              <w:tc>
                <w:tcPr>
                  <w:tcW w:w="300" w:type="pct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14:paraId="3A9E8EEA" w14:textId="77777777" w:rsidR="004E771F" w:rsidRPr="000F5294" w:rsidRDefault="004E771F" w:rsidP="004E771F">
                  <w:pPr>
                    <w:pStyle w:val="tr"/>
                    <w:spacing w:before="0" w:beforeAutospacing="0" w:after="0" w:afterAutospacing="0"/>
                    <w:jc w:val="both"/>
                  </w:pPr>
                  <w:r w:rsidRPr="000F5294">
                    <w:t>(3)</w:t>
                  </w:r>
                </w:p>
              </w:tc>
            </w:tr>
          </w:tbl>
          <w:p w14:paraId="1F517A42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t>де </w:t>
            </w:r>
            <w:r w:rsidRPr="000F5294">
              <w:rPr>
                <w:i/>
                <w:iCs/>
              </w:rPr>
              <w:t>СД</w:t>
            </w:r>
            <w:r w:rsidRPr="000F5294">
              <w:t xml:space="preserve"> - витрати на сировину і допоміжні матеріали для провадження діяльності з </w:t>
            </w:r>
            <w:proofErr w:type="spellStart"/>
            <w:r w:rsidRPr="000F5294">
              <w:t>оперативно</w:t>
            </w:r>
            <w:proofErr w:type="spellEnd"/>
            <w:r w:rsidRPr="000F5294">
              <w:t>-технологічного управління ОЕС України на прогнозний рік, тис. грн;</w:t>
            </w:r>
          </w:p>
          <w:p w14:paraId="13CBED80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0F5294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116311D5" w14:textId="6291049A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  <w:r w:rsidRPr="000F5294">
              <w:rPr>
                <w:i/>
                <w:iCs/>
              </w:rPr>
              <w:t>ВСО</w:t>
            </w:r>
            <w:r w:rsidRPr="000F5294">
              <w:t> - витрати на врегулювання системних обмежень</w:t>
            </w:r>
            <w:hyperlink r:id="rId13" w:tgtFrame="_blank" w:history="1">
              <w:r w:rsidRPr="000F5294">
                <w:rPr>
                  <w:rStyle w:val="af"/>
                  <w:color w:val="auto"/>
                  <w:u w:val="none"/>
                </w:rPr>
                <w:t xml:space="preserve">, у тому числі </w:t>
              </w:r>
              <w:r w:rsidR="006D3C86" w:rsidRPr="00467F57">
                <w:rPr>
                  <w:rStyle w:val="af"/>
                  <w:b/>
                  <w:bCs/>
                  <w:color w:val="auto"/>
                  <w:u w:val="none"/>
                </w:rPr>
                <w:t>з</w:t>
              </w:r>
              <w:r w:rsidR="006D3C86" w:rsidRPr="00467F57">
                <w:rPr>
                  <w:rStyle w:val="af"/>
                  <w:b/>
                  <w:color w:val="auto"/>
                  <w:u w:val="none"/>
                </w:rPr>
                <w:t xml:space="preserve">алишкова </w:t>
              </w:r>
              <w:r w:rsidRPr="00467F57">
                <w:rPr>
                  <w:rStyle w:val="af"/>
                  <w:b/>
                  <w:color w:val="auto"/>
                  <w:u w:val="none"/>
                </w:rPr>
                <w:t xml:space="preserve">позитивна </w:t>
              </w:r>
              <w:r w:rsidR="00090E31">
                <w:rPr>
                  <w:rStyle w:val="af"/>
                  <w:b/>
                  <w:color w:val="auto"/>
                  <w:u w:val="none"/>
                </w:rPr>
                <w:t>сума</w:t>
              </w:r>
              <w:r w:rsidRPr="00467F57">
                <w:rPr>
                  <w:rStyle w:val="af"/>
                  <w:b/>
                  <w:color w:val="auto"/>
                  <w:u w:val="none"/>
                </w:rPr>
                <w:t xml:space="preserve"> </w:t>
              </w:r>
              <w:r w:rsidRPr="0014413A">
                <w:rPr>
                  <w:rStyle w:val="af"/>
                  <w:color w:val="auto"/>
                  <w:u w:val="none"/>
                </w:rPr>
                <w:t>збору за небаланс електричної енергії,</w:t>
              </w:r>
              <w:r w:rsidRPr="000F5294">
                <w:rPr>
                  <w:rStyle w:val="af"/>
                  <w:color w:val="auto"/>
                  <w:u w:val="none"/>
                </w:rPr>
                <w:t xml:space="preserve"> що підтверджується результатами здійснення заходів контролю за дотриманням</w:t>
              </w:r>
            </w:hyperlink>
            <w:r w:rsidRPr="000F5294">
              <w:t> </w:t>
            </w:r>
            <w:hyperlink r:id="rId14" w:tgtFrame="_blank" w:history="1">
              <w:r w:rsidRPr="000F5294">
                <w:rPr>
                  <w:rStyle w:val="hard-blue-color"/>
                </w:rPr>
                <w:t>Ліцензійних умов</w:t>
              </w:r>
            </w:hyperlink>
            <w:r w:rsidRPr="000F5294">
              <w:t>, тис. грн;</w:t>
            </w:r>
          </w:p>
          <w:p w14:paraId="20AFD30D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</w:pPr>
          </w:p>
          <w:p w14:paraId="144055D1" w14:textId="77777777" w:rsidR="004E771F" w:rsidRPr="000F5294" w:rsidRDefault="004E771F" w:rsidP="004E771F">
            <w:pPr>
              <w:pStyle w:val="tj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0F5294">
              <w:rPr>
                <w:rFonts w:eastAsiaTheme="minorHAnsi"/>
                <w:lang w:eastAsia="en-US"/>
              </w:rPr>
              <w:t>…………………………………..</w:t>
            </w:r>
          </w:p>
          <w:p w14:paraId="6FB509EC" w14:textId="77777777" w:rsidR="004E771F" w:rsidRPr="000F5294" w:rsidRDefault="004E771F" w:rsidP="004E771F">
            <w:pPr>
              <w:shd w:val="clear" w:color="auto" w:fill="FFFFFF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</w:p>
        </w:tc>
      </w:tr>
    </w:tbl>
    <w:p w14:paraId="5477D76F" w14:textId="77777777" w:rsidR="00E64C6A" w:rsidRPr="009174B4" w:rsidRDefault="00E64C6A" w:rsidP="00911246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sectPr w:rsidR="00E64C6A" w:rsidRPr="009174B4" w:rsidSect="004E771F">
      <w:headerReference w:type="default" r:id="rId15"/>
      <w:pgSz w:w="16838" w:h="11906" w:orient="landscape"/>
      <w:pgMar w:top="624" w:right="851" w:bottom="567" w:left="90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AA931" w14:textId="77777777" w:rsidR="00503EBB" w:rsidRDefault="00503EBB" w:rsidP="00DD454E">
      <w:pPr>
        <w:spacing w:after="0" w:line="240" w:lineRule="auto"/>
      </w:pPr>
      <w:r>
        <w:separator/>
      </w:r>
    </w:p>
  </w:endnote>
  <w:endnote w:type="continuationSeparator" w:id="0">
    <w:p w14:paraId="2E3DBEED" w14:textId="77777777" w:rsidR="00503EBB" w:rsidRDefault="00503EBB" w:rsidP="00DD4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48004" w14:textId="77777777" w:rsidR="00503EBB" w:rsidRDefault="00503EBB" w:rsidP="00DD454E">
      <w:pPr>
        <w:spacing w:after="0" w:line="240" w:lineRule="auto"/>
      </w:pPr>
      <w:r>
        <w:separator/>
      </w:r>
    </w:p>
  </w:footnote>
  <w:footnote w:type="continuationSeparator" w:id="0">
    <w:p w14:paraId="63B67408" w14:textId="77777777" w:rsidR="00503EBB" w:rsidRDefault="00503EBB" w:rsidP="00DD4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164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04EFDE0" w14:textId="314C260D" w:rsidR="00C811BA" w:rsidRDefault="00C811BA" w:rsidP="00C541FA">
        <w:pPr>
          <w:pStyle w:val="ab"/>
          <w:jc w:val="center"/>
          <w:rPr>
            <w:rFonts w:ascii="Times New Roman" w:hAnsi="Times New Roman" w:cs="Times New Roman"/>
          </w:rPr>
        </w:pPr>
        <w:r w:rsidRPr="00E222BF">
          <w:rPr>
            <w:rFonts w:ascii="Times New Roman" w:hAnsi="Times New Roman" w:cs="Times New Roman"/>
          </w:rPr>
          <w:fldChar w:fldCharType="begin"/>
        </w:r>
        <w:r w:rsidRPr="00E222BF">
          <w:rPr>
            <w:rFonts w:ascii="Times New Roman" w:hAnsi="Times New Roman" w:cs="Times New Roman"/>
          </w:rPr>
          <w:instrText>PAGE   \* MERGEFORMAT</w:instrText>
        </w:r>
        <w:r w:rsidRPr="00E222BF">
          <w:rPr>
            <w:rFonts w:ascii="Times New Roman" w:hAnsi="Times New Roman" w:cs="Times New Roman"/>
          </w:rPr>
          <w:fldChar w:fldCharType="separate"/>
        </w:r>
        <w:r w:rsidR="00DA17B7">
          <w:rPr>
            <w:rFonts w:ascii="Times New Roman" w:hAnsi="Times New Roman" w:cs="Times New Roman"/>
            <w:noProof/>
          </w:rPr>
          <w:t>2</w:t>
        </w:r>
        <w:r w:rsidRPr="00E222BF">
          <w:rPr>
            <w:rFonts w:ascii="Times New Roman" w:hAnsi="Times New Roman" w:cs="Times New Roman"/>
          </w:rPr>
          <w:fldChar w:fldCharType="end"/>
        </w:r>
      </w:p>
    </w:sdtContent>
  </w:sdt>
  <w:p w14:paraId="515C8AE7" w14:textId="77777777" w:rsidR="00A34ADB" w:rsidRPr="00E222BF" w:rsidRDefault="00A34ADB" w:rsidP="00C541FA">
    <w:pPr>
      <w:pStyle w:val="ab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775C59"/>
    <w:multiLevelType w:val="hybridMultilevel"/>
    <w:tmpl w:val="BCDE37D4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A756F8"/>
    <w:multiLevelType w:val="hybridMultilevel"/>
    <w:tmpl w:val="9828B5E2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ED07F9"/>
    <w:multiLevelType w:val="hybridMultilevel"/>
    <w:tmpl w:val="52F0586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24A6F"/>
    <w:multiLevelType w:val="multilevel"/>
    <w:tmpl w:val="B65205B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473"/>
    <w:rsid w:val="00000C37"/>
    <w:rsid w:val="00000FC0"/>
    <w:rsid w:val="0001563C"/>
    <w:rsid w:val="00016CEC"/>
    <w:rsid w:val="00020D5C"/>
    <w:rsid w:val="00034E10"/>
    <w:rsid w:val="0003645B"/>
    <w:rsid w:val="00044043"/>
    <w:rsid w:val="00050773"/>
    <w:rsid w:val="00050D0E"/>
    <w:rsid w:val="000558C5"/>
    <w:rsid w:val="00060CC3"/>
    <w:rsid w:val="00060D23"/>
    <w:rsid w:val="000700DA"/>
    <w:rsid w:val="00073EE5"/>
    <w:rsid w:val="00075481"/>
    <w:rsid w:val="000850EA"/>
    <w:rsid w:val="000876CC"/>
    <w:rsid w:val="00090E31"/>
    <w:rsid w:val="000B2D4D"/>
    <w:rsid w:val="000B3338"/>
    <w:rsid w:val="000B74D5"/>
    <w:rsid w:val="000B7979"/>
    <w:rsid w:val="000C02B6"/>
    <w:rsid w:val="000D5E4D"/>
    <w:rsid w:val="000E0F6B"/>
    <w:rsid w:val="000E1D47"/>
    <w:rsid w:val="000E4F6E"/>
    <w:rsid w:val="000E7657"/>
    <w:rsid w:val="000F1884"/>
    <w:rsid w:val="000F5294"/>
    <w:rsid w:val="000F66F4"/>
    <w:rsid w:val="00111404"/>
    <w:rsid w:val="0011362B"/>
    <w:rsid w:val="0012692A"/>
    <w:rsid w:val="00127BB1"/>
    <w:rsid w:val="00131A6E"/>
    <w:rsid w:val="00133E44"/>
    <w:rsid w:val="0014413A"/>
    <w:rsid w:val="00146CE0"/>
    <w:rsid w:val="00160B31"/>
    <w:rsid w:val="00161F2C"/>
    <w:rsid w:val="00162A55"/>
    <w:rsid w:val="00163356"/>
    <w:rsid w:val="0016409E"/>
    <w:rsid w:val="00166124"/>
    <w:rsid w:val="0018533D"/>
    <w:rsid w:val="00185E8C"/>
    <w:rsid w:val="001A3703"/>
    <w:rsid w:val="001A50F5"/>
    <w:rsid w:val="001A6A51"/>
    <w:rsid w:val="001A7F43"/>
    <w:rsid w:val="001B2765"/>
    <w:rsid w:val="001B589A"/>
    <w:rsid w:val="001C21CB"/>
    <w:rsid w:val="001C21E2"/>
    <w:rsid w:val="001D5D0A"/>
    <w:rsid w:val="001E08D9"/>
    <w:rsid w:val="001E6AED"/>
    <w:rsid w:val="001F54C9"/>
    <w:rsid w:val="001F6E58"/>
    <w:rsid w:val="00200BC9"/>
    <w:rsid w:val="00202E5F"/>
    <w:rsid w:val="00207BA4"/>
    <w:rsid w:val="00210023"/>
    <w:rsid w:val="002135C0"/>
    <w:rsid w:val="002323B0"/>
    <w:rsid w:val="00242F6A"/>
    <w:rsid w:val="00243F94"/>
    <w:rsid w:val="0025547B"/>
    <w:rsid w:val="002617DC"/>
    <w:rsid w:val="00261A7C"/>
    <w:rsid w:val="00274A65"/>
    <w:rsid w:val="00275CE5"/>
    <w:rsid w:val="00281FF4"/>
    <w:rsid w:val="00284D0F"/>
    <w:rsid w:val="0028666C"/>
    <w:rsid w:val="00286E56"/>
    <w:rsid w:val="002878AA"/>
    <w:rsid w:val="002947BA"/>
    <w:rsid w:val="002A7A45"/>
    <w:rsid w:val="002B20AE"/>
    <w:rsid w:val="002B7AE7"/>
    <w:rsid w:val="002C5F15"/>
    <w:rsid w:val="002D4FEC"/>
    <w:rsid w:val="002D652A"/>
    <w:rsid w:val="002E4C35"/>
    <w:rsid w:val="00306EA5"/>
    <w:rsid w:val="00307DC3"/>
    <w:rsid w:val="00314CCE"/>
    <w:rsid w:val="003167A6"/>
    <w:rsid w:val="0033581A"/>
    <w:rsid w:val="00343343"/>
    <w:rsid w:val="003448F7"/>
    <w:rsid w:val="00350B4D"/>
    <w:rsid w:val="0035104C"/>
    <w:rsid w:val="003521A0"/>
    <w:rsid w:val="0035236A"/>
    <w:rsid w:val="00364971"/>
    <w:rsid w:val="0036583A"/>
    <w:rsid w:val="003677B1"/>
    <w:rsid w:val="00371306"/>
    <w:rsid w:val="00373599"/>
    <w:rsid w:val="00374CAE"/>
    <w:rsid w:val="00394D71"/>
    <w:rsid w:val="003956F4"/>
    <w:rsid w:val="003A5333"/>
    <w:rsid w:val="003A68CD"/>
    <w:rsid w:val="003A771B"/>
    <w:rsid w:val="003B0F82"/>
    <w:rsid w:val="003B2D03"/>
    <w:rsid w:val="003C7E44"/>
    <w:rsid w:val="003D2ED8"/>
    <w:rsid w:val="003D7B26"/>
    <w:rsid w:val="003E4040"/>
    <w:rsid w:val="0040782C"/>
    <w:rsid w:val="00407AE5"/>
    <w:rsid w:val="00416B75"/>
    <w:rsid w:val="00417FCE"/>
    <w:rsid w:val="004243BF"/>
    <w:rsid w:val="004262DD"/>
    <w:rsid w:val="00432EFD"/>
    <w:rsid w:val="00440764"/>
    <w:rsid w:val="00440A95"/>
    <w:rsid w:val="00446D40"/>
    <w:rsid w:val="004572F8"/>
    <w:rsid w:val="004579E3"/>
    <w:rsid w:val="004626B3"/>
    <w:rsid w:val="00467F57"/>
    <w:rsid w:val="00471A73"/>
    <w:rsid w:val="00480DD1"/>
    <w:rsid w:val="00487EC7"/>
    <w:rsid w:val="004918C4"/>
    <w:rsid w:val="004A12F1"/>
    <w:rsid w:val="004A2392"/>
    <w:rsid w:val="004B01F5"/>
    <w:rsid w:val="004B3776"/>
    <w:rsid w:val="004C20B5"/>
    <w:rsid w:val="004C6460"/>
    <w:rsid w:val="004D3A6A"/>
    <w:rsid w:val="004D3CEE"/>
    <w:rsid w:val="004D613F"/>
    <w:rsid w:val="004D61FF"/>
    <w:rsid w:val="004E771F"/>
    <w:rsid w:val="004F2F59"/>
    <w:rsid w:val="005011C7"/>
    <w:rsid w:val="00503EBB"/>
    <w:rsid w:val="005160A3"/>
    <w:rsid w:val="00530C50"/>
    <w:rsid w:val="00540405"/>
    <w:rsid w:val="00544053"/>
    <w:rsid w:val="00554DBE"/>
    <w:rsid w:val="00560462"/>
    <w:rsid w:val="00570C82"/>
    <w:rsid w:val="00576D9B"/>
    <w:rsid w:val="005873C3"/>
    <w:rsid w:val="00591ED1"/>
    <w:rsid w:val="0059707D"/>
    <w:rsid w:val="005973EE"/>
    <w:rsid w:val="005A1918"/>
    <w:rsid w:val="005A59A8"/>
    <w:rsid w:val="005B2769"/>
    <w:rsid w:val="005C689B"/>
    <w:rsid w:val="005D5117"/>
    <w:rsid w:val="005D5FD0"/>
    <w:rsid w:val="005E13B6"/>
    <w:rsid w:val="005E32B0"/>
    <w:rsid w:val="005F34CF"/>
    <w:rsid w:val="005F7EE9"/>
    <w:rsid w:val="00603456"/>
    <w:rsid w:val="00623753"/>
    <w:rsid w:val="006271E4"/>
    <w:rsid w:val="00630086"/>
    <w:rsid w:val="00634A16"/>
    <w:rsid w:val="00641370"/>
    <w:rsid w:val="00651FB6"/>
    <w:rsid w:val="00655960"/>
    <w:rsid w:val="00663DF3"/>
    <w:rsid w:val="00664D47"/>
    <w:rsid w:val="0066595D"/>
    <w:rsid w:val="00684AA2"/>
    <w:rsid w:val="00690CCB"/>
    <w:rsid w:val="006971A0"/>
    <w:rsid w:val="006A20CF"/>
    <w:rsid w:val="006A2DA5"/>
    <w:rsid w:val="006A4482"/>
    <w:rsid w:val="006B1D89"/>
    <w:rsid w:val="006B6E7E"/>
    <w:rsid w:val="006C1548"/>
    <w:rsid w:val="006D2D5C"/>
    <w:rsid w:val="006D3C86"/>
    <w:rsid w:val="006D76AF"/>
    <w:rsid w:val="006E0C6B"/>
    <w:rsid w:val="006E1A93"/>
    <w:rsid w:val="006F3953"/>
    <w:rsid w:val="006F46FD"/>
    <w:rsid w:val="006F794B"/>
    <w:rsid w:val="00701CA9"/>
    <w:rsid w:val="00703C5D"/>
    <w:rsid w:val="00705054"/>
    <w:rsid w:val="0072041B"/>
    <w:rsid w:val="00721A78"/>
    <w:rsid w:val="00723228"/>
    <w:rsid w:val="007233D8"/>
    <w:rsid w:val="0073112F"/>
    <w:rsid w:val="00736DE5"/>
    <w:rsid w:val="00744C52"/>
    <w:rsid w:val="00756FF0"/>
    <w:rsid w:val="00760445"/>
    <w:rsid w:val="007616F9"/>
    <w:rsid w:val="00772C46"/>
    <w:rsid w:val="00774251"/>
    <w:rsid w:val="00776226"/>
    <w:rsid w:val="00787E24"/>
    <w:rsid w:val="0079375F"/>
    <w:rsid w:val="0079538E"/>
    <w:rsid w:val="007A397B"/>
    <w:rsid w:val="007B4B53"/>
    <w:rsid w:val="007C239E"/>
    <w:rsid w:val="007C24D6"/>
    <w:rsid w:val="007C6050"/>
    <w:rsid w:val="007F44D5"/>
    <w:rsid w:val="007F7002"/>
    <w:rsid w:val="00801FA7"/>
    <w:rsid w:val="00810783"/>
    <w:rsid w:val="00820B5A"/>
    <w:rsid w:val="00824670"/>
    <w:rsid w:val="00852294"/>
    <w:rsid w:val="008532E3"/>
    <w:rsid w:val="0085371A"/>
    <w:rsid w:val="008551B1"/>
    <w:rsid w:val="00857439"/>
    <w:rsid w:val="00865EB0"/>
    <w:rsid w:val="00866915"/>
    <w:rsid w:val="00877B93"/>
    <w:rsid w:val="00882F39"/>
    <w:rsid w:val="008878A8"/>
    <w:rsid w:val="008919BF"/>
    <w:rsid w:val="00893982"/>
    <w:rsid w:val="008B0793"/>
    <w:rsid w:val="008B3012"/>
    <w:rsid w:val="008B5F03"/>
    <w:rsid w:val="008B6910"/>
    <w:rsid w:val="008C41B5"/>
    <w:rsid w:val="008C5854"/>
    <w:rsid w:val="008D54F3"/>
    <w:rsid w:val="008D741E"/>
    <w:rsid w:val="008E2802"/>
    <w:rsid w:val="008E3F5C"/>
    <w:rsid w:val="0090122D"/>
    <w:rsid w:val="0090193D"/>
    <w:rsid w:val="00904508"/>
    <w:rsid w:val="00911246"/>
    <w:rsid w:val="009174B4"/>
    <w:rsid w:val="00933D32"/>
    <w:rsid w:val="00935220"/>
    <w:rsid w:val="0095577F"/>
    <w:rsid w:val="009641EC"/>
    <w:rsid w:val="00965AB4"/>
    <w:rsid w:val="00970B8C"/>
    <w:rsid w:val="009865BD"/>
    <w:rsid w:val="00994725"/>
    <w:rsid w:val="00995B5D"/>
    <w:rsid w:val="009A2604"/>
    <w:rsid w:val="009A3437"/>
    <w:rsid w:val="009C0C3A"/>
    <w:rsid w:val="009C231D"/>
    <w:rsid w:val="009C5393"/>
    <w:rsid w:val="009D543B"/>
    <w:rsid w:val="009E261A"/>
    <w:rsid w:val="009E75FA"/>
    <w:rsid w:val="009F54A0"/>
    <w:rsid w:val="00A11EEB"/>
    <w:rsid w:val="00A14DAA"/>
    <w:rsid w:val="00A260D2"/>
    <w:rsid w:val="00A30C24"/>
    <w:rsid w:val="00A3231B"/>
    <w:rsid w:val="00A338A3"/>
    <w:rsid w:val="00A34ADB"/>
    <w:rsid w:val="00A40C87"/>
    <w:rsid w:val="00A415AF"/>
    <w:rsid w:val="00A524FD"/>
    <w:rsid w:val="00A5766A"/>
    <w:rsid w:val="00A64A08"/>
    <w:rsid w:val="00A65ACC"/>
    <w:rsid w:val="00A6676F"/>
    <w:rsid w:val="00A91363"/>
    <w:rsid w:val="00A92595"/>
    <w:rsid w:val="00A959DF"/>
    <w:rsid w:val="00AA39F5"/>
    <w:rsid w:val="00AB0144"/>
    <w:rsid w:val="00AB2646"/>
    <w:rsid w:val="00AB7510"/>
    <w:rsid w:val="00AC14BC"/>
    <w:rsid w:val="00AC171E"/>
    <w:rsid w:val="00AD4E8C"/>
    <w:rsid w:val="00AD52E4"/>
    <w:rsid w:val="00AE51E0"/>
    <w:rsid w:val="00AF18AE"/>
    <w:rsid w:val="00B05FCE"/>
    <w:rsid w:val="00B078B4"/>
    <w:rsid w:val="00B07B3B"/>
    <w:rsid w:val="00B1003D"/>
    <w:rsid w:val="00B124E7"/>
    <w:rsid w:val="00B15185"/>
    <w:rsid w:val="00B24914"/>
    <w:rsid w:val="00B27214"/>
    <w:rsid w:val="00B317B7"/>
    <w:rsid w:val="00B40457"/>
    <w:rsid w:val="00B51EF4"/>
    <w:rsid w:val="00B521C1"/>
    <w:rsid w:val="00B5683E"/>
    <w:rsid w:val="00B60552"/>
    <w:rsid w:val="00B73B56"/>
    <w:rsid w:val="00B755F8"/>
    <w:rsid w:val="00B77071"/>
    <w:rsid w:val="00B804E6"/>
    <w:rsid w:val="00B93DDA"/>
    <w:rsid w:val="00B949A1"/>
    <w:rsid w:val="00BB524E"/>
    <w:rsid w:val="00BB677A"/>
    <w:rsid w:val="00BB7406"/>
    <w:rsid w:val="00BC66BC"/>
    <w:rsid w:val="00BD1D7E"/>
    <w:rsid w:val="00BD71B6"/>
    <w:rsid w:val="00BE469F"/>
    <w:rsid w:val="00BF3EAA"/>
    <w:rsid w:val="00C062E1"/>
    <w:rsid w:val="00C24D71"/>
    <w:rsid w:val="00C33F3D"/>
    <w:rsid w:val="00C35E23"/>
    <w:rsid w:val="00C541FA"/>
    <w:rsid w:val="00C55520"/>
    <w:rsid w:val="00C56319"/>
    <w:rsid w:val="00C56348"/>
    <w:rsid w:val="00C60D54"/>
    <w:rsid w:val="00C641FE"/>
    <w:rsid w:val="00C73A35"/>
    <w:rsid w:val="00C749FE"/>
    <w:rsid w:val="00C811BA"/>
    <w:rsid w:val="00C93268"/>
    <w:rsid w:val="00C949AD"/>
    <w:rsid w:val="00CA1804"/>
    <w:rsid w:val="00CA6C92"/>
    <w:rsid w:val="00CB4289"/>
    <w:rsid w:val="00CB79B1"/>
    <w:rsid w:val="00CC056C"/>
    <w:rsid w:val="00CC4475"/>
    <w:rsid w:val="00CC605D"/>
    <w:rsid w:val="00CD1DDD"/>
    <w:rsid w:val="00CE6E7C"/>
    <w:rsid w:val="00CF4863"/>
    <w:rsid w:val="00CF5462"/>
    <w:rsid w:val="00D02272"/>
    <w:rsid w:val="00D0671B"/>
    <w:rsid w:val="00D2546F"/>
    <w:rsid w:val="00D25FE9"/>
    <w:rsid w:val="00D2664E"/>
    <w:rsid w:val="00D3683E"/>
    <w:rsid w:val="00D468BB"/>
    <w:rsid w:val="00D501B6"/>
    <w:rsid w:val="00D51086"/>
    <w:rsid w:val="00D51FC9"/>
    <w:rsid w:val="00D81639"/>
    <w:rsid w:val="00D8501E"/>
    <w:rsid w:val="00D9487B"/>
    <w:rsid w:val="00D94F5F"/>
    <w:rsid w:val="00D96C93"/>
    <w:rsid w:val="00D97336"/>
    <w:rsid w:val="00DA1638"/>
    <w:rsid w:val="00DA17B7"/>
    <w:rsid w:val="00DA473D"/>
    <w:rsid w:val="00DB0A3E"/>
    <w:rsid w:val="00DB1E6A"/>
    <w:rsid w:val="00DB293C"/>
    <w:rsid w:val="00DB2FC6"/>
    <w:rsid w:val="00DB5FC9"/>
    <w:rsid w:val="00DB7C3A"/>
    <w:rsid w:val="00DC04BA"/>
    <w:rsid w:val="00DC1DFD"/>
    <w:rsid w:val="00DD454E"/>
    <w:rsid w:val="00DE2B89"/>
    <w:rsid w:val="00DE3574"/>
    <w:rsid w:val="00E222BF"/>
    <w:rsid w:val="00E22BBF"/>
    <w:rsid w:val="00E26473"/>
    <w:rsid w:val="00E26EDA"/>
    <w:rsid w:val="00E30327"/>
    <w:rsid w:val="00E315C6"/>
    <w:rsid w:val="00E36315"/>
    <w:rsid w:val="00E41725"/>
    <w:rsid w:val="00E41D0C"/>
    <w:rsid w:val="00E477E9"/>
    <w:rsid w:val="00E51868"/>
    <w:rsid w:val="00E64C6A"/>
    <w:rsid w:val="00E65EE2"/>
    <w:rsid w:val="00E81433"/>
    <w:rsid w:val="00E824FF"/>
    <w:rsid w:val="00E82DA9"/>
    <w:rsid w:val="00E83F0A"/>
    <w:rsid w:val="00E84A72"/>
    <w:rsid w:val="00E933B3"/>
    <w:rsid w:val="00E978C7"/>
    <w:rsid w:val="00EA36EC"/>
    <w:rsid w:val="00EA3E66"/>
    <w:rsid w:val="00EA59E2"/>
    <w:rsid w:val="00EC1A8B"/>
    <w:rsid w:val="00ED00EB"/>
    <w:rsid w:val="00ED27B0"/>
    <w:rsid w:val="00ED6A2F"/>
    <w:rsid w:val="00ED6E20"/>
    <w:rsid w:val="00EE06CB"/>
    <w:rsid w:val="00F02255"/>
    <w:rsid w:val="00F035B3"/>
    <w:rsid w:val="00F03B23"/>
    <w:rsid w:val="00F11ADC"/>
    <w:rsid w:val="00F251D3"/>
    <w:rsid w:val="00F254C5"/>
    <w:rsid w:val="00F4480E"/>
    <w:rsid w:val="00F46882"/>
    <w:rsid w:val="00F6594D"/>
    <w:rsid w:val="00F7117B"/>
    <w:rsid w:val="00F803B1"/>
    <w:rsid w:val="00F86BBC"/>
    <w:rsid w:val="00F96E68"/>
    <w:rsid w:val="00FA501E"/>
    <w:rsid w:val="00FA6DB6"/>
    <w:rsid w:val="00FB6CDD"/>
    <w:rsid w:val="00FD37B6"/>
    <w:rsid w:val="00FD66E9"/>
    <w:rsid w:val="00FD6D31"/>
    <w:rsid w:val="00FF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ACDBD"/>
  <w15:docId w15:val="{581A5CD7-67E1-45B2-A601-CCED4BE84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74B4"/>
  </w:style>
  <w:style w:type="paragraph" w:styleId="1">
    <w:name w:val="heading 1"/>
    <w:basedOn w:val="a"/>
    <w:next w:val="a"/>
    <w:link w:val="10"/>
    <w:uiPriority w:val="9"/>
    <w:qFormat/>
    <w:rsid w:val="000754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754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B2D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character" w:styleId="a4">
    <w:name w:val="Emphasis"/>
    <w:basedOn w:val="a0"/>
    <w:uiPriority w:val="20"/>
    <w:qFormat/>
    <w:rsid w:val="00CE6E7C"/>
    <w:rPr>
      <w:i/>
      <w:iCs/>
    </w:rPr>
  </w:style>
  <w:style w:type="paragraph" w:styleId="a5">
    <w:name w:val="List Paragraph"/>
    <w:basedOn w:val="a"/>
    <w:uiPriority w:val="34"/>
    <w:qFormat/>
    <w:rsid w:val="00F022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932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93268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E83F0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28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7548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07548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b">
    <w:name w:val="header"/>
    <w:basedOn w:val="a"/>
    <w:link w:val="ac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ій колонтитул Знак"/>
    <w:basedOn w:val="a0"/>
    <w:link w:val="ab"/>
    <w:uiPriority w:val="99"/>
    <w:rsid w:val="00DD454E"/>
  </w:style>
  <w:style w:type="paragraph" w:styleId="ad">
    <w:name w:val="footer"/>
    <w:basedOn w:val="a"/>
    <w:link w:val="ae"/>
    <w:uiPriority w:val="99"/>
    <w:unhideWhenUsed/>
    <w:rsid w:val="00DD454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ій колонтитул Знак"/>
    <w:basedOn w:val="a0"/>
    <w:link w:val="ad"/>
    <w:uiPriority w:val="99"/>
    <w:rsid w:val="00DD454E"/>
  </w:style>
  <w:style w:type="paragraph" w:customStyle="1" w:styleId="rvps2">
    <w:name w:val="rvps2"/>
    <w:basedOn w:val="a"/>
    <w:rsid w:val="00C811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rsid w:val="00C811BA"/>
  </w:style>
  <w:style w:type="character" w:customStyle="1" w:styleId="rvts11">
    <w:name w:val="rvts11"/>
    <w:basedOn w:val="a0"/>
    <w:rsid w:val="00C811BA"/>
  </w:style>
  <w:style w:type="character" w:styleId="af">
    <w:name w:val="Hyperlink"/>
    <w:basedOn w:val="a0"/>
    <w:uiPriority w:val="99"/>
    <w:semiHidden/>
    <w:unhideWhenUsed/>
    <w:rsid w:val="00C811BA"/>
    <w:rPr>
      <w:color w:val="0000FF"/>
      <w:u w:val="single"/>
    </w:rPr>
  </w:style>
  <w:style w:type="table" w:customStyle="1" w:styleId="11">
    <w:name w:val="Сітка таблиці1"/>
    <w:basedOn w:val="a1"/>
    <w:next w:val="a9"/>
    <w:uiPriority w:val="39"/>
    <w:rsid w:val="00AB7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B2D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tr">
    <w:name w:val="tr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l">
    <w:name w:val="tl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j">
    <w:name w:val="tj"/>
    <w:basedOn w:val="a"/>
    <w:rsid w:val="005C6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hard-blue-color">
    <w:name w:val="hard-blue-color"/>
    <w:basedOn w:val="a0"/>
    <w:rsid w:val="005C689B"/>
  </w:style>
  <w:style w:type="paragraph" w:customStyle="1" w:styleId="af0">
    <w:name w:val="Знак Знак Знак Знак"/>
    <w:basedOn w:val="a"/>
    <w:rsid w:val="005A59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rvps12">
    <w:name w:val="rvps12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0D5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tc">
    <w:name w:val="tc"/>
    <w:basedOn w:val="a"/>
    <w:rsid w:val="002D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4643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50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6888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32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9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94145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91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2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77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9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4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5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2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1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7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080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7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16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9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10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9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1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9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4008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344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2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00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74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6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3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7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re27285?ed=2015_06_30&amp;an=28" TargetMode="External"/><Relationship Id="rId13" Type="http://schemas.openxmlformats.org/officeDocument/2006/relationships/hyperlink" Target="https://ips.ligazakon.net/document/view/gk48742?ed=2021_05_12&amp;an=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ips.ligazakon.net/document/view/gk44307?ed=2019_12_06&amp;an=3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ps.ligazakon.net/document/view/gk39236?ed=2019_05_31&amp;an=15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ips.ligazakon.net/document/view/gk48742?ed=2021_05_12&amp;an=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ps.ligazakon.net/document/view/gk44307?ed=2019_12_06&amp;an=34" TargetMode="External"/><Relationship Id="rId14" Type="http://schemas.openxmlformats.org/officeDocument/2006/relationships/hyperlink" Target="https://ips.ligazakon.net/document/view/gk39236?ed=2019_05_31&amp;an=15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DEEA6-BC71-4BBE-A184-515633620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2991</Words>
  <Characters>1706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Модна</cp:lastModifiedBy>
  <cp:revision>58</cp:revision>
  <cp:lastPrinted>2023-06-22T13:12:00Z</cp:lastPrinted>
  <dcterms:created xsi:type="dcterms:W3CDTF">2022-05-27T12:37:00Z</dcterms:created>
  <dcterms:modified xsi:type="dcterms:W3CDTF">2024-03-20T09:28:00Z</dcterms:modified>
</cp:coreProperties>
</file>