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05F" w:rsidRPr="005558AE" w:rsidRDefault="0056405F" w:rsidP="0056405F">
      <w:pPr>
        <w:tabs>
          <w:tab w:val="left" w:pos="709"/>
        </w:tabs>
        <w:jc w:val="center"/>
        <w:rPr>
          <w:b/>
          <w:bCs/>
          <w:sz w:val="28"/>
          <w:szCs w:val="28"/>
        </w:rPr>
      </w:pPr>
      <w:r w:rsidRPr="005558AE">
        <w:rPr>
          <w:b/>
          <w:bCs/>
          <w:sz w:val="28"/>
          <w:szCs w:val="28"/>
        </w:rPr>
        <w:t>АНАЛІЗ ВПЛИВУ</w:t>
      </w:r>
    </w:p>
    <w:p w:rsidR="0056405F" w:rsidRPr="00400F3A" w:rsidRDefault="0056405F" w:rsidP="0056405F">
      <w:pPr>
        <w:tabs>
          <w:tab w:val="left" w:pos="709"/>
        </w:tabs>
        <w:jc w:val="center"/>
        <w:rPr>
          <w:b/>
          <w:bCs/>
          <w:sz w:val="28"/>
          <w:szCs w:val="28"/>
        </w:rPr>
      </w:pPr>
      <w:r w:rsidRPr="00400F3A">
        <w:rPr>
          <w:b/>
          <w:bCs/>
          <w:sz w:val="28"/>
          <w:szCs w:val="28"/>
        </w:rPr>
        <w:t>проєкту постанови Національної комісії, що здійснює державне</w:t>
      </w:r>
    </w:p>
    <w:p w:rsidR="0056405F" w:rsidRPr="00EF20A4" w:rsidRDefault="0056405F" w:rsidP="0056405F">
      <w:pPr>
        <w:jc w:val="center"/>
        <w:rPr>
          <w:b/>
          <w:bCs/>
          <w:sz w:val="28"/>
          <w:szCs w:val="28"/>
        </w:rPr>
      </w:pPr>
      <w:r w:rsidRPr="00400F3A">
        <w:rPr>
          <w:b/>
          <w:bCs/>
          <w:sz w:val="28"/>
          <w:szCs w:val="28"/>
        </w:rPr>
        <w:t xml:space="preserve">регулювання у сферах енергетики та комунальних послуг </w:t>
      </w:r>
      <w:r w:rsidRPr="00400F3A">
        <w:rPr>
          <w:b/>
          <w:sz w:val="28"/>
          <w:szCs w:val="28"/>
        </w:rPr>
        <w:t>«</w:t>
      </w:r>
      <w:r w:rsidR="00423C30" w:rsidRPr="00423C30">
        <w:rPr>
          <w:b/>
          <w:sz w:val="28"/>
          <w:szCs w:val="28"/>
        </w:rPr>
        <w:t>Про затвердження Змін до Методики (порядку) формування плати за приєднання до системи передачі та системи розподілу</w:t>
      </w:r>
      <w:r w:rsidRPr="00400F3A">
        <w:rPr>
          <w:b/>
          <w:sz w:val="28"/>
          <w:szCs w:val="28"/>
        </w:rPr>
        <w:t>», що має ознаки регуляторного</w:t>
      </w:r>
      <w:r w:rsidRPr="00EF20A4">
        <w:rPr>
          <w:b/>
          <w:sz w:val="28"/>
          <w:szCs w:val="28"/>
        </w:rPr>
        <w:t xml:space="preserve"> акта</w:t>
      </w:r>
    </w:p>
    <w:p w:rsidR="00B336E1" w:rsidRDefault="00B336E1" w:rsidP="0056405F">
      <w:pPr>
        <w:jc w:val="center"/>
        <w:rPr>
          <w:b/>
          <w:sz w:val="28"/>
          <w:szCs w:val="28"/>
        </w:rPr>
      </w:pPr>
    </w:p>
    <w:p w:rsidR="0056405F" w:rsidRPr="005558AE" w:rsidRDefault="0056405F" w:rsidP="0056405F">
      <w:pPr>
        <w:jc w:val="center"/>
        <w:rPr>
          <w:b/>
          <w:sz w:val="28"/>
          <w:szCs w:val="28"/>
        </w:rPr>
      </w:pPr>
      <w:r w:rsidRPr="005558AE">
        <w:rPr>
          <w:b/>
          <w:sz w:val="28"/>
          <w:szCs w:val="28"/>
        </w:rPr>
        <w:t>І. Визначення проблеми</w:t>
      </w:r>
    </w:p>
    <w:p w:rsidR="00B336E1" w:rsidRPr="00360B02" w:rsidRDefault="00B336E1" w:rsidP="00423C30">
      <w:pPr>
        <w:jc w:val="center"/>
        <w:rPr>
          <w:b/>
          <w:sz w:val="28"/>
          <w:szCs w:val="28"/>
        </w:rPr>
      </w:pP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 xml:space="preserve">Відповідно до положень частини третьої статті 6 Закону України «Про ринок електричної енергії», до повноважень Національної комісії, що здійснює державне регулювання у сферах енергетики та комунальних послуг (далі – НКРЕКП, Регулятор), на ринку електричної енергії належать, зокрема, затвердження </w:t>
      </w:r>
      <w:proofErr w:type="spellStart"/>
      <w:r w:rsidRPr="00423C30">
        <w:rPr>
          <w:sz w:val="28"/>
          <w:szCs w:val="28"/>
          <w:lang w:val="uk-UA"/>
        </w:rPr>
        <w:t>методик</w:t>
      </w:r>
      <w:proofErr w:type="spellEnd"/>
      <w:r w:rsidRPr="00423C30">
        <w:rPr>
          <w:sz w:val="28"/>
          <w:szCs w:val="28"/>
          <w:lang w:val="uk-UA"/>
        </w:rPr>
        <w:t xml:space="preserve"> (порядків) формування плати за приєднання до системи передачі та системи розподілу.</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Згідно з положеннями частини одинадцятої статті 21 Закону України «Про ринок електричної енергії», плата за приєднання до електричних мереж оператора системи розподілу визначається на підставі методики (порядку) формування плати за приєднання до системи передачі та системи розподілу, затвердженої Регулятором після консультацій з Секретаріатом Енергетичного Співтовариства.</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Методика (порядок) формування плати за приєднання до системи передачі та системи розподілу має бути недискримінаційною і прозорою та підлягає оприлюдненню Регулятором, оператором системи передачі і операторами систем розподілу.</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 xml:space="preserve">Методика (порядок) формування плати за приєднання до системи передачі та системи розподілу затверджена постановою НКРЕКП від 18 грудня 2018 року </w:t>
      </w:r>
      <w:r>
        <w:rPr>
          <w:sz w:val="28"/>
          <w:szCs w:val="28"/>
          <w:lang w:val="uk-UA"/>
        </w:rPr>
        <w:br/>
      </w:r>
      <w:r w:rsidRPr="00423C30">
        <w:rPr>
          <w:sz w:val="28"/>
          <w:szCs w:val="28"/>
          <w:lang w:val="uk-UA"/>
        </w:rPr>
        <w:t xml:space="preserve">№ 1965 (далі – Методика). </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Регулятор систематично проводить аналіз та моніторинг звітності операторів систем щодо стану надання послуг з приєднань з метою подальшого удосконалення вимог, у тому числі Методики.</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 xml:space="preserve">На підставі зазначеного вище, у зв'язку з необхідністю удосконалення вимог Методики, </w:t>
      </w:r>
      <w:r>
        <w:rPr>
          <w:sz w:val="28"/>
          <w:szCs w:val="28"/>
          <w:lang w:val="uk-UA"/>
        </w:rPr>
        <w:t>Регулятором</w:t>
      </w:r>
      <w:r w:rsidRPr="00423C30">
        <w:rPr>
          <w:sz w:val="28"/>
          <w:szCs w:val="28"/>
          <w:lang w:val="uk-UA"/>
        </w:rPr>
        <w:t xml:space="preserve"> розроблено проєкт постанови «Про затвердження Змін до Методики (порядку) формування плати за приєднання до системи передачі та системи розподілу»</w:t>
      </w:r>
      <w:r>
        <w:rPr>
          <w:sz w:val="28"/>
          <w:szCs w:val="28"/>
          <w:lang w:val="uk-UA"/>
        </w:rPr>
        <w:t xml:space="preserve"> (далі – Проєкт постанови)</w:t>
      </w:r>
      <w:r w:rsidRPr="00423C30">
        <w:rPr>
          <w:sz w:val="28"/>
          <w:szCs w:val="28"/>
          <w:lang w:val="uk-UA"/>
        </w:rPr>
        <w:t>, яким пропонується:</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удосконалити підходи до розрахунку ставок плати за стандартне та нестандартне приєднання;</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актуалізувати спосіб подачі операторами систем до Регулятора звітності щодо стану надання послуг з приєднання;</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започаткувати можливість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удосконалити підходи до розрахунку величини дефіциту або профіциту коштів щодо надходжень та витрат, пов’язаних з наданням послуг з приєднання;</w:t>
      </w:r>
    </w:p>
    <w:p w:rsidR="00423C30" w:rsidRPr="00423C30" w:rsidRDefault="00423C30" w:rsidP="00423C30">
      <w:pPr>
        <w:pStyle w:val="a8"/>
        <w:spacing w:before="0" w:beforeAutospacing="0" w:after="0" w:afterAutospacing="0"/>
        <w:ind w:firstLine="709"/>
        <w:jc w:val="both"/>
        <w:rPr>
          <w:sz w:val="28"/>
          <w:szCs w:val="28"/>
          <w:lang w:val="uk-UA"/>
        </w:rPr>
      </w:pPr>
      <w:r w:rsidRPr="00423C30">
        <w:rPr>
          <w:sz w:val="28"/>
          <w:szCs w:val="28"/>
          <w:lang w:val="uk-UA"/>
        </w:rPr>
        <w:t>закріпити особливості визначення плати за надання послуг з приєднання електроустановок замовників до малої системи розподілу тощо.</w:t>
      </w:r>
    </w:p>
    <w:p w:rsidR="005B6770" w:rsidRDefault="005B6770" w:rsidP="00423C30">
      <w:pPr>
        <w:pStyle w:val="a8"/>
        <w:spacing w:before="0" w:beforeAutospacing="0" w:after="0" w:afterAutospacing="0"/>
        <w:ind w:firstLine="709"/>
        <w:jc w:val="both"/>
        <w:rPr>
          <w:bCs/>
          <w:sz w:val="28"/>
          <w:szCs w:val="28"/>
          <w:lang w:val="uk-UA"/>
        </w:rPr>
      </w:pPr>
    </w:p>
    <w:p w:rsidR="0056405F" w:rsidRPr="00360B02" w:rsidRDefault="0056405F" w:rsidP="00423C30">
      <w:pPr>
        <w:pStyle w:val="a8"/>
        <w:spacing w:before="0" w:beforeAutospacing="0" w:after="0" w:afterAutospacing="0"/>
        <w:ind w:firstLine="709"/>
        <w:jc w:val="both"/>
        <w:rPr>
          <w:bCs/>
          <w:sz w:val="28"/>
          <w:szCs w:val="28"/>
          <w:lang w:val="uk-UA"/>
        </w:rPr>
      </w:pPr>
      <w:r w:rsidRPr="00360B02">
        <w:rPr>
          <w:bCs/>
          <w:sz w:val="28"/>
          <w:szCs w:val="28"/>
          <w:lang w:val="uk-UA"/>
        </w:rPr>
        <w:lastRenderedPageBreak/>
        <w:t>Визначення основних груп (підгруп), на які проблема справляє вплив:</w:t>
      </w:r>
    </w:p>
    <w:p w:rsidR="0056405F" w:rsidRDefault="0056405F" w:rsidP="0056405F">
      <w:pPr>
        <w:pStyle w:val="a8"/>
        <w:spacing w:before="0" w:beforeAutospacing="0" w:after="0" w:afterAutospacing="0"/>
        <w:jc w:val="both"/>
        <w:rPr>
          <w:bCs/>
          <w:sz w:val="6"/>
          <w:szCs w:val="6"/>
          <w:lang w:val="uk-UA"/>
        </w:rPr>
      </w:pPr>
    </w:p>
    <w:tbl>
      <w:tblPr>
        <w:tblW w:w="10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529"/>
        <w:gridCol w:w="2376"/>
      </w:tblGrid>
      <w:tr w:rsidR="0056405F" w:rsidRPr="00135924" w:rsidTr="00F91308">
        <w:trPr>
          <w:trHeight w:val="491"/>
        </w:trPr>
        <w:tc>
          <w:tcPr>
            <w:tcW w:w="2268"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Групи (підгрупи)</w:t>
            </w:r>
          </w:p>
        </w:tc>
        <w:tc>
          <w:tcPr>
            <w:tcW w:w="5529"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Так</w:t>
            </w:r>
          </w:p>
        </w:tc>
        <w:tc>
          <w:tcPr>
            <w:tcW w:w="2376" w:type="dxa"/>
            <w:shd w:val="clear" w:color="auto" w:fill="auto"/>
            <w:vAlign w:val="center"/>
          </w:tcPr>
          <w:p w:rsidR="0056405F" w:rsidRPr="00135924" w:rsidRDefault="0056405F" w:rsidP="00F91308">
            <w:pPr>
              <w:pStyle w:val="a8"/>
              <w:spacing w:before="0" w:beforeAutospacing="0" w:after="0" w:afterAutospacing="0"/>
              <w:jc w:val="center"/>
              <w:rPr>
                <w:b/>
                <w:szCs w:val="28"/>
                <w:lang w:val="uk-UA"/>
              </w:rPr>
            </w:pPr>
            <w:r w:rsidRPr="00135924">
              <w:rPr>
                <w:b/>
                <w:szCs w:val="28"/>
                <w:lang w:val="uk-UA"/>
              </w:rPr>
              <w:t>Ні</w:t>
            </w:r>
          </w:p>
        </w:tc>
      </w:tr>
      <w:tr w:rsidR="0056405F" w:rsidRPr="00135924" w:rsidTr="00F91308">
        <w:trPr>
          <w:trHeight w:val="837"/>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Громадяни</w:t>
            </w:r>
          </w:p>
        </w:tc>
        <w:tc>
          <w:tcPr>
            <w:tcW w:w="5529" w:type="dxa"/>
            <w:shd w:val="clear" w:color="auto" w:fill="auto"/>
          </w:tcPr>
          <w:p w:rsidR="00B729BC" w:rsidRPr="00EC0E8A" w:rsidRDefault="00A053A7" w:rsidP="00EC0E8A">
            <w:pPr>
              <w:jc w:val="center"/>
              <w:rPr>
                <w:sz w:val="24"/>
                <w:szCs w:val="24"/>
              </w:rPr>
            </w:pPr>
            <w:r>
              <w:rPr>
                <w:sz w:val="24"/>
                <w:szCs w:val="24"/>
              </w:rPr>
              <w:t>Так</w:t>
            </w:r>
          </w:p>
        </w:tc>
        <w:tc>
          <w:tcPr>
            <w:tcW w:w="2376" w:type="dxa"/>
            <w:shd w:val="clear" w:color="auto" w:fill="auto"/>
          </w:tcPr>
          <w:p w:rsidR="0056405F" w:rsidRPr="00135924" w:rsidRDefault="0056405F" w:rsidP="00A053A7">
            <w:pPr>
              <w:pStyle w:val="a8"/>
              <w:spacing w:before="0" w:beforeAutospacing="0" w:after="0" w:afterAutospacing="0"/>
              <w:jc w:val="center"/>
              <w:rPr>
                <w:szCs w:val="28"/>
                <w:lang w:val="uk-UA"/>
              </w:rPr>
            </w:pPr>
          </w:p>
        </w:tc>
      </w:tr>
      <w:tr w:rsidR="0056405F" w:rsidRPr="00135924" w:rsidTr="00F91308">
        <w:trPr>
          <w:trHeight w:val="1119"/>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Держава</w:t>
            </w:r>
          </w:p>
        </w:tc>
        <w:tc>
          <w:tcPr>
            <w:tcW w:w="5529" w:type="dxa"/>
            <w:shd w:val="clear" w:color="auto" w:fill="auto"/>
          </w:tcPr>
          <w:p w:rsidR="0056405F" w:rsidRPr="00EC0E8A" w:rsidRDefault="00962651" w:rsidP="00EC0E8A">
            <w:pPr>
              <w:jc w:val="center"/>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r w:rsidR="0056405F" w:rsidRPr="00135924" w:rsidTr="00F91308">
        <w:trPr>
          <w:trHeight w:val="1410"/>
        </w:trPr>
        <w:tc>
          <w:tcPr>
            <w:tcW w:w="2268" w:type="dxa"/>
            <w:shd w:val="clear" w:color="auto" w:fill="auto"/>
            <w:vAlign w:val="center"/>
          </w:tcPr>
          <w:p w:rsidR="0056405F" w:rsidRPr="00135924" w:rsidRDefault="0056405F" w:rsidP="00F91308">
            <w:pPr>
              <w:overflowPunct w:val="0"/>
              <w:autoSpaceDE w:val="0"/>
              <w:autoSpaceDN w:val="0"/>
              <w:adjustRightInd w:val="0"/>
              <w:ind w:hanging="37"/>
              <w:jc w:val="center"/>
              <w:textAlignment w:val="baseline"/>
              <w:rPr>
                <w:b/>
                <w:sz w:val="24"/>
                <w:szCs w:val="24"/>
              </w:rPr>
            </w:pPr>
            <w:r w:rsidRPr="00135924">
              <w:rPr>
                <w:b/>
                <w:sz w:val="24"/>
                <w:szCs w:val="24"/>
              </w:rPr>
              <w:t>Суб'єкти господарювання</w:t>
            </w:r>
          </w:p>
        </w:tc>
        <w:tc>
          <w:tcPr>
            <w:tcW w:w="5529" w:type="dxa"/>
            <w:shd w:val="clear" w:color="auto" w:fill="auto"/>
          </w:tcPr>
          <w:p w:rsidR="0056405F" w:rsidRPr="00EC0E8A" w:rsidRDefault="00962651" w:rsidP="00EC0E8A">
            <w:pPr>
              <w:overflowPunct w:val="0"/>
              <w:autoSpaceDE w:val="0"/>
              <w:autoSpaceDN w:val="0"/>
              <w:adjustRightInd w:val="0"/>
              <w:jc w:val="center"/>
              <w:textAlignment w:val="baseline"/>
              <w:rPr>
                <w:sz w:val="24"/>
                <w:szCs w:val="24"/>
              </w:rPr>
            </w:pPr>
            <w:r w:rsidRPr="00EC0E8A">
              <w:rPr>
                <w:sz w:val="24"/>
                <w:szCs w:val="24"/>
              </w:rPr>
              <w:t>Так</w:t>
            </w:r>
          </w:p>
        </w:tc>
        <w:tc>
          <w:tcPr>
            <w:tcW w:w="2376" w:type="dxa"/>
            <w:shd w:val="clear" w:color="auto" w:fill="auto"/>
          </w:tcPr>
          <w:p w:rsidR="0056405F" w:rsidRPr="00135924" w:rsidRDefault="0056405F" w:rsidP="00F91308">
            <w:pPr>
              <w:pStyle w:val="a8"/>
              <w:spacing w:before="0" w:beforeAutospacing="0" w:after="0" w:afterAutospacing="0"/>
              <w:rPr>
                <w:szCs w:val="28"/>
                <w:lang w:val="uk-UA"/>
              </w:rPr>
            </w:pPr>
          </w:p>
        </w:tc>
      </w:tr>
    </w:tbl>
    <w:p w:rsidR="0056405F" w:rsidRPr="00664284" w:rsidRDefault="0056405F" w:rsidP="0056405F">
      <w:pPr>
        <w:rPr>
          <w:sz w:val="14"/>
          <w:szCs w:val="14"/>
        </w:rPr>
      </w:pPr>
    </w:p>
    <w:p w:rsidR="0056405F" w:rsidRPr="00360B02" w:rsidRDefault="0056405F" w:rsidP="0056405F">
      <w:pPr>
        <w:jc w:val="center"/>
        <w:rPr>
          <w:b/>
          <w:sz w:val="28"/>
          <w:szCs w:val="28"/>
        </w:rPr>
      </w:pPr>
      <w:r w:rsidRPr="00360B02">
        <w:rPr>
          <w:b/>
          <w:sz w:val="28"/>
          <w:szCs w:val="28"/>
        </w:rPr>
        <w:t>ІІ. Цілі державного регулювання</w:t>
      </w:r>
    </w:p>
    <w:p w:rsidR="0056405F" w:rsidRPr="00360B02" w:rsidRDefault="0056405F" w:rsidP="0056405F">
      <w:pPr>
        <w:jc w:val="both"/>
        <w:rPr>
          <w:sz w:val="28"/>
          <w:szCs w:val="28"/>
        </w:rPr>
      </w:pPr>
    </w:p>
    <w:p w:rsidR="0056405F" w:rsidRDefault="0056405F" w:rsidP="00423C30">
      <w:pPr>
        <w:ind w:firstLine="709"/>
        <w:jc w:val="both"/>
        <w:rPr>
          <w:sz w:val="28"/>
          <w:szCs w:val="28"/>
        </w:rPr>
      </w:pPr>
      <w:r w:rsidRPr="00360B02">
        <w:rPr>
          <w:sz w:val="28"/>
          <w:szCs w:val="28"/>
        </w:rPr>
        <w:t>Метою прийняття Проєкту постанови є</w:t>
      </w:r>
      <w:r>
        <w:rPr>
          <w:sz w:val="28"/>
          <w:szCs w:val="28"/>
        </w:rPr>
        <w:t>:</w:t>
      </w:r>
    </w:p>
    <w:p w:rsidR="00423C30" w:rsidRPr="00423C30" w:rsidRDefault="00423C30" w:rsidP="00423C30">
      <w:pPr>
        <w:pStyle w:val="a5"/>
        <w:spacing w:after="0"/>
        <w:ind w:left="0" w:firstLine="708"/>
        <w:jc w:val="both"/>
        <w:rPr>
          <w:sz w:val="28"/>
          <w:szCs w:val="28"/>
        </w:rPr>
      </w:pPr>
      <w:r w:rsidRPr="00423C30">
        <w:rPr>
          <w:sz w:val="28"/>
          <w:szCs w:val="28"/>
        </w:rPr>
        <w:t>удоскон</w:t>
      </w:r>
      <w:r>
        <w:rPr>
          <w:sz w:val="28"/>
          <w:szCs w:val="28"/>
        </w:rPr>
        <w:t>алення</w:t>
      </w:r>
      <w:r w:rsidRPr="00423C30">
        <w:rPr>
          <w:sz w:val="28"/>
          <w:szCs w:val="28"/>
        </w:rPr>
        <w:t xml:space="preserve"> підход</w:t>
      </w:r>
      <w:r>
        <w:rPr>
          <w:sz w:val="28"/>
          <w:szCs w:val="28"/>
        </w:rPr>
        <w:t>ів</w:t>
      </w:r>
      <w:r w:rsidRPr="00423C30">
        <w:rPr>
          <w:sz w:val="28"/>
          <w:szCs w:val="28"/>
        </w:rPr>
        <w:t xml:space="preserve"> до розрахунку ставок плати за стандартне та нестандартне приєднання;</w:t>
      </w:r>
    </w:p>
    <w:p w:rsidR="00423C30" w:rsidRPr="00423C30" w:rsidRDefault="00423C30" w:rsidP="00423C30">
      <w:pPr>
        <w:pStyle w:val="a5"/>
        <w:spacing w:after="0"/>
        <w:ind w:left="0" w:firstLine="708"/>
        <w:jc w:val="both"/>
        <w:rPr>
          <w:sz w:val="28"/>
          <w:szCs w:val="28"/>
        </w:rPr>
      </w:pPr>
      <w:r w:rsidRPr="00423C30">
        <w:rPr>
          <w:sz w:val="28"/>
          <w:szCs w:val="28"/>
        </w:rPr>
        <w:t>актуаліз</w:t>
      </w:r>
      <w:r w:rsidR="00F83CA0">
        <w:rPr>
          <w:sz w:val="28"/>
          <w:szCs w:val="28"/>
        </w:rPr>
        <w:t>ація</w:t>
      </w:r>
      <w:r w:rsidRPr="00423C30">
        <w:rPr>
          <w:sz w:val="28"/>
          <w:szCs w:val="28"/>
        </w:rPr>
        <w:t xml:space="preserve"> спос</w:t>
      </w:r>
      <w:r w:rsidR="00F83CA0">
        <w:rPr>
          <w:sz w:val="28"/>
          <w:szCs w:val="28"/>
        </w:rPr>
        <w:t>о</w:t>
      </w:r>
      <w:r w:rsidRPr="00423C30">
        <w:rPr>
          <w:sz w:val="28"/>
          <w:szCs w:val="28"/>
        </w:rPr>
        <w:t>б</w:t>
      </w:r>
      <w:r w:rsidR="00F83CA0">
        <w:rPr>
          <w:sz w:val="28"/>
          <w:szCs w:val="28"/>
        </w:rPr>
        <w:t>у</w:t>
      </w:r>
      <w:r w:rsidRPr="00423C30">
        <w:rPr>
          <w:sz w:val="28"/>
          <w:szCs w:val="28"/>
        </w:rPr>
        <w:t xml:space="preserve"> подачі операторами систем до Регулятора звітності щодо стану надання послуг з приєднання;</w:t>
      </w:r>
    </w:p>
    <w:p w:rsidR="00423C30" w:rsidRPr="00423C30" w:rsidRDefault="00423C30" w:rsidP="00423C30">
      <w:pPr>
        <w:pStyle w:val="a5"/>
        <w:spacing w:after="0"/>
        <w:ind w:left="0" w:firstLine="708"/>
        <w:jc w:val="both"/>
        <w:rPr>
          <w:sz w:val="28"/>
          <w:szCs w:val="28"/>
        </w:rPr>
      </w:pPr>
      <w:r w:rsidRPr="00423C30">
        <w:rPr>
          <w:sz w:val="28"/>
          <w:szCs w:val="28"/>
        </w:rPr>
        <w:t>започаткува</w:t>
      </w:r>
      <w:r w:rsidR="00F83CA0">
        <w:rPr>
          <w:sz w:val="28"/>
          <w:szCs w:val="28"/>
        </w:rPr>
        <w:t>ння</w:t>
      </w:r>
      <w:r w:rsidRPr="00423C30">
        <w:rPr>
          <w:sz w:val="28"/>
          <w:szCs w:val="28"/>
        </w:rPr>
        <w:t xml:space="preserve"> можл</w:t>
      </w:r>
      <w:r w:rsidR="00F83CA0">
        <w:rPr>
          <w:sz w:val="28"/>
          <w:szCs w:val="28"/>
        </w:rPr>
        <w:t>ивості</w:t>
      </w:r>
      <w:r w:rsidRPr="00423C30">
        <w:rPr>
          <w:sz w:val="28"/>
          <w:szCs w:val="28"/>
        </w:rPr>
        <w:t xml:space="preserve">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423C30" w:rsidRPr="00423C30" w:rsidRDefault="00423C30" w:rsidP="00423C30">
      <w:pPr>
        <w:pStyle w:val="a5"/>
        <w:spacing w:after="0"/>
        <w:ind w:left="0" w:firstLine="708"/>
        <w:jc w:val="both"/>
        <w:rPr>
          <w:sz w:val="28"/>
          <w:szCs w:val="28"/>
        </w:rPr>
      </w:pPr>
      <w:r w:rsidRPr="00423C30">
        <w:rPr>
          <w:sz w:val="28"/>
          <w:szCs w:val="28"/>
        </w:rPr>
        <w:t>удосконал</w:t>
      </w:r>
      <w:r w:rsidR="00F83CA0">
        <w:rPr>
          <w:sz w:val="28"/>
          <w:szCs w:val="28"/>
        </w:rPr>
        <w:t>ення</w:t>
      </w:r>
      <w:r w:rsidRPr="00423C30">
        <w:rPr>
          <w:sz w:val="28"/>
          <w:szCs w:val="28"/>
        </w:rPr>
        <w:t xml:space="preserve"> підход</w:t>
      </w:r>
      <w:r w:rsidR="00F83CA0">
        <w:rPr>
          <w:sz w:val="28"/>
          <w:szCs w:val="28"/>
        </w:rPr>
        <w:t>ів</w:t>
      </w:r>
      <w:r w:rsidRPr="00423C30">
        <w:rPr>
          <w:sz w:val="28"/>
          <w:szCs w:val="28"/>
        </w:rPr>
        <w:t xml:space="preserve"> до розрахунку величини дефіциту або профіциту коштів щодо надходжень та витрат, пов’язаних з наданням послуг з приєднання;</w:t>
      </w:r>
    </w:p>
    <w:p w:rsidR="005C4665" w:rsidRPr="00360B02" w:rsidRDefault="00423C30" w:rsidP="00423C30">
      <w:pPr>
        <w:pStyle w:val="a5"/>
        <w:spacing w:after="0"/>
        <w:ind w:left="0" w:firstLine="708"/>
        <w:jc w:val="both"/>
        <w:rPr>
          <w:sz w:val="28"/>
          <w:szCs w:val="28"/>
          <w:highlight w:val="yellow"/>
        </w:rPr>
      </w:pPr>
      <w:r w:rsidRPr="00423C30">
        <w:rPr>
          <w:sz w:val="28"/>
          <w:szCs w:val="28"/>
        </w:rPr>
        <w:t>закріп</w:t>
      </w:r>
      <w:r w:rsidR="00F83CA0">
        <w:rPr>
          <w:sz w:val="28"/>
          <w:szCs w:val="28"/>
        </w:rPr>
        <w:t>лення</w:t>
      </w:r>
      <w:r w:rsidRPr="00423C30">
        <w:rPr>
          <w:sz w:val="28"/>
          <w:szCs w:val="28"/>
        </w:rPr>
        <w:t xml:space="preserve"> особливост</w:t>
      </w:r>
      <w:r w:rsidR="00F83CA0">
        <w:rPr>
          <w:sz w:val="28"/>
          <w:szCs w:val="28"/>
        </w:rPr>
        <w:t>ей</w:t>
      </w:r>
      <w:r w:rsidRPr="00423C30">
        <w:rPr>
          <w:sz w:val="28"/>
          <w:szCs w:val="28"/>
        </w:rPr>
        <w:t xml:space="preserve"> визначення плати за надання послуг з приєднання електроустановок замовників до малої системи розподілу тощо.</w:t>
      </w:r>
    </w:p>
    <w:p w:rsidR="00423C30" w:rsidRDefault="00423C30" w:rsidP="00423C30">
      <w:pPr>
        <w:jc w:val="center"/>
        <w:rPr>
          <w:b/>
          <w:sz w:val="28"/>
          <w:szCs w:val="28"/>
        </w:rPr>
      </w:pPr>
    </w:p>
    <w:p w:rsidR="0056405F" w:rsidRPr="00360B02" w:rsidRDefault="0056405F" w:rsidP="00423C30">
      <w:pPr>
        <w:jc w:val="center"/>
        <w:rPr>
          <w:b/>
          <w:sz w:val="28"/>
          <w:szCs w:val="28"/>
        </w:rPr>
      </w:pPr>
      <w:r w:rsidRPr="00360B02">
        <w:rPr>
          <w:b/>
          <w:sz w:val="28"/>
          <w:szCs w:val="28"/>
        </w:rPr>
        <w:t>ІІІ. Визначення та оцінка альтернативних способів досягнення цілей</w:t>
      </w:r>
    </w:p>
    <w:p w:rsidR="0056405F" w:rsidRPr="00360B02" w:rsidRDefault="0056405F" w:rsidP="0056405F">
      <w:pPr>
        <w:jc w:val="both"/>
        <w:rPr>
          <w:sz w:val="28"/>
          <w:szCs w:val="28"/>
        </w:rPr>
      </w:pPr>
    </w:p>
    <w:p w:rsidR="0056405F" w:rsidRPr="00360B02" w:rsidRDefault="0056405F" w:rsidP="0056405F">
      <w:pPr>
        <w:ind w:firstLine="709"/>
        <w:jc w:val="both"/>
        <w:rPr>
          <w:sz w:val="28"/>
          <w:szCs w:val="28"/>
        </w:rPr>
      </w:pPr>
      <w:r w:rsidRPr="00360B02">
        <w:rPr>
          <w:sz w:val="28"/>
          <w:szCs w:val="28"/>
        </w:rPr>
        <w:t>1. Визначення альтернативних способів.</w:t>
      </w:r>
    </w:p>
    <w:p w:rsidR="0056405F" w:rsidRPr="005558AE" w:rsidRDefault="0056405F" w:rsidP="0056405F">
      <w:pPr>
        <w:jc w:val="both"/>
        <w:rPr>
          <w:sz w:val="6"/>
          <w:szCs w:val="6"/>
          <w:highlight w:val="yellow"/>
        </w:rPr>
      </w:pPr>
    </w:p>
    <w:tbl>
      <w:tblPr>
        <w:tblW w:w="9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7039"/>
      </w:tblGrid>
      <w:tr w:rsidR="0056405F" w:rsidRPr="005558AE" w:rsidTr="00F91308">
        <w:trPr>
          <w:trHeight w:val="762"/>
        </w:trPr>
        <w:tc>
          <w:tcPr>
            <w:tcW w:w="2956"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7039" w:type="dxa"/>
            <w:shd w:val="clear" w:color="auto" w:fill="auto"/>
            <w:vAlign w:val="center"/>
          </w:tcPr>
          <w:p w:rsidR="0056405F" w:rsidRPr="005558AE" w:rsidRDefault="0056405F" w:rsidP="00F91308">
            <w:pPr>
              <w:pStyle w:val="2"/>
              <w:spacing w:after="0" w:line="240" w:lineRule="auto"/>
              <w:jc w:val="center"/>
              <w:rPr>
                <w:b/>
                <w:szCs w:val="28"/>
                <w:highlight w:val="yellow"/>
              </w:rPr>
            </w:pPr>
            <w:r w:rsidRPr="005558AE">
              <w:rPr>
                <w:b/>
                <w:szCs w:val="28"/>
              </w:rPr>
              <w:t>Опис альтернативи</w:t>
            </w:r>
          </w:p>
        </w:tc>
      </w:tr>
      <w:tr w:rsidR="0056405F" w:rsidRPr="005558AE" w:rsidTr="00F91308">
        <w:trPr>
          <w:trHeight w:val="972"/>
        </w:trPr>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7039" w:type="dxa"/>
            <w:shd w:val="clear" w:color="auto" w:fill="auto"/>
          </w:tcPr>
          <w:p w:rsidR="000C6A2A" w:rsidRDefault="000C6A2A" w:rsidP="00B10C52">
            <w:pPr>
              <w:jc w:val="both"/>
              <w:rPr>
                <w:sz w:val="24"/>
                <w:szCs w:val="24"/>
              </w:rPr>
            </w:pPr>
            <w:r>
              <w:rPr>
                <w:sz w:val="24"/>
                <w:szCs w:val="24"/>
              </w:rPr>
              <w:t>Відсутність повноцінної можливості здійснення моніторингу за станом надання операторами систем послуг з приєднання.</w:t>
            </w:r>
          </w:p>
          <w:p w:rsidR="0056405F" w:rsidRDefault="000C6A2A" w:rsidP="00B10C52">
            <w:pPr>
              <w:jc w:val="both"/>
              <w:rPr>
                <w:sz w:val="24"/>
                <w:szCs w:val="24"/>
              </w:rPr>
            </w:pPr>
            <w:r>
              <w:rPr>
                <w:sz w:val="24"/>
                <w:szCs w:val="24"/>
              </w:rPr>
              <w:t>Застарілі та довготривалі способи обміну між Регулятором та операторами систем інформацією</w:t>
            </w:r>
            <w:r w:rsidR="00C21676">
              <w:rPr>
                <w:sz w:val="24"/>
                <w:szCs w:val="24"/>
              </w:rPr>
              <w:t xml:space="preserve"> </w:t>
            </w:r>
            <w:r w:rsidR="00C21676">
              <w:rPr>
                <w:sz w:val="24"/>
                <w:szCs w:val="24"/>
              </w:rPr>
              <w:t>щодо надання послуг з приєднань</w:t>
            </w:r>
            <w:r>
              <w:rPr>
                <w:sz w:val="24"/>
                <w:szCs w:val="24"/>
              </w:rPr>
              <w:t>.</w:t>
            </w:r>
          </w:p>
          <w:p w:rsidR="000C6A2A" w:rsidRDefault="003F2866" w:rsidP="00B10C52">
            <w:pPr>
              <w:jc w:val="both"/>
              <w:rPr>
                <w:bCs/>
                <w:sz w:val="24"/>
                <w:szCs w:val="24"/>
              </w:rPr>
            </w:pPr>
            <w:r>
              <w:rPr>
                <w:bCs/>
                <w:sz w:val="24"/>
                <w:szCs w:val="24"/>
              </w:rPr>
              <w:t>Недосконалі підходи до розрахунку ставок плати за приєднання.</w:t>
            </w:r>
          </w:p>
          <w:p w:rsidR="003F2866" w:rsidRPr="00B10C52" w:rsidRDefault="003F2866" w:rsidP="00B10C52">
            <w:pPr>
              <w:jc w:val="both"/>
              <w:rPr>
                <w:bCs/>
                <w:sz w:val="24"/>
                <w:szCs w:val="24"/>
              </w:rPr>
            </w:pPr>
            <w:r>
              <w:rPr>
                <w:bCs/>
                <w:sz w:val="24"/>
                <w:szCs w:val="24"/>
              </w:rPr>
              <w:t xml:space="preserve">Недосконалі </w:t>
            </w:r>
            <w:r w:rsidRPr="003F2866">
              <w:rPr>
                <w:bCs/>
                <w:sz w:val="24"/>
                <w:szCs w:val="24"/>
              </w:rPr>
              <w:t>підход</w:t>
            </w:r>
            <w:r>
              <w:rPr>
                <w:bCs/>
                <w:sz w:val="24"/>
                <w:szCs w:val="24"/>
              </w:rPr>
              <w:t>и</w:t>
            </w:r>
            <w:r w:rsidRPr="003F2866">
              <w:rPr>
                <w:bCs/>
                <w:sz w:val="24"/>
                <w:szCs w:val="24"/>
              </w:rPr>
              <w:t xml:space="preserve"> до розрахунку величини дефіциту або профіциту коштів щодо надходжень та витрат, пов’язаних з наданням послуг з приєднання</w:t>
            </w:r>
            <w:r w:rsidR="00C21676">
              <w:rPr>
                <w:bCs/>
                <w:sz w:val="24"/>
                <w:szCs w:val="24"/>
              </w:rPr>
              <w:t>.</w:t>
            </w:r>
          </w:p>
        </w:tc>
      </w:tr>
      <w:tr w:rsidR="0056405F" w:rsidRPr="005558AE" w:rsidTr="00F91308">
        <w:tc>
          <w:tcPr>
            <w:tcW w:w="2956"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 xml:space="preserve">несення змін до чинного </w:t>
            </w:r>
            <w:r w:rsidRPr="005558AE">
              <w:rPr>
                <w:szCs w:val="28"/>
              </w:rPr>
              <w:lastRenderedPageBreak/>
              <w:t>регуляторного акта.</w:t>
            </w:r>
          </w:p>
          <w:p w:rsidR="0056405F" w:rsidRPr="005558AE" w:rsidRDefault="0056405F" w:rsidP="00F91308">
            <w:pPr>
              <w:pStyle w:val="2"/>
              <w:spacing w:after="0" w:line="240" w:lineRule="auto"/>
              <w:jc w:val="both"/>
              <w:rPr>
                <w:szCs w:val="28"/>
              </w:rPr>
            </w:pPr>
          </w:p>
        </w:tc>
        <w:tc>
          <w:tcPr>
            <w:tcW w:w="7039" w:type="dxa"/>
            <w:shd w:val="clear" w:color="auto" w:fill="auto"/>
          </w:tcPr>
          <w:p w:rsidR="00C21676" w:rsidRDefault="00C21676" w:rsidP="00C21676">
            <w:pPr>
              <w:jc w:val="both"/>
              <w:rPr>
                <w:sz w:val="24"/>
                <w:szCs w:val="24"/>
              </w:rPr>
            </w:pPr>
            <w:r>
              <w:rPr>
                <w:sz w:val="24"/>
                <w:szCs w:val="24"/>
              </w:rPr>
              <w:lastRenderedPageBreak/>
              <w:t>Наявність</w:t>
            </w:r>
            <w:r>
              <w:rPr>
                <w:sz w:val="24"/>
                <w:szCs w:val="24"/>
              </w:rPr>
              <w:t xml:space="preserve"> повноцінної можливості здійснення моніторингу за станом надання операторами систем послуг з приєднання.</w:t>
            </w:r>
          </w:p>
          <w:p w:rsidR="00C21676" w:rsidRDefault="00C21676" w:rsidP="00C21676">
            <w:pPr>
              <w:jc w:val="both"/>
              <w:rPr>
                <w:sz w:val="24"/>
                <w:szCs w:val="24"/>
              </w:rPr>
            </w:pPr>
            <w:r>
              <w:rPr>
                <w:sz w:val="24"/>
                <w:szCs w:val="24"/>
              </w:rPr>
              <w:lastRenderedPageBreak/>
              <w:t>Можливість в режимі реального часу здійснювати</w:t>
            </w:r>
            <w:r>
              <w:rPr>
                <w:sz w:val="24"/>
                <w:szCs w:val="24"/>
              </w:rPr>
              <w:t xml:space="preserve"> обмін між Регулятором та операторами систем інформацією</w:t>
            </w:r>
            <w:r>
              <w:rPr>
                <w:sz w:val="24"/>
                <w:szCs w:val="24"/>
              </w:rPr>
              <w:t xml:space="preserve"> щодо надання послуг з приєднань</w:t>
            </w:r>
            <w:r>
              <w:rPr>
                <w:sz w:val="24"/>
                <w:szCs w:val="24"/>
              </w:rPr>
              <w:t>.</w:t>
            </w:r>
          </w:p>
          <w:p w:rsidR="00C21676" w:rsidRDefault="00C21676" w:rsidP="00C21676">
            <w:pPr>
              <w:jc w:val="both"/>
              <w:rPr>
                <w:bCs/>
                <w:sz w:val="24"/>
                <w:szCs w:val="24"/>
              </w:rPr>
            </w:pPr>
            <w:r>
              <w:rPr>
                <w:bCs/>
                <w:sz w:val="24"/>
                <w:szCs w:val="24"/>
              </w:rPr>
              <w:t xml:space="preserve">Удосконалені </w:t>
            </w:r>
            <w:r>
              <w:rPr>
                <w:bCs/>
                <w:sz w:val="24"/>
                <w:szCs w:val="24"/>
              </w:rPr>
              <w:t>підходи до розрахунку ставок плати за приєднання.</w:t>
            </w:r>
          </w:p>
          <w:p w:rsidR="007B0968" w:rsidRPr="00B10C52" w:rsidRDefault="00C21676" w:rsidP="00C21676">
            <w:pPr>
              <w:pStyle w:val="3"/>
              <w:ind w:left="0"/>
              <w:jc w:val="both"/>
              <w:rPr>
                <w:sz w:val="24"/>
                <w:szCs w:val="24"/>
              </w:rPr>
            </w:pPr>
            <w:r>
              <w:rPr>
                <w:bCs/>
                <w:sz w:val="24"/>
                <w:szCs w:val="24"/>
              </w:rPr>
              <w:t>Удосконалені</w:t>
            </w:r>
            <w:r w:rsidRPr="003F2866">
              <w:rPr>
                <w:bCs/>
                <w:sz w:val="24"/>
                <w:szCs w:val="24"/>
              </w:rPr>
              <w:t xml:space="preserve"> </w:t>
            </w:r>
            <w:r w:rsidRPr="003F2866">
              <w:rPr>
                <w:bCs/>
                <w:sz w:val="24"/>
                <w:szCs w:val="24"/>
              </w:rPr>
              <w:t>підход</w:t>
            </w:r>
            <w:r>
              <w:rPr>
                <w:bCs/>
                <w:sz w:val="24"/>
                <w:szCs w:val="24"/>
              </w:rPr>
              <w:t>и</w:t>
            </w:r>
            <w:r w:rsidRPr="003F2866">
              <w:rPr>
                <w:bCs/>
                <w:sz w:val="24"/>
                <w:szCs w:val="24"/>
              </w:rPr>
              <w:t xml:space="preserve"> до розрахунку величини дефіциту або профіциту коштів щодо надходжень та витрат, пов’язаних з наданням послуг з приєднання</w:t>
            </w:r>
            <w:r>
              <w:rPr>
                <w:bCs/>
                <w:sz w:val="24"/>
                <w:szCs w:val="24"/>
              </w:rPr>
              <w:t>.</w:t>
            </w:r>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вибраних альтернативних способів досягнення цілей.</w:t>
      </w:r>
    </w:p>
    <w:p w:rsidR="0056405F" w:rsidRPr="005558AE" w:rsidRDefault="0056405F" w:rsidP="0056405F">
      <w:pPr>
        <w:pStyle w:val="a5"/>
        <w:spacing w:after="0"/>
        <w:ind w:left="0"/>
        <w:jc w:val="both"/>
        <w:rPr>
          <w:sz w:val="28"/>
          <w:szCs w:val="28"/>
        </w:rPr>
      </w:pPr>
    </w:p>
    <w:p w:rsidR="0056405F" w:rsidRPr="005558AE" w:rsidRDefault="0056405F" w:rsidP="0056405F">
      <w:pPr>
        <w:pStyle w:val="a5"/>
        <w:spacing w:after="0"/>
        <w:ind w:left="0" w:firstLine="709"/>
        <w:jc w:val="both"/>
        <w:rPr>
          <w:sz w:val="27"/>
          <w:szCs w:val="27"/>
        </w:rPr>
      </w:pPr>
      <w:r w:rsidRPr="005558AE">
        <w:rPr>
          <w:sz w:val="28"/>
          <w:szCs w:val="28"/>
        </w:rPr>
        <w:t>1) оцінка впливу на сферу інтересів держави:</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261"/>
        <w:gridCol w:w="3402"/>
      </w:tblGrid>
      <w:tr w:rsidR="0056405F" w:rsidRPr="005558AE" w:rsidTr="00F91308">
        <w:trPr>
          <w:trHeight w:val="634"/>
        </w:trPr>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261"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402"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F91308">
        <w:trPr>
          <w:trHeight w:val="944"/>
        </w:trPr>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p w:rsidR="0056405F" w:rsidRPr="005558AE" w:rsidRDefault="0056405F" w:rsidP="00F91308">
            <w:pPr>
              <w:pStyle w:val="2"/>
              <w:spacing w:after="0" w:line="240" w:lineRule="auto"/>
              <w:jc w:val="both"/>
              <w:rPr>
                <w:szCs w:val="28"/>
              </w:rPr>
            </w:pPr>
          </w:p>
        </w:tc>
        <w:tc>
          <w:tcPr>
            <w:tcW w:w="3261" w:type="dxa"/>
            <w:shd w:val="clear" w:color="auto" w:fill="auto"/>
          </w:tcPr>
          <w:p w:rsidR="0056405F" w:rsidRPr="005558AE" w:rsidRDefault="0056405F" w:rsidP="0045078A">
            <w:pPr>
              <w:pStyle w:val="2"/>
              <w:spacing w:after="0" w:line="240" w:lineRule="auto"/>
              <w:ind w:firstLine="318"/>
              <w:jc w:val="both"/>
              <w:rPr>
                <w:szCs w:val="28"/>
              </w:rPr>
            </w:pPr>
            <w:r w:rsidRPr="005558AE">
              <w:rPr>
                <w:szCs w:val="28"/>
              </w:rPr>
              <w:t>Відсутні.</w:t>
            </w:r>
          </w:p>
        </w:tc>
        <w:tc>
          <w:tcPr>
            <w:tcW w:w="3402" w:type="dxa"/>
            <w:shd w:val="clear" w:color="auto" w:fill="auto"/>
          </w:tcPr>
          <w:p w:rsidR="00D45020" w:rsidRPr="0045078A" w:rsidRDefault="00D45020" w:rsidP="0045078A">
            <w:pPr>
              <w:pStyle w:val="ab"/>
              <w:numPr>
                <w:ilvl w:val="0"/>
                <w:numId w:val="2"/>
              </w:numPr>
              <w:ind w:left="0" w:firstLine="318"/>
              <w:jc w:val="both"/>
              <w:rPr>
                <w:sz w:val="24"/>
                <w:szCs w:val="24"/>
              </w:rPr>
            </w:pPr>
            <w:r w:rsidRPr="0045078A">
              <w:rPr>
                <w:sz w:val="24"/>
                <w:szCs w:val="24"/>
              </w:rPr>
              <w:t>Відсутність повноцінної можливості здійснення моніторингу за станом надання операторами систем послуг з приєднання.</w:t>
            </w:r>
          </w:p>
          <w:p w:rsidR="0056405F" w:rsidRPr="0045078A" w:rsidRDefault="00D45020" w:rsidP="0045078A">
            <w:pPr>
              <w:pStyle w:val="ab"/>
              <w:numPr>
                <w:ilvl w:val="0"/>
                <w:numId w:val="2"/>
              </w:numPr>
              <w:ind w:left="0" w:firstLine="318"/>
              <w:jc w:val="both"/>
              <w:rPr>
                <w:sz w:val="24"/>
                <w:szCs w:val="24"/>
              </w:rPr>
            </w:pPr>
            <w:r w:rsidRPr="0045078A">
              <w:rPr>
                <w:sz w:val="24"/>
                <w:szCs w:val="24"/>
              </w:rPr>
              <w:t>Застарілі та довготривалі способи обміну між Регулятором та операторами систем інформацією щодо надання послуг з приєднань.</w:t>
            </w:r>
          </w:p>
        </w:tc>
      </w:tr>
      <w:tr w:rsidR="0056405F" w:rsidRPr="005558AE" w:rsidTr="00F91308">
        <w:tc>
          <w:tcPr>
            <w:tcW w:w="34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261" w:type="dxa"/>
            <w:shd w:val="clear" w:color="auto" w:fill="auto"/>
          </w:tcPr>
          <w:p w:rsidR="0045078A" w:rsidRPr="0045078A" w:rsidRDefault="0045078A" w:rsidP="0045078A">
            <w:pPr>
              <w:pStyle w:val="ab"/>
              <w:numPr>
                <w:ilvl w:val="0"/>
                <w:numId w:val="3"/>
              </w:numPr>
              <w:ind w:left="0" w:firstLine="318"/>
              <w:jc w:val="both"/>
              <w:rPr>
                <w:sz w:val="24"/>
                <w:szCs w:val="24"/>
              </w:rPr>
            </w:pPr>
            <w:r w:rsidRPr="0045078A">
              <w:rPr>
                <w:sz w:val="24"/>
                <w:szCs w:val="24"/>
              </w:rPr>
              <w:t>Наявність повноцінної можливості здійснення моніторингу за станом надання операторами систем послуг з приєднання.</w:t>
            </w:r>
          </w:p>
          <w:p w:rsidR="00270853" w:rsidRPr="001A67BE" w:rsidRDefault="0045078A" w:rsidP="001A67BE">
            <w:pPr>
              <w:pStyle w:val="ab"/>
              <w:numPr>
                <w:ilvl w:val="0"/>
                <w:numId w:val="3"/>
              </w:numPr>
              <w:ind w:left="0" w:firstLine="318"/>
              <w:jc w:val="both"/>
              <w:rPr>
                <w:sz w:val="24"/>
                <w:szCs w:val="24"/>
              </w:rPr>
            </w:pPr>
            <w:r w:rsidRPr="0045078A">
              <w:rPr>
                <w:sz w:val="24"/>
                <w:szCs w:val="24"/>
              </w:rPr>
              <w:t>Можливість в режимі реального часу здійснювати обмін між Регулятором та операторами систем інформацією щодо надання послуг з приєднань.</w:t>
            </w:r>
          </w:p>
        </w:tc>
        <w:tc>
          <w:tcPr>
            <w:tcW w:w="3402" w:type="dxa"/>
            <w:shd w:val="clear" w:color="auto" w:fill="auto"/>
          </w:tcPr>
          <w:p w:rsidR="0056405F" w:rsidRPr="005558AE" w:rsidRDefault="0056405F" w:rsidP="0045078A">
            <w:pPr>
              <w:pStyle w:val="2"/>
              <w:spacing w:after="0" w:line="240" w:lineRule="auto"/>
              <w:ind w:firstLine="318"/>
              <w:jc w:val="both"/>
              <w:rPr>
                <w:szCs w:val="28"/>
              </w:rPr>
            </w:pPr>
            <w:r w:rsidRPr="005558AE">
              <w:rPr>
                <w:szCs w:val="28"/>
              </w:rPr>
              <w:t>Відсутні.</w:t>
            </w:r>
          </w:p>
        </w:tc>
      </w:tr>
    </w:tbl>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2"/>
          <w:szCs w:val="2"/>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8"/>
          <w:szCs w:val="28"/>
        </w:rPr>
      </w:pPr>
      <w:r w:rsidRPr="005558AE">
        <w:rPr>
          <w:sz w:val="28"/>
          <w:szCs w:val="28"/>
        </w:rPr>
        <w:t>2) оцінка впливу на сферу інтересів громадян:</w:t>
      </w:r>
    </w:p>
    <w:p w:rsidR="0056405F" w:rsidRPr="005558AE" w:rsidRDefault="0056405F" w:rsidP="0056405F">
      <w:pPr>
        <w:pStyle w:val="a5"/>
        <w:spacing w:after="0"/>
        <w:ind w:left="0"/>
        <w:jc w:val="both"/>
        <w:rPr>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119"/>
        <w:gridCol w:w="3538"/>
      </w:tblGrid>
      <w:tr w:rsidR="0056405F" w:rsidRPr="005558AE" w:rsidTr="00CF43EF">
        <w:trPr>
          <w:trHeight w:val="496"/>
        </w:trPr>
        <w:tc>
          <w:tcPr>
            <w:tcW w:w="328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Вид альтернативи</w:t>
            </w:r>
          </w:p>
        </w:tc>
        <w:tc>
          <w:tcPr>
            <w:tcW w:w="311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538"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56405F" w:rsidRPr="005558AE" w:rsidTr="00CF43EF">
        <w:tc>
          <w:tcPr>
            <w:tcW w:w="3289"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119" w:type="dxa"/>
            <w:shd w:val="clear" w:color="auto" w:fill="auto"/>
          </w:tcPr>
          <w:p w:rsidR="0056405F" w:rsidRPr="00135924" w:rsidRDefault="0056405F" w:rsidP="00830EE0">
            <w:pPr>
              <w:pStyle w:val="2"/>
              <w:spacing w:after="0" w:line="240" w:lineRule="auto"/>
              <w:ind w:firstLine="428"/>
              <w:jc w:val="both"/>
              <w:rPr>
                <w:szCs w:val="28"/>
              </w:rPr>
            </w:pPr>
            <w:r w:rsidRPr="00135924">
              <w:rPr>
                <w:szCs w:val="28"/>
              </w:rPr>
              <w:t>Відсутні.</w:t>
            </w:r>
          </w:p>
        </w:tc>
        <w:tc>
          <w:tcPr>
            <w:tcW w:w="3538" w:type="dxa"/>
            <w:shd w:val="clear" w:color="auto" w:fill="auto"/>
          </w:tcPr>
          <w:p w:rsidR="00800004" w:rsidRDefault="005C3765" w:rsidP="00830EE0">
            <w:pPr>
              <w:pStyle w:val="2"/>
              <w:numPr>
                <w:ilvl w:val="0"/>
                <w:numId w:val="4"/>
              </w:numPr>
              <w:spacing w:after="0" w:line="240" w:lineRule="auto"/>
              <w:ind w:left="0" w:firstLine="428"/>
              <w:jc w:val="both"/>
            </w:pPr>
            <w:r>
              <w:t>Значна</w:t>
            </w:r>
            <w:r w:rsidR="00F86EDC">
              <w:t xml:space="preserve"> різниця між ставками плати за </w:t>
            </w:r>
            <w:r>
              <w:t xml:space="preserve">стандартне </w:t>
            </w:r>
            <w:r w:rsidR="00F86EDC">
              <w:t xml:space="preserve">приєднання </w:t>
            </w:r>
            <w:r w:rsidR="00E343D0">
              <w:t>для</w:t>
            </w:r>
            <w:r w:rsidR="00F86EDC">
              <w:t xml:space="preserve"> різних операторів систем розподілу.</w:t>
            </w:r>
          </w:p>
          <w:p w:rsidR="00F86EDC" w:rsidRPr="00800004" w:rsidRDefault="00830EE0" w:rsidP="00830EE0">
            <w:pPr>
              <w:pStyle w:val="2"/>
              <w:numPr>
                <w:ilvl w:val="0"/>
                <w:numId w:val="4"/>
              </w:numPr>
              <w:spacing w:after="0" w:line="240" w:lineRule="auto"/>
              <w:ind w:left="0" w:firstLine="428"/>
              <w:jc w:val="both"/>
            </w:pPr>
            <w:r>
              <w:t xml:space="preserve">Недосконалі </w:t>
            </w:r>
            <w:r w:rsidRPr="00830EE0">
              <w:t>підходи до розрахунку величини дефіциту або профіциту коштів щодо надходжень та витрат, пов’язаних з наданням послуг з приєднання</w:t>
            </w:r>
            <w:r>
              <w:t>, що впливають на величину тарифу операторів системи розподілу.</w:t>
            </w:r>
          </w:p>
        </w:tc>
      </w:tr>
      <w:tr w:rsidR="0056405F" w:rsidRPr="005558AE" w:rsidTr="00CF43EF">
        <w:tc>
          <w:tcPr>
            <w:tcW w:w="3289" w:type="dxa"/>
            <w:shd w:val="clear" w:color="auto" w:fill="auto"/>
          </w:tcPr>
          <w:p w:rsidR="0056405F" w:rsidRPr="00E26981" w:rsidRDefault="0056405F" w:rsidP="00F91308">
            <w:pPr>
              <w:pStyle w:val="2"/>
              <w:spacing w:after="0" w:line="240" w:lineRule="auto"/>
              <w:jc w:val="both"/>
              <w:rPr>
                <w:b/>
                <w:szCs w:val="28"/>
              </w:rPr>
            </w:pPr>
            <w:r w:rsidRPr="00E26981">
              <w:rPr>
                <w:b/>
                <w:szCs w:val="28"/>
              </w:rPr>
              <w:lastRenderedPageBreak/>
              <w:t>Альтернатива 2</w:t>
            </w:r>
          </w:p>
          <w:p w:rsidR="0056405F" w:rsidRPr="00E26981" w:rsidRDefault="0056405F" w:rsidP="00F91308">
            <w:pPr>
              <w:pStyle w:val="2"/>
              <w:spacing w:after="0" w:line="240" w:lineRule="auto"/>
              <w:jc w:val="both"/>
              <w:rPr>
                <w:szCs w:val="28"/>
              </w:rPr>
            </w:pPr>
            <w:r>
              <w:rPr>
                <w:szCs w:val="28"/>
              </w:rPr>
              <w:t>У</w:t>
            </w:r>
            <w:r w:rsidRPr="00E26981">
              <w:rPr>
                <w:szCs w:val="28"/>
              </w:rPr>
              <w:t>несення змін до чинного регуляторного акта.</w:t>
            </w:r>
          </w:p>
        </w:tc>
        <w:tc>
          <w:tcPr>
            <w:tcW w:w="3119" w:type="dxa"/>
            <w:shd w:val="clear" w:color="auto" w:fill="auto"/>
          </w:tcPr>
          <w:p w:rsidR="00830EE0" w:rsidRPr="00830EE0" w:rsidRDefault="00830EE0" w:rsidP="00830EE0">
            <w:pPr>
              <w:pStyle w:val="ab"/>
              <w:numPr>
                <w:ilvl w:val="0"/>
                <w:numId w:val="5"/>
              </w:numPr>
              <w:ind w:left="0" w:firstLine="428"/>
              <w:jc w:val="both"/>
              <w:rPr>
                <w:sz w:val="24"/>
                <w:szCs w:val="24"/>
              </w:rPr>
            </w:pPr>
            <w:r w:rsidRPr="00830EE0">
              <w:rPr>
                <w:sz w:val="24"/>
                <w:szCs w:val="24"/>
              </w:rPr>
              <w:t>Удосконалені підходи до розрахунку ставок плати за приєднання</w:t>
            </w:r>
            <w:r>
              <w:rPr>
                <w:sz w:val="24"/>
                <w:szCs w:val="24"/>
              </w:rPr>
              <w:t xml:space="preserve"> (залежать від вартості будівництва електричних мереж та складності виконання будівельних робіт)</w:t>
            </w:r>
            <w:r w:rsidRPr="00830EE0">
              <w:rPr>
                <w:sz w:val="24"/>
                <w:szCs w:val="24"/>
              </w:rPr>
              <w:t>.</w:t>
            </w:r>
          </w:p>
          <w:p w:rsidR="00014092" w:rsidRPr="00DB10AE" w:rsidRDefault="00830EE0" w:rsidP="00830EE0">
            <w:pPr>
              <w:pStyle w:val="2"/>
              <w:numPr>
                <w:ilvl w:val="0"/>
                <w:numId w:val="5"/>
              </w:numPr>
              <w:spacing w:after="0" w:line="240" w:lineRule="auto"/>
              <w:ind w:left="0" w:firstLine="428"/>
              <w:jc w:val="both"/>
            </w:pPr>
            <w:r w:rsidRPr="00830EE0">
              <w:t>Удосконалені підходи до розрахунку величини дефіциту або профіциту коштів щодо надходжень та витрат, пов’язаних з наданням послуг з приєднання.</w:t>
            </w:r>
          </w:p>
        </w:tc>
        <w:tc>
          <w:tcPr>
            <w:tcW w:w="3538" w:type="dxa"/>
            <w:shd w:val="clear" w:color="auto" w:fill="auto"/>
          </w:tcPr>
          <w:p w:rsidR="0056405F" w:rsidRPr="00800004" w:rsidRDefault="0056405F" w:rsidP="00830EE0">
            <w:pPr>
              <w:pStyle w:val="2"/>
              <w:spacing w:after="0" w:line="240" w:lineRule="auto"/>
              <w:ind w:firstLine="428"/>
              <w:jc w:val="both"/>
            </w:pPr>
            <w:r w:rsidRPr="00800004">
              <w:t>Відсутні.</w:t>
            </w:r>
          </w:p>
        </w:tc>
      </w:tr>
    </w:tbl>
    <w:p w:rsidR="0056405F" w:rsidRPr="005558AE" w:rsidRDefault="0056405F" w:rsidP="0056405F">
      <w:pPr>
        <w:pStyle w:val="a5"/>
        <w:spacing w:after="0"/>
        <w:ind w:left="0"/>
        <w:jc w:val="both"/>
        <w:rPr>
          <w:sz w:val="10"/>
          <w:szCs w:val="10"/>
          <w:highlight w:val="yellow"/>
        </w:rPr>
      </w:pPr>
    </w:p>
    <w:p w:rsidR="0056405F" w:rsidRPr="005558AE" w:rsidRDefault="0056405F" w:rsidP="0056405F">
      <w:pPr>
        <w:pStyle w:val="a5"/>
        <w:spacing w:after="0"/>
        <w:ind w:left="0" w:firstLine="709"/>
        <w:jc w:val="both"/>
        <w:rPr>
          <w:sz w:val="27"/>
          <w:szCs w:val="27"/>
          <w:highlight w:val="yellow"/>
        </w:rPr>
      </w:pPr>
    </w:p>
    <w:p w:rsidR="0056405F" w:rsidRPr="005558AE" w:rsidRDefault="0056405F" w:rsidP="0056405F">
      <w:pPr>
        <w:pStyle w:val="a5"/>
        <w:spacing w:after="0"/>
        <w:ind w:left="0" w:firstLine="709"/>
        <w:jc w:val="both"/>
        <w:rPr>
          <w:sz w:val="27"/>
          <w:szCs w:val="27"/>
        </w:rPr>
      </w:pPr>
      <w:r w:rsidRPr="005558AE">
        <w:rPr>
          <w:sz w:val="27"/>
          <w:szCs w:val="27"/>
        </w:rPr>
        <w:t>3) оцінка впливу на сферу інтересів суб'єктів господарювання:</w:t>
      </w:r>
    </w:p>
    <w:p w:rsidR="0056405F" w:rsidRPr="005558AE" w:rsidRDefault="0056405F" w:rsidP="0056405F">
      <w:pPr>
        <w:pStyle w:val="a5"/>
        <w:spacing w:after="0"/>
        <w:ind w:left="0"/>
        <w:jc w:val="both"/>
        <w:rPr>
          <w:sz w:val="6"/>
          <w:szCs w:val="6"/>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119"/>
        <w:gridCol w:w="3538"/>
      </w:tblGrid>
      <w:tr w:rsidR="0056405F" w:rsidRPr="005558AE" w:rsidTr="00CF43EF">
        <w:trPr>
          <w:trHeight w:val="496"/>
        </w:trPr>
        <w:tc>
          <w:tcPr>
            <w:tcW w:w="3289" w:type="dxa"/>
            <w:shd w:val="clear" w:color="auto" w:fill="auto"/>
            <w:vAlign w:val="center"/>
          </w:tcPr>
          <w:p w:rsidR="0056405F" w:rsidRPr="005558AE" w:rsidRDefault="0056405F" w:rsidP="00F91308">
            <w:pPr>
              <w:pStyle w:val="2"/>
              <w:spacing w:after="0" w:line="240" w:lineRule="auto"/>
              <w:jc w:val="center"/>
              <w:rPr>
                <w:b/>
                <w:szCs w:val="28"/>
              </w:rPr>
            </w:pPr>
            <w:r w:rsidRPr="005558AE">
              <w:br w:type="page"/>
            </w:r>
            <w:r w:rsidRPr="005558AE">
              <w:rPr>
                <w:b/>
                <w:szCs w:val="28"/>
              </w:rPr>
              <w:t>Вид альтернативи</w:t>
            </w:r>
          </w:p>
        </w:tc>
        <w:tc>
          <w:tcPr>
            <w:tcW w:w="3119"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Вигоди</w:t>
            </w:r>
          </w:p>
        </w:tc>
        <w:tc>
          <w:tcPr>
            <w:tcW w:w="3538" w:type="dxa"/>
            <w:shd w:val="clear" w:color="auto" w:fill="auto"/>
            <w:vAlign w:val="center"/>
          </w:tcPr>
          <w:p w:rsidR="0056405F" w:rsidRPr="005558AE" w:rsidRDefault="0056405F" w:rsidP="00F91308">
            <w:pPr>
              <w:pStyle w:val="2"/>
              <w:spacing w:after="0" w:line="240" w:lineRule="auto"/>
              <w:jc w:val="center"/>
              <w:rPr>
                <w:b/>
                <w:szCs w:val="28"/>
              </w:rPr>
            </w:pPr>
            <w:r w:rsidRPr="005558AE">
              <w:rPr>
                <w:b/>
                <w:szCs w:val="28"/>
              </w:rPr>
              <w:t>Витрати</w:t>
            </w:r>
          </w:p>
        </w:tc>
      </w:tr>
      <w:tr w:rsidR="00830EE0" w:rsidRPr="005558AE" w:rsidTr="00CF43EF">
        <w:tc>
          <w:tcPr>
            <w:tcW w:w="3289" w:type="dxa"/>
            <w:shd w:val="clear" w:color="auto" w:fill="auto"/>
          </w:tcPr>
          <w:p w:rsidR="00830EE0" w:rsidRPr="005558AE" w:rsidRDefault="00830EE0" w:rsidP="00830EE0">
            <w:pPr>
              <w:pStyle w:val="2"/>
              <w:spacing w:after="0" w:line="240" w:lineRule="auto"/>
              <w:jc w:val="both"/>
              <w:rPr>
                <w:b/>
                <w:szCs w:val="28"/>
              </w:rPr>
            </w:pPr>
            <w:r w:rsidRPr="005558AE">
              <w:rPr>
                <w:b/>
                <w:szCs w:val="28"/>
              </w:rPr>
              <w:t>Альтернатива 1</w:t>
            </w:r>
          </w:p>
          <w:p w:rsidR="00830EE0" w:rsidRPr="005558AE" w:rsidRDefault="00830EE0" w:rsidP="00830EE0">
            <w:pPr>
              <w:pStyle w:val="2"/>
              <w:spacing w:after="0" w:line="240" w:lineRule="auto"/>
              <w:jc w:val="both"/>
              <w:rPr>
                <w:szCs w:val="28"/>
              </w:rPr>
            </w:pPr>
            <w:r w:rsidRPr="005558AE">
              <w:rPr>
                <w:szCs w:val="28"/>
              </w:rPr>
              <w:t>Збереження чинного регулювання.</w:t>
            </w:r>
          </w:p>
          <w:p w:rsidR="00830EE0" w:rsidRPr="005558AE" w:rsidRDefault="00830EE0" w:rsidP="00830EE0">
            <w:pPr>
              <w:pStyle w:val="2"/>
              <w:spacing w:after="0" w:line="240" w:lineRule="auto"/>
              <w:jc w:val="both"/>
              <w:rPr>
                <w:szCs w:val="28"/>
              </w:rPr>
            </w:pPr>
          </w:p>
        </w:tc>
        <w:tc>
          <w:tcPr>
            <w:tcW w:w="3119" w:type="dxa"/>
            <w:shd w:val="clear" w:color="auto" w:fill="auto"/>
          </w:tcPr>
          <w:p w:rsidR="00830EE0" w:rsidRPr="00135924" w:rsidRDefault="00830EE0" w:rsidP="00830EE0">
            <w:pPr>
              <w:pStyle w:val="2"/>
              <w:spacing w:after="0" w:line="240" w:lineRule="auto"/>
              <w:ind w:firstLine="428"/>
              <w:jc w:val="both"/>
              <w:rPr>
                <w:szCs w:val="28"/>
              </w:rPr>
            </w:pPr>
            <w:r w:rsidRPr="00135924">
              <w:rPr>
                <w:szCs w:val="28"/>
              </w:rPr>
              <w:t>Відсутні.</w:t>
            </w:r>
          </w:p>
        </w:tc>
        <w:tc>
          <w:tcPr>
            <w:tcW w:w="3538" w:type="dxa"/>
            <w:shd w:val="clear" w:color="auto" w:fill="auto"/>
          </w:tcPr>
          <w:p w:rsidR="00830EE0" w:rsidRDefault="00830EE0" w:rsidP="00830EE0">
            <w:pPr>
              <w:pStyle w:val="2"/>
              <w:numPr>
                <w:ilvl w:val="0"/>
                <w:numId w:val="6"/>
              </w:numPr>
              <w:spacing w:after="0" w:line="240" w:lineRule="auto"/>
              <w:ind w:left="0" w:firstLine="426"/>
              <w:jc w:val="both"/>
            </w:pPr>
            <w:r>
              <w:t>Значна різниця між ставками плати за стандартне приєднання для різних операторів систем розподілу.</w:t>
            </w:r>
          </w:p>
          <w:p w:rsidR="00830EE0" w:rsidRPr="00800004" w:rsidRDefault="00830EE0" w:rsidP="00830EE0">
            <w:pPr>
              <w:pStyle w:val="2"/>
              <w:numPr>
                <w:ilvl w:val="0"/>
                <w:numId w:val="6"/>
              </w:numPr>
              <w:spacing w:after="0" w:line="240" w:lineRule="auto"/>
              <w:ind w:left="0" w:firstLine="426"/>
              <w:jc w:val="both"/>
            </w:pPr>
            <w:r>
              <w:t xml:space="preserve">Недосконалі </w:t>
            </w:r>
            <w:r w:rsidRPr="00830EE0">
              <w:t>підходи до розрахунку величини дефіциту або профіциту коштів щодо надходжень та витрат, пов’язаних з наданням послуг з приєднання</w:t>
            </w:r>
            <w:r>
              <w:t>, що впливають на величину тарифу операторів системи розподілу.</w:t>
            </w:r>
          </w:p>
        </w:tc>
      </w:tr>
      <w:tr w:rsidR="00830EE0" w:rsidRPr="005558AE" w:rsidTr="00CF43EF">
        <w:tc>
          <w:tcPr>
            <w:tcW w:w="3289" w:type="dxa"/>
            <w:shd w:val="clear" w:color="auto" w:fill="auto"/>
          </w:tcPr>
          <w:p w:rsidR="00830EE0" w:rsidRPr="005558AE" w:rsidRDefault="00830EE0" w:rsidP="00830EE0">
            <w:pPr>
              <w:pStyle w:val="2"/>
              <w:spacing w:after="0" w:line="240" w:lineRule="auto"/>
              <w:jc w:val="both"/>
              <w:rPr>
                <w:b/>
                <w:szCs w:val="28"/>
              </w:rPr>
            </w:pPr>
            <w:r w:rsidRPr="005558AE">
              <w:rPr>
                <w:b/>
                <w:szCs w:val="28"/>
              </w:rPr>
              <w:t>Альтернатива 2</w:t>
            </w:r>
          </w:p>
          <w:p w:rsidR="00830EE0" w:rsidRPr="005558AE" w:rsidRDefault="00830EE0" w:rsidP="00830EE0">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119" w:type="dxa"/>
            <w:shd w:val="clear" w:color="auto" w:fill="auto"/>
          </w:tcPr>
          <w:p w:rsidR="00830EE0" w:rsidRPr="00830EE0" w:rsidRDefault="00830EE0" w:rsidP="00830EE0">
            <w:pPr>
              <w:pStyle w:val="ab"/>
              <w:numPr>
                <w:ilvl w:val="0"/>
                <w:numId w:val="7"/>
              </w:numPr>
              <w:ind w:left="0" w:firstLine="428"/>
              <w:jc w:val="both"/>
              <w:rPr>
                <w:sz w:val="24"/>
                <w:szCs w:val="24"/>
              </w:rPr>
            </w:pPr>
            <w:r w:rsidRPr="00830EE0">
              <w:rPr>
                <w:sz w:val="24"/>
                <w:szCs w:val="24"/>
              </w:rPr>
              <w:t>Удосконалені підходи до розрахунку ставок плати за приєднання</w:t>
            </w:r>
            <w:r>
              <w:rPr>
                <w:sz w:val="24"/>
                <w:szCs w:val="24"/>
              </w:rPr>
              <w:t xml:space="preserve"> (залежать від вартості будівництва електричних мереж та складності виконання будівельних робіт)</w:t>
            </w:r>
            <w:r w:rsidRPr="00830EE0">
              <w:rPr>
                <w:sz w:val="24"/>
                <w:szCs w:val="24"/>
              </w:rPr>
              <w:t>.</w:t>
            </w:r>
          </w:p>
          <w:p w:rsidR="00830EE0" w:rsidRPr="00DB10AE" w:rsidRDefault="00830EE0" w:rsidP="00830EE0">
            <w:pPr>
              <w:pStyle w:val="2"/>
              <w:numPr>
                <w:ilvl w:val="0"/>
                <w:numId w:val="7"/>
              </w:numPr>
              <w:spacing w:after="0" w:line="240" w:lineRule="auto"/>
              <w:ind w:left="0" w:firstLine="428"/>
              <w:jc w:val="both"/>
            </w:pPr>
            <w:r w:rsidRPr="00830EE0">
              <w:t>Удосконалені підходи до розрахунку величини дефіциту або профіциту коштів щодо надходжень та витрат, пов’язаних з наданням послуг з приєднання.</w:t>
            </w:r>
          </w:p>
        </w:tc>
        <w:tc>
          <w:tcPr>
            <w:tcW w:w="3538" w:type="dxa"/>
            <w:shd w:val="clear" w:color="auto" w:fill="auto"/>
          </w:tcPr>
          <w:p w:rsidR="00830EE0" w:rsidRPr="00800004" w:rsidRDefault="00830EE0" w:rsidP="00830EE0">
            <w:pPr>
              <w:pStyle w:val="2"/>
              <w:spacing w:after="0" w:line="240" w:lineRule="auto"/>
              <w:ind w:firstLine="428"/>
              <w:jc w:val="both"/>
            </w:pPr>
            <w:r w:rsidRPr="00800004">
              <w:t>Відсутні.</w:t>
            </w:r>
          </w:p>
        </w:tc>
      </w:tr>
    </w:tbl>
    <w:p w:rsidR="0056405F" w:rsidRPr="005558AE" w:rsidRDefault="0056405F" w:rsidP="0056405F">
      <w:pPr>
        <w:pStyle w:val="a5"/>
        <w:spacing w:after="0"/>
        <w:ind w:left="0"/>
        <w:jc w:val="both"/>
        <w:rPr>
          <w:sz w:val="14"/>
          <w:szCs w:val="14"/>
          <w:highlight w:val="yellow"/>
        </w:rPr>
      </w:pPr>
    </w:p>
    <w:p w:rsidR="00B03607" w:rsidRDefault="00B03607" w:rsidP="0056405F">
      <w:pPr>
        <w:pStyle w:val="a5"/>
        <w:spacing w:after="0"/>
        <w:ind w:left="0"/>
        <w:jc w:val="center"/>
        <w:rPr>
          <w:b/>
          <w:sz w:val="27"/>
          <w:szCs w:val="27"/>
        </w:rPr>
      </w:pPr>
    </w:p>
    <w:p w:rsidR="00B03607" w:rsidRDefault="00B03607" w:rsidP="0056405F">
      <w:pPr>
        <w:pStyle w:val="a5"/>
        <w:spacing w:after="0"/>
        <w:ind w:left="0"/>
        <w:jc w:val="center"/>
        <w:rPr>
          <w:b/>
          <w:sz w:val="27"/>
          <w:szCs w:val="27"/>
        </w:rPr>
      </w:pPr>
    </w:p>
    <w:p w:rsidR="00B03607" w:rsidRDefault="00B03607" w:rsidP="0056405F">
      <w:pPr>
        <w:pStyle w:val="a5"/>
        <w:spacing w:after="0"/>
        <w:ind w:left="0"/>
        <w:jc w:val="center"/>
        <w:rPr>
          <w:b/>
          <w:sz w:val="27"/>
          <w:szCs w:val="27"/>
        </w:rPr>
      </w:pPr>
    </w:p>
    <w:p w:rsidR="00B03607" w:rsidRDefault="00B03607" w:rsidP="0056405F">
      <w:pPr>
        <w:pStyle w:val="a5"/>
        <w:spacing w:after="0"/>
        <w:ind w:left="0"/>
        <w:jc w:val="center"/>
        <w:rPr>
          <w:b/>
          <w:sz w:val="27"/>
          <w:szCs w:val="27"/>
        </w:rPr>
      </w:pPr>
    </w:p>
    <w:p w:rsidR="00B03607" w:rsidRDefault="00B03607" w:rsidP="0056405F">
      <w:pPr>
        <w:pStyle w:val="a5"/>
        <w:spacing w:after="0"/>
        <w:ind w:left="0"/>
        <w:jc w:val="center"/>
        <w:rPr>
          <w:b/>
          <w:sz w:val="27"/>
          <w:szCs w:val="27"/>
        </w:rPr>
      </w:pPr>
    </w:p>
    <w:p w:rsidR="0056405F" w:rsidRPr="005558AE" w:rsidRDefault="0056405F" w:rsidP="0056405F">
      <w:pPr>
        <w:pStyle w:val="a5"/>
        <w:spacing w:after="0"/>
        <w:ind w:left="0"/>
        <w:jc w:val="center"/>
        <w:rPr>
          <w:b/>
          <w:sz w:val="27"/>
          <w:szCs w:val="27"/>
        </w:rPr>
      </w:pPr>
      <w:bookmarkStart w:id="0" w:name="_GoBack"/>
      <w:bookmarkEnd w:id="0"/>
      <w:r w:rsidRPr="005558AE">
        <w:rPr>
          <w:b/>
          <w:sz w:val="27"/>
          <w:szCs w:val="27"/>
        </w:rPr>
        <w:lastRenderedPageBreak/>
        <w:t>ІV. Вибір найбільш оптимального альтернативного способу досягнення цілей</w:t>
      </w:r>
    </w:p>
    <w:p w:rsidR="0056405F" w:rsidRPr="005558AE" w:rsidRDefault="0056405F" w:rsidP="0056405F">
      <w:pPr>
        <w:pStyle w:val="a5"/>
        <w:spacing w:after="0"/>
        <w:ind w:left="0"/>
        <w:jc w:val="both"/>
        <w:rPr>
          <w:sz w:val="10"/>
          <w:szCs w:val="10"/>
        </w:rPr>
      </w:pPr>
    </w:p>
    <w:tbl>
      <w:tblPr>
        <w:tblW w:w="99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121"/>
        <w:gridCol w:w="3544"/>
      </w:tblGrid>
      <w:tr w:rsidR="0056405F" w:rsidRPr="005558AE" w:rsidTr="00CF43EF">
        <w:trPr>
          <w:trHeight w:val="1289"/>
        </w:trPr>
        <w:tc>
          <w:tcPr>
            <w:tcW w:w="3284"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Рейтинг результативності (досягнення цілей під час вирішення проблеми)</w:t>
            </w:r>
          </w:p>
        </w:tc>
        <w:tc>
          <w:tcPr>
            <w:tcW w:w="3121"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Бал результативності</w:t>
            </w:r>
          </w:p>
          <w:p w:rsidR="0056405F" w:rsidRPr="005558AE" w:rsidRDefault="0056405F" w:rsidP="00F91308">
            <w:pPr>
              <w:pStyle w:val="a8"/>
              <w:spacing w:before="0" w:beforeAutospacing="0" w:after="0" w:afterAutospacing="0"/>
              <w:jc w:val="center"/>
              <w:rPr>
                <w:b/>
                <w:lang w:val="uk-UA"/>
              </w:rPr>
            </w:pPr>
            <w:r w:rsidRPr="005558AE">
              <w:rPr>
                <w:b/>
                <w:lang w:val="uk-UA"/>
              </w:rPr>
              <w:t>(за чотирибальною системою оцінки)</w:t>
            </w:r>
          </w:p>
        </w:tc>
        <w:tc>
          <w:tcPr>
            <w:tcW w:w="3544" w:type="dxa"/>
            <w:tcBorders>
              <w:top w:val="outset" w:sz="6" w:space="0" w:color="auto"/>
              <w:left w:val="outset" w:sz="6" w:space="0" w:color="auto"/>
              <w:bottom w:val="outset" w:sz="6" w:space="0" w:color="auto"/>
              <w:right w:val="outset" w:sz="6" w:space="0" w:color="auto"/>
            </w:tcBorders>
            <w:shd w:val="clear" w:color="auto" w:fill="auto"/>
            <w:vAlign w:val="center"/>
          </w:tcPr>
          <w:p w:rsidR="0056405F" w:rsidRPr="005558AE" w:rsidRDefault="0056405F" w:rsidP="00F91308">
            <w:pPr>
              <w:pStyle w:val="a8"/>
              <w:spacing w:before="0" w:beforeAutospacing="0" w:after="0" w:afterAutospacing="0"/>
              <w:jc w:val="center"/>
              <w:rPr>
                <w:b/>
                <w:lang w:val="uk-UA"/>
              </w:rPr>
            </w:pPr>
            <w:r w:rsidRPr="005558AE">
              <w:rPr>
                <w:b/>
                <w:lang w:val="uk-UA"/>
              </w:rPr>
              <w:t xml:space="preserve">Коментарі щодо присвоєння відповідного </w:t>
            </w:r>
            <w:proofErr w:type="spellStart"/>
            <w:r w:rsidRPr="005558AE">
              <w:rPr>
                <w:b/>
                <w:lang w:val="uk-UA"/>
              </w:rPr>
              <w:t>бала</w:t>
            </w:r>
            <w:proofErr w:type="spellEnd"/>
          </w:p>
        </w:tc>
      </w:tr>
      <w:tr w:rsidR="0056405F" w:rsidRPr="005558AE" w:rsidTr="00CF43EF">
        <w:trPr>
          <w:trHeight w:val="979"/>
        </w:trPr>
        <w:tc>
          <w:tcPr>
            <w:tcW w:w="3284"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3121" w:type="dxa"/>
            <w:shd w:val="clear" w:color="auto" w:fill="auto"/>
          </w:tcPr>
          <w:p w:rsidR="0056405F" w:rsidRPr="005558AE" w:rsidRDefault="0056405F" w:rsidP="00F91308">
            <w:pPr>
              <w:jc w:val="center"/>
              <w:rPr>
                <w:sz w:val="24"/>
                <w:szCs w:val="24"/>
              </w:rPr>
            </w:pPr>
            <w:r>
              <w:rPr>
                <w:sz w:val="24"/>
                <w:szCs w:val="24"/>
              </w:rPr>
              <w:t>1</w:t>
            </w:r>
          </w:p>
        </w:tc>
        <w:tc>
          <w:tcPr>
            <w:tcW w:w="3544" w:type="dxa"/>
            <w:shd w:val="clear" w:color="auto" w:fill="auto"/>
          </w:tcPr>
          <w:p w:rsidR="0056405F" w:rsidRPr="00135924" w:rsidRDefault="000B5D93" w:rsidP="00F91308">
            <w:pPr>
              <w:jc w:val="both"/>
              <w:rPr>
                <w:sz w:val="24"/>
                <w:szCs w:val="24"/>
              </w:rPr>
            </w:pPr>
            <w:r>
              <w:rPr>
                <w:sz w:val="24"/>
                <w:szCs w:val="24"/>
              </w:rPr>
              <w:t>Не вирішує визначену проблему.</w:t>
            </w:r>
          </w:p>
        </w:tc>
      </w:tr>
      <w:tr w:rsidR="0056405F" w:rsidRPr="005558AE" w:rsidTr="00CF43EF">
        <w:trPr>
          <w:trHeight w:val="970"/>
        </w:trPr>
        <w:tc>
          <w:tcPr>
            <w:tcW w:w="3284"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3121" w:type="dxa"/>
            <w:shd w:val="clear" w:color="auto" w:fill="auto"/>
          </w:tcPr>
          <w:p w:rsidR="0056405F" w:rsidRPr="005558AE" w:rsidRDefault="00DB10AE" w:rsidP="00F91308">
            <w:pPr>
              <w:jc w:val="center"/>
              <w:rPr>
                <w:sz w:val="24"/>
                <w:szCs w:val="24"/>
              </w:rPr>
            </w:pPr>
            <w:r>
              <w:rPr>
                <w:sz w:val="24"/>
                <w:szCs w:val="24"/>
              </w:rPr>
              <w:t>4</w:t>
            </w:r>
          </w:p>
        </w:tc>
        <w:tc>
          <w:tcPr>
            <w:tcW w:w="3544" w:type="dxa"/>
            <w:shd w:val="clear" w:color="auto" w:fill="auto"/>
          </w:tcPr>
          <w:p w:rsidR="0056405F" w:rsidRPr="005558AE" w:rsidRDefault="0056405F" w:rsidP="00F91308">
            <w:pPr>
              <w:pStyle w:val="3"/>
              <w:spacing w:after="0"/>
              <w:ind w:left="0"/>
              <w:jc w:val="both"/>
              <w:rPr>
                <w:sz w:val="24"/>
                <w:szCs w:val="24"/>
              </w:rPr>
            </w:pPr>
            <w:r w:rsidRPr="00FF5A58">
              <w:rPr>
                <w:sz w:val="24"/>
                <w:szCs w:val="24"/>
              </w:rPr>
              <w:t>Дозволяє вирішити проблему найефективнішим шляхом.</w:t>
            </w:r>
            <w:r w:rsidR="00664823">
              <w:rPr>
                <w:sz w:val="24"/>
                <w:szCs w:val="24"/>
              </w:rPr>
              <w:t xml:space="preserve"> </w:t>
            </w:r>
            <w:r w:rsidR="00664823">
              <w:rPr>
                <w:sz w:val="24"/>
                <w:szCs w:val="24"/>
              </w:rPr>
              <w:t xml:space="preserve">Унесення запропонованих змін до Методики забезпечить повноцінного здійснення моніторингу за станом надання послуг з приєднання, ефективніше здійснення розрахунку ставок плати за приєднання, а також </w:t>
            </w:r>
            <w:r w:rsidR="00664823" w:rsidRPr="00830EE0">
              <w:rPr>
                <w:sz w:val="24"/>
                <w:szCs w:val="24"/>
              </w:rPr>
              <w:t>величини дефіциту або профіциту коштів щодо надходжень та витрат, пов’язаних з наданням послуг з приєднання</w:t>
            </w:r>
            <w:r w:rsidR="00664823">
              <w:rPr>
                <w:sz w:val="24"/>
                <w:szCs w:val="24"/>
              </w:rPr>
              <w:t>.</w:t>
            </w:r>
          </w:p>
        </w:tc>
      </w:tr>
    </w:tbl>
    <w:p w:rsidR="0056405F" w:rsidRPr="005558AE" w:rsidRDefault="0056405F" w:rsidP="0056405F">
      <w:pPr>
        <w:pStyle w:val="a5"/>
        <w:spacing w:after="0"/>
        <w:ind w:left="0"/>
        <w:jc w:val="both"/>
        <w:rPr>
          <w:sz w:val="14"/>
          <w:szCs w:val="14"/>
        </w:rPr>
      </w:pPr>
    </w:p>
    <w:p w:rsidR="0056405F" w:rsidRPr="005558AE" w:rsidRDefault="0056405F" w:rsidP="0056405F">
      <w:pPr>
        <w:pStyle w:val="a5"/>
        <w:spacing w:after="0"/>
        <w:ind w:left="0"/>
        <w:jc w:val="both"/>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8"/>
        <w:gridCol w:w="2570"/>
        <w:gridCol w:w="2439"/>
        <w:gridCol w:w="2948"/>
      </w:tblGrid>
      <w:tr w:rsidR="0056405F" w:rsidRPr="005558AE" w:rsidTr="00CF43EF">
        <w:tc>
          <w:tcPr>
            <w:tcW w:w="2108" w:type="dxa"/>
            <w:shd w:val="clear" w:color="auto" w:fill="auto"/>
            <w:vAlign w:val="center"/>
          </w:tcPr>
          <w:p w:rsidR="0056405F" w:rsidRPr="005558AE" w:rsidRDefault="0056405F" w:rsidP="00F91308">
            <w:pPr>
              <w:pStyle w:val="a8"/>
              <w:jc w:val="center"/>
              <w:rPr>
                <w:b/>
                <w:lang w:val="uk-UA"/>
              </w:rPr>
            </w:pPr>
            <w:r w:rsidRPr="005558AE">
              <w:rPr>
                <w:sz w:val="14"/>
                <w:szCs w:val="14"/>
                <w:lang w:val="uk-UA"/>
              </w:rPr>
              <w:br w:type="page"/>
            </w:r>
            <w:r w:rsidRPr="005558AE">
              <w:rPr>
                <w:b/>
                <w:lang w:val="uk-UA"/>
              </w:rPr>
              <w:t>Рейтинг результативності</w:t>
            </w:r>
          </w:p>
        </w:tc>
        <w:tc>
          <w:tcPr>
            <w:tcW w:w="2570" w:type="dxa"/>
            <w:shd w:val="clear" w:color="auto" w:fill="auto"/>
            <w:vAlign w:val="center"/>
          </w:tcPr>
          <w:p w:rsidR="0056405F" w:rsidRPr="005558AE" w:rsidRDefault="0056405F" w:rsidP="00F91308">
            <w:pPr>
              <w:pStyle w:val="a8"/>
              <w:jc w:val="center"/>
              <w:rPr>
                <w:b/>
                <w:lang w:val="uk-UA"/>
              </w:rPr>
            </w:pPr>
            <w:r w:rsidRPr="005558AE">
              <w:rPr>
                <w:b/>
                <w:lang w:val="uk-UA"/>
              </w:rPr>
              <w:t>Вигоди (підсумок)</w:t>
            </w:r>
          </w:p>
        </w:tc>
        <w:tc>
          <w:tcPr>
            <w:tcW w:w="2439" w:type="dxa"/>
            <w:shd w:val="clear" w:color="auto" w:fill="auto"/>
            <w:vAlign w:val="center"/>
          </w:tcPr>
          <w:p w:rsidR="0056405F" w:rsidRPr="005558AE" w:rsidRDefault="0056405F" w:rsidP="00F91308">
            <w:pPr>
              <w:pStyle w:val="a8"/>
              <w:jc w:val="center"/>
              <w:rPr>
                <w:b/>
                <w:lang w:val="uk-UA"/>
              </w:rPr>
            </w:pPr>
            <w:r w:rsidRPr="005558AE">
              <w:rPr>
                <w:b/>
                <w:lang w:val="uk-UA"/>
              </w:rPr>
              <w:t>Витрати (підсумок)</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Обґрунтування відповідного місця альтернативи у рейтингу</w:t>
            </w:r>
          </w:p>
        </w:tc>
      </w:tr>
      <w:tr w:rsidR="0056405F" w:rsidRPr="005558AE" w:rsidTr="00CF43E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2570"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439"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948" w:type="dxa"/>
            <w:shd w:val="clear" w:color="auto" w:fill="auto"/>
          </w:tcPr>
          <w:p w:rsidR="0056405F" w:rsidRPr="00594589" w:rsidRDefault="000B5D93" w:rsidP="00F91308">
            <w:pPr>
              <w:jc w:val="both"/>
              <w:rPr>
                <w:sz w:val="24"/>
                <w:szCs w:val="24"/>
              </w:rPr>
            </w:pPr>
            <w:r>
              <w:rPr>
                <w:sz w:val="24"/>
                <w:szCs w:val="24"/>
              </w:rPr>
              <w:t>Не вирішує визначену проблему.</w:t>
            </w:r>
          </w:p>
        </w:tc>
      </w:tr>
      <w:tr w:rsidR="0056405F" w:rsidRPr="005558AE" w:rsidTr="00CF43EF">
        <w:tc>
          <w:tcPr>
            <w:tcW w:w="2108"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2570" w:type="dxa"/>
            <w:shd w:val="clear" w:color="auto" w:fill="auto"/>
          </w:tcPr>
          <w:p w:rsidR="0056405F" w:rsidRPr="00135924" w:rsidRDefault="0056405F" w:rsidP="00F91308">
            <w:pPr>
              <w:jc w:val="both"/>
              <w:rPr>
                <w:sz w:val="24"/>
                <w:szCs w:val="24"/>
              </w:rPr>
            </w:pPr>
            <w:r w:rsidRPr="00135924">
              <w:rPr>
                <w:sz w:val="24"/>
                <w:szCs w:val="24"/>
              </w:rPr>
              <w:t>Забезпечує досягнення цілей державного регулювання.</w:t>
            </w:r>
          </w:p>
        </w:tc>
        <w:tc>
          <w:tcPr>
            <w:tcW w:w="2439" w:type="dxa"/>
            <w:shd w:val="clear" w:color="auto" w:fill="auto"/>
          </w:tcPr>
          <w:p w:rsidR="0056405F" w:rsidRPr="00135924" w:rsidRDefault="0056405F" w:rsidP="00F91308">
            <w:pPr>
              <w:jc w:val="both"/>
              <w:rPr>
                <w:sz w:val="24"/>
                <w:szCs w:val="24"/>
              </w:rPr>
            </w:pPr>
            <w:r w:rsidRPr="00135924">
              <w:rPr>
                <w:sz w:val="24"/>
                <w:szCs w:val="24"/>
              </w:rPr>
              <w:t>Відсутні.</w:t>
            </w:r>
          </w:p>
        </w:tc>
        <w:tc>
          <w:tcPr>
            <w:tcW w:w="2948" w:type="dxa"/>
            <w:shd w:val="clear" w:color="auto" w:fill="auto"/>
          </w:tcPr>
          <w:p w:rsidR="0056405F" w:rsidRPr="00594589" w:rsidRDefault="00B336E1" w:rsidP="00F91308">
            <w:pPr>
              <w:jc w:val="both"/>
              <w:rPr>
                <w:sz w:val="24"/>
                <w:szCs w:val="24"/>
              </w:rPr>
            </w:pPr>
            <w:r>
              <w:rPr>
                <w:sz w:val="24"/>
                <w:szCs w:val="24"/>
              </w:rPr>
              <w:t xml:space="preserve">Унесення запропонованих змін до </w:t>
            </w:r>
            <w:r w:rsidR="00E70828">
              <w:rPr>
                <w:sz w:val="24"/>
                <w:szCs w:val="24"/>
              </w:rPr>
              <w:t>Методики</w:t>
            </w:r>
            <w:r>
              <w:rPr>
                <w:sz w:val="24"/>
                <w:szCs w:val="24"/>
              </w:rPr>
              <w:t xml:space="preserve"> забезпечить </w:t>
            </w:r>
            <w:r w:rsidR="00664823">
              <w:rPr>
                <w:sz w:val="24"/>
                <w:szCs w:val="24"/>
              </w:rPr>
              <w:t xml:space="preserve">повноцінного </w:t>
            </w:r>
            <w:r w:rsidR="00E70828">
              <w:rPr>
                <w:sz w:val="24"/>
                <w:szCs w:val="24"/>
              </w:rPr>
              <w:t xml:space="preserve">здійснення </w:t>
            </w:r>
            <w:r w:rsidR="00664823">
              <w:rPr>
                <w:sz w:val="24"/>
                <w:szCs w:val="24"/>
              </w:rPr>
              <w:t xml:space="preserve">моніторингу за станом надання послуг з приєднання, ефективніше здійснення </w:t>
            </w:r>
            <w:r w:rsidR="00E70828">
              <w:rPr>
                <w:sz w:val="24"/>
                <w:szCs w:val="24"/>
              </w:rPr>
              <w:t xml:space="preserve">розрахунку ставок плати за приєднання, </w:t>
            </w:r>
            <w:r w:rsidR="00664823">
              <w:rPr>
                <w:sz w:val="24"/>
                <w:szCs w:val="24"/>
              </w:rPr>
              <w:t xml:space="preserve">а також </w:t>
            </w:r>
            <w:r w:rsidR="00E70828" w:rsidRPr="00830EE0">
              <w:rPr>
                <w:sz w:val="24"/>
                <w:szCs w:val="24"/>
              </w:rPr>
              <w:t>величини дефіциту або профіциту коштів щодо надходжень та витрат, пов’язаних з наданням послуг з приєднання</w:t>
            </w:r>
            <w:r>
              <w:rPr>
                <w:sz w:val="24"/>
                <w:szCs w:val="24"/>
              </w:rPr>
              <w:t>.</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2"/>
          <w:szCs w:val="2"/>
          <w:highlight w:val="yellow"/>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315"/>
        <w:gridCol w:w="2948"/>
      </w:tblGrid>
      <w:tr w:rsidR="0056405F" w:rsidRPr="005558AE" w:rsidTr="00CF43EF">
        <w:trPr>
          <w:trHeight w:val="1710"/>
        </w:trPr>
        <w:tc>
          <w:tcPr>
            <w:tcW w:w="2802" w:type="dxa"/>
            <w:shd w:val="clear" w:color="auto" w:fill="auto"/>
            <w:vAlign w:val="center"/>
          </w:tcPr>
          <w:p w:rsidR="0056405F" w:rsidRPr="005558AE" w:rsidRDefault="0056405F" w:rsidP="00F91308">
            <w:pPr>
              <w:pStyle w:val="a8"/>
              <w:jc w:val="center"/>
              <w:rPr>
                <w:b/>
                <w:lang w:val="uk-UA"/>
              </w:rPr>
            </w:pPr>
            <w:r w:rsidRPr="005558AE">
              <w:rPr>
                <w:b/>
                <w:lang w:val="uk-UA"/>
              </w:rPr>
              <w:lastRenderedPageBreak/>
              <w:t>Рейтинг</w:t>
            </w:r>
          </w:p>
        </w:tc>
        <w:tc>
          <w:tcPr>
            <w:tcW w:w="4315" w:type="dxa"/>
            <w:shd w:val="clear" w:color="auto" w:fill="auto"/>
            <w:vAlign w:val="center"/>
          </w:tcPr>
          <w:p w:rsidR="0056405F" w:rsidRPr="005558AE" w:rsidRDefault="0056405F" w:rsidP="00F91308">
            <w:pPr>
              <w:pStyle w:val="a8"/>
              <w:jc w:val="center"/>
              <w:rPr>
                <w:b/>
                <w:lang w:val="uk-UA"/>
              </w:rPr>
            </w:pPr>
            <w:r w:rsidRPr="005558AE">
              <w:rPr>
                <w:b/>
                <w:lang w:val="uk-UA"/>
              </w:rPr>
              <w:t>Аргументи щодо переваги обраної альтернативи / причини відмови від альтернативи</w:t>
            </w:r>
          </w:p>
        </w:tc>
        <w:tc>
          <w:tcPr>
            <w:tcW w:w="2948" w:type="dxa"/>
            <w:shd w:val="clear" w:color="auto" w:fill="auto"/>
            <w:vAlign w:val="center"/>
          </w:tcPr>
          <w:p w:rsidR="0056405F" w:rsidRPr="005558AE" w:rsidRDefault="0056405F" w:rsidP="00F91308">
            <w:pPr>
              <w:pStyle w:val="a8"/>
              <w:jc w:val="center"/>
              <w:rPr>
                <w:b/>
                <w:lang w:val="uk-UA"/>
              </w:rPr>
            </w:pPr>
            <w:r w:rsidRPr="005558AE">
              <w:rPr>
                <w:b/>
                <w:lang w:val="uk-UA"/>
              </w:rPr>
              <w:t>Оцінка ризику зовнішніх чинників на дію запропонованого регуляторного акта</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Альтернатива 1</w:t>
            </w:r>
          </w:p>
          <w:p w:rsidR="0056405F" w:rsidRPr="005558AE" w:rsidRDefault="0056405F" w:rsidP="00F91308">
            <w:pPr>
              <w:pStyle w:val="2"/>
              <w:spacing w:after="0" w:line="240" w:lineRule="auto"/>
              <w:jc w:val="both"/>
              <w:rPr>
                <w:szCs w:val="28"/>
              </w:rPr>
            </w:pPr>
            <w:r w:rsidRPr="005558AE">
              <w:rPr>
                <w:szCs w:val="28"/>
              </w:rPr>
              <w:t>Збереження чинного регулювання.</w:t>
            </w:r>
          </w:p>
        </w:tc>
        <w:tc>
          <w:tcPr>
            <w:tcW w:w="4315" w:type="dxa"/>
            <w:shd w:val="clear" w:color="auto" w:fill="auto"/>
          </w:tcPr>
          <w:p w:rsidR="0056405F" w:rsidRPr="00594589" w:rsidRDefault="0000373C" w:rsidP="00F91308">
            <w:pPr>
              <w:jc w:val="both"/>
              <w:rPr>
                <w:sz w:val="24"/>
                <w:szCs w:val="24"/>
              </w:rPr>
            </w:pPr>
            <w:r>
              <w:rPr>
                <w:sz w:val="24"/>
                <w:szCs w:val="24"/>
              </w:rPr>
              <w:t>Ч</w:t>
            </w:r>
            <w:r w:rsidRPr="00EC0E8A">
              <w:rPr>
                <w:sz w:val="24"/>
                <w:szCs w:val="24"/>
              </w:rPr>
              <w:t>инн</w:t>
            </w:r>
            <w:r w:rsidR="000B5D93">
              <w:rPr>
                <w:sz w:val="24"/>
                <w:szCs w:val="24"/>
              </w:rPr>
              <w:t>а редакція</w:t>
            </w:r>
            <w:r w:rsidRPr="00EC0E8A">
              <w:rPr>
                <w:sz w:val="24"/>
                <w:szCs w:val="24"/>
              </w:rPr>
              <w:t xml:space="preserve"> </w:t>
            </w:r>
            <w:r w:rsidR="00664823">
              <w:rPr>
                <w:sz w:val="24"/>
                <w:szCs w:val="24"/>
              </w:rPr>
              <w:t>Методики</w:t>
            </w:r>
            <w:r w:rsidR="000B5D93">
              <w:rPr>
                <w:sz w:val="24"/>
                <w:szCs w:val="24"/>
              </w:rPr>
              <w:t xml:space="preserve"> </w:t>
            </w:r>
            <w:r w:rsidRPr="00EC0E8A">
              <w:rPr>
                <w:sz w:val="24"/>
                <w:szCs w:val="24"/>
              </w:rPr>
              <w:t xml:space="preserve">не </w:t>
            </w:r>
            <w:r w:rsidR="000B5D93">
              <w:rPr>
                <w:sz w:val="24"/>
                <w:szCs w:val="24"/>
              </w:rPr>
              <w:t>вирішує визначену проблему.</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r w:rsidR="0056405F" w:rsidRPr="005558AE" w:rsidTr="00CF43EF">
        <w:tc>
          <w:tcPr>
            <w:tcW w:w="2802" w:type="dxa"/>
            <w:shd w:val="clear" w:color="auto" w:fill="auto"/>
          </w:tcPr>
          <w:p w:rsidR="0056405F" w:rsidRPr="005558AE" w:rsidRDefault="0056405F" w:rsidP="00F91308">
            <w:pPr>
              <w:pStyle w:val="2"/>
              <w:spacing w:after="0" w:line="240" w:lineRule="auto"/>
              <w:jc w:val="both"/>
              <w:rPr>
                <w:b/>
                <w:szCs w:val="28"/>
              </w:rPr>
            </w:pPr>
            <w:r w:rsidRPr="005558AE">
              <w:rPr>
                <w:b/>
                <w:szCs w:val="28"/>
              </w:rPr>
              <w:t xml:space="preserve">Обрана </w:t>
            </w:r>
            <w:r>
              <w:rPr>
                <w:b/>
                <w:szCs w:val="28"/>
              </w:rPr>
              <w:br/>
            </w:r>
            <w:r w:rsidRPr="005558AE">
              <w:rPr>
                <w:b/>
                <w:szCs w:val="28"/>
              </w:rPr>
              <w:t>Альтернатива 2</w:t>
            </w:r>
          </w:p>
          <w:p w:rsidR="0056405F" w:rsidRPr="005558AE" w:rsidRDefault="0056405F" w:rsidP="00F91308">
            <w:pPr>
              <w:pStyle w:val="2"/>
              <w:spacing w:after="0" w:line="240" w:lineRule="auto"/>
              <w:jc w:val="both"/>
              <w:rPr>
                <w:szCs w:val="28"/>
              </w:rPr>
            </w:pPr>
            <w:r>
              <w:rPr>
                <w:szCs w:val="28"/>
              </w:rPr>
              <w:t>У</w:t>
            </w:r>
            <w:r w:rsidRPr="005558AE">
              <w:rPr>
                <w:szCs w:val="28"/>
              </w:rPr>
              <w:t>несення змін до чинного регуляторного акта.</w:t>
            </w:r>
          </w:p>
        </w:tc>
        <w:tc>
          <w:tcPr>
            <w:tcW w:w="4315" w:type="dxa"/>
            <w:shd w:val="clear" w:color="auto" w:fill="auto"/>
          </w:tcPr>
          <w:p w:rsidR="0056405F" w:rsidRPr="00594589" w:rsidRDefault="0056405F" w:rsidP="00F91308">
            <w:pPr>
              <w:jc w:val="both"/>
              <w:rPr>
                <w:sz w:val="24"/>
                <w:szCs w:val="24"/>
              </w:rPr>
            </w:pPr>
            <w:r w:rsidRPr="00594589">
              <w:rPr>
                <w:sz w:val="24"/>
                <w:szCs w:val="24"/>
              </w:rPr>
              <w:t>Дозволяє вирішити проблему</w:t>
            </w:r>
            <w:r w:rsidR="0000373C">
              <w:rPr>
                <w:sz w:val="24"/>
                <w:szCs w:val="24"/>
              </w:rPr>
              <w:t xml:space="preserve">. </w:t>
            </w:r>
            <w:r w:rsidR="00A14916">
              <w:rPr>
                <w:sz w:val="24"/>
                <w:szCs w:val="24"/>
              </w:rPr>
              <w:t xml:space="preserve">Унесення запропонованих змін до Методики забезпечить повноцінного здійснення моніторингу за станом надання послуг з приєднання, ефективніше здійснення розрахунку ставок плати за приєднання, а також </w:t>
            </w:r>
            <w:r w:rsidR="00A14916" w:rsidRPr="00830EE0">
              <w:rPr>
                <w:sz w:val="24"/>
                <w:szCs w:val="24"/>
              </w:rPr>
              <w:t>величини дефіциту або профіциту коштів щодо надходжень та витрат, пов’язаних з наданням послуг з приєднання</w:t>
            </w:r>
            <w:r w:rsidR="00A14916">
              <w:rPr>
                <w:sz w:val="24"/>
                <w:szCs w:val="24"/>
              </w:rPr>
              <w:t>.</w:t>
            </w:r>
          </w:p>
        </w:tc>
        <w:tc>
          <w:tcPr>
            <w:tcW w:w="2948" w:type="dxa"/>
            <w:shd w:val="clear" w:color="auto" w:fill="auto"/>
          </w:tcPr>
          <w:p w:rsidR="0056405F" w:rsidRPr="00135924" w:rsidRDefault="0056405F" w:rsidP="00F91308">
            <w:pPr>
              <w:jc w:val="both"/>
              <w:rPr>
                <w:sz w:val="24"/>
                <w:szCs w:val="24"/>
              </w:rPr>
            </w:pPr>
            <w:r w:rsidRPr="00135924">
              <w:rPr>
                <w:sz w:val="24"/>
                <w:szCs w:val="24"/>
              </w:rPr>
              <w:t>Відсутні</w:t>
            </w:r>
          </w:p>
        </w:tc>
      </w:tr>
    </w:tbl>
    <w:p w:rsidR="0056405F" w:rsidRPr="005558AE" w:rsidRDefault="0056405F" w:rsidP="0056405F">
      <w:pPr>
        <w:pStyle w:val="a5"/>
        <w:spacing w:after="0"/>
        <w:ind w:left="0"/>
        <w:jc w:val="both"/>
        <w:rPr>
          <w:sz w:val="14"/>
          <w:szCs w:val="14"/>
          <w:highlight w:val="yellow"/>
        </w:rPr>
      </w:pPr>
    </w:p>
    <w:p w:rsidR="0056405F" w:rsidRPr="005558AE" w:rsidRDefault="0056405F" w:rsidP="0056405F">
      <w:pPr>
        <w:pStyle w:val="a5"/>
        <w:spacing w:after="0"/>
        <w:ind w:left="0"/>
        <w:jc w:val="both"/>
        <w:rPr>
          <w:sz w:val="14"/>
          <w:szCs w:val="14"/>
          <w:highlight w:val="yellow"/>
        </w:rPr>
      </w:pPr>
    </w:p>
    <w:p w:rsidR="0056405F" w:rsidRPr="00EF20A4" w:rsidRDefault="0056405F" w:rsidP="0056405F">
      <w:pPr>
        <w:pStyle w:val="a5"/>
        <w:spacing w:after="0"/>
        <w:ind w:left="0"/>
        <w:jc w:val="center"/>
        <w:rPr>
          <w:b/>
          <w:sz w:val="28"/>
          <w:szCs w:val="28"/>
        </w:rPr>
      </w:pPr>
      <w:r w:rsidRPr="00EF20A4">
        <w:rPr>
          <w:b/>
          <w:sz w:val="28"/>
          <w:szCs w:val="28"/>
        </w:rPr>
        <w:t>V. Механізми та заходи, які забезпечать розв</w:t>
      </w:r>
      <w:r w:rsidR="00991381">
        <w:rPr>
          <w:b/>
          <w:sz w:val="28"/>
          <w:szCs w:val="28"/>
        </w:rPr>
        <w:t>’</w:t>
      </w:r>
      <w:r w:rsidRPr="00EF20A4">
        <w:rPr>
          <w:b/>
          <w:sz w:val="28"/>
          <w:szCs w:val="28"/>
        </w:rPr>
        <w:t>язання визначеної проблеми</w:t>
      </w:r>
    </w:p>
    <w:p w:rsidR="00543381" w:rsidRDefault="00B336E1" w:rsidP="0056405F">
      <w:pPr>
        <w:ind w:firstLine="709"/>
        <w:jc w:val="both"/>
        <w:rPr>
          <w:sz w:val="28"/>
          <w:szCs w:val="28"/>
        </w:rPr>
      </w:pPr>
      <w:r w:rsidRPr="00B336E1">
        <w:rPr>
          <w:sz w:val="28"/>
          <w:szCs w:val="28"/>
        </w:rPr>
        <w:t>Прийняття проєкту Постанови НКРЕКП матиме наслідком</w:t>
      </w:r>
      <w:r w:rsidR="00543381">
        <w:rPr>
          <w:sz w:val="28"/>
          <w:szCs w:val="28"/>
        </w:rPr>
        <w:t>:</w:t>
      </w:r>
    </w:p>
    <w:p w:rsidR="00543381" w:rsidRPr="00423C30" w:rsidRDefault="00543381" w:rsidP="00543381">
      <w:pPr>
        <w:pStyle w:val="a5"/>
        <w:spacing w:after="0"/>
        <w:ind w:left="0" w:firstLine="708"/>
        <w:jc w:val="both"/>
        <w:rPr>
          <w:sz w:val="28"/>
          <w:szCs w:val="28"/>
        </w:rPr>
      </w:pPr>
      <w:r w:rsidRPr="00423C30">
        <w:rPr>
          <w:sz w:val="28"/>
          <w:szCs w:val="28"/>
        </w:rPr>
        <w:t>удоскон</w:t>
      </w:r>
      <w:r>
        <w:rPr>
          <w:sz w:val="28"/>
          <w:szCs w:val="28"/>
        </w:rPr>
        <w:t>алення</w:t>
      </w:r>
      <w:r w:rsidRPr="00423C30">
        <w:rPr>
          <w:sz w:val="28"/>
          <w:szCs w:val="28"/>
        </w:rPr>
        <w:t xml:space="preserve"> підход</w:t>
      </w:r>
      <w:r>
        <w:rPr>
          <w:sz w:val="28"/>
          <w:szCs w:val="28"/>
        </w:rPr>
        <w:t>ів</w:t>
      </w:r>
      <w:r w:rsidRPr="00423C30">
        <w:rPr>
          <w:sz w:val="28"/>
          <w:szCs w:val="28"/>
        </w:rPr>
        <w:t xml:space="preserve"> до розрахунку ставок плати за стандартне та нестандартне приєднання;</w:t>
      </w:r>
    </w:p>
    <w:p w:rsidR="00543381" w:rsidRPr="00423C30" w:rsidRDefault="00543381" w:rsidP="00543381">
      <w:pPr>
        <w:pStyle w:val="a5"/>
        <w:spacing w:after="0"/>
        <w:ind w:left="0" w:firstLine="708"/>
        <w:jc w:val="both"/>
        <w:rPr>
          <w:sz w:val="28"/>
          <w:szCs w:val="28"/>
        </w:rPr>
      </w:pPr>
      <w:r w:rsidRPr="00423C30">
        <w:rPr>
          <w:sz w:val="28"/>
          <w:szCs w:val="28"/>
        </w:rPr>
        <w:t>актуаліз</w:t>
      </w:r>
      <w:r>
        <w:rPr>
          <w:sz w:val="28"/>
          <w:szCs w:val="28"/>
        </w:rPr>
        <w:t>аці</w:t>
      </w:r>
      <w:r>
        <w:rPr>
          <w:sz w:val="28"/>
          <w:szCs w:val="28"/>
        </w:rPr>
        <w:t>ю</w:t>
      </w:r>
      <w:r w:rsidRPr="00423C30">
        <w:rPr>
          <w:sz w:val="28"/>
          <w:szCs w:val="28"/>
        </w:rPr>
        <w:t xml:space="preserve"> спос</w:t>
      </w:r>
      <w:r>
        <w:rPr>
          <w:sz w:val="28"/>
          <w:szCs w:val="28"/>
        </w:rPr>
        <w:t>о</w:t>
      </w:r>
      <w:r w:rsidRPr="00423C30">
        <w:rPr>
          <w:sz w:val="28"/>
          <w:szCs w:val="28"/>
        </w:rPr>
        <w:t>б</w:t>
      </w:r>
      <w:r>
        <w:rPr>
          <w:sz w:val="28"/>
          <w:szCs w:val="28"/>
        </w:rPr>
        <w:t>у</w:t>
      </w:r>
      <w:r w:rsidRPr="00423C30">
        <w:rPr>
          <w:sz w:val="28"/>
          <w:szCs w:val="28"/>
        </w:rPr>
        <w:t xml:space="preserve"> подачі операторами систем до Регулятора звітності щодо стану надання послуг з приєднання;</w:t>
      </w:r>
    </w:p>
    <w:p w:rsidR="00543381" w:rsidRPr="00423C30" w:rsidRDefault="00543381" w:rsidP="00543381">
      <w:pPr>
        <w:pStyle w:val="a5"/>
        <w:spacing w:after="0"/>
        <w:ind w:left="0" w:firstLine="708"/>
        <w:jc w:val="both"/>
        <w:rPr>
          <w:sz w:val="28"/>
          <w:szCs w:val="28"/>
        </w:rPr>
      </w:pPr>
      <w:r w:rsidRPr="00423C30">
        <w:rPr>
          <w:sz w:val="28"/>
          <w:szCs w:val="28"/>
        </w:rPr>
        <w:t>започаткува</w:t>
      </w:r>
      <w:r>
        <w:rPr>
          <w:sz w:val="28"/>
          <w:szCs w:val="28"/>
        </w:rPr>
        <w:t>ння</w:t>
      </w:r>
      <w:r w:rsidRPr="00423C30">
        <w:rPr>
          <w:sz w:val="28"/>
          <w:szCs w:val="28"/>
        </w:rPr>
        <w:t xml:space="preserve"> можл</w:t>
      </w:r>
      <w:r>
        <w:rPr>
          <w:sz w:val="28"/>
          <w:szCs w:val="28"/>
        </w:rPr>
        <w:t>ивості</w:t>
      </w:r>
      <w:r w:rsidRPr="00423C30">
        <w:rPr>
          <w:sz w:val="28"/>
          <w:szCs w:val="28"/>
        </w:rPr>
        <w:t xml:space="preserve">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543381" w:rsidRPr="00423C30" w:rsidRDefault="00543381" w:rsidP="00543381">
      <w:pPr>
        <w:pStyle w:val="a5"/>
        <w:spacing w:after="0"/>
        <w:ind w:left="0" w:firstLine="708"/>
        <w:jc w:val="both"/>
        <w:rPr>
          <w:sz w:val="28"/>
          <w:szCs w:val="28"/>
        </w:rPr>
      </w:pPr>
      <w:r w:rsidRPr="00423C30">
        <w:rPr>
          <w:sz w:val="28"/>
          <w:szCs w:val="28"/>
        </w:rPr>
        <w:t>удосконал</w:t>
      </w:r>
      <w:r>
        <w:rPr>
          <w:sz w:val="28"/>
          <w:szCs w:val="28"/>
        </w:rPr>
        <w:t>ення</w:t>
      </w:r>
      <w:r w:rsidRPr="00423C30">
        <w:rPr>
          <w:sz w:val="28"/>
          <w:szCs w:val="28"/>
        </w:rPr>
        <w:t xml:space="preserve"> підход</w:t>
      </w:r>
      <w:r>
        <w:rPr>
          <w:sz w:val="28"/>
          <w:szCs w:val="28"/>
        </w:rPr>
        <w:t>ів</w:t>
      </w:r>
      <w:r w:rsidRPr="00423C30">
        <w:rPr>
          <w:sz w:val="28"/>
          <w:szCs w:val="28"/>
        </w:rPr>
        <w:t xml:space="preserve"> до розрахунку величини дефіциту або профіциту коштів щодо надходжень та витрат, пов’язаних з наданням послуг з приєднання;</w:t>
      </w:r>
    </w:p>
    <w:p w:rsidR="00543381" w:rsidRPr="00360B02" w:rsidRDefault="00543381" w:rsidP="00543381">
      <w:pPr>
        <w:pStyle w:val="a5"/>
        <w:spacing w:after="0"/>
        <w:ind w:left="0" w:firstLine="708"/>
        <w:jc w:val="both"/>
        <w:rPr>
          <w:sz w:val="28"/>
          <w:szCs w:val="28"/>
          <w:highlight w:val="yellow"/>
        </w:rPr>
      </w:pPr>
      <w:r w:rsidRPr="00423C30">
        <w:rPr>
          <w:sz w:val="28"/>
          <w:szCs w:val="28"/>
        </w:rPr>
        <w:t>закріп</w:t>
      </w:r>
      <w:r>
        <w:rPr>
          <w:sz w:val="28"/>
          <w:szCs w:val="28"/>
        </w:rPr>
        <w:t>лення</w:t>
      </w:r>
      <w:r w:rsidRPr="00423C30">
        <w:rPr>
          <w:sz w:val="28"/>
          <w:szCs w:val="28"/>
        </w:rPr>
        <w:t xml:space="preserve"> особливост</w:t>
      </w:r>
      <w:r>
        <w:rPr>
          <w:sz w:val="28"/>
          <w:szCs w:val="28"/>
        </w:rPr>
        <w:t>ей</w:t>
      </w:r>
      <w:r w:rsidRPr="00423C30">
        <w:rPr>
          <w:sz w:val="28"/>
          <w:szCs w:val="28"/>
        </w:rPr>
        <w:t xml:space="preserve"> визначення плати за надання послуг з приєднання електроустановок замовників до малої системи розподілу тощо.</w:t>
      </w:r>
    </w:p>
    <w:p w:rsidR="00B336E1" w:rsidRDefault="00B336E1" w:rsidP="0056405F">
      <w:pPr>
        <w:ind w:firstLine="709"/>
        <w:jc w:val="both"/>
        <w:rPr>
          <w:sz w:val="28"/>
          <w:szCs w:val="28"/>
        </w:rPr>
      </w:pPr>
    </w:p>
    <w:p w:rsidR="0056405F" w:rsidRPr="00EF20A4" w:rsidRDefault="0056405F" w:rsidP="0056405F">
      <w:pPr>
        <w:pStyle w:val="a5"/>
        <w:spacing w:after="0"/>
        <w:ind w:left="0"/>
        <w:jc w:val="center"/>
        <w:rPr>
          <w:b/>
          <w:sz w:val="28"/>
          <w:szCs w:val="28"/>
        </w:rPr>
      </w:pPr>
      <w:r w:rsidRPr="00EF20A4">
        <w:rPr>
          <w:b/>
          <w:sz w:val="28"/>
          <w:szCs w:val="28"/>
        </w:rPr>
        <w:t>VI. Обґрунтування запропонованого строку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Строк дії акта необмежений та може бути змінений у разі внесення відповідних змін до чинного законодавства.</w:t>
      </w:r>
    </w:p>
    <w:p w:rsidR="0056405F" w:rsidRPr="00EF20A4" w:rsidRDefault="0056405F" w:rsidP="0056405F">
      <w:pPr>
        <w:pStyle w:val="a5"/>
        <w:spacing w:after="0"/>
        <w:ind w:left="0"/>
        <w:jc w:val="both"/>
        <w:rPr>
          <w:sz w:val="28"/>
          <w:szCs w:val="28"/>
          <w:highlight w:val="yellow"/>
        </w:rPr>
      </w:pPr>
    </w:p>
    <w:p w:rsidR="0056405F" w:rsidRPr="00EF20A4" w:rsidRDefault="0056405F" w:rsidP="0056405F">
      <w:pPr>
        <w:ind w:firstLine="709"/>
        <w:jc w:val="both"/>
        <w:rPr>
          <w:b/>
          <w:sz w:val="28"/>
          <w:szCs w:val="28"/>
        </w:rPr>
      </w:pPr>
      <w:r w:rsidRPr="00EF20A4">
        <w:rPr>
          <w:b/>
          <w:sz w:val="28"/>
          <w:szCs w:val="28"/>
        </w:rPr>
        <w:t>VII. Визначення показників результативності дії регуляторного акта</w:t>
      </w:r>
    </w:p>
    <w:p w:rsidR="0056405F" w:rsidRPr="00EF20A4" w:rsidRDefault="0056405F" w:rsidP="0056405F">
      <w:pPr>
        <w:jc w:val="both"/>
        <w:rPr>
          <w:sz w:val="28"/>
          <w:szCs w:val="28"/>
        </w:rPr>
      </w:pPr>
    </w:p>
    <w:p w:rsidR="0056405F" w:rsidRPr="00EF20A4" w:rsidRDefault="0056405F" w:rsidP="0056405F">
      <w:pPr>
        <w:ind w:firstLine="709"/>
        <w:jc w:val="both"/>
        <w:rPr>
          <w:sz w:val="28"/>
          <w:szCs w:val="28"/>
        </w:rPr>
      </w:pPr>
      <w:r w:rsidRPr="00EF20A4">
        <w:rPr>
          <w:sz w:val="28"/>
          <w:szCs w:val="28"/>
        </w:rPr>
        <w:t>За результатами дії регуляторного акта:</w:t>
      </w:r>
    </w:p>
    <w:p w:rsidR="0056405F" w:rsidRPr="00EF20A4" w:rsidRDefault="0056405F" w:rsidP="0056405F">
      <w:pPr>
        <w:ind w:firstLine="709"/>
        <w:jc w:val="both"/>
        <w:rPr>
          <w:sz w:val="28"/>
          <w:szCs w:val="28"/>
        </w:rPr>
      </w:pPr>
      <w:r w:rsidRPr="00EF20A4">
        <w:rPr>
          <w:sz w:val="28"/>
          <w:szCs w:val="28"/>
        </w:rPr>
        <w:t>1) дія акта не передбачає надходжень та/або видатків з/до державного та/або місцевих бюджетів і державних цільових фондів, пов'язаних із дією акта;</w:t>
      </w:r>
    </w:p>
    <w:p w:rsidR="0056405F" w:rsidRPr="00EF20A4" w:rsidRDefault="0056405F" w:rsidP="008D2D8D">
      <w:pPr>
        <w:ind w:firstLine="709"/>
        <w:jc w:val="both"/>
        <w:rPr>
          <w:sz w:val="28"/>
          <w:szCs w:val="28"/>
        </w:rPr>
      </w:pPr>
      <w:r w:rsidRPr="00EF20A4">
        <w:rPr>
          <w:sz w:val="28"/>
          <w:szCs w:val="28"/>
        </w:rPr>
        <w:t>2) </w:t>
      </w:r>
      <w:r w:rsidR="008D2D8D" w:rsidRPr="008D2D8D">
        <w:rPr>
          <w:sz w:val="28"/>
          <w:szCs w:val="28"/>
        </w:rPr>
        <w:t>дія акта розповсюджується на 3</w:t>
      </w:r>
      <w:r w:rsidR="008D2D8D">
        <w:rPr>
          <w:sz w:val="28"/>
          <w:szCs w:val="28"/>
        </w:rPr>
        <w:t>2</w:t>
      </w:r>
      <w:r w:rsidR="008D2D8D" w:rsidRPr="008D2D8D">
        <w:rPr>
          <w:sz w:val="28"/>
          <w:szCs w:val="28"/>
        </w:rPr>
        <w:t xml:space="preserve"> операторів систем розподілу</w:t>
      </w:r>
      <w:r w:rsidR="008D2D8D">
        <w:rPr>
          <w:sz w:val="28"/>
          <w:szCs w:val="28"/>
        </w:rPr>
        <w:t>,</w:t>
      </w:r>
      <w:r w:rsidR="008D2D8D" w:rsidRPr="008D2D8D">
        <w:rPr>
          <w:sz w:val="28"/>
          <w:szCs w:val="28"/>
        </w:rPr>
        <w:t xml:space="preserve"> </w:t>
      </w:r>
      <w:r w:rsidR="00543381">
        <w:rPr>
          <w:sz w:val="28"/>
          <w:szCs w:val="28"/>
        </w:rPr>
        <w:t xml:space="preserve">оператора системи передачі, </w:t>
      </w:r>
      <w:r w:rsidR="008D2D8D" w:rsidRPr="008D2D8D">
        <w:rPr>
          <w:sz w:val="28"/>
          <w:szCs w:val="28"/>
        </w:rPr>
        <w:t xml:space="preserve">всіх </w:t>
      </w:r>
      <w:r w:rsidR="00543381">
        <w:rPr>
          <w:sz w:val="28"/>
          <w:szCs w:val="28"/>
        </w:rPr>
        <w:t>замовників послуг з приєднань;</w:t>
      </w:r>
    </w:p>
    <w:p w:rsidR="0056405F" w:rsidRDefault="0056405F" w:rsidP="0056405F">
      <w:pPr>
        <w:tabs>
          <w:tab w:val="left" w:pos="709"/>
        </w:tabs>
        <w:ind w:firstLine="709"/>
        <w:jc w:val="both"/>
        <w:rPr>
          <w:sz w:val="28"/>
          <w:szCs w:val="28"/>
        </w:rPr>
      </w:pPr>
      <w:r w:rsidRPr="00EF20A4">
        <w:rPr>
          <w:sz w:val="28"/>
          <w:szCs w:val="28"/>
        </w:rPr>
        <w:lastRenderedPageBreak/>
        <w:t>3) рівень поінформованості суб'єктів господарювання з основних положень акта – середній.</w:t>
      </w:r>
    </w:p>
    <w:p w:rsidR="0056405F" w:rsidRPr="00EF20A4" w:rsidRDefault="0056405F" w:rsidP="0056405F">
      <w:pPr>
        <w:tabs>
          <w:tab w:val="left" w:pos="709"/>
        </w:tabs>
        <w:ind w:firstLine="709"/>
        <w:jc w:val="both"/>
        <w:rPr>
          <w:sz w:val="28"/>
          <w:szCs w:val="28"/>
        </w:rPr>
      </w:pPr>
      <w:r w:rsidRPr="00EF20A4">
        <w:rPr>
          <w:sz w:val="28"/>
          <w:szCs w:val="28"/>
        </w:rPr>
        <w:t xml:space="preserve">Відповідно до вимог статті 15 Закону України </w:t>
      </w:r>
      <w:r>
        <w:rPr>
          <w:sz w:val="28"/>
          <w:szCs w:val="28"/>
        </w:rPr>
        <w:t>«</w:t>
      </w:r>
      <w:r w:rsidRPr="00EF20A4">
        <w:rPr>
          <w:sz w:val="28"/>
          <w:szCs w:val="28"/>
        </w:rPr>
        <w:t>Про Національну комісію, що здійснює державне регулювання у сферах енергетики та комунальних послуг</w:t>
      </w:r>
      <w:r>
        <w:rPr>
          <w:sz w:val="28"/>
          <w:szCs w:val="28"/>
        </w:rPr>
        <w:t>»</w:t>
      </w:r>
      <w:r w:rsidRPr="00EF20A4">
        <w:rPr>
          <w:sz w:val="28"/>
          <w:szCs w:val="28"/>
        </w:rPr>
        <w:t xml:space="preserve"> </w:t>
      </w:r>
      <w:r w:rsidR="00991381">
        <w:rPr>
          <w:sz w:val="28"/>
          <w:szCs w:val="28"/>
        </w:rPr>
        <w:t>П</w:t>
      </w:r>
      <w:r w:rsidRPr="00EF20A4">
        <w:rPr>
          <w:sz w:val="28"/>
          <w:szCs w:val="28"/>
        </w:rPr>
        <w:t xml:space="preserve">роєкт постанови, що має ознаки регуляторного акта, разом з матеріалами, що обґрунтовують необхідність прийняття такого рішення, та аналізом його впливу оприлюднено на офіційному </w:t>
      </w:r>
      <w:proofErr w:type="spellStart"/>
      <w:r>
        <w:rPr>
          <w:sz w:val="28"/>
          <w:szCs w:val="28"/>
        </w:rPr>
        <w:t>веб</w:t>
      </w:r>
      <w:r w:rsidRPr="00EF20A4">
        <w:rPr>
          <w:sz w:val="28"/>
          <w:szCs w:val="28"/>
        </w:rPr>
        <w:t>сайті</w:t>
      </w:r>
      <w:proofErr w:type="spellEnd"/>
      <w:r w:rsidRPr="00EF20A4">
        <w:rPr>
          <w:sz w:val="28"/>
          <w:szCs w:val="28"/>
        </w:rPr>
        <w:t xml:space="preserve"> НКРЕКП в мережі Інтернет </w:t>
      </w:r>
      <w:hyperlink r:id="rId7" w:history="1">
        <w:r w:rsidRPr="00EF20A4">
          <w:rPr>
            <w:rStyle w:val="a7"/>
            <w:sz w:val="28"/>
            <w:szCs w:val="28"/>
            <w:lang w:val="en-US"/>
          </w:rPr>
          <w:t>www</w:t>
        </w:r>
        <w:r w:rsidRPr="00EF20A4">
          <w:rPr>
            <w:rStyle w:val="a7"/>
            <w:sz w:val="28"/>
            <w:szCs w:val="28"/>
          </w:rPr>
          <w:t>.nerc.gov.ua</w:t>
        </w:r>
      </w:hyperlink>
      <w:r w:rsidRPr="00EF20A4">
        <w:rPr>
          <w:sz w:val="28"/>
          <w:szCs w:val="28"/>
        </w:rPr>
        <w:t xml:space="preserve"> з метою одержання зауважень та пропозицій.</w:t>
      </w:r>
    </w:p>
    <w:p w:rsidR="0056405F" w:rsidRPr="00EF20A4" w:rsidRDefault="0056405F" w:rsidP="0056405F">
      <w:pPr>
        <w:tabs>
          <w:tab w:val="left" w:pos="709"/>
        </w:tabs>
        <w:ind w:firstLine="567"/>
        <w:jc w:val="both"/>
        <w:rPr>
          <w:sz w:val="28"/>
          <w:szCs w:val="28"/>
        </w:rPr>
      </w:pPr>
      <w:r w:rsidRPr="00EF20A4">
        <w:rPr>
          <w:sz w:val="28"/>
          <w:szCs w:val="28"/>
        </w:rPr>
        <w:t>НКРЕКП в межах своєї компетенції надає необхідні роз</w:t>
      </w:r>
      <w:r w:rsidR="00991381">
        <w:rPr>
          <w:sz w:val="28"/>
          <w:szCs w:val="28"/>
        </w:rPr>
        <w:t>’</w:t>
      </w:r>
      <w:r w:rsidRPr="00EF20A4">
        <w:rPr>
          <w:sz w:val="28"/>
          <w:szCs w:val="28"/>
        </w:rPr>
        <w:t xml:space="preserve">яснення щодо норм Проєкту </w:t>
      </w:r>
      <w:r w:rsidR="00991381">
        <w:rPr>
          <w:sz w:val="28"/>
          <w:szCs w:val="28"/>
        </w:rPr>
        <w:t>постанови та</w:t>
      </w:r>
      <w:r>
        <w:rPr>
          <w:sz w:val="28"/>
          <w:szCs w:val="28"/>
        </w:rPr>
        <w:t xml:space="preserve"> надалі</w:t>
      </w:r>
      <w:r w:rsidRPr="00EF20A4">
        <w:rPr>
          <w:sz w:val="28"/>
          <w:szCs w:val="28"/>
        </w:rPr>
        <w:t xml:space="preserve"> надаватиме роз</w:t>
      </w:r>
      <w:r w:rsidR="008D2D8D">
        <w:rPr>
          <w:sz w:val="28"/>
          <w:szCs w:val="28"/>
        </w:rPr>
        <w:t>’</w:t>
      </w:r>
      <w:r w:rsidRPr="00EF20A4">
        <w:rPr>
          <w:sz w:val="28"/>
          <w:szCs w:val="28"/>
        </w:rPr>
        <w:t>яснення щодо застосування акта, який буде опубліковано в засобах масової інформації після набрання ним чинності.</w:t>
      </w:r>
    </w:p>
    <w:p w:rsidR="00991381" w:rsidRDefault="00991381" w:rsidP="0056405F">
      <w:pPr>
        <w:jc w:val="center"/>
        <w:rPr>
          <w:b/>
          <w:sz w:val="28"/>
          <w:szCs w:val="28"/>
        </w:rPr>
      </w:pPr>
    </w:p>
    <w:p w:rsidR="0056405F" w:rsidRPr="00EF20A4" w:rsidRDefault="0056405F" w:rsidP="0056405F">
      <w:pPr>
        <w:jc w:val="center"/>
        <w:rPr>
          <w:b/>
          <w:sz w:val="28"/>
          <w:szCs w:val="28"/>
        </w:rPr>
      </w:pPr>
      <w:r w:rsidRPr="00EF20A4">
        <w:rPr>
          <w:b/>
          <w:sz w:val="28"/>
          <w:szCs w:val="28"/>
        </w:rPr>
        <w:t>VIII. Очікувані результати прийняття регуляторного акта</w:t>
      </w:r>
    </w:p>
    <w:p w:rsidR="0056405F" w:rsidRPr="00EF20A4" w:rsidRDefault="0056405F" w:rsidP="0056405F">
      <w:pPr>
        <w:jc w:val="both"/>
        <w:rPr>
          <w:sz w:val="28"/>
          <w:szCs w:val="28"/>
        </w:rPr>
      </w:pPr>
    </w:p>
    <w:p w:rsidR="00F72AA1" w:rsidRDefault="0056405F" w:rsidP="00F72AA1">
      <w:pPr>
        <w:ind w:firstLine="426"/>
        <w:jc w:val="both"/>
        <w:rPr>
          <w:sz w:val="28"/>
          <w:szCs w:val="28"/>
        </w:rPr>
      </w:pPr>
      <w:r w:rsidRPr="00EF20A4">
        <w:rPr>
          <w:sz w:val="28"/>
          <w:szCs w:val="28"/>
        </w:rPr>
        <w:t xml:space="preserve">Результатом прийняття постанови НКРЕКП </w:t>
      </w:r>
      <w:r w:rsidR="008D2D8D" w:rsidRPr="008D2D8D">
        <w:rPr>
          <w:sz w:val="28"/>
          <w:szCs w:val="28"/>
        </w:rPr>
        <w:t>«</w:t>
      </w:r>
      <w:r w:rsidR="004C01DD" w:rsidRPr="004C01DD">
        <w:rPr>
          <w:sz w:val="28"/>
          <w:szCs w:val="28"/>
        </w:rPr>
        <w:t>Про затвердження Змін до Методики (порядку) формування плати за приєднання до системи передачі та системи розподілу</w:t>
      </w:r>
      <w:r w:rsidR="008D2D8D" w:rsidRPr="008D2D8D">
        <w:rPr>
          <w:sz w:val="28"/>
          <w:szCs w:val="28"/>
        </w:rPr>
        <w:t>»</w:t>
      </w:r>
      <w:r>
        <w:rPr>
          <w:sz w:val="28"/>
          <w:szCs w:val="28"/>
        </w:rPr>
        <w:t xml:space="preserve"> </w:t>
      </w:r>
      <w:r w:rsidRPr="00EF20A4">
        <w:rPr>
          <w:sz w:val="28"/>
          <w:szCs w:val="28"/>
        </w:rPr>
        <w:t>має стати</w:t>
      </w:r>
      <w:r w:rsidR="00F72AA1">
        <w:rPr>
          <w:sz w:val="28"/>
          <w:szCs w:val="28"/>
        </w:rPr>
        <w:t>:</w:t>
      </w:r>
    </w:p>
    <w:p w:rsidR="00543381" w:rsidRPr="00423C30" w:rsidRDefault="00543381" w:rsidP="00543381">
      <w:pPr>
        <w:pStyle w:val="a5"/>
        <w:spacing w:after="0"/>
        <w:ind w:left="0" w:firstLine="708"/>
        <w:jc w:val="both"/>
        <w:rPr>
          <w:sz w:val="28"/>
          <w:szCs w:val="28"/>
        </w:rPr>
      </w:pPr>
      <w:r w:rsidRPr="00423C30">
        <w:rPr>
          <w:sz w:val="28"/>
          <w:szCs w:val="28"/>
        </w:rPr>
        <w:t>удоскон</w:t>
      </w:r>
      <w:r>
        <w:rPr>
          <w:sz w:val="28"/>
          <w:szCs w:val="28"/>
        </w:rPr>
        <w:t>алення</w:t>
      </w:r>
      <w:r w:rsidRPr="00423C30">
        <w:rPr>
          <w:sz w:val="28"/>
          <w:szCs w:val="28"/>
        </w:rPr>
        <w:t xml:space="preserve"> підход</w:t>
      </w:r>
      <w:r>
        <w:rPr>
          <w:sz w:val="28"/>
          <w:szCs w:val="28"/>
        </w:rPr>
        <w:t>ів</w:t>
      </w:r>
      <w:r w:rsidRPr="00423C30">
        <w:rPr>
          <w:sz w:val="28"/>
          <w:szCs w:val="28"/>
        </w:rPr>
        <w:t xml:space="preserve"> до розрахунку ставок плати за стандартне та нестандартне приєднання;</w:t>
      </w:r>
    </w:p>
    <w:p w:rsidR="00543381" w:rsidRPr="00423C30" w:rsidRDefault="00543381" w:rsidP="00543381">
      <w:pPr>
        <w:pStyle w:val="a5"/>
        <w:spacing w:after="0"/>
        <w:ind w:left="0" w:firstLine="708"/>
        <w:jc w:val="both"/>
        <w:rPr>
          <w:sz w:val="28"/>
          <w:szCs w:val="28"/>
        </w:rPr>
      </w:pPr>
      <w:r w:rsidRPr="00423C30">
        <w:rPr>
          <w:sz w:val="28"/>
          <w:szCs w:val="28"/>
        </w:rPr>
        <w:t>актуаліз</w:t>
      </w:r>
      <w:r>
        <w:rPr>
          <w:sz w:val="28"/>
          <w:szCs w:val="28"/>
        </w:rPr>
        <w:t>ація</w:t>
      </w:r>
      <w:r w:rsidRPr="00423C30">
        <w:rPr>
          <w:sz w:val="28"/>
          <w:szCs w:val="28"/>
        </w:rPr>
        <w:t xml:space="preserve"> спос</w:t>
      </w:r>
      <w:r>
        <w:rPr>
          <w:sz w:val="28"/>
          <w:szCs w:val="28"/>
        </w:rPr>
        <w:t>о</w:t>
      </w:r>
      <w:r w:rsidRPr="00423C30">
        <w:rPr>
          <w:sz w:val="28"/>
          <w:szCs w:val="28"/>
        </w:rPr>
        <w:t>б</w:t>
      </w:r>
      <w:r>
        <w:rPr>
          <w:sz w:val="28"/>
          <w:szCs w:val="28"/>
        </w:rPr>
        <w:t>у</w:t>
      </w:r>
      <w:r w:rsidRPr="00423C30">
        <w:rPr>
          <w:sz w:val="28"/>
          <w:szCs w:val="28"/>
        </w:rPr>
        <w:t xml:space="preserve"> подачі операторами систем до Регулятора звітності щодо стану надання послуг з приєднання;</w:t>
      </w:r>
    </w:p>
    <w:p w:rsidR="00543381" w:rsidRPr="00423C30" w:rsidRDefault="00543381" w:rsidP="00543381">
      <w:pPr>
        <w:pStyle w:val="a5"/>
        <w:spacing w:after="0"/>
        <w:ind w:left="0" w:firstLine="708"/>
        <w:jc w:val="both"/>
        <w:rPr>
          <w:sz w:val="28"/>
          <w:szCs w:val="28"/>
        </w:rPr>
      </w:pPr>
      <w:r w:rsidRPr="00423C30">
        <w:rPr>
          <w:sz w:val="28"/>
          <w:szCs w:val="28"/>
        </w:rPr>
        <w:t>започаткува</w:t>
      </w:r>
      <w:r>
        <w:rPr>
          <w:sz w:val="28"/>
          <w:szCs w:val="28"/>
        </w:rPr>
        <w:t>ння</w:t>
      </w:r>
      <w:r w:rsidRPr="00423C30">
        <w:rPr>
          <w:sz w:val="28"/>
          <w:szCs w:val="28"/>
        </w:rPr>
        <w:t xml:space="preserve"> можл</w:t>
      </w:r>
      <w:r>
        <w:rPr>
          <w:sz w:val="28"/>
          <w:szCs w:val="28"/>
        </w:rPr>
        <w:t>ивості</w:t>
      </w:r>
      <w:r w:rsidRPr="00423C30">
        <w:rPr>
          <w:sz w:val="28"/>
          <w:szCs w:val="28"/>
        </w:rPr>
        <w:t xml:space="preserve"> за допомогою програмного комплексу (системи моніторингу приєднань) обміну між операторами систем та Регулятором інформацією щодо надання послуг з приєднання, зокрема можливості подачі звітності щодо стану надання послуг з приєднання;</w:t>
      </w:r>
    </w:p>
    <w:p w:rsidR="00543381" w:rsidRPr="00423C30" w:rsidRDefault="00543381" w:rsidP="00543381">
      <w:pPr>
        <w:pStyle w:val="a5"/>
        <w:spacing w:after="0"/>
        <w:ind w:left="0" w:firstLine="708"/>
        <w:jc w:val="both"/>
        <w:rPr>
          <w:sz w:val="28"/>
          <w:szCs w:val="28"/>
        </w:rPr>
      </w:pPr>
      <w:r w:rsidRPr="00423C30">
        <w:rPr>
          <w:sz w:val="28"/>
          <w:szCs w:val="28"/>
        </w:rPr>
        <w:t>удосконал</w:t>
      </w:r>
      <w:r>
        <w:rPr>
          <w:sz w:val="28"/>
          <w:szCs w:val="28"/>
        </w:rPr>
        <w:t>ення</w:t>
      </w:r>
      <w:r w:rsidRPr="00423C30">
        <w:rPr>
          <w:sz w:val="28"/>
          <w:szCs w:val="28"/>
        </w:rPr>
        <w:t xml:space="preserve"> підход</w:t>
      </w:r>
      <w:r>
        <w:rPr>
          <w:sz w:val="28"/>
          <w:szCs w:val="28"/>
        </w:rPr>
        <w:t>ів</w:t>
      </w:r>
      <w:r w:rsidRPr="00423C30">
        <w:rPr>
          <w:sz w:val="28"/>
          <w:szCs w:val="28"/>
        </w:rPr>
        <w:t xml:space="preserve"> до розрахунку величини дефіциту або профіциту коштів щодо надходжень та витрат, пов’язаних з наданням послуг з приєднання;</w:t>
      </w:r>
    </w:p>
    <w:p w:rsidR="00543381" w:rsidRPr="00360B02" w:rsidRDefault="00543381" w:rsidP="00543381">
      <w:pPr>
        <w:pStyle w:val="a5"/>
        <w:spacing w:after="0"/>
        <w:ind w:left="0" w:firstLine="708"/>
        <w:jc w:val="both"/>
        <w:rPr>
          <w:sz w:val="28"/>
          <w:szCs w:val="28"/>
          <w:highlight w:val="yellow"/>
        </w:rPr>
      </w:pPr>
      <w:r w:rsidRPr="00423C30">
        <w:rPr>
          <w:sz w:val="28"/>
          <w:szCs w:val="28"/>
        </w:rPr>
        <w:t>закріп</w:t>
      </w:r>
      <w:r>
        <w:rPr>
          <w:sz w:val="28"/>
          <w:szCs w:val="28"/>
        </w:rPr>
        <w:t>лення</w:t>
      </w:r>
      <w:r w:rsidRPr="00423C30">
        <w:rPr>
          <w:sz w:val="28"/>
          <w:szCs w:val="28"/>
        </w:rPr>
        <w:t xml:space="preserve"> особливост</w:t>
      </w:r>
      <w:r>
        <w:rPr>
          <w:sz w:val="28"/>
          <w:szCs w:val="28"/>
        </w:rPr>
        <w:t>ей</w:t>
      </w:r>
      <w:r w:rsidRPr="00423C30">
        <w:rPr>
          <w:sz w:val="28"/>
          <w:szCs w:val="28"/>
        </w:rPr>
        <w:t xml:space="preserve"> визначення плати за надання послуг з приєднання електроустановок замовників до малої системи розподілу тощо.</w:t>
      </w:r>
    </w:p>
    <w:p w:rsidR="0000373C" w:rsidRDefault="0000373C" w:rsidP="00F15D21">
      <w:pPr>
        <w:pStyle w:val="3"/>
        <w:spacing w:after="0"/>
        <w:ind w:left="0" w:firstLine="426"/>
        <w:jc w:val="both"/>
        <w:rPr>
          <w:sz w:val="28"/>
          <w:szCs w:val="28"/>
        </w:rPr>
      </w:pPr>
    </w:p>
    <w:p w:rsidR="0000373C" w:rsidRPr="000A4DC6" w:rsidRDefault="0000373C" w:rsidP="00F15D21">
      <w:pPr>
        <w:pStyle w:val="3"/>
        <w:spacing w:after="0"/>
        <w:ind w:left="0" w:firstLine="426"/>
        <w:jc w:val="both"/>
        <w:rPr>
          <w:sz w:val="28"/>
          <w:szCs w:val="28"/>
        </w:rPr>
      </w:pPr>
    </w:p>
    <w:p w:rsidR="00B336E1" w:rsidRDefault="00B336E1" w:rsidP="0056405F">
      <w:pPr>
        <w:jc w:val="both"/>
        <w:rPr>
          <w:b/>
          <w:sz w:val="28"/>
          <w:szCs w:val="28"/>
        </w:rPr>
      </w:pPr>
    </w:p>
    <w:p w:rsidR="0056405F" w:rsidRPr="005558AE" w:rsidRDefault="0056405F" w:rsidP="0056405F">
      <w:pPr>
        <w:jc w:val="both"/>
        <w:rPr>
          <w:sz w:val="28"/>
          <w:szCs w:val="28"/>
        </w:rPr>
      </w:pPr>
      <w:r w:rsidRPr="005558AE">
        <w:rPr>
          <w:b/>
          <w:sz w:val="28"/>
          <w:szCs w:val="28"/>
        </w:rPr>
        <w:t>Голов</w:t>
      </w:r>
      <w:r w:rsidR="00F72AA1">
        <w:rPr>
          <w:b/>
          <w:sz w:val="28"/>
          <w:szCs w:val="28"/>
        </w:rPr>
        <w:t>а</w:t>
      </w:r>
      <w:r w:rsidRPr="005558AE">
        <w:rPr>
          <w:b/>
          <w:sz w:val="28"/>
          <w:szCs w:val="28"/>
        </w:rPr>
        <w:t xml:space="preserve"> НКРЕКП</w:t>
      </w:r>
      <w:r w:rsidRPr="005558AE">
        <w:rPr>
          <w:b/>
          <w:sz w:val="28"/>
          <w:szCs w:val="28"/>
        </w:rPr>
        <w:tab/>
      </w:r>
      <w:r w:rsidRPr="005558AE">
        <w:rPr>
          <w:b/>
          <w:sz w:val="28"/>
          <w:szCs w:val="28"/>
        </w:rPr>
        <w:tab/>
      </w:r>
      <w:r w:rsidRPr="005558AE">
        <w:rPr>
          <w:b/>
          <w:sz w:val="28"/>
          <w:szCs w:val="28"/>
        </w:rPr>
        <w:tab/>
      </w:r>
      <w:r w:rsidR="00543381">
        <w:rPr>
          <w:b/>
          <w:sz w:val="28"/>
          <w:szCs w:val="28"/>
        </w:rPr>
        <w:tab/>
      </w:r>
      <w:r w:rsidR="00543381">
        <w:rPr>
          <w:b/>
          <w:sz w:val="28"/>
          <w:szCs w:val="28"/>
        </w:rPr>
        <w:tab/>
      </w:r>
      <w:r w:rsidRPr="005558AE">
        <w:rPr>
          <w:b/>
          <w:sz w:val="28"/>
          <w:szCs w:val="28"/>
        </w:rPr>
        <w:tab/>
      </w:r>
      <w:r w:rsidRPr="005558AE">
        <w:rPr>
          <w:b/>
          <w:sz w:val="28"/>
          <w:szCs w:val="28"/>
        </w:rPr>
        <w:tab/>
      </w:r>
      <w:r w:rsidR="00543381">
        <w:rPr>
          <w:b/>
          <w:sz w:val="28"/>
          <w:szCs w:val="28"/>
        </w:rPr>
        <w:t>Валерій ТАРАСЮК</w:t>
      </w:r>
    </w:p>
    <w:p w:rsidR="0056405F" w:rsidRDefault="0056405F" w:rsidP="0056405F">
      <w:pPr>
        <w:jc w:val="both"/>
        <w:rPr>
          <w:sz w:val="14"/>
          <w:szCs w:val="28"/>
        </w:rPr>
      </w:pPr>
    </w:p>
    <w:p w:rsidR="0056405F" w:rsidRDefault="0056405F" w:rsidP="0056405F">
      <w:pPr>
        <w:jc w:val="both"/>
        <w:rPr>
          <w:sz w:val="14"/>
          <w:szCs w:val="28"/>
        </w:rPr>
      </w:pPr>
    </w:p>
    <w:p w:rsidR="0056405F" w:rsidRDefault="0056405F" w:rsidP="0056405F">
      <w:pPr>
        <w:jc w:val="both"/>
        <w:rPr>
          <w:sz w:val="14"/>
          <w:szCs w:val="28"/>
        </w:rPr>
      </w:pPr>
    </w:p>
    <w:p w:rsidR="00EC53EB" w:rsidRPr="00991381" w:rsidRDefault="0056405F" w:rsidP="00991381">
      <w:pPr>
        <w:jc w:val="both"/>
        <w:rPr>
          <w:sz w:val="28"/>
          <w:szCs w:val="28"/>
        </w:rPr>
      </w:pPr>
      <w:r w:rsidRPr="005558AE">
        <w:rPr>
          <w:sz w:val="28"/>
          <w:szCs w:val="28"/>
        </w:rPr>
        <w:t>«</w:t>
      </w:r>
      <w:r w:rsidR="008D2D8D">
        <w:rPr>
          <w:sz w:val="28"/>
          <w:szCs w:val="28"/>
        </w:rPr>
        <w:t>__</w:t>
      </w:r>
      <w:r w:rsidR="00557803" w:rsidRPr="00A47363">
        <w:rPr>
          <w:sz w:val="28"/>
          <w:szCs w:val="28"/>
          <w:lang w:val="ru-RU"/>
        </w:rPr>
        <w:t>_</w:t>
      </w:r>
      <w:r w:rsidRPr="005558AE">
        <w:rPr>
          <w:sz w:val="28"/>
          <w:szCs w:val="28"/>
        </w:rPr>
        <w:t>»</w:t>
      </w:r>
      <w:r w:rsidRPr="0056405F">
        <w:rPr>
          <w:sz w:val="28"/>
          <w:szCs w:val="28"/>
          <w:lang w:val="ru-RU"/>
        </w:rPr>
        <w:t xml:space="preserve"> </w:t>
      </w:r>
      <w:r w:rsidR="00745E63" w:rsidRPr="0000373C">
        <w:rPr>
          <w:sz w:val="28"/>
          <w:szCs w:val="28"/>
          <w:lang w:val="ru-RU"/>
        </w:rPr>
        <w:t xml:space="preserve">               </w:t>
      </w:r>
      <w:r>
        <w:rPr>
          <w:sz w:val="28"/>
          <w:szCs w:val="28"/>
          <w:lang w:val="ru-RU"/>
        </w:rPr>
        <w:t xml:space="preserve"> </w:t>
      </w:r>
      <w:r w:rsidRPr="005558AE">
        <w:rPr>
          <w:sz w:val="28"/>
          <w:szCs w:val="28"/>
        </w:rPr>
        <w:t>202</w:t>
      </w:r>
      <w:r w:rsidR="00543381">
        <w:rPr>
          <w:sz w:val="28"/>
          <w:szCs w:val="28"/>
        </w:rPr>
        <w:t>4</w:t>
      </w:r>
      <w:r w:rsidRPr="005558AE">
        <w:rPr>
          <w:sz w:val="28"/>
          <w:szCs w:val="28"/>
        </w:rPr>
        <w:t xml:space="preserve"> р</w:t>
      </w:r>
      <w:r w:rsidR="008D2D8D">
        <w:rPr>
          <w:sz w:val="28"/>
          <w:szCs w:val="28"/>
        </w:rPr>
        <w:t>оку</w:t>
      </w:r>
    </w:p>
    <w:sectPr w:rsidR="00EC53EB" w:rsidRPr="00991381" w:rsidSect="00B336E1">
      <w:headerReference w:type="default" r:id="rId8"/>
      <w:pgSz w:w="11907" w:h="16840" w:code="9"/>
      <w:pgMar w:top="993" w:right="709" w:bottom="993" w:left="1134" w:header="720" w:footer="59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393" w:rsidRDefault="00603393">
      <w:r>
        <w:separator/>
      </w:r>
    </w:p>
  </w:endnote>
  <w:endnote w:type="continuationSeparator" w:id="0">
    <w:p w:rsidR="00603393" w:rsidRDefault="00603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393" w:rsidRDefault="00603393">
      <w:r>
        <w:separator/>
      </w:r>
    </w:p>
  </w:footnote>
  <w:footnote w:type="continuationSeparator" w:id="0">
    <w:p w:rsidR="00603393" w:rsidRDefault="00603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13" w:rsidRDefault="008D2D8D">
    <w:pPr>
      <w:pStyle w:val="a3"/>
      <w:jc w:val="center"/>
    </w:pPr>
    <w:r>
      <w:fldChar w:fldCharType="begin"/>
    </w:r>
    <w:r>
      <w:instrText>PAGE   \* MERGEFORMAT</w:instrText>
    </w:r>
    <w:r>
      <w:fldChar w:fldCharType="separate"/>
    </w:r>
    <w:r w:rsidR="00B71FD2">
      <w:rPr>
        <w:noProof/>
      </w:rPr>
      <w:t>7</w:t>
    </w:r>
    <w:r>
      <w:fldChar w:fldCharType="end"/>
    </w:r>
  </w:p>
  <w:p w:rsidR="007D1213" w:rsidRDefault="00B0360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31749"/>
    <w:multiLevelType w:val="hybridMultilevel"/>
    <w:tmpl w:val="5A1684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3EA4896"/>
    <w:multiLevelType w:val="hybridMultilevel"/>
    <w:tmpl w:val="CD3623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36F76EC3"/>
    <w:multiLevelType w:val="hybridMultilevel"/>
    <w:tmpl w:val="1E7A80A2"/>
    <w:lvl w:ilvl="0" w:tplc="3832454E">
      <w:start w:val="23"/>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3" w15:restartNumberingAfterBreak="0">
    <w:nsid w:val="4FF3593F"/>
    <w:multiLevelType w:val="hybridMultilevel"/>
    <w:tmpl w:val="555E72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515C00E8"/>
    <w:multiLevelType w:val="hybridMultilevel"/>
    <w:tmpl w:val="5E1495F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5E1804DE"/>
    <w:multiLevelType w:val="hybridMultilevel"/>
    <w:tmpl w:val="555E72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F381521"/>
    <w:multiLevelType w:val="hybridMultilevel"/>
    <w:tmpl w:val="5A1684E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405F"/>
    <w:rsid w:val="0000373C"/>
    <w:rsid w:val="00014092"/>
    <w:rsid w:val="00017CEA"/>
    <w:rsid w:val="00044343"/>
    <w:rsid w:val="000A6CBE"/>
    <w:rsid w:val="000B5D93"/>
    <w:rsid w:val="000C6A2A"/>
    <w:rsid w:val="00170781"/>
    <w:rsid w:val="0017476D"/>
    <w:rsid w:val="00186418"/>
    <w:rsid w:val="001A67BE"/>
    <w:rsid w:val="001B6AF9"/>
    <w:rsid w:val="002069AF"/>
    <w:rsid w:val="00215503"/>
    <w:rsid w:val="00270853"/>
    <w:rsid w:val="00295A0A"/>
    <w:rsid w:val="0029713C"/>
    <w:rsid w:val="00304574"/>
    <w:rsid w:val="00327A3C"/>
    <w:rsid w:val="003E1F55"/>
    <w:rsid w:val="003F2866"/>
    <w:rsid w:val="00407C41"/>
    <w:rsid w:val="00423C30"/>
    <w:rsid w:val="0045078A"/>
    <w:rsid w:val="004C01DD"/>
    <w:rsid w:val="004D4998"/>
    <w:rsid w:val="004D6FC1"/>
    <w:rsid w:val="0054096C"/>
    <w:rsid w:val="00543381"/>
    <w:rsid w:val="005572BF"/>
    <w:rsid w:val="00557803"/>
    <w:rsid w:val="0056405F"/>
    <w:rsid w:val="005B6770"/>
    <w:rsid w:val="005C3765"/>
    <w:rsid w:val="005C4665"/>
    <w:rsid w:val="005E552B"/>
    <w:rsid w:val="00603393"/>
    <w:rsid w:val="0060512F"/>
    <w:rsid w:val="00660B30"/>
    <w:rsid w:val="00664823"/>
    <w:rsid w:val="006C1ED2"/>
    <w:rsid w:val="00745E63"/>
    <w:rsid w:val="0077564E"/>
    <w:rsid w:val="007A0314"/>
    <w:rsid w:val="007B0968"/>
    <w:rsid w:val="007F4524"/>
    <w:rsid w:val="00800004"/>
    <w:rsid w:val="00830EE0"/>
    <w:rsid w:val="008D2D8D"/>
    <w:rsid w:val="00911072"/>
    <w:rsid w:val="009539F8"/>
    <w:rsid w:val="00962651"/>
    <w:rsid w:val="00991381"/>
    <w:rsid w:val="009A4041"/>
    <w:rsid w:val="00A053A7"/>
    <w:rsid w:val="00A14916"/>
    <w:rsid w:val="00A35A9C"/>
    <w:rsid w:val="00A47363"/>
    <w:rsid w:val="00A91404"/>
    <w:rsid w:val="00AE3B94"/>
    <w:rsid w:val="00B03607"/>
    <w:rsid w:val="00B10C52"/>
    <w:rsid w:val="00B33535"/>
    <w:rsid w:val="00B336E1"/>
    <w:rsid w:val="00B6058C"/>
    <w:rsid w:val="00B71FD2"/>
    <w:rsid w:val="00B729BC"/>
    <w:rsid w:val="00B812FC"/>
    <w:rsid w:val="00BB3BAC"/>
    <w:rsid w:val="00BC4B32"/>
    <w:rsid w:val="00C21676"/>
    <w:rsid w:val="00C70CCC"/>
    <w:rsid w:val="00CF43EF"/>
    <w:rsid w:val="00D45020"/>
    <w:rsid w:val="00DB10AE"/>
    <w:rsid w:val="00E15978"/>
    <w:rsid w:val="00E23ACA"/>
    <w:rsid w:val="00E343D0"/>
    <w:rsid w:val="00E67114"/>
    <w:rsid w:val="00E70828"/>
    <w:rsid w:val="00EA6575"/>
    <w:rsid w:val="00EB6A37"/>
    <w:rsid w:val="00EC0E8A"/>
    <w:rsid w:val="00EC53EB"/>
    <w:rsid w:val="00ED27FA"/>
    <w:rsid w:val="00F13CFE"/>
    <w:rsid w:val="00F15D21"/>
    <w:rsid w:val="00F40038"/>
    <w:rsid w:val="00F72AA1"/>
    <w:rsid w:val="00F83CA0"/>
    <w:rsid w:val="00F86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B876E"/>
  <w15:docId w15:val="{7C09C634-8BBE-4E8F-A973-807E27DF8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05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405F"/>
    <w:pPr>
      <w:tabs>
        <w:tab w:val="center" w:pos="4536"/>
        <w:tab w:val="right" w:pos="9072"/>
      </w:tabs>
    </w:pPr>
  </w:style>
  <w:style w:type="character" w:customStyle="1" w:styleId="a4">
    <w:name w:val="Верхній колонтитул Знак"/>
    <w:basedOn w:val="a0"/>
    <w:link w:val="a3"/>
    <w:uiPriority w:val="99"/>
    <w:rsid w:val="0056405F"/>
    <w:rPr>
      <w:rFonts w:ascii="Times New Roman" w:eastAsia="Times New Roman" w:hAnsi="Times New Roman" w:cs="Times New Roman"/>
      <w:sz w:val="20"/>
      <w:szCs w:val="20"/>
      <w:lang w:eastAsia="ru-RU"/>
    </w:rPr>
  </w:style>
  <w:style w:type="paragraph" w:styleId="2">
    <w:name w:val="Body Text 2"/>
    <w:basedOn w:val="a"/>
    <w:link w:val="20"/>
    <w:rsid w:val="0056405F"/>
    <w:pPr>
      <w:spacing w:after="120" w:line="480" w:lineRule="auto"/>
    </w:pPr>
    <w:rPr>
      <w:sz w:val="24"/>
      <w:szCs w:val="24"/>
    </w:rPr>
  </w:style>
  <w:style w:type="character" w:customStyle="1" w:styleId="20">
    <w:name w:val="Основний текст 2 Знак"/>
    <w:basedOn w:val="a0"/>
    <w:link w:val="2"/>
    <w:rsid w:val="0056405F"/>
    <w:rPr>
      <w:rFonts w:ascii="Times New Roman" w:eastAsia="Times New Roman" w:hAnsi="Times New Roman" w:cs="Times New Roman"/>
      <w:sz w:val="24"/>
      <w:szCs w:val="24"/>
      <w:lang w:eastAsia="ru-RU"/>
    </w:rPr>
  </w:style>
  <w:style w:type="paragraph" w:styleId="a5">
    <w:name w:val="Body Text Indent"/>
    <w:basedOn w:val="a"/>
    <w:link w:val="a6"/>
    <w:rsid w:val="0056405F"/>
    <w:pPr>
      <w:spacing w:after="120"/>
      <w:ind w:left="283"/>
    </w:pPr>
  </w:style>
  <w:style w:type="character" w:customStyle="1" w:styleId="a6">
    <w:name w:val="Основний текст з відступом Знак"/>
    <w:basedOn w:val="a0"/>
    <w:link w:val="a5"/>
    <w:rsid w:val="0056405F"/>
    <w:rPr>
      <w:rFonts w:ascii="Times New Roman" w:eastAsia="Times New Roman" w:hAnsi="Times New Roman" w:cs="Times New Roman"/>
      <w:sz w:val="20"/>
      <w:szCs w:val="20"/>
      <w:lang w:eastAsia="ru-RU"/>
    </w:rPr>
  </w:style>
  <w:style w:type="character" w:styleId="a7">
    <w:name w:val="Hyperlink"/>
    <w:rsid w:val="0056405F"/>
    <w:rPr>
      <w:color w:val="0000FF"/>
      <w:u w:val="single"/>
    </w:rPr>
  </w:style>
  <w:style w:type="paragraph" w:styleId="a8">
    <w:name w:val="Normal (Web)"/>
    <w:basedOn w:val="a"/>
    <w:rsid w:val="0056405F"/>
    <w:pPr>
      <w:spacing w:before="100" w:beforeAutospacing="1" w:after="100" w:afterAutospacing="1"/>
    </w:pPr>
    <w:rPr>
      <w:sz w:val="24"/>
      <w:szCs w:val="24"/>
      <w:lang w:val="ru-RU"/>
    </w:rPr>
  </w:style>
  <w:style w:type="paragraph" w:styleId="3">
    <w:name w:val="Body Text Indent 3"/>
    <w:basedOn w:val="a"/>
    <w:link w:val="30"/>
    <w:rsid w:val="0056405F"/>
    <w:pPr>
      <w:spacing w:after="120"/>
      <w:ind w:left="283"/>
    </w:pPr>
    <w:rPr>
      <w:sz w:val="16"/>
      <w:szCs w:val="16"/>
    </w:rPr>
  </w:style>
  <w:style w:type="character" w:customStyle="1" w:styleId="30">
    <w:name w:val="Основний текст з відступом 3 Знак"/>
    <w:basedOn w:val="a0"/>
    <w:link w:val="3"/>
    <w:rsid w:val="0056405F"/>
    <w:rPr>
      <w:rFonts w:ascii="Times New Roman" w:eastAsia="Times New Roman" w:hAnsi="Times New Roman" w:cs="Times New Roman"/>
      <w:sz w:val="16"/>
      <w:szCs w:val="16"/>
      <w:lang w:eastAsia="ru-RU"/>
    </w:rPr>
  </w:style>
  <w:style w:type="paragraph" w:customStyle="1" w:styleId="a9">
    <w:name w:val="Знак Знак Знак Знак Знак Знак Знак"/>
    <w:basedOn w:val="a"/>
    <w:rsid w:val="0056405F"/>
    <w:rPr>
      <w:rFonts w:ascii="Verdana" w:hAnsi="Verdana" w:cs="Verdana"/>
      <w:lang w:val="en-US" w:eastAsia="en-US"/>
    </w:rPr>
  </w:style>
  <w:style w:type="character" w:customStyle="1" w:styleId="rvts23">
    <w:name w:val="rvts23"/>
    <w:rsid w:val="0056405F"/>
  </w:style>
  <w:style w:type="character" w:customStyle="1" w:styleId="rvts9">
    <w:name w:val="rvts9"/>
    <w:rsid w:val="0056405F"/>
  </w:style>
  <w:style w:type="character" w:customStyle="1" w:styleId="rvts0">
    <w:name w:val="rvts0"/>
    <w:rsid w:val="0056405F"/>
  </w:style>
  <w:style w:type="paragraph" w:customStyle="1" w:styleId="rvps2">
    <w:name w:val="rvps2"/>
    <w:basedOn w:val="a"/>
    <w:rsid w:val="0056405F"/>
    <w:pPr>
      <w:spacing w:before="100" w:beforeAutospacing="1" w:after="100" w:afterAutospacing="1"/>
    </w:pPr>
    <w:rPr>
      <w:sz w:val="24"/>
      <w:szCs w:val="24"/>
      <w:lang w:eastAsia="uk-UA"/>
    </w:rPr>
  </w:style>
  <w:style w:type="paragraph" w:customStyle="1" w:styleId="aa">
    <w:name w:val="Знак Знак Знак Знак Знак Знак Знак"/>
    <w:basedOn w:val="a"/>
    <w:rsid w:val="00295A0A"/>
    <w:rPr>
      <w:rFonts w:ascii="Verdana" w:hAnsi="Verdana" w:cs="Verdana"/>
      <w:lang w:val="en-US" w:eastAsia="en-US"/>
    </w:rPr>
  </w:style>
  <w:style w:type="paragraph" w:styleId="ab">
    <w:name w:val="List Paragraph"/>
    <w:basedOn w:val="a"/>
    <w:uiPriority w:val="34"/>
    <w:qFormat/>
    <w:rsid w:val="00B72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79662">
      <w:bodyDiv w:val="1"/>
      <w:marLeft w:val="0"/>
      <w:marRight w:val="0"/>
      <w:marTop w:val="0"/>
      <w:marBottom w:val="0"/>
      <w:divBdr>
        <w:top w:val="none" w:sz="0" w:space="0" w:color="auto"/>
        <w:left w:val="none" w:sz="0" w:space="0" w:color="auto"/>
        <w:bottom w:val="none" w:sz="0" w:space="0" w:color="auto"/>
        <w:right w:val="none" w:sz="0" w:space="0" w:color="auto"/>
      </w:divBdr>
    </w:div>
    <w:div w:id="859246627">
      <w:bodyDiv w:val="1"/>
      <w:marLeft w:val="0"/>
      <w:marRight w:val="0"/>
      <w:marTop w:val="0"/>
      <w:marBottom w:val="0"/>
      <w:divBdr>
        <w:top w:val="none" w:sz="0" w:space="0" w:color="auto"/>
        <w:left w:val="none" w:sz="0" w:space="0" w:color="auto"/>
        <w:bottom w:val="none" w:sz="0" w:space="0" w:color="auto"/>
        <w:right w:val="none" w:sz="0" w:space="0" w:color="auto"/>
      </w:divBdr>
    </w:div>
    <w:div w:id="933130088">
      <w:bodyDiv w:val="1"/>
      <w:marLeft w:val="0"/>
      <w:marRight w:val="0"/>
      <w:marTop w:val="0"/>
      <w:marBottom w:val="0"/>
      <w:divBdr>
        <w:top w:val="none" w:sz="0" w:space="0" w:color="auto"/>
        <w:left w:val="none" w:sz="0" w:space="0" w:color="auto"/>
        <w:bottom w:val="none" w:sz="0" w:space="0" w:color="auto"/>
        <w:right w:val="none" w:sz="0" w:space="0" w:color="auto"/>
      </w:divBdr>
    </w:div>
    <w:div w:id="984745908">
      <w:bodyDiv w:val="1"/>
      <w:marLeft w:val="0"/>
      <w:marRight w:val="0"/>
      <w:marTop w:val="0"/>
      <w:marBottom w:val="0"/>
      <w:divBdr>
        <w:top w:val="none" w:sz="0" w:space="0" w:color="auto"/>
        <w:left w:val="none" w:sz="0" w:space="0" w:color="auto"/>
        <w:bottom w:val="none" w:sz="0" w:space="0" w:color="auto"/>
        <w:right w:val="none" w:sz="0" w:space="0" w:color="auto"/>
      </w:divBdr>
    </w:div>
    <w:div w:id="1030182910">
      <w:bodyDiv w:val="1"/>
      <w:marLeft w:val="0"/>
      <w:marRight w:val="0"/>
      <w:marTop w:val="0"/>
      <w:marBottom w:val="0"/>
      <w:divBdr>
        <w:top w:val="none" w:sz="0" w:space="0" w:color="auto"/>
        <w:left w:val="none" w:sz="0" w:space="0" w:color="auto"/>
        <w:bottom w:val="none" w:sz="0" w:space="0" w:color="auto"/>
        <w:right w:val="none" w:sz="0" w:space="0" w:color="auto"/>
      </w:divBdr>
    </w:div>
    <w:div w:id="174267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e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7</Pages>
  <Words>1875</Words>
  <Characters>10691</Characters>
  <Application>Microsoft Office Word</Application>
  <DocSecurity>0</DocSecurity>
  <Lines>89</Lines>
  <Paragraphs>25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Волков</cp:lastModifiedBy>
  <cp:revision>43</cp:revision>
  <dcterms:created xsi:type="dcterms:W3CDTF">2022-06-28T10:28:00Z</dcterms:created>
  <dcterms:modified xsi:type="dcterms:W3CDTF">2024-03-15T13:36:00Z</dcterms:modified>
</cp:coreProperties>
</file>