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0733" w:rsidRPr="00F90677" w:rsidRDefault="00690733" w:rsidP="00D10E75">
      <w:pPr>
        <w:ind w:right="-30"/>
        <w:jc w:val="center"/>
        <w:rPr>
          <w:rFonts w:ascii="Times New Roman" w:hAnsi="Times New Roman" w:cs="Times New Roman"/>
          <w:b/>
          <w:sz w:val="28"/>
          <w:szCs w:val="28"/>
        </w:rPr>
      </w:pPr>
      <w:r w:rsidRPr="00F90677">
        <w:rPr>
          <w:rFonts w:ascii="Times New Roman" w:hAnsi="Times New Roman" w:cs="Times New Roman"/>
          <w:b/>
          <w:sz w:val="28"/>
          <w:szCs w:val="28"/>
        </w:rPr>
        <w:t>Порівняльна таблиця до проєкту постанови НКРЕКП «</w:t>
      </w:r>
      <w:r w:rsidR="00D012B4" w:rsidRPr="00D012B4">
        <w:rPr>
          <w:rFonts w:ascii="Times New Roman" w:hAnsi="Times New Roman" w:cs="Times New Roman"/>
          <w:b/>
          <w:sz w:val="28"/>
          <w:szCs w:val="28"/>
        </w:rPr>
        <w:t xml:space="preserve">Про </w:t>
      </w:r>
      <w:r w:rsidR="00281235">
        <w:rPr>
          <w:rFonts w:ascii="Times New Roman" w:hAnsi="Times New Roman" w:cs="Times New Roman"/>
          <w:b/>
          <w:sz w:val="28"/>
          <w:szCs w:val="28"/>
        </w:rPr>
        <w:t>затвердження Змін</w:t>
      </w:r>
      <w:r w:rsidR="00D012B4" w:rsidRPr="00D012B4">
        <w:rPr>
          <w:rFonts w:ascii="Times New Roman" w:hAnsi="Times New Roman" w:cs="Times New Roman"/>
          <w:b/>
          <w:sz w:val="28"/>
          <w:szCs w:val="28"/>
        </w:rPr>
        <w:t xml:space="preserve"> до </w:t>
      </w:r>
      <w:r w:rsidR="00D10E75" w:rsidRPr="00D10E75">
        <w:rPr>
          <w:rFonts w:ascii="Times New Roman" w:hAnsi="Times New Roman" w:cs="Times New Roman"/>
          <w:b/>
          <w:sz w:val="28"/>
          <w:szCs w:val="28"/>
        </w:rPr>
        <w:t>М</w:t>
      </w:r>
      <w:r w:rsidR="00281235" w:rsidRPr="00D10E75">
        <w:rPr>
          <w:rFonts w:ascii="Times New Roman" w:hAnsi="Times New Roman" w:cs="Times New Roman"/>
          <w:b/>
          <w:sz w:val="28"/>
          <w:szCs w:val="28"/>
        </w:rPr>
        <w:t>етодик</w:t>
      </w:r>
      <w:r w:rsidR="00281235">
        <w:rPr>
          <w:rFonts w:ascii="Times New Roman" w:hAnsi="Times New Roman" w:cs="Times New Roman"/>
          <w:b/>
          <w:sz w:val="28"/>
          <w:szCs w:val="28"/>
        </w:rPr>
        <w:t>и</w:t>
      </w:r>
      <w:r w:rsidR="00D10E75" w:rsidRPr="00D10E75">
        <w:rPr>
          <w:rFonts w:ascii="Times New Roman" w:hAnsi="Times New Roman" w:cs="Times New Roman"/>
          <w:b/>
          <w:sz w:val="28"/>
          <w:szCs w:val="28"/>
        </w:rPr>
        <w:t xml:space="preserve"> (</w:t>
      </w:r>
      <w:r w:rsidR="00281235" w:rsidRPr="00D10E75">
        <w:rPr>
          <w:rFonts w:ascii="Times New Roman" w:hAnsi="Times New Roman" w:cs="Times New Roman"/>
          <w:b/>
          <w:sz w:val="28"/>
          <w:szCs w:val="28"/>
        </w:rPr>
        <w:t>поряд</w:t>
      </w:r>
      <w:r w:rsidR="00281235">
        <w:rPr>
          <w:rFonts w:ascii="Times New Roman" w:hAnsi="Times New Roman" w:cs="Times New Roman"/>
          <w:b/>
          <w:sz w:val="28"/>
          <w:szCs w:val="28"/>
        </w:rPr>
        <w:t>ку</w:t>
      </w:r>
      <w:r w:rsidR="00D10E75" w:rsidRPr="00D10E75">
        <w:rPr>
          <w:rFonts w:ascii="Times New Roman" w:hAnsi="Times New Roman" w:cs="Times New Roman"/>
          <w:b/>
          <w:sz w:val="28"/>
          <w:szCs w:val="28"/>
        </w:rPr>
        <w:t>)</w:t>
      </w:r>
      <w:r w:rsidR="00281235">
        <w:rPr>
          <w:rFonts w:ascii="Times New Roman" w:hAnsi="Times New Roman" w:cs="Times New Roman"/>
          <w:b/>
          <w:sz w:val="28"/>
          <w:szCs w:val="28"/>
        </w:rPr>
        <w:t xml:space="preserve"> </w:t>
      </w:r>
      <w:r w:rsidR="00D10E75" w:rsidRPr="00D10E75">
        <w:rPr>
          <w:rFonts w:ascii="Times New Roman" w:hAnsi="Times New Roman" w:cs="Times New Roman"/>
          <w:b/>
          <w:sz w:val="28"/>
          <w:szCs w:val="28"/>
        </w:rPr>
        <w:t>формування плати за приєднання до системи передачі та системи розподілу</w:t>
      </w:r>
      <w:r w:rsidRPr="00F90677">
        <w:rPr>
          <w:rFonts w:ascii="Times New Roman" w:hAnsi="Times New Roman" w:cs="Times New Roman"/>
          <w:b/>
          <w:sz w:val="28"/>
          <w:szCs w:val="28"/>
        </w:rPr>
        <w:t>»</w:t>
      </w:r>
    </w:p>
    <w:tbl>
      <w:tblPr>
        <w:tblStyle w:val="a3"/>
        <w:tblW w:w="15877" w:type="dxa"/>
        <w:tblInd w:w="-289" w:type="dxa"/>
        <w:tblLook w:val="04A0" w:firstRow="1" w:lastRow="0" w:firstColumn="1" w:lastColumn="0" w:noHBand="0" w:noVBand="1"/>
      </w:tblPr>
      <w:tblGrid>
        <w:gridCol w:w="8404"/>
        <w:gridCol w:w="7473"/>
      </w:tblGrid>
      <w:tr w:rsidR="00EF1540" w:rsidRPr="00EF1540" w:rsidTr="00D426BB">
        <w:tc>
          <w:tcPr>
            <w:tcW w:w="8731" w:type="dxa"/>
          </w:tcPr>
          <w:p w:rsidR="00690733" w:rsidRPr="00EF1540" w:rsidRDefault="00690733" w:rsidP="00ED5210">
            <w:pPr>
              <w:pStyle w:val="3"/>
              <w:jc w:val="center"/>
              <w:outlineLvl w:val="2"/>
              <w:rPr>
                <w:rFonts w:eastAsia="Times New Roman"/>
                <w:b w:val="0"/>
                <w:sz w:val="28"/>
              </w:rPr>
            </w:pPr>
            <w:r w:rsidRPr="00EF1540">
              <w:rPr>
                <w:rFonts w:eastAsia="Times New Roman"/>
                <w:b w:val="0"/>
                <w:sz w:val="28"/>
              </w:rPr>
              <w:t>Положення діючої редакції</w:t>
            </w:r>
          </w:p>
        </w:tc>
        <w:tc>
          <w:tcPr>
            <w:tcW w:w="7146" w:type="dxa"/>
          </w:tcPr>
          <w:p w:rsidR="00690733" w:rsidRPr="00EF1540" w:rsidRDefault="00690733" w:rsidP="00ED5210">
            <w:pPr>
              <w:pStyle w:val="3"/>
              <w:jc w:val="center"/>
              <w:outlineLvl w:val="2"/>
              <w:rPr>
                <w:rFonts w:eastAsia="Times New Roman"/>
                <w:b w:val="0"/>
                <w:sz w:val="28"/>
              </w:rPr>
            </w:pPr>
            <w:r w:rsidRPr="00EF1540">
              <w:rPr>
                <w:rFonts w:eastAsia="Times New Roman"/>
                <w:b w:val="0"/>
                <w:sz w:val="28"/>
              </w:rPr>
              <w:t>Зміст положень проєкту постанови</w:t>
            </w:r>
          </w:p>
        </w:tc>
      </w:tr>
      <w:tr w:rsidR="00EF1540" w:rsidRPr="00EF1540" w:rsidTr="00D426BB">
        <w:tc>
          <w:tcPr>
            <w:tcW w:w="15877" w:type="dxa"/>
            <w:gridSpan w:val="2"/>
          </w:tcPr>
          <w:p w:rsidR="00281235" w:rsidRPr="00EF1540" w:rsidRDefault="00281235" w:rsidP="00281235">
            <w:pPr>
              <w:pStyle w:val="3"/>
              <w:jc w:val="center"/>
              <w:outlineLvl w:val="2"/>
              <w:rPr>
                <w:rFonts w:eastAsia="Times New Roman"/>
                <w:sz w:val="28"/>
              </w:rPr>
            </w:pPr>
            <w:r w:rsidRPr="00EF1540">
              <w:rPr>
                <w:rFonts w:eastAsia="Times New Roman"/>
                <w:sz w:val="28"/>
              </w:rPr>
              <w:t>Постанова «</w:t>
            </w:r>
            <w:r w:rsidRPr="00EF1540">
              <w:rPr>
                <w:sz w:val="28"/>
                <w:szCs w:val="28"/>
              </w:rPr>
              <w:t>Про затвердження Змін до Методики (порядку) формування плати за приєднання до системи передачі та системи розподілу»</w:t>
            </w:r>
          </w:p>
        </w:tc>
      </w:tr>
      <w:tr w:rsidR="00EF1540" w:rsidRPr="00EF1540" w:rsidTr="00D426BB">
        <w:tc>
          <w:tcPr>
            <w:tcW w:w="8731" w:type="dxa"/>
          </w:tcPr>
          <w:p w:rsidR="00C8777D" w:rsidRPr="00EF1540" w:rsidRDefault="00C8777D" w:rsidP="00ED5210">
            <w:pPr>
              <w:pStyle w:val="3"/>
              <w:jc w:val="center"/>
              <w:outlineLvl w:val="2"/>
              <w:rPr>
                <w:rFonts w:eastAsia="Times New Roman"/>
                <w:b w:val="0"/>
                <w:sz w:val="28"/>
              </w:rPr>
            </w:pPr>
          </w:p>
        </w:tc>
        <w:tc>
          <w:tcPr>
            <w:tcW w:w="7146" w:type="dxa"/>
          </w:tcPr>
          <w:p w:rsidR="00C8777D" w:rsidRPr="00EF1540" w:rsidRDefault="00281235" w:rsidP="00281235">
            <w:pPr>
              <w:pStyle w:val="3"/>
              <w:spacing w:before="0" w:beforeAutospacing="0" w:after="0" w:afterAutospacing="0"/>
              <w:ind w:firstLine="448"/>
              <w:jc w:val="both"/>
              <w:outlineLvl w:val="2"/>
              <w:rPr>
                <w:rFonts w:eastAsia="Times New Roman"/>
                <w:b w:val="0"/>
                <w:sz w:val="28"/>
              </w:rPr>
            </w:pPr>
            <w:r w:rsidRPr="00EF1540">
              <w:rPr>
                <w:rFonts w:eastAsia="Times New Roman"/>
                <w:sz w:val="24"/>
                <w:szCs w:val="24"/>
              </w:rPr>
              <w:t xml:space="preserve">2. </w:t>
            </w:r>
            <w:r w:rsidR="004036E8" w:rsidRPr="004036E8">
              <w:rPr>
                <w:rFonts w:eastAsia="Times New Roman"/>
                <w:bCs w:val="0"/>
                <w:sz w:val="24"/>
                <w:szCs w:val="24"/>
              </w:rPr>
              <w:t>Після введення в експлуатацію системи моніторингу надання оператором системи передачі та операторами систем розподілу послуг з приєднань до електричних мереж (далі – система моніторингу приєднань) та видачі НКРЕКП відповідного розпорядчого документу оператор системи передачі та оператори систем розподілу (далі разом – оператори систем) мають забезпечити у дослідному режимі наповнення інформацією систему моніторингу приєднань через особисті кабінети операторів систем в обсязі, визначеному у додатку 1 до Методики</w:t>
            </w:r>
            <w:r w:rsidR="004036E8">
              <w:rPr>
                <w:rFonts w:eastAsia="Times New Roman"/>
                <w:bCs w:val="0"/>
                <w:sz w:val="24"/>
                <w:szCs w:val="24"/>
              </w:rPr>
              <w:t>.</w:t>
            </w:r>
          </w:p>
        </w:tc>
      </w:tr>
      <w:tr w:rsidR="00EF1540" w:rsidRPr="00EF1540" w:rsidTr="00D426BB">
        <w:tc>
          <w:tcPr>
            <w:tcW w:w="15877" w:type="dxa"/>
            <w:gridSpan w:val="2"/>
          </w:tcPr>
          <w:p w:rsidR="00690733" w:rsidRPr="00EF1540" w:rsidRDefault="00690733" w:rsidP="00ED5210">
            <w:pPr>
              <w:pStyle w:val="3"/>
              <w:jc w:val="center"/>
              <w:outlineLvl w:val="2"/>
              <w:rPr>
                <w:rFonts w:eastAsia="Times New Roman"/>
                <w:sz w:val="28"/>
              </w:rPr>
            </w:pPr>
            <w:r w:rsidRPr="00EF1540">
              <w:rPr>
                <w:sz w:val="28"/>
                <w:szCs w:val="28"/>
              </w:rPr>
              <w:t>Методика (порядок) формування плати за приєднання до системи передачі та системи розподілу</w:t>
            </w:r>
          </w:p>
        </w:tc>
      </w:tr>
      <w:tr w:rsidR="00EF1540" w:rsidRPr="00EF1540" w:rsidTr="00D426BB">
        <w:trPr>
          <w:trHeight w:val="393"/>
        </w:trPr>
        <w:tc>
          <w:tcPr>
            <w:tcW w:w="15877" w:type="dxa"/>
            <w:gridSpan w:val="2"/>
          </w:tcPr>
          <w:p w:rsidR="00A11C96" w:rsidRPr="00EF1540" w:rsidRDefault="00840040" w:rsidP="00ED5210">
            <w:pPr>
              <w:pStyle w:val="3"/>
              <w:spacing w:before="0" w:beforeAutospacing="0" w:after="0" w:afterAutospacing="0"/>
              <w:jc w:val="center"/>
              <w:outlineLvl w:val="2"/>
              <w:rPr>
                <w:sz w:val="24"/>
                <w:szCs w:val="20"/>
              </w:rPr>
            </w:pPr>
            <w:r w:rsidRPr="00EF1540">
              <w:rPr>
                <w:sz w:val="24"/>
                <w:szCs w:val="20"/>
              </w:rPr>
              <w:t>1. Загальні положення</w:t>
            </w:r>
          </w:p>
        </w:tc>
      </w:tr>
      <w:tr w:rsidR="00EF1540" w:rsidRPr="00EF1540" w:rsidTr="00D426BB">
        <w:trPr>
          <w:trHeight w:val="708"/>
        </w:trPr>
        <w:tc>
          <w:tcPr>
            <w:tcW w:w="8731" w:type="dxa"/>
          </w:tcPr>
          <w:p w:rsidR="00D10E75" w:rsidRPr="00EF1540" w:rsidRDefault="00D10E75" w:rsidP="00840040">
            <w:pPr>
              <w:shd w:val="clear" w:color="auto" w:fill="FFFFFF"/>
              <w:ind w:firstLine="448"/>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1.1. Ця Методика встановлює порядок формування (розрахунку) плати за приєднання електроустановок замовників до електричних мереж системи передачі та системи розподілу, збільшення величини дозволеної до використання потужності електроустановок замовника, підвищення рівня надійності електрозабезпечення електроустановок замовника, зміни ступеня напруги в точці приєднання, зміни схеми живлення електроустановок замовника (з однофазної на трифазну) та/або зміни точки забезпечення потужності та застосовується оператором системи передачі та операторами системи розподілу для розрахунку плати за приєднання електроустановок до власних електричних мереж.</w:t>
            </w:r>
          </w:p>
        </w:tc>
        <w:tc>
          <w:tcPr>
            <w:tcW w:w="7146" w:type="dxa"/>
          </w:tcPr>
          <w:p w:rsidR="00D10E75" w:rsidRPr="00EF1540" w:rsidRDefault="00D10E75" w:rsidP="00DA21E9">
            <w:pPr>
              <w:shd w:val="clear" w:color="auto" w:fill="FFFFFF"/>
              <w:ind w:firstLine="448"/>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 xml:space="preserve">1.1. Ця Методика встановлює порядок формування (розрахунку) плати за приєднання електроустановок замовників до електричних мереж системи передачі та системи розподілу, </w:t>
            </w:r>
            <w:r w:rsidRPr="00EF1540">
              <w:rPr>
                <w:rFonts w:ascii="Times New Roman" w:eastAsia="Times New Roman" w:hAnsi="Times New Roman" w:cs="Times New Roman"/>
                <w:strike/>
                <w:sz w:val="24"/>
                <w:szCs w:val="24"/>
                <w:lang/>
              </w:rPr>
              <w:t>збільшення величини дозволеної до використання потужності електроустановок замовника, підвищення рівня надійності електрозабезпечення електроустановок замовника, зміни напруги в точці приєднання, зміни схеми живлення електроустановок замовника (з однофазної на трифазну) та/або зміни точки забезпечення потужності</w:t>
            </w:r>
            <w:r w:rsidRPr="00EF1540">
              <w:rPr>
                <w:rFonts w:ascii="Times New Roman" w:eastAsia="Times New Roman" w:hAnsi="Times New Roman" w:cs="Times New Roman"/>
                <w:sz w:val="24"/>
                <w:szCs w:val="24"/>
                <w:lang/>
              </w:rPr>
              <w:t xml:space="preserve"> </w:t>
            </w:r>
            <w:r w:rsidR="008B675D" w:rsidRPr="00EF1540">
              <w:rPr>
                <w:rFonts w:ascii="Times New Roman" w:eastAsia="Times New Roman" w:hAnsi="Times New Roman" w:cs="Times New Roman"/>
                <w:b/>
                <w:sz w:val="24"/>
                <w:szCs w:val="24"/>
                <w:lang/>
              </w:rPr>
              <w:t>зміни технічних параметрів</w:t>
            </w:r>
            <w:r w:rsidR="008B675D" w:rsidRPr="00EF1540">
              <w:rPr>
                <w:rFonts w:ascii="Times New Roman" w:eastAsia="Times New Roman" w:hAnsi="Times New Roman" w:cs="Times New Roman"/>
                <w:sz w:val="24"/>
                <w:szCs w:val="24"/>
                <w:lang/>
              </w:rPr>
              <w:t xml:space="preserve"> </w:t>
            </w:r>
            <w:r w:rsidRPr="00EF1540">
              <w:rPr>
                <w:rFonts w:ascii="Times New Roman" w:eastAsia="Times New Roman" w:hAnsi="Times New Roman" w:cs="Times New Roman"/>
                <w:sz w:val="24"/>
                <w:szCs w:val="24"/>
                <w:lang/>
              </w:rPr>
              <w:t>та застосовується оператором системи передачі та операторами системи розподілу для розрахунку плати за приєднання електроустановок до власних електричних мереж.</w:t>
            </w:r>
          </w:p>
        </w:tc>
      </w:tr>
      <w:tr w:rsidR="00EF1540" w:rsidRPr="00EF1540" w:rsidTr="00D426BB">
        <w:trPr>
          <w:trHeight w:val="708"/>
        </w:trPr>
        <w:tc>
          <w:tcPr>
            <w:tcW w:w="8731" w:type="dxa"/>
          </w:tcPr>
          <w:p w:rsidR="00DA21E9" w:rsidRPr="00EF1540" w:rsidRDefault="00DA21E9" w:rsidP="00840040">
            <w:pPr>
              <w:shd w:val="clear" w:color="auto" w:fill="FFFFFF"/>
              <w:ind w:firstLine="448"/>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1.2. У цій Методиці терміни вживаються в таких значеннях:</w:t>
            </w:r>
          </w:p>
          <w:p w:rsidR="00DA21E9" w:rsidRPr="00EF1540" w:rsidRDefault="00DA21E9" w:rsidP="00840040">
            <w:pPr>
              <w:shd w:val="clear" w:color="auto" w:fill="FFFFFF"/>
              <w:ind w:firstLine="448"/>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w:t>
            </w:r>
          </w:p>
          <w:p w:rsidR="00DA21E9" w:rsidRPr="00EF1540" w:rsidRDefault="00DA21E9" w:rsidP="00840040">
            <w:pPr>
              <w:shd w:val="clear" w:color="auto" w:fill="FFFFFF"/>
              <w:ind w:firstLine="448"/>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міська місцевість - адміністративна територія міських поселень (міста та селища міського типу);</w:t>
            </w:r>
          </w:p>
          <w:p w:rsidR="00DA21E9" w:rsidRPr="00EF1540" w:rsidRDefault="00DA21E9" w:rsidP="00840040">
            <w:pPr>
              <w:shd w:val="clear" w:color="auto" w:fill="FFFFFF"/>
              <w:ind w:firstLine="448"/>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w:t>
            </w:r>
          </w:p>
          <w:p w:rsidR="00DA21E9" w:rsidRPr="00EF1540" w:rsidRDefault="00DA21E9" w:rsidP="00840040">
            <w:pPr>
              <w:shd w:val="clear" w:color="auto" w:fill="FFFFFF"/>
              <w:ind w:firstLine="448"/>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сільська місцевість - адміністративна територія, за винятком території міст та селищ міського типу;</w:t>
            </w:r>
          </w:p>
        </w:tc>
        <w:tc>
          <w:tcPr>
            <w:tcW w:w="7146" w:type="dxa"/>
          </w:tcPr>
          <w:p w:rsidR="00DA21E9" w:rsidRPr="00EF1540" w:rsidRDefault="00DA21E9" w:rsidP="00153B2B">
            <w:pPr>
              <w:shd w:val="clear" w:color="auto" w:fill="FFFFFF"/>
              <w:ind w:firstLine="448"/>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1.2. У цій Методиці терміни вживаються в таких значеннях:</w:t>
            </w:r>
          </w:p>
          <w:p w:rsidR="00DA21E9" w:rsidRPr="00EF1540" w:rsidRDefault="00DA21E9" w:rsidP="00153B2B">
            <w:pPr>
              <w:shd w:val="clear" w:color="auto" w:fill="FFFFFF"/>
              <w:ind w:firstLine="448"/>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w:t>
            </w:r>
          </w:p>
          <w:p w:rsidR="00DA21E9" w:rsidRPr="00EF1540" w:rsidRDefault="00DA21E9" w:rsidP="00153B2B">
            <w:pPr>
              <w:shd w:val="clear" w:color="auto" w:fill="FFFFFF"/>
              <w:ind w:firstLine="448"/>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 xml:space="preserve">міська місцевість - адміністративна територія міських </w:t>
            </w:r>
            <w:r w:rsidRPr="004036E8">
              <w:rPr>
                <w:rFonts w:ascii="Times New Roman" w:eastAsia="Times New Roman" w:hAnsi="Times New Roman" w:cs="Times New Roman"/>
                <w:strike/>
                <w:sz w:val="24"/>
                <w:szCs w:val="24"/>
                <w:lang/>
              </w:rPr>
              <w:t>поселень (міста т</w:t>
            </w:r>
            <w:r w:rsidRPr="00EF1540">
              <w:rPr>
                <w:rFonts w:ascii="Times New Roman" w:eastAsia="Times New Roman" w:hAnsi="Times New Roman" w:cs="Times New Roman"/>
                <w:strike/>
                <w:sz w:val="24"/>
                <w:szCs w:val="24"/>
                <w:lang/>
              </w:rPr>
              <w:t>а селища міського тип</w:t>
            </w:r>
            <w:r w:rsidRPr="004036E8">
              <w:rPr>
                <w:rFonts w:ascii="Times New Roman" w:eastAsia="Times New Roman" w:hAnsi="Times New Roman" w:cs="Times New Roman"/>
                <w:strike/>
                <w:sz w:val="24"/>
                <w:szCs w:val="24"/>
                <w:lang/>
              </w:rPr>
              <w:t>у)</w:t>
            </w:r>
            <w:r w:rsidR="004036E8" w:rsidRPr="00AA7969">
              <w:rPr>
                <w:rFonts w:ascii="Times New Roman" w:hAnsi="Times New Roman" w:cs="Times New Roman"/>
                <w:sz w:val="28"/>
                <w:szCs w:val="28"/>
              </w:rPr>
              <w:t xml:space="preserve"> </w:t>
            </w:r>
            <w:r w:rsidR="004036E8" w:rsidRPr="004036E8">
              <w:rPr>
                <w:rFonts w:ascii="Times New Roman" w:hAnsi="Times New Roman" w:cs="Times New Roman"/>
                <w:b/>
                <w:sz w:val="24"/>
                <w:szCs w:val="28"/>
              </w:rPr>
              <w:t>населених пунктів (міст)</w:t>
            </w:r>
            <w:r w:rsidRPr="00EF1540">
              <w:rPr>
                <w:rFonts w:ascii="Times New Roman" w:eastAsia="Times New Roman" w:hAnsi="Times New Roman" w:cs="Times New Roman"/>
                <w:sz w:val="24"/>
                <w:szCs w:val="24"/>
                <w:lang/>
              </w:rPr>
              <w:t>;</w:t>
            </w:r>
          </w:p>
          <w:p w:rsidR="00DA21E9" w:rsidRPr="00EF1540" w:rsidRDefault="00DA21E9" w:rsidP="00153B2B">
            <w:pPr>
              <w:shd w:val="clear" w:color="auto" w:fill="FFFFFF"/>
              <w:ind w:firstLine="448"/>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w:t>
            </w:r>
          </w:p>
          <w:p w:rsidR="00EA4236" w:rsidRPr="00EF1540" w:rsidRDefault="004036E8" w:rsidP="00153B2B">
            <w:pPr>
              <w:shd w:val="clear" w:color="auto" w:fill="FFFFFF"/>
              <w:ind w:firstLine="448"/>
              <w:jc w:val="both"/>
              <w:rPr>
                <w:rFonts w:ascii="Times New Roman" w:eastAsia="Times New Roman" w:hAnsi="Times New Roman" w:cs="Times New Roman"/>
                <w:b/>
                <w:sz w:val="24"/>
                <w:szCs w:val="24"/>
                <w:lang/>
              </w:rPr>
            </w:pPr>
            <w:r w:rsidRPr="004036E8">
              <w:rPr>
                <w:rFonts w:ascii="Times New Roman" w:eastAsia="Times New Roman" w:hAnsi="Times New Roman" w:cs="Times New Roman"/>
                <w:b/>
                <w:sz w:val="24"/>
                <w:szCs w:val="24"/>
                <w:lang/>
              </w:rPr>
              <w:t xml:space="preserve">система моніторингу надання оператором системи передачі та операторами систем розподілу послуг з приєднань до електричних мереж (далі – система моніторингу приєднань) – інформаційно-аналітичний програмний комплекс для обміну інформацією між </w:t>
            </w:r>
            <w:r w:rsidRPr="004036E8">
              <w:rPr>
                <w:rFonts w:ascii="Times New Roman" w:eastAsia="Times New Roman" w:hAnsi="Times New Roman" w:cs="Times New Roman"/>
                <w:b/>
                <w:sz w:val="24"/>
                <w:szCs w:val="24"/>
                <w:lang/>
              </w:rPr>
              <w:lastRenderedPageBreak/>
              <w:t>оператором системи передачі та операторами систем розподілу (далі разом – оператори систем) та НКРЕКП щодо звітних даних стосовно надання операторами систем послуг з приєднання, моніторингу стану надання замовникам послуг з приєднання електроустановок до електричних мереж операторів систем тощо;</w:t>
            </w:r>
          </w:p>
          <w:p w:rsidR="00DA21E9" w:rsidRPr="00EF1540" w:rsidRDefault="00DA21E9" w:rsidP="00153B2B">
            <w:pPr>
              <w:shd w:val="clear" w:color="auto" w:fill="FFFFFF"/>
              <w:ind w:firstLine="448"/>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 xml:space="preserve">сільська місцевість - адміністративна </w:t>
            </w:r>
            <w:r w:rsidRPr="004036E8">
              <w:rPr>
                <w:rFonts w:ascii="Times New Roman" w:eastAsia="Times New Roman" w:hAnsi="Times New Roman" w:cs="Times New Roman"/>
                <w:sz w:val="24"/>
                <w:szCs w:val="24"/>
                <w:lang/>
              </w:rPr>
              <w:t>територія</w:t>
            </w:r>
            <w:r w:rsidRPr="004036E8">
              <w:rPr>
                <w:rFonts w:ascii="Times New Roman" w:eastAsia="Times New Roman" w:hAnsi="Times New Roman" w:cs="Times New Roman"/>
                <w:strike/>
                <w:sz w:val="24"/>
                <w:szCs w:val="24"/>
                <w:lang/>
              </w:rPr>
              <w:t xml:space="preserve">, за винятком території міст </w:t>
            </w:r>
            <w:r w:rsidRPr="00EF1540">
              <w:rPr>
                <w:rFonts w:ascii="Times New Roman" w:eastAsia="Times New Roman" w:hAnsi="Times New Roman" w:cs="Times New Roman"/>
                <w:strike/>
                <w:sz w:val="24"/>
                <w:szCs w:val="24"/>
                <w:lang/>
              </w:rPr>
              <w:t>та селищ міського типу</w:t>
            </w:r>
            <w:r w:rsidR="004036E8">
              <w:rPr>
                <w:rFonts w:ascii="Times New Roman" w:eastAsia="Times New Roman" w:hAnsi="Times New Roman" w:cs="Times New Roman"/>
                <w:strike/>
                <w:sz w:val="24"/>
                <w:szCs w:val="24"/>
                <w:lang/>
              </w:rPr>
              <w:t xml:space="preserve"> </w:t>
            </w:r>
            <w:r w:rsidR="004036E8" w:rsidRPr="004036E8">
              <w:rPr>
                <w:rFonts w:ascii="Times New Roman" w:hAnsi="Times New Roman" w:cs="Times New Roman"/>
                <w:b/>
                <w:sz w:val="24"/>
                <w:szCs w:val="28"/>
              </w:rPr>
              <w:t>сільських населених пунктів (сіл, селищ)</w:t>
            </w:r>
            <w:r w:rsidRPr="00EF1540">
              <w:rPr>
                <w:rFonts w:ascii="Times New Roman" w:eastAsia="Times New Roman" w:hAnsi="Times New Roman" w:cs="Times New Roman"/>
                <w:sz w:val="24"/>
                <w:szCs w:val="24"/>
                <w:lang/>
              </w:rPr>
              <w:t>;</w:t>
            </w:r>
          </w:p>
          <w:p w:rsidR="00894337" w:rsidRPr="00EF1540" w:rsidRDefault="00894337" w:rsidP="00DA21E9">
            <w:pPr>
              <w:shd w:val="clear" w:color="auto" w:fill="FFFFFF"/>
              <w:ind w:firstLine="448"/>
              <w:jc w:val="both"/>
              <w:rPr>
                <w:rFonts w:ascii="Times New Roman" w:eastAsia="Times New Roman" w:hAnsi="Times New Roman" w:cs="Times New Roman"/>
                <w:sz w:val="24"/>
                <w:szCs w:val="24"/>
                <w:lang w:eastAsia="uk-UA"/>
              </w:rPr>
            </w:pPr>
            <w:r w:rsidRPr="00EF1540">
              <w:rPr>
                <w:rFonts w:eastAsia="Times New Roman"/>
              </w:rPr>
              <w:t>…..</w:t>
            </w:r>
          </w:p>
        </w:tc>
      </w:tr>
      <w:tr w:rsidR="00EF1540" w:rsidRPr="00EF1540" w:rsidTr="00D426BB">
        <w:trPr>
          <w:trHeight w:val="708"/>
        </w:trPr>
        <w:tc>
          <w:tcPr>
            <w:tcW w:w="8731" w:type="dxa"/>
          </w:tcPr>
          <w:p w:rsidR="00B5205D" w:rsidRPr="00EF1540" w:rsidRDefault="00B5205D" w:rsidP="00B5205D">
            <w:pPr>
              <w:shd w:val="clear" w:color="auto" w:fill="FFFFFF"/>
              <w:ind w:firstLine="448"/>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lastRenderedPageBreak/>
              <w:t xml:space="preserve">1.3. Ставки плати за стандартне приєднання та ставки плати за нестандартне приєднання потужності щорічно розраховуються, затверджуються та оприлюднюються НКРЕКП на своєму офіційному </w:t>
            </w:r>
            <w:proofErr w:type="spellStart"/>
            <w:r w:rsidRPr="00EF1540">
              <w:rPr>
                <w:rFonts w:ascii="Times New Roman" w:eastAsia="Times New Roman" w:hAnsi="Times New Roman" w:cs="Times New Roman"/>
                <w:sz w:val="24"/>
                <w:szCs w:val="24"/>
                <w:lang/>
              </w:rPr>
              <w:t>вебсайті</w:t>
            </w:r>
            <w:proofErr w:type="spellEnd"/>
            <w:r w:rsidRPr="00EF1540">
              <w:rPr>
                <w:rFonts w:ascii="Times New Roman" w:eastAsia="Times New Roman" w:hAnsi="Times New Roman" w:cs="Times New Roman"/>
                <w:sz w:val="24"/>
                <w:szCs w:val="24"/>
                <w:lang/>
              </w:rPr>
              <w:t xml:space="preserve"> до початку розрахункового періоду.</w:t>
            </w:r>
          </w:p>
          <w:p w:rsidR="00B5205D" w:rsidRPr="00EF1540" w:rsidRDefault="00B5205D" w:rsidP="00B5205D">
            <w:pPr>
              <w:shd w:val="clear" w:color="auto" w:fill="FFFFFF"/>
              <w:ind w:firstLine="448"/>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Ставки плати за лінійну частину приєднання розраховуються та затверджуються НКРЕКП для всіх операторів систем розподілу відповідно до цієї Методики з урахуванням укрупнених показників вартості будівництва електричних мереж, затверджених центральним органом виконавчої влади, що забезпечує формування та реалізацію державної політики в електроенергетичному комплексі.</w:t>
            </w:r>
          </w:p>
          <w:p w:rsidR="00B5205D" w:rsidRPr="00EF1540" w:rsidRDefault="00B5205D" w:rsidP="00B5205D">
            <w:pPr>
              <w:shd w:val="clear" w:color="auto" w:fill="FFFFFF"/>
              <w:ind w:firstLine="448"/>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Ставки плати за нестандартне приєднання потужності застосовуються для територіальної одиниці оператора системи розподілу, де розташований об'єкт замовника.</w:t>
            </w:r>
          </w:p>
        </w:tc>
        <w:tc>
          <w:tcPr>
            <w:tcW w:w="7146" w:type="dxa"/>
          </w:tcPr>
          <w:p w:rsidR="00B5205D" w:rsidRPr="00EF1540" w:rsidRDefault="00B5205D" w:rsidP="00B5205D">
            <w:pPr>
              <w:shd w:val="clear" w:color="auto" w:fill="FFFFFF"/>
              <w:ind w:firstLine="448"/>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1.3. Ставки плати за стандартне приєднання</w:t>
            </w:r>
            <w:r w:rsidRPr="00EF1540">
              <w:rPr>
                <w:rFonts w:ascii="Times New Roman" w:eastAsia="Times New Roman" w:hAnsi="Times New Roman" w:cs="Times New Roman"/>
                <w:b/>
                <w:sz w:val="24"/>
                <w:szCs w:val="24"/>
                <w:lang/>
              </w:rPr>
              <w:t xml:space="preserve">, ставки плати за лінійну частину приєднання </w:t>
            </w:r>
            <w:r w:rsidRPr="00EF1540">
              <w:rPr>
                <w:rFonts w:ascii="Times New Roman" w:eastAsia="Times New Roman" w:hAnsi="Times New Roman" w:cs="Times New Roman"/>
                <w:sz w:val="24"/>
                <w:szCs w:val="24"/>
                <w:lang/>
              </w:rPr>
              <w:t xml:space="preserve">та ставки плати за нестандартне приєднання потужності щорічно розраховуються </w:t>
            </w:r>
            <w:r w:rsidRPr="00EF1540">
              <w:rPr>
                <w:rFonts w:ascii="Times New Roman" w:eastAsia="Times New Roman" w:hAnsi="Times New Roman" w:cs="Times New Roman"/>
                <w:b/>
                <w:sz w:val="24"/>
                <w:szCs w:val="24"/>
                <w:lang/>
              </w:rPr>
              <w:t xml:space="preserve">НКРЕКП для всіх операторів систем розподілу відповідно до цієї Методики з урахуванням </w:t>
            </w:r>
            <w:r w:rsidR="007079EE" w:rsidRPr="00EF1540">
              <w:rPr>
                <w:rFonts w:ascii="Times New Roman" w:eastAsia="Times New Roman" w:hAnsi="Times New Roman" w:cs="Times New Roman"/>
                <w:b/>
                <w:sz w:val="24"/>
                <w:szCs w:val="24"/>
                <w:lang/>
              </w:rPr>
              <w:t xml:space="preserve">СОУ-Н МЕВ 45.2-37472933-44:2016 «Укрупнені показники вартості будівництва підстанцій напругою від 6 кВ до 150 кВ та ліній </w:t>
            </w:r>
            <w:proofErr w:type="spellStart"/>
            <w:r w:rsidR="007079EE" w:rsidRPr="00EF1540">
              <w:rPr>
                <w:rFonts w:ascii="Times New Roman" w:eastAsia="Times New Roman" w:hAnsi="Times New Roman" w:cs="Times New Roman"/>
                <w:b/>
                <w:sz w:val="24"/>
                <w:szCs w:val="24"/>
                <w:lang/>
              </w:rPr>
              <w:t>електропередавання</w:t>
            </w:r>
            <w:proofErr w:type="spellEnd"/>
            <w:r w:rsidR="007079EE" w:rsidRPr="00EF1540">
              <w:rPr>
                <w:rFonts w:ascii="Times New Roman" w:eastAsia="Times New Roman" w:hAnsi="Times New Roman" w:cs="Times New Roman"/>
                <w:b/>
                <w:sz w:val="24"/>
                <w:szCs w:val="24"/>
                <w:lang/>
              </w:rPr>
              <w:t xml:space="preserve"> напругою від 0,38 кВ до 150 кВ. Норми»</w:t>
            </w:r>
            <w:r w:rsidRPr="00EF1540">
              <w:rPr>
                <w:rFonts w:ascii="Times New Roman" w:eastAsia="Times New Roman" w:hAnsi="Times New Roman" w:cs="Times New Roman"/>
                <w:sz w:val="24"/>
                <w:szCs w:val="24"/>
                <w:lang/>
              </w:rPr>
              <w:t xml:space="preserve">, затверджуються та оприлюднюються НКРЕКП на своєму офіційному </w:t>
            </w:r>
            <w:proofErr w:type="spellStart"/>
            <w:r w:rsidRPr="00EF1540">
              <w:rPr>
                <w:rFonts w:ascii="Times New Roman" w:eastAsia="Times New Roman" w:hAnsi="Times New Roman" w:cs="Times New Roman"/>
                <w:sz w:val="24"/>
                <w:szCs w:val="24"/>
                <w:lang/>
              </w:rPr>
              <w:t>вебсайті</w:t>
            </w:r>
            <w:proofErr w:type="spellEnd"/>
            <w:r w:rsidRPr="00EF1540">
              <w:rPr>
                <w:rFonts w:ascii="Times New Roman" w:eastAsia="Times New Roman" w:hAnsi="Times New Roman" w:cs="Times New Roman"/>
                <w:sz w:val="24"/>
                <w:szCs w:val="24"/>
                <w:lang/>
              </w:rPr>
              <w:t xml:space="preserve"> до початку розрахункового періоду.</w:t>
            </w:r>
          </w:p>
          <w:p w:rsidR="00B5205D" w:rsidRPr="00EF1540" w:rsidRDefault="00B5205D" w:rsidP="00B5205D">
            <w:pPr>
              <w:shd w:val="clear" w:color="auto" w:fill="FFFFFF"/>
              <w:ind w:firstLine="448"/>
              <w:jc w:val="both"/>
              <w:rPr>
                <w:rFonts w:ascii="Times New Roman" w:eastAsia="Times New Roman" w:hAnsi="Times New Roman" w:cs="Times New Roman"/>
                <w:strike/>
                <w:sz w:val="24"/>
                <w:szCs w:val="24"/>
                <w:lang/>
              </w:rPr>
            </w:pPr>
            <w:r w:rsidRPr="00EF1540">
              <w:rPr>
                <w:rFonts w:ascii="Times New Roman" w:eastAsia="Times New Roman" w:hAnsi="Times New Roman" w:cs="Times New Roman"/>
                <w:strike/>
                <w:sz w:val="24"/>
                <w:szCs w:val="24"/>
                <w:lang/>
              </w:rPr>
              <w:t>Ставки плати за лінійну частину приєднання розраховуються та затверджуються НКРЕКП для всіх операторів систем розподілу відповідно до цієї Методики з урахуванням укрупнених показників вартості будівництва електричних мереж, затверджених центральним органом виконавчої влади, що забезпечує формування та реалізацію державної політики в електроенергетичному комплексі.</w:t>
            </w:r>
          </w:p>
          <w:p w:rsidR="00B5205D" w:rsidRPr="00EF1540" w:rsidRDefault="00B5205D" w:rsidP="00B5205D">
            <w:pPr>
              <w:shd w:val="clear" w:color="auto" w:fill="FFFFFF"/>
              <w:ind w:firstLine="448"/>
              <w:jc w:val="both"/>
              <w:rPr>
                <w:rFonts w:ascii="Times New Roman" w:eastAsia="Times New Roman" w:hAnsi="Times New Roman" w:cs="Times New Roman"/>
                <w:b/>
                <w:sz w:val="24"/>
                <w:szCs w:val="24"/>
                <w:lang/>
              </w:rPr>
            </w:pPr>
            <w:r w:rsidRPr="00EF1540">
              <w:rPr>
                <w:rFonts w:ascii="Times New Roman" w:eastAsia="Times New Roman" w:hAnsi="Times New Roman" w:cs="Times New Roman"/>
                <w:sz w:val="24"/>
                <w:szCs w:val="24"/>
                <w:lang/>
              </w:rPr>
              <w:t xml:space="preserve">Ставки плати за нестандартне приєднання потужності застосовуються для територіальної одиниці оператора системи розподілу, де розташований об'єкт замовника, </w:t>
            </w:r>
            <w:r w:rsidRPr="00EF1540">
              <w:rPr>
                <w:rFonts w:ascii="Times New Roman" w:eastAsia="Times New Roman" w:hAnsi="Times New Roman" w:cs="Times New Roman"/>
                <w:b/>
                <w:sz w:val="24"/>
                <w:szCs w:val="24"/>
                <w:lang/>
              </w:rPr>
              <w:t>відповідно до наданої операторами систем розподілу станом на 01 вересня поточного року інформації щодо коефіцієнта завантаження трансформаторних підстанцій основної мережі напругою 35-110(154) кВ відповідно до переліку територіальних одиниць.</w:t>
            </w:r>
          </w:p>
        </w:tc>
      </w:tr>
      <w:tr w:rsidR="00EF1540" w:rsidRPr="00EF1540" w:rsidTr="00D426BB">
        <w:trPr>
          <w:trHeight w:val="708"/>
        </w:trPr>
        <w:tc>
          <w:tcPr>
            <w:tcW w:w="8731" w:type="dxa"/>
          </w:tcPr>
          <w:p w:rsidR="007D15BA" w:rsidRPr="00EF1540" w:rsidRDefault="00381D5A" w:rsidP="00B5205D">
            <w:pPr>
              <w:shd w:val="clear" w:color="auto" w:fill="FFFFFF"/>
              <w:ind w:firstLine="448"/>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1.4. Розрахунок ставок на стандартне приєднання проводиться без урахування витрат, понесених під час надання послуги з приєднання, за якою здійснювалось улаштування розвантажувальних трансформаторних пунктів, окрім трансформаторних пунктів, які забезпечують покриття дефіциту потужності виключно для потреб замовника приєднання.</w:t>
            </w:r>
          </w:p>
        </w:tc>
        <w:tc>
          <w:tcPr>
            <w:tcW w:w="7146" w:type="dxa"/>
          </w:tcPr>
          <w:p w:rsidR="007D15BA" w:rsidRPr="00EF1540" w:rsidRDefault="00381D5A" w:rsidP="00B5205D">
            <w:pPr>
              <w:shd w:val="clear" w:color="auto" w:fill="FFFFFF"/>
              <w:ind w:firstLine="448"/>
              <w:jc w:val="both"/>
              <w:rPr>
                <w:rFonts w:ascii="Times New Roman" w:eastAsia="Times New Roman" w:hAnsi="Times New Roman" w:cs="Times New Roman"/>
                <w:strike/>
                <w:sz w:val="24"/>
                <w:szCs w:val="24"/>
                <w:lang/>
              </w:rPr>
            </w:pPr>
            <w:r w:rsidRPr="00EF1540">
              <w:rPr>
                <w:rFonts w:ascii="Times New Roman" w:eastAsia="Times New Roman" w:hAnsi="Times New Roman" w:cs="Times New Roman"/>
                <w:strike/>
                <w:sz w:val="24"/>
                <w:szCs w:val="24"/>
                <w:lang/>
              </w:rPr>
              <w:t>1.4. Розрахунок ставок на стандартне приєднання проводиться без урахування витрат, понесених під час надання послуги з приєднання, за якою здійснювалось улаштування розвантажувальних трансформаторних пунктів, окрім трансформаторних пунктів, які забезпечують покриття дефіциту потужності виключно для потреб замовника приєднання.</w:t>
            </w:r>
          </w:p>
        </w:tc>
      </w:tr>
      <w:tr w:rsidR="00EF1540" w:rsidRPr="00EF1540" w:rsidTr="00D426BB">
        <w:trPr>
          <w:trHeight w:val="708"/>
        </w:trPr>
        <w:tc>
          <w:tcPr>
            <w:tcW w:w="8731" w:type="dxa"/>
          </w:tcPr>
          <w:p w:rsidR="00006018" w:rsidRPr="00EF1540" w:rsidRDefault="00006018" w:rsidP="00006018">
            <w:pPr>
              <w:shd w:val="clear" w:color="auto" w:fill="FFFFFF"/>
              <w:ind w:firstLine="448"/>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lastRenderedPageBreak/>
              <w:t>1.5. Оператор системи передачі та оператори систем розподілу складають станом на останнє число звітного кварталу наростаючим підсумком з початку базового періоду звіт щодо надання ними послуг з приєднання за формою, наведеною в </w:t>
            </w:r>
            <w:hyperlink r:id="rId4" w:anchor="n146" w:history="1">
              <w:r w:rsidRPr="00EF1540">
                <w:rPr>
                  <w:rFonts w:ascii="Times New Roman" w:eastAsia="Times New Roman" w:hAnsi="Times New Roman" w:cs="Times New Roman"/>
                  <w:sz w:val="24"/>
                  <w:szCs w:val="24"/>
                  <w:lang/>
                </w:rPr>
                <w:t>додатку 1</w:t>
              </w:r>
            </w:hyperlink>
            <w:r w:rsidRPr="00EF1540">
              <w:rPr>
                <w:rFonts w:ascii="Times New Roman" w:eastAsia="Times New Roman" w:hAnsi="Times New Roman" w:cs="Times New Roman"/>
                <w:sz w:val="24"/>
                <w:szCs w:val="24"/>
                <w:lang/>
              </w:rPr>
              <w:t> до цієї Методики, та подають до НКРЕКП до 30 числа місяця, наступного за звітним кварталом, скорочену форму звіту (графи 1-63 та 109-125) та до 01 лютого повну форму звіту за базовий період.</w:t>
            </w:r>
          </w:p>
          <w:p w:rsidR="00006018" w:rsidRPr="00EF1540" w:rsidRDefault="00006018" w:rsidP="00006018">
            <w:pPr>
              <w:shd w:val="clear" w:color="auto" w:fill="FFFFFF"/>
              <w:ind w:firstLine="448"/>
              <w:jc w:val="both"/>
              <w:rPr>
                <w:rFonts w:ascii="Times New Roman" w:eastAsia="Times New Roman" w:hAnsi="Times New Roman" w:cs="Times New Roman"/>
                <w:sz w:val="24"/>
                <w:szCs w:val="24"/>
                <w:lang/>
              </w:rPr>
            </w:pPr>
            <w:bookmarkStart w:id="0" w:name="n370"/>
            <w:bookmarkEnd w:id="0"/>
            <w:r w:rsidRPr="00EF1540">
              <w:rPr>
                <w:rFonts w:ascii="Times New Roman" w:eastAsia="Times New Roman" w:hAnsi="Times New Roman" w:cs="Times New Roman"/>
                <w:sz w:val="24"/>
                <w:szCs w:val="24"/>
                <w:lang/>
              </w:rPr>
              <w:t>У звіті щодо стану надання оператором системи передачі та операторами систем розподілу послуг з приєднання відображається інформація про:</w:t>
            </w:r>
          </w:p>
          <w:p w:rsidR="00006018" w:rsidRPr="00EF1540" w:rsidRDefault="00006018" w:rsidP="00006018">
            <w:pPr>
              <w:shd w:val="clear" w:color="auto" w:fill="FFFFFF"/>
              <w:ind w:firstLine="448"/>
              <w:jc w:val="both"/>
              <w:rPr>
                <w:rFonts w:ascii="Times New Roman" w:eastAsia="Times New Roman" w:hAnsi="Times New Roman" w:cs="Times New Roman"/>
                <w:sz w:val="24"/>
                <w:szCs w:val="24"/>
                <w:lang/>
              </w:rPr>
            </w:pPr>
            <w:bookmarkStart w:id="1" w:name="n371"/>
            <w:bookmarkEnd w:id="1"/>
            <w:r w:rsidRPr="00EF1540">
              <w:rPr>
                <w:rFonts w:ascii="Times New Roman" w:eastAsia="Times New Roman" w:hAnsi="Times New Roman" w:cs="Times New Roman"/>
                <w:sz w:val="24"/>
                <w:szCs w:val="24"/>
                <w:lang/>
              </w:rPr>
              <w:t>замовників, яким надано послуги з приєднання у звітному кварталі;</w:t>
            </w:r>
          </w:p>
          <w:p w:rsidR="00006018" w:rsidRPr="00EF1540" w:rsidRDefault="00006018" w:rsidP="00006018">
            <w:pPr>
              <w:shd w:val="clear" w:color="auto" w:fill="FFFFFF"/>
              <w:ind w:firstLine="448"/>
              <w:jc w:val="both"/>
              <w:rPr>
                <w:rFonts w:ascii="Times New Roman" w:eastAsia="Times New Roman" w:hAnsi="Times New Roman" w:cs="Times New Roman"/>
                <w:sz w:val="24"/>
                <w:szCs w:val="24"/>
                <w:lang/>
              </w:rPr>
            </w:pPr>
            <w:bookmarkStart w:id="2" w:name="n372"/>
            <w:bookmarkEnd w:id="2"/>
            <w:r w:rsidRPr="00EF1540">
              <w:rPr>
                <w:rFonts w:ascii="Times New Roman" w:eastAsia="Times New Roman" w:hAnsi="Times New Roman" w:cs="Times New Roman"/>
                <w:sz w:val="24"/>
                <w:szCs w:val="24"/>
                <w:lang/>
              </w:rPr>
              <w:t>замовників, для яких триває процедура надання послуги з приєднання;</w:t>
            </w:r>
          </w:p>
          <w:p w:rsidR="00006018" w:rsidRPr="00EF1540" w:rsidRDefault="00006018" w:rsidP="00006018">
            <w:pPr>
              <w:shd w:val="clear" w:color="auto" w:fill="FFFFFF"/>
              <w:ind w:firstLine="448"/>
              <w:jc w:val="both"/>
              <w:rPr>
                <w:rFonts w:ascii="Times New Roman" w:eastAsia="Times New Roman" w:hAnsi="Times New Roman" w:cs="Times New Roman"/>
                <w:sz w:val="24"/>
                <w:szCs w:val="24"/>
                <w:lang/>
              </w:rPr>
            </w:pPr>
            <w:bookmarkStart w:id="3" w:name="n373"/>
            <w:bookmarkEnd w:id="3"/>
            <w:r w:rsidRPr="00EF1540">
              <w:rPr>
                <w:rFonts w:ascii="Times New Roman" w:eastAsia="Times New Roman" w:hAnsi="Times New Roman" w:cs="Times New Roman"/>
                <w:sz w:val="24"/>
                <w:szCs w:val="24"/>
                <w:lang/>
              </w:rPr>
              <w:t xml:space="preserve">замовників, яким </w:t>
            </w:r>
            <w:proofErr w:type="spellStart"/>
            <w:r w:rsidRPr="00EF1540">
              <w:rPr>
                <w:rFonts w:ascii="Times New Roman" w:eastAsia="Times New Roman" w:hAnsi="Times New Roman" w:cs="Times New Roman"/>
                <w:sz w:val="24"/>
                <w:szCs w:val="24"/>
                <w:lang/>
              </w:rPr>
              <w:t>повернено</w:t>
            </w:r>
            <w:proofErr w:type="spellEnd"/>
            <w:r w:rsidRPr="00EF1540">
              <w:rPr>
                <w:rFonts w:ascii="Times New Roman" w:eastAsia="Times New Roman" w:hAnsi="Times New Roman" w:cs="Times New Roman"/>
                <w:sz w:val="24"/>
                <w:szCs w:val="24"/>
                <w:lang/>
              </w:rPr>
              <w:t xml:space="preserve"> заяви про приєднання (відмовлено у наданні послуги з приєднання);</w:t>
            </w:r>
          </w:p>
          <w:p w:rsidR="00006018" w:rsidRPr="00EF1540" w:rsidRDefault="00006018" w:rsidP="00006018">
            <w:pPr>
              <w:shd w:val="clear" w:color="auto" w:fill="FFFFFF"/>
              <w:ind w:firstLine="448"/>
              <w:jc w:val="both"/>
              <w:rPr>
                <w:rFonts w:ascii="Times New Roman" w:eastAsia="Times New Roman" w:hAnsi="Times New Roman" w:cs="Times New Roman"/>
                <w:sz w:val="24"/>
                <w:szCs w:val="24"/>
                <w:lang/>
              </w:rPr>
            </w:pPr>
            <w:bookmarkStart w:id="4" w:name="n374"/>
            <w:bookmarkEnd w:id="4"/>
            <w:r w:rsidRPr="00EF1540">
              <w:rPr>
                <w:rFonts w:ascii="Times New Roman" w:eastAsia="Times New Roman" w:hAnsi="Times New Roman" w:cs="Times New Roman"/>
                <w:sz w:val="24"/>
                <w:szCs w:val="24"/>
                <w:lang/>
              </w:rPr>
              <w:t>замовників, які звернулись із заявою про приєднання до оператора системи передачі та операторів систем розподілу у звітному кварталі.</w:t>
            </w:r>
          </w:p>
          <w:p w:rsidR="00006018" w:rsidRPr="00EF1540" w:rsidRDefault="00006018" w:rsidP="00006018">
            <w:pPr>
              <w:shd w:val="clear" w:color="auto" w:fill="FFFFFF"/>
              <w:ind w:firstLine="448"/>
              <w:jc w:val="both"/>
              <w:rPr>
                <w:rFonts w:ascii="Times New Roman" w:eastAsia="Times New Roman" w:hAnsi="Times New Roman" w:cs="Times New Roman"/>
                <w:sz w:val="24"/>
                <w:szCs w:val="24"/>
                <w:lang/>
              </w:rPr>
            </w:pPr>
            <w:bookmarkStart w:id="5" w:name="n375"/>
            <w:bookmarkEnd w:id="5"/>
            <w:r w:rsidRPr="00EF1540">
              <w:rPr>
                <w:rFonts w:ascii="Times New Roman" w:eastAsia="Times New Roman" w:hAnsi="Times New Roman" w:cs="Times New Roman"/>
                <w:sz w:val="24"/>
                <w:szCs w:val="24"/>
                <w:lang/>
              </w:rPr>
              <w:t>Оператори систем розподілу щороку до 01 лютого надають до НКРЕКП інформацію про місячний обсяг трансформації електричної енергії на напругу 6(10)20 кВ для трансформаторних підстанцій (ПС) основної мережі напругою 35-110 (154) кВ відповідно до територіальних одиниць оператора системи розподілу (за формою, наведеною в </w:t>
            </w:r>
            <w:hyperlink r:id="rId5" w:anchor="n150" w:history="1">
              <w:r w:rsidRPr="00EF1540">
                <w:rPr>
                  <w:rFonts w:ascii="Times New Roman" w:eastAsia="Times New Roman" w:hAnsi="Times New Roman" w:cs="Times New Roman"/>
                  <w:sz w:val="24"/>
                  <w:szCs w:val="24"/>
                  <w:lang/>
                </w:rPr>
                <w:t>додатку 2</w:t>
              </w:r>
            </w:hyperlink>
            <w:r w:rsidRPr="00EF1540">
              <w:rPr>
                <w:rFonts w:ascii="Times New Roman" w:eastAsia="Times New Roman" w:hAnsi="Times New Roman" w:cs="Times New Roman"/>
                <w:sz w:val="24"/>
                <w:szCs w:val="24"/>
                <w:lang/>
              </w:rPr>
              <w:t> до цієї Методики) та розрахунок дефіциту або профіциту коштів щодо надходжень та витрат, пов'язаних з наданням послуг з приєднання, який виконується за </w:t>
            </w:r>
            <w:hyperlink r:id="rId6" w:anchor="n241" w:history="1">
              <w:r w:rsidRPr="00EF1540">
                <w:rPr>
                  <w:rFonts w:ascii="Times New Roman" w:eastAsia="Times New Roman" w:hAnsi="Times New Roman" w:cs="Times New Roman"/>
                  <w:sz w:val="24"/>
                  <w:szCs w:val="24"/>
                  <w:lang/>
                </w:rPr>
                <w:t>формулами 5</w:t>
              </w:r>
            </w:hyperlink>
            <w:r w:rsidRPr="00EF1540">
              <w:rPr>
                <w:rFonts w:ascii="Times New Roman" w:eastAsia="Times New Roman" w:hAnsi="Times New Roman" w:cs="Times New Roman"/>
                <w:sz w:val="24"/>
                <w:szCs w:val="24"/>
                <w:lang/>
              </w:rPr>
              <w:t> та </w:t>
            </w:r>
            <w:hyperlink r:id="rId7" w:anchor="n293" w:history="1">
              <w:r w:rsidRPr="00EF1540">
                <w:rPr>
                  <w:rFonts w:ascii="Times New Roman" w:eastAsia="Times New Roman" w:hAnsi="Times New Roman" w:cs="Times New Roman"/>
                  <w:sz w:val="24"/>
                  <w:szCs w:val="24"/>
                  <w:lang/>
                </w:rPr>
                <w:t>14</w:t>
              </w:r>
            </w:hyperlink>
            <w:r w:rsidRPr="00EF1540">
              <w:rPr>
                <w:rFonts w:ascii="Times New Roman" w:eastAsia="Times New Roman" w:hAnsi="Times New Roman" w:cs="Times New Roman"/>
                <w:sz w:val="24"/>
                <w:szCs w:val="24"/>
                <w:lang/>
              </w:rPr>
              <w:t> цієї Методики.</w:t>
            </w:r>
          </w:p>
          <w:p w:rsidR="00006018" w:rsidRPr="00EF1540" w:rsidRDefault="00006018" w:rsidP="00006018">
            <w:pPr>
              <w:shd w:val="clear" w:color="auto" w:fill="FFFFFF"/>
              <w:ind w:firstLine="448"/>
              <w:jc w:val="both"/>
              <w:rPr>
                <w:rFonts w:ascii="Times New Roman" w:eastAsia="Times New Roman" w:hAnsi="Times New Roman" w:cs="Times New Roman"/>
                <w:sz w:val="24"/>
                <w:szCs w:val="24"/>
                <w:lang/>
              </w:rPr>
            </w:pPr>
            <w:bookmarkStart w:id="6" w:name="n376"/>
            <w:bookmarkEnd w:id="6"/>
          </w:p>
          <w:p w:rsidR="00006018" w:rsidRPr="00EF1540" w:rsidRDefault="00006018" w:rsidP="00006018">
            <w:pPr>
              <w:shd w:val="clear" w:color="auto" w:fill="FFFFFF"/>
              <w:ind w:firstLine="448"/>
              <w:jc w:val="both"/>
              <w:rPr>
                <w:rFonts w:ascii="Times New Roman" w:eastAsia="Times New Roman" w:hAnsi="Times New Roman" w:cs="Times New Roman"/>
                <w:sz w:val="24"/>
                <w:szCs w:val="24"/>
                <w:lang/>
              </w:rPr>
            </w:pPr>
          </w:p>
          <w:p w:rsidR="00006018" w:rsidRPr="00EF1540" w:rsidRDefault="00006018" w:rsidP="00006018">
            <w:pPr>
              <w:shd w:val="clear" w:color="auto" w:fill="FFFFFF"/>
              <w:ind w:firstLine="448"/>
              <w:jc w:val="both"/>
              <w:rPr>
                <w:rFonts w:ascii="Times New Roman" w:eastAsia="Times New Roman" w:hAnsi="Times New Roman" w:cs="Times New Roman"/>
                <w:sz w:val="24"/>
                <w:szCs w:val="24"/>
                <w:lang/>
              </w:rPr>
            </w:pPr>
          </w:p>
          <w:p w:rsidR="00006018" w:rsidRPr="00EF1540" w:rsidRDefault="00006018" w:rsidP="00006018">
            <w:pPr>
              <w:shd w:val="clear" w:color="auto" w:fill="FFFFFF"/>
              <w:ind w:firstLine="448"/>
              <w:jc w:val="both"/>
              <w:rPr>
                <w:rFonts w:ascii="Times New Roman" w:eastAsia="Times New Roman" w:hAnsi="Times New Roman" w:cs="Times New Roman"/>
                <w:sz w:val="24"/>
                <w:szCs w:val="24"/>
                <w:lang/>
              </w:rPr>
            </w:pPr>
          </w:p>
          <w:p w:rsidR="00006018" w:rsidRPr="00EF1540" w:rsidRDefault="00006018" w:rsidP="00006018">
            <w:pPr>
              <w:shd w:val="clear" w:color="auto" w:fill="FFFFFF"/>
              <w:ind w:firstLine="448"/>
              <w:jc w:val="both"/>
              <w:rPr>
                <w:rFonts w:ascii="Times New Roman" w:eastAsia="Times New Roman" w:hAnsi="Times New Roman" w:cs="Times New Roman"/>
                <w:sz w:val="24"/>
                <w:szCs w:val="24"/>
                <w:lang/>
              </w:rPr>
            </w:pPr>
          </w:p>
          <w:p w:rsidR="00006018" w:rsidRPr="00EF1540" w:rsidRDefault="00006018" w:rsidP="00006018">
            <w:pPr>
              <w:shd w:val="clear" w:color="auto" w:fill="FFFFFF"/>
              <w:ind w:firstLine="448"/>
              <w:jc w:val="both"/>
              <w:rPr>
                <w:rFonts w:ascii="Times New Roman" w:eastAsia="Times New Roman" w:hAnsi="Times New Roman" w:cs="Times New Roman"/>
                <w:sz w:val="24"/>
                <w:szCs w:val="24"/>
                <w:lang/>
              </w:rPr>
            </w:pPr>
          </w:p>
          <w:p w:rsidR="00006018" w:rsidRPr="00EF1540" w:rsidRDefault="00006018" w:rsidP="00006018">
            <w:pPr>
              <w:shd w:val="clear" w:color="auto" w:fill="FFFFFF"/>
              <w:ind w:firstLine="448"/>
              <w:jc w:val="both"/>
              <w:rPr>
                <w:rFonts w:ascii="Times New Roman" w:eastAsia="Times New Roman" w:hAnsi="Times New Roman" w:cs="Times New Roman"/>
                <w:sz w:val="24"/>
                <w:szCs w:val="24"/>
                <w:lang/>
              </w:rPr>
            </w:pPr>
          </w:p>
          <w:p w:rsidR="00006018" w:rsidRPr="00EF1540" w:rsidRDefault="00006018" w:rsidP="00006018">
            <w:pPr>
              <w:shd w:val="clear" w:color="auto" w:fill="FFFFFF"/>
              <w:ind w:firstLine="448"/>
              <w:jc w:val="both"/>
              <w:rPr>
                <w:rFonts w:ascii="Times New Roman" w:eastAsia="Times New Roman" w:hAnsi="Times New Roman" w:cs="Times New Roman"/>
                <w:sz w:val="24"/>
                <w:szCs w:val="24"/>
                <w:lang/>
              </w:rPr>
            </w:pPr>
          </w:p>
          <w:p w:rsidR="00006018" w:rsidRPr="00EF1540" w:rsidRDefault="00006018" w:rsidP="00006018">
            <w:pPr>
              <w:shd w:val="clear" w:color="auto" w:fill="FFFFFF"/>
              <w:ind w:firstLine="448"/>
              <w:jc w:val="both"/>
              <w:rPr>
                <w:rFonts w:ascii="Times New Roman" w:eastAsia="Times New Roman" w:hAnsi="Times New Roman" w:cs="Times New Roman"/>
                <w:sz w:val="24"/>
                <w:szCs w:val="24"/>
                <w:lang/>
              </w:rPr>
            </w:pPr>
          </w:p>
          <w:p w:rsidR="00006018" w:rsidRPr="00EF1540" w:rsidRDefault="00006018" w:rsidP="00006018">
            <w:pPr>
              <w:shd w:val="clear" w:color="auto" w:fill="FFFFFF"/>
              <w:ind w:firstLine="448"/>
              <w:jc w:val="both"/>
              <w:rPr>
                <w:rFonts w:ascii="Times New Roman" w:eastAsia="Times New Roman" w:hAnsi="Times New Roman" w:cs="Times New Roman"/>
                <w:sz w:val="24"/>
                <w:szCs w:val="24"/>
                <w:lang/>
              </w:rPr>
            </w:pPr>
          </w:p>
          <w:p w:rsidR="00006018" w:rsidRDefault="00006018" w:rsidP="00006018">
            <w:pPr>
              <w:shd w:val="clear" w:color="auto" w:fill="FFFFFF"/>
              <w:ind w:firstLine="448"/>
              <w:jc w:val="both"/>
              <w:rPr>
                <w:rFonts w:ascii="Times New Roman" w:eastAsia="Times New Roman" w:hAnsi="Times New Roman" w:cs="Times New Roman"/>
                <w:sz w:val="24"/>
                <w:szCs w:val="24"/>
                <w:lang/>
              </w:rPr>
            </w:pPr>
          </w:p>
          <w:p w:rsidR="00A17353" w:rsidRDefault="00A17353" w:rsidP="00006018">
            <w:pPr>
              <w:shd w:val="clear" w:color="auto" w:fill="FFFFFF"/>
              <w:ind w:firstLine="448"/>
              <w:jc w:val="both"/>
              <w:rPr>
                <w:rFonts w:ascii="Times New Roman" w:eastAsia="Times New Roman" w:hAnsi="Times New Roman" w:cs="Times New Roman"/>
                <w:sz w:val="24"/>
                <w:szCs w:val="24"/>
                <w:lang/>
              </w:rPr>
            </w:pPr>
          </w:p>
          <w:p w:rsidR="00A17353" w:rsidRDefault="00A17353" w:rsidP="00006018">
            <w:pPr>
              <w:shd w:val="clear" w:color="auto" w:fill="FFFFFF"/>
              <w:ind w:firstLine="448"/>
              <w:jc w:val="both"/>
              <w:rPr>
                <w:rFonts w:ascii="Times New Roman" w:eastAsia="Times New Roman" w:hAnsi="Times New Roman" w:cs="Times New Roman"/>
                <w:sz w:val="24"/>
                <w:szCs w:val="24"/>
                <w:lang/>
              </w:rPr>
            </w:pPr>
          </w:p>
          <w:p w:rsidR="00A17353" w:rsidRPr="00EF1540" w:rsidRDefault="00A17353" w:rsidP="00006018">
            <w:pPr>
              <w:shd w:val="clear" w:color="auto" w:fill="FFFFFF"/>
              <w:ind w:firstLine="448"/>
              <w:jc w:val="both"/>
              <w:rPr>
                <w:rFonts w:ascii="Times New Roman" w:eastAsia="Times New Roman" w:hAnsi="Times New Roman" w:cs="Times New Roman"/>
                <w:sz w:val="24"/>
                <w:szCs w:val="24"/>
                <w:lang/>
              </w:rPr>
            </w:pPr>
          </w:p>
          <w:p w:rsidR="00006018" w:rsidRPr="00EF1540" w:rsidRDefault="00006018" w:rsidP="00006018">
            <w:pPr>
              <w:shd w:val="clear" w:color="auto" w:fill="FFFFFF"/>
              <w:ind w:firstLine="448"/>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 xml:space="preserve">Оператор системи передачі та оператори систем розподілу надають до НКРЕКП документи (їх копії) та інформацію (дані, відомості, звітність, </w:t>
            </w:r>
            <w:proofErr w:type="spellStart"/>
            <w:r w:rsidRPr="00EF1540">
              <w:rPr>
                <w:rFonts w:ascii="Times New Roman" w:eastAsia="Times New Roman" w:hAnsi="Times New Roman" w:cs="Times New Roman"/>
                <w:sz w:val="24"/>
                <w:szCs w:val="24"/>
                <w:lang/>
              </w:rPr>
              <w:lastRenderedPageBreak/>
              <w:t>проєктну</w:t>
            </w:r>
            <w:proofErr w:type="spellEnd"/>
            <w:r w:rsidRPr="00EF1540">
              <w:rPr>
                <w:rFonts w:ascii="Times New Roman" w:eastAsia="Times New Roman" w:hAnsi="Times New Roman" w:cs="Times New Roman"/>
                <w:sz w:val="24"/>
                <w:szCs w:val="24"/>
                <w:lang/>
              </w:rPr>
              <w:t xml:space="preserve"> документацію, виконавчу документацію тощо) щодо наданих у базовому періоді послуг з приєднання електроустановок замовників до електричних мереж (завершених приєднань) у вигляді, обсягах та у строки, встановлені НКРЕКП, для подальшого аналізу величини дефіциту або профіциту коштів щодо надходжень та витрат, пов'язаних з наданням послуг з приєднання, з метою оцінки обґрунтованості їх економічного рівня.</w:t>
            </w:r>
          </w:p>
          <w:p w:rsidR="00006018" w:rsidRPr="00EF1540" w:rsidRDefault="00006018" w:rsidP="00006018">
            <w:pPr>
              <w:shd w:val="clear" w:color="auto" w:fill="FFFFFF"/>
              <w:ind w:firstLine="448"/>
              <w:jc w:val="both"/>
              <w:rPr>
                <w:rFonts w:ascii="Times New Roman" w:eastAsia="Times New Roman" w:hAnsi="Times New Roman" w:cs="Times New Roman"/>
                <w:sz w:val="24"/>
                <w:szCs w:val="24"/>
                <w:lang/>
              </w:rPr>
            </w:pPr>
            <w:bookmarkStart w:id="7" w:name="n377"/>
            <w:bookmarkEnd w:id="7"/>
            <w:r w:rsidRPr="00EF1540">
              <w:rPr>
                <w:rFonts w:ascii="Times New Roman" w:eastAsia="Times New Roman" w:hAnsi="Times New Roman" w:cs="Times New Roman"/>
                <w:sz w:val="24"/>
                <w:szCs w:val="24"/>
                <w:lang/>
              </w:rPr>
              <w:t>Оператор системи передачі та оператори систем розподілу відповідають за достовірність даних, зазначених ними у формах звітності та в документах.</w:t>
            </w:r>
          </w:p>
          <w:p w:rsidR="00006018" w:rsidRPr="00EF1540" w:rsidRDefault="00006018" w:rsidP="00006018">
            <w:pPr>
              <w:shd w:val="clear" w:color="auto" w:fill="FFFFFF"/>
              <w:ind w:firstLine="448"/>
              <w:jc w:val="both"/>
              <w:rPr>
                <w:rFonts w:ascii="Times New Roman" w:eastAsia="Times New Roman" w:hAnsi="Times New Roman" w:cs="Times New Roman"/>
                <w:sz w:val="24"/>
                <w:szCs w:val="24"/>
                <w:lang/>
              </w:rPr>
            </w:pPr>
            <w:bookmarkStart w:id="8" w:name="n378"/>
            <w:bookmarkEnd w:id="8"/>
            <w:r w:rsidRPr="00EF1540">
              <w:rPr>
                <w:rFonts w:ascii="Times New Roman" w:eastAsia="Times New Roman" w:hAnsi="Times New Roman" w:cs="Times New Roman"/>
                <w:sz w:val="24"/>
                <w:szCs w:val="24"/>
                <w:lang/>
              </w:rPr>
              <w:t>Оператори систем розподілу та оператор системи передачі мають право надавати скориговані дані, зазначені ними у формах звітності та в інформації, передбаченій у цьому пункті, виключно після проведення НКРЕКП відповідного заходу державного контролю. В інших випадках НКРЕКП не приймає до розгляду скориговані дані, надані операторами систем розподілу та оператором системи передачі.</w:t>
            </w:r>
          </w:p>
        </w:tc>
        <w:tc>
          <w:tcPr>
            <w:tcW w:w="7146" w:type="dxa"/>
          </w:tcPr>
          <w:p w:rsidR="004036E8" w:rsidRPr="004036E8" w:rsidRDefault="00006018" w:rsidP="004036E8">
            <w:pPr>
              <w:shd w:val="clear" w:color="auto" w:fill="FFFFFF"/>
              <w:tabs>
                <w:tab w:val="left" w:pos="1134"/>
              </w:tabs>
              <w:ind w:firstLine="709"/>
              <w:jc w:val="both"/>
              <w:rPr>
                <w:rFonts w:ascii="Times New Roman" w:eastAsia="Times New Roman" w:hAnsi="Times New Roman" w:cs="Times New Roman"/>
                <w:b/>
                <w:sz w:val="24"/>
                <w:szCs w:val="24"/>
              </w:rPr>
            </w:pPr>
            <w:bookmarkStart w:id="9" w:name="_Hlk161073660"/>
            <w:r w:rsidRPr="004036E8">
              <w:rPr>
                <w:rFonts w:ascii="Times New Roman" w:eastAsia="Times New Roman" w:hAnsi="Times New Roman" w:cs="Times New Roman"/>
                <w:b/>
                <w:sz w:val="24"/>
                <w:szCs w:val="24"/>
                <w:lang w:eastAsia="uk-UA"/>
              </w:rPr>
              <w:lastRenderedPageBreak/>
              <w:t>1.</w:t>
            </w:r>
            <w:r w:rsidR="004036E8" w:rsidRPr="004036E8">
              <w:rPr>
                <w:rFonts w:ascii="Times New Roman" w:eastAsia="Times New Roman" w:hAnsi="Times New Roman" w:cs="Times New Roman"/>
                <w:b/>
                <w:sz w:val="24"/>
                <w:szCs w:val="24"/>
                <w:lang w:eastAsia="uk-UA"/>
              </w:rPr>
              <w:t>4.</w:t>
            </w:r>
            <w:r w:rsidRPr="00EF1540">
              <w:rPr>
                <w:rFonts w:ascii="Times New Roman" w:eastAsia="Times New Roman" w:hAnsi="Times New Roman" w:cs="Times New Roman"/>
                <w:sz w:val="24"/>
                <w:szCs w:val="24"/>
                <w:lang w:eastAsia="uk-UA"/>
              </w:rPr>
              <w:t xml:space="preserve"> </w:t>
            </w:r>
            <w:r w:rsidR="004036E8" w:rsidRPr="004036E8">
              <w:rPr>
                <w:rFonts w:ascii="Times New Roman" w:eastAsia="Times New Roman" w:hAnsi="Times New Roman" w:cs="Times New Roman"/>
                <w:b/>
                <w:sz w:val="24"/>
                <w:szCs w:val="24"/>
              </w:rPr>
              <w:t xml:space="preserve">Оператори систем складають звіт щодо стану надання ними послуг з приєднання за формою, наведеною в </w:t>
            </w:r>
            <w:hyperlink r:id="rId8" w:anchor="n146" w:history="1">
              <w:r w:rsidR="004036E8" w:rsidRPr="004036E8">
                <w:rPr>
                  <w:rFonts w:ascii="Times New Roman" w:eastAsia="Times New Roman" w:hAnsi="Times New Roman" w:cs="Times New Roman"/>
                  <w:b/>
                  <w:sz w:val="24"/>
                  <w:szCs w:val="24"/>
                </w:rPr>
                <w:t>додатку 1</w:t>
              </w:r>
            </w:hyperlink>
            <w:r w:rsidR="004036E8" w:rsidRPr="004036E8">
              <w:rPr>
                <w:rFonts w:ascii="Times New Roman" w:eastAsia="Times New Roman" w:hAnsi="Times New Roman" w:cs="Times New Roman"/>
                <w:b/>
                <w:sz w:val="24"/>
                <w:szCs w:val="24"/>
              </w:rPr>
              <w:t xml:space="preserve"> до цієї Методики:</w:t>
            </w:r>
          </w:p>
          <w:p w:rsidR="004036E8" w:rsidRPr="004036E8" w:rsidRDefault="004036E8" w:rsidP="004036E8">
            <w:pPr>
              <w:shd w:val="clear" w:color="auto" w:fill="FFFFFF"/>
              <w:tabs>
                <w:tab w:val="left" w:pos="1134"/>
              </w:tabs>
              <w:ind w:firstLine="709"/>
              <w:jc w:val="both"/>
              <w:rPr>
                <w:rFonts w:ascii="Times New Roman" w:eastAsia="Times New Roman" w:hAnsi="Times New Roman" w:cs="Times New Roman"/>
                <w:b/>
                <w:sz w:val="24"/>
                <w:szCs w:val="24"/>
              </w:rPr>
            </w:pPr>
            <w:r w:rsidRPr="004036E8">
              <w:rPr>
                <w:rFonts w:ascii="Times New Roman" w:eastAsia="Times New Roman" w:hAnsi="Times New Roman" w:cs="Times New Roman"/>
                <w:b/>
                <w:sz w:val="24"/>
                <w:szCs w:val="24"/>
              </w:rPr>
              <w:t xml:space="preserve">станом на останнє число звітного місяця наростаючим підсумком з початку базового періоду та подають його до НКРЕКП </w:t>
            </w:r>
            <w:r w:rsidRPr="004036E8">
              <w:rPr>
                <w:rFonts w:ascii="Times New Roman" w:hAnsi="Times New Roman" w:cs="Times New Roman"/>
                <w:b/>
                <w:bCs/>
                <w:sz w:val="24"/>
                <w:szCs w:val="24"/>
                <w:lang w:eastAsia="ru-RU"/>
              </w:rPr>
              <w:t xml:space="preserve">в електронній формі </w:t>
            </w:r>
            <w:r w:rsidRPr="004036E8">
              <w:rPr>
                <w:rFonts w:ascii="Times New Roman" w:eastAsia="Times New Roman" w:hAnsi="Times New Roman" w:cs="Times New Roman"/>
                <w:b/>
                <w:sz w:val="24"/>
                <w:szCs w:val="24"/>
              </w:rPr>
              <w:t>до 10 числа місяця, наступного за звітним;</w:t>
            </w:r>
          </w:p>
          <w:p w:rsidR="004036E8" w:rsidRPr="004036E8" w:rsidRDefault="004036E8" w:rsidP="004036E8">
            <w:pPr>
              <w:shd w:val="clear" w:color="auto" w:fill="FFFFFF"/>
              <w:tabs>
                <w:tab w:val="left" w:pos="1134"/>
              </w:tabs>
              <w:ind w:firstLine="709"/>
              <w:jc w:val="both"/>
              <w:rPr>
                <w:rFonts w:ascii="Times New Roman" w:eastAsia="Times New Roman" w:hAnsi="Times New Roman" w:cs="Times New Roman"/>
                <w:b/>
                <w:sz w:val="24"/>
                <w:szCs w:val="24"/>
              </w:rPr>
            </w:pPr>
            <w:r w:rsidRPr="004036E8">
              <w:rPr>
                <w:rFonts w:ascii="Times New Roman" w:eastAsia="Times New Roman" w:hAnsi="Times New Roman" w:cs="Times New Roman"/>
                <w:b/>
                <w:sz w:val="24"/>
                <w:szCs w:val="24"/>
              </w:rPr>
              <w:t xml:space="preserve">станом на останнє число року (базового періоду) та подають його до НКРЕКП </w:t>
            </w:r>
            <w:r w:rsidRPr="004036E8">
              <w:rPr>
                <w:rFonts w:ascii="Times New Roman" w:hAnsi="Times New Roman" w:cs="Times New Roman"/>
                <w:b/>
                <w:bCs/>
                <w:sz w:val="24"/>
                <w:szCs w:val="24"/>
                <w:lang w:eastAsia="ru-RU"/>
              </w:rPr>
              <w:t xml:space="preserve">в електронній формі </w:t>
            </w:r>
            <w:r w:rsidRPr="004036E8">
              <w:rPr>
                <w:rFonts w:ascii="Times New Roman" w:eastAsia="Times New Roman" w:hAnsi="Times New Roman" w:cs="Times New Roman"/>
                <w:b/>
                <w:sz w:val="24"/>
                <w:szCs w:val="24"/>
              </w:rPr>
              <w:t>до 01 лютого.</w:t>
            </w:r>
          </w:p>
          <w:p w:rsidR="004036E8" w:rsidRPr="00647D68" w:rsidRDefault="004036E8" w:rsidP="004036E8">
            <w:pPr>
              <w:shd w:val="clear" w:color="auto" w:fill="FFFFFF"/>
              <w:tabs>
                <w:tab w:val="left" w:pos="1134"/>
              </w:tabs>
              <w:ind w:firstLine="709"/>
              <w:jc w:val="both"/>
              <w:rPr>
                <w:rFonts w:ascii="Times New Roman" w:eastAsia="Times New Roman" w:hAnsi="Times New Roman" w:cs="Times New Roman"/>
                <w:b/>
                <w:sz w:val="24"/>
                <w:szCs w:val="24"/>
                <w:lang w:val="ru-RU"/>
              </w:rPr>
            </w:pPr>
            <w:r w:rsidRPr="004036E8">
              <w:rPr>
                <w:rFonts w:ascii="Times New Roman" w:eastAsia="Times New Roman" w:hAnsi="Times New Roman" w:cs="Times New Roman"/>
                <w:b/>
                <w:sz w:val="24"/>
                <w:szCs w:val="24"/>
              </w:rPr>
              <w:t xml:space="preserve">Звіт щодо стану надання послуг з приєднання за формою, наведеною в </w:t>
            </w:r>
            <w:hyperlink r:id="rId9" w:anchor="n146" w:history="1">
              <w:r w:rsidRPr="004036E8">
                <w:rPr>
                  <w:rFonts w:ascii="Times New Roman" w:eastAsia="Times New Roman" w:hAnsi="Times New Roman" w:cs="Times New Roman"/>
                  <w:b/>
                  <w:sz w:val="24"/>
                  <w:szCs w:val="24"/>
                </w:rPr>
                <w:t>додатку 1</w:t>
              </w:r>
            </w:hyperlink>
            <w:r w:rsidRPr="004036E8">
              <w:rPr>
                <w:rFonts w:ascii="Times New Roman" w:eastAsia="Times New Roman" w:hAnsi="Times New Roman" w:cs="Times New Roman"/>
                <w:b/>
                <w:sz w:val="24"/>
                <w:szCs w:val="24"/>
              </w:rPr>
              <w:t xml:space="preserve"> до цієї Методики, у форматі Excel надсилається операторами систем з супроводжувальним листом у форматі .</w:t>
            </w:r>
            <w:r w:rsidRPr="004036E8">
              <w:rPr>
                <w:rFonts w:ascii="Times New Roman" w:eastAsia="Times New Roman" w:hAnsi="Times New Roman" w:cs="Times New Roman"/>
                <w:b/>
                <w:sz w:val="24"/>
                <w:szCs w:val="24"/>
                <w:lang w:val="en-US"/>
              </w:rPr>
              <w:t>pdf</w:t>
            </w:r>
            <w:r w:rsidRPr="004036E8">
              <w:rPr>
                <w:rFonts w:ascii="Times New Roman" w:eastAsia="Times New Roman" w:hAnsi="Times New Roman" w:cs="Times New Roman"/>
                <w:b/>
                <w:sz w:val="24"/>
                <w:szCs w:val="24"/>
              </w:rPr>
              <w:t xml:space="preserve"> із накладенням кваліфікованого електронного підпису </w:t>
            </w:r>
            <w:r w:rsidRPr="004036E8">
              <w:rPr>
                <w:rFonts w:ascii="Times New Roman" w:hAnsi="Times New Roman" w:cs="Times New Roman"/>
                <w:b/>
                <w:bCs/>
                <w:sz w:val="24"/>
                <w:szCs w:val="24"/>
                <w:lang w:eastAsia="ru-RU"/>
              </w:rPr>
              <w:t>керівника о</w:t>
            </w:r>
            <w:r w:rsidRPr="004036E8">
              <w:rPr>
                <w:rFonts w:ascii="Times New Roman" w:eastAsia="Times New Roman" w:hAnsi="Times New Roman" w:cs="Times New Roman"/>
                <w:b/>
                <w:sz w:val="24"/>
                <w:szCs w:val="24"/>
              </w:rPr>
              <w:t xml:space="preserve">ператора системи на офіційну електронну адресу </w:t>
            </w:r>
            <w:r w:rsidRPr="004036E8">
              <w:rPr>
                <w:rFonts w:ascii="Times New Roman" w:hAnsi="Times New Roman" w:cs="Times New Roman"/>
                <w:b/>
                <w:bCs/>
                <w:sz w:val="24"/>
                <w:szCs w:val="24"/>
                <w:lang w:eastAsia="ru-RU"/>
              </w:rPr>
              <w:t xml:space="preserve">центрального апарату </w:t>
            </w:r>
            <w:r w:rsidRPr="004036E8">
              <w:rPr>
                <w:rFonts w:ascii="Times New Roman" w:eastAsia="Times New Roman" w:hAnsi="Times New Roman" w:cs="Times New Roman"/>
                <w:b/>
                <w:sz w:val="24"/>
                <w:szCs w:val="24"/>
              </w:rPr>
              <w:t xml:space="preserve">НКРЕКП, а також на електронну адресу НКРЕКП </w:t>
            </w:r>
            <w:hyperlink r:id="rId10" w:history="1">
              <w:r w:rsidRPr="004036E8">
                <w:rPr>
                  <w:rStyle w:val="a4"/>
                  <w:rFonts w:ascii="Times New Roman" w:eastAsia="Times New Roman" w:hAnsi="Times New Roman" w:cs="Times New Roman"/>
                  <w:b/>
                  <w:sz w:val="24"/>
                  <w:szCs w:val="24"/>
                </w:rPr>
                <w:t>energo2@nerc.gov.ua</w:t>
              </w:r>
            </w:hyperlink>
            <w:r w:rsidRPr="004036E8">
              <w:rPr>
                <w:rFonts w:ascii="Times New Roman" w:eastAsia="Times New Roman" w:hAnsi="Times New Roman" w:cs="Times New Roman"/>
                <w:b/>
                <w:sz w:val="24"/>
                <w:szCs w:val="24"/>
              </w:rPr>
              <w:t>.</w:t>
            </w:r>
          </w:p>
          <w:p w:rsidR="004036E8" w:rsidRPr="004036E8" w:rsidRDefault="004036E8" w:rsidP="004036E8">
            <w:pPr>
              <w:shd w:val="clear" w:color="auto" w:fill="FFFFFF"/>
              <w:tabs>
                <w:tab w:val="left" w:pos="1134"/>
              </w:tabs>
              <w:ind w:firstLine="709"/>
              <w:jc w:val="both"/>
              <w:rPr>
                <w:rFonts w:ascii="Times New Roman" w:eastAsia="Times New Roman" w:hAnsi="Times New Roman" w:cs="Times New Roman"/>
                <w:b/>
                <w:sz w:val="24"/>
                <w:szCs w:val="24"/>
              </w:rPr>
            </w:pPr>
            <w:r w:rsidRPr="004036E8">
              <w:rPr>
                <w:rFonts w:ascii="Times New Roman" w:eastAsia="Times New Roman" w:hAnsi="Times New Roman" w:cs="Times New Roman"/>
                <w:b/>
                <w:sz w:val="24"/>
                <w:szCs w:val="24"/>
              </w:rPr>
              <w:t>У звіті щодо стану надання операторами систем послуг з приєднання відображається інформація про:</w:t>
            </w:r>
          </w:p>
          <w:p w:rsidR="004036E8" w:rsidRPr="004036E8" w:rsidRDefault="004036E8" w:rsidP="004036E8">
            <w:pPr>
              <w:shd w:val="clear" w:color="auto" w:fill="FFFFFF"/>
              <w:tabs>
                <w:tab w:val="left" w:pos="1134"/>
              </w:tabs>
              <w:ind w:firstLine="709"/>
              <w:jc w:val="both"/>
              <w:rPr>
                <w:rFonts w:ascii="Times New Roman" w:eastAsia="Times New Roman" w:hAnsi="Times New Roman" w:cs="Times New Roman"/>
                <w:b/>
                <w:sz w:val="24"/>
                <w:szCs w:val="24"/>
              </w:rPr>
            </w:pPr>
            <w:r w:rsidRPr="004036E8">
              <w:rPr>
                <w:rFonts w:ascii="Times New Roman" w:eastAsia="Times New Roman" w:hAnsi="Times New Roman" w:cs="Times New Roman"/>
                <w:b/>
                <w:sz w:val="24"/>
                <w:szCs w:val="24"/>
              </w:rPr>
              <w:t>надані послуги з приєднання у звітному місяці;</w:t>
            </w:r>
          </w:p>
          <w:p w:rsidR="004036E8" w:rsidRPr="004036E8" w:rsidRDefault="004036E8" w:rsidP="004036E8">
            <w:pPr>
              <w:shd w:val="clear" w:color="auto" w:fill="FFFFFF"/>
              <w:tabs>
                <w:tab w:val="left" w:pos="1134"/>
              </w:tabs>
              <w:ind w:firstLine="709"/>
              <w:jc w:val="both"/>
              <w:rPr>
                <w:rFonts w:ascii="Times New Roman" w:eastAsia="Times New Roman" w:hAnsi="Times New Roman" w:cs="Times New Roman"/>
                <w:b/>
                <w:sz w:val="24"/>
                <w:szCs w:val="24"/>
              </w:rPr>
            </w:pPr>
            <w:r w:rsidRPr="004036E8">
              <w:rPr>
                <w:rFonts w:ascii="Times New Roman" w:eastAsia="Times New Roman" w:hAnsi="Times New Roman" w:cs="Times New Roman"/>
                <w:b/>
                <w:sz w:val="24"/>
                <w:szCs w:val="24"/>
              </w:rPr>
              <w:t>триваючі процедури надання послуги з приєднання згідно з чинними технічними умовами;</w:t>
            </w:r>
          </w:p>
          <w:p w:rsidR="004036E8" w:rsidRPr="004036E8" w:rsidRDefault="004036E8" w:rsidP="004036E8">
            <w:pPr>
              <w:shd w:val="clear" w:color="auto" w:fill="FFFFFF"/>
              <w:tabs>
                <w:tab w:val="left" w:pos="1134"/>
              </w:tabs>
              <w:ind w:firstLine="709"/>
              <w:jc w:val="both"/>
              <w:rPr>
                <w:rFonts w:ascii="Times New Roman" w:eastAsia="Times New Roman" w:hAnsi="Times New Roman" w:cs="Times New Roman"/>
                <w:b/>
                <w:sz w:val="24"/>
                <w:szCs w:val="24"/>
              </w:rPr>
            </w:pPr>
            <w:r w:rsidRPr="004036E8">
              <w:rPr>
                <w:rFonts w:ascii="Times New Roman" w:eastAsia="Times New Roman" w:hAnsi="Times New Roman" w:cs="Times New Roman"/>
                <w:b/>
                <w:sz w:val="24"/>
                <w:szCs w:val="24"/>
              </w:rPr>
              <w:t>відмови у наданні послуги з приєднання;</w:t>
            </w:r>
          </w:p>
          <w:p w:rsidR="004036E8" w:rsidRPr="004036E8" w:rsidRDefault="004036E8" w:rsidP="004036E8">
            <w:pPr>
              <w:shd w:val="clear" w:color="auto" w:fill="FFFFFF"/>
              <w:tabs>
                <w:tab w:val="left" w:pos="1134"/>
              </w:tabs>
              <w:ind w:firstLine="709"/>
              <w:jc w:val="both"/>
              <w:rPr>
                <w:rFonts w:ascii="Times New Roman" w:eastAsia="Times New Roman" w:hAnsi="Times New Roman" w:cs="Times New Roman"/>
                <w:b/>
                <w:sz w:val="24"/>
                <w:szCs w:val="24"/>
              </w:rPr>
            </w:pPr>
            <w:r w:rsidRPr="004036E8">
              <w:rPr>
                <w:rFonts w:ascii="Times New Roman" w:eastAsia="Times New Roman" w:hAnsi="Times New Roman" w:cs="Times New Roman"/>
                <w:b/>
                <w:sz w:val="24"/>
                <w:szCs w:val="24"/>
              </w:rPr>
              <w:t>заяви про приєднання до мереж операторів систем у звітному місяці (році).</w:t>
            </w:r>
          </w:p>
          <w:p w:rsidR="00006018" w:rsidRPr="00EF1540" w:rsidRDefault="00006018" w:rsidP="00006018">
            <w:pPr>
              <w:shd w:val="clear" w:color="auto" w:fill="FFFFFF"/>
              <w:ind w:firstLine="448"/>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 xml:space="preserve">Оператори систем розподілу щороку до 01 </w:t>
            </w:r>
            <w:r w:rsidRPr="00EF1540">
              <w:rPr>
                <w:rFonts w:ascii="Times New Roman" w:eastAsia="Times New Roman" w:hAnsi="Times New Roman" w:cs="Times New Roman"/>
                <w:strike/>
                <w:sz w:val="24"/>
                <w:szCs w:val="24"/>
                <w:lang/>
              </w:rPr>
              <w:t>лютого</w:t>
            </w:r>
            <w:r w:rsidRPr="00647D68">
              <w:rPr>
                <w:rFonts w:ascii="Times New Roman" w:eastAsia="Times New Roman" w:hAnsi="Times New Roman" w:cs="Times New Roman"/>
                <w:sz w:val="24"/>
                <w:szCs w:val="24"/>
                <w:lang w:val="ru-RU"/>
              </w:rPr>
              <w:t xml:space="preserve"> </w:t>
            </w:r>
            <w:r w:rsidRPr="00EF1540">
              <w:rPr>
                <w:rFonts w:ascii="Times New Roman" w:eastAsia="Times New Roman" w:hAnsi="Times New Roman" w:cs="Times New Roman"/>
                <w:b/>
                <w:sz w:val="24"/>
                <w:szCs w:val="24"/>
                <w:lang w:val="ru-RU"/>
              </w:rPr>
              <w:t>вересня</w:t>
            </w:r>
            <w:r w:rsidRPr="00EF1540">
              <w:rPr>
                <w:rFonts w:ascii="Times New Roman" w:eastAsia="Times New Roman" w:hAnsi="Times New Roman" w:cs="Times New Roman"/>
                <w:sz w:val="24"/>
                <w:szCs w:val="24"/>
                <w:lang/>
              </w:rPr>
              <w:t xml:space="preserve"> надають до НКРЕКП </w:t>
            </w:r>
            <w:r w:rsidRPr="00EF1540">
              <w:rPr>
                <w:rFonts w:ascii="Times New Roman" w:eastAsia="Times New Roman" w:hAnsi="Times New Roman" w:cs="Times New Roman"/>
                <w:b/>
                <w:sz w:val="24"/>
                <w:szCs w:val="24"/>
                <w:lang/>
              </w:rPr>
              <w:t>у спосіб, зазначений у цьо</w:t>
            </w:r>
            <w:r w:rsidR="00A17353">
              <w:rPr>
                <w:rFonts w:ascii="Times New Roman" w:eastAsia="Times New Roman" w:hAnsi="Times New Roman" w:cs="Times New Roman"/>
                <w:b/>
                <w:sz w:val="24"/>
                <w:szCs w:val="24"/>
                <w:lang/>
              </w:rPr>
              <w:t>му</w:t>
            </w:r>
            <w:r w:rsidRPr="00EF1540">
              <w:rPr>
                <w:rFonts w:ascii="Times New Roman" w:eastAsia="Times New Roman" w:hAnsi="Times New Roman" w:cs="Times New Roman"/>
                <w:b/>
                <w:sz w:val="24"/>
                <w:szCs w:val="24"/>
                <w:lang/>
              </w:rPr>
              <w:t xml:space="preserve"> пункт</w:t>
            </w:r>
            <w:r w:rsidR="00A17353">
              <w:rPr>
                <w:rFonts w:ascii="Times New Roman" w:eastAsia="Times New Roman" w:hAnsi="Times New Roman" w:cs="Times New Roman"/>
                <w:b/>
                <w:sz w:val="24"/>
                <w:szCs w:val="24"/>
                <w:lang/>
              </w:rPr>
              <w:t>і</w:t>
            </w:r>
            <w:r w:rsidRPr="00EF1540">
              <w:rPr>
                <w:rFonts w:ascii="Times New Roman" w:eastAsia="Times New Roman" w:hAnsi="Times New Roman" w:cs="Times New Roman"/>
                <w:b/>
                <w:sz w:val="24"/>
                <w:szCs w:val="24"/>
                <w:lang/>
              </w:rPr>
              <w:t xml:space="preserve">, </w:t>
            </w:r>
            <w:r w:rsidRPr="00EF1540">
              <w:rPr>
                <w:rFonts w:ascii="Times New Roman" w:eastAsia="Times New Roman" w:hAnsi="Times New Roman" w:cs="Times New Roman"/>
                <w:sz w:val="24"/>
                <w:szCs w:val="24"/>
                <w:lang/>
              </w:rPr>
              <w:t>інформацію про місячний обсяг трансформації електричної енергії на напругу 6(10)20 кВ для трансформаторних підстанцій (ПС) основної мережі напругою 35-110 (154) кВ відповідно до територіальних одиниць оператора системи розподілу (за формою, наведеною в додатку 2 до цієї Методики</w:t>
            </w:r>
            <w:r w:rsidRPr="00EF1540">
              <w:rPr>
                <w:rFonts w:ascii="Times New Roman" w:eastAsia="Times New Roman" w:hAnsi="Times New Roman" w:cs="Times New Roman"/>
                <w:b/>
                <w:sz w:val="24"/>
                <w:szCs w:val="24"/>
                <w:lang/>
              </w:rPr>
              <w:t xml:space="preserve">), </w:t>
            </w:r>
            <w:r w:rsidRPr="00EF1540">
              <w:rPr>
                <w:rFonts w:ascii="Times New Roman" w:eastAsia="Times New Roman" w:hAnsi="Times New Roman" w:cs="Times New Roman"/>
                <w:sz w:val="24"/>
                <w:szCs w:val="24"/>
                <w:lang/>
              </w:rPr>
              <w:t>вихідні дані для розрахунку коефіцієнта завантаження трансформаторних підстанцій основної мережі напругою 35-110(154) кВ відповідно до територіальних одиниць операторів систем розподілу (за формою, наведеною в додатку 7 до цієї Методики) та до 01 лютого розрахунок дефіциту або профіциту коштів щодо надходжень та витрат, пов'язаних з наданням послуг з приєднання, який виконується за </w:t>
            </w:r>
            <w:hyperlink r:id="rId11" w:anchor="n241" w:history="1">
              <w:r w:rsidRPr="00EF1540">
                <w:rPr>
                  <w:rFonts w:ascii="Times New Roman" w:eastAsia="Times New Roman" w:hAnsi="Times New Roman" w:cs="Times New Roman"/>
                  <w:sz w:val="24"/>
                  <w:szCs w:val="24"/>
                  <w:lang/>
                </w:rPr>
                <w:t xml:space="preserve">формулами </w:t>
              </w:r>
            </w:hyperlink>
            <w:r w:rsidR="00676A19" w:rsidRPr="00EF1540">
              <w:rPr>
                <w:rFonts w:ascii="Times New Roman" w:eastAsia="Times New Roman" w:hAnsi="Times New Roman" w:cs="Times New Roman"/>
                <w:b/>
                <w:sz w:val="24"/>
                <w:szCs w:val="24"/>
                <w:lang/>
              </w:rPr>
              <w:t>3</w:t>
            </w:r>
            <w:r w:rsidRPr="00EF1540">
              <w:rPr>
                <w:rFonts w:ascii="Times New Roman" w:eastAsia="Times New Roman" w:hAnsi="Times New Roman" w:cs="Times New Roman"/>
                <w:b/>
                <w:sz w:val="24"/>
                <w:szCs w:val="24"/>
                <w:lang/>
              </w:rPr>
              <w:t> та </w:t>
            </w:r>
            <w:hyperlink r:id="rId12" w:anchor="n293" w:history="1">
              <w:r w:rsidRPr="00EF1540">
                <w:rPr>
                  <w:rFonts w:ascii="Times New Roman" w:eastAsia="Times New Roman" w:hAnsi="Times New Roman" w:cs="Times New Roman"/>
                  <w:b/>
                  <w:sz w:val="24"/>
                  <w:szCs w:val="24"/>
                  <w:lang/>
                </w:rPr>
                <w:t>1</w:t>
              </w:r>
            </w:hyperlink>
            <w:r w:rsidR="00676A19" w:rsidRPr="00EF1540">
              <w:rPr>
                <w:rFonts w:ascii="Times New Roman" w:eastAsia="Times New Roman" w:hAnsi="Times New Roman" w:cs="Times New Roman"/>
                <w:b/>
                <w:sz w:val="24"/>
                <w:szCs w:val="24"/>
                <w:lang/>
              </w:rPr>
              <w:t>2</w:t>
            </w:r>
            <w:r w:rsidRPr="00EF1540">
              <w:rPr>
                <w:rFonts w:ascii="Times New Roman" w:eastAsia="Times New Roman" w:hAnsi="Times New Roman" w:cs="Times New Roman"/>
                <w:sz w:val="24"/>
                <w:szCs w:val="24"/>
                <w:lang/>
              </w:rPr>
              <w:t> цієї Методики.</w:t>
            </w:r>
          </w:p>
          <w:bookmarkEnd w:id="9"/>
          <w:p w:rsidR="00006018" w:rsidRPr="00EF1540" w:rsidRDefault="00006018" w:rsidP="00006018">
            <w:pPr>
              <w:shd w:val="clear" w:color="auto" w:fill="FFFFFF"/>
              <w:ind w:firstLine="448"/>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 xml:space="preserve">Оператор системи передачі та оператори систем розподілу надають до НКРЕКП документи (їх копії) та інформацію (дані, </w:t>
            </w:r>
            <w:r w:rsidRPr="00EF1540">
              <w:rPr>
                <w:rFonts w:ascii="Times New Roman" w:eastAsia="Times New Roman" w:hAnsi="Times New Roman" w:cs="Times New Roman"/>
                <w:sz w:val="24"/>
                <w:szCs w:val="24"/>
                <w:lang/>
              </w:rPr>
              <w:lastRenderedPageBreak/>
              <w:t xml:space="preserve">відомості, звітність, </w:t>
            </w:r>
            <w:proofErr w:type="spellStart"/>
            <w:r w:rsidRPr="00EF1540">
              <w:rPr>
                <w:rFonts w:ascii="Times New Roman" w:eastAsia="Times New Roman" w:hAnsi="Times New Roman" w:cs="Times New Roman"/>
                <w:sz w:val="24"/>
                <w:szCs w:val="24"/>
                <w:lang/>
              </w:rPr>
              <w:t>проєктну</w:t>
            </w:r>
            <w:proofErr w:type="spellEnd"/>
            <w:r w:rsidRPr="00EF1540">
              <w:rPr>
                <w:rFonts w:ascii="Times New Roman" w:eastAsia="Times New Roman" w:hAnsi="Times New Roman" w:cs="Times New Roman"/>
                <w:sz w:val="24"/>
                <w:szCs w:val="24"/>
                <w:lang/>
              </w:rPr>
              <w:t xml:space="preserve"> документацію, виконавчу документацію тощо) щодо наданих у базовому періоді послуг з приєднання електроустановок замовників до електричних мереж (завершених приєднань) у вигляді, обсягах та у строки, встановлені НКРЕКП, для подальшого аналізу величини дефіциту або профіциту коштів щодо надходжень та витрат, пов'язаних з наданням послуг з приєднання, з метою оцінки обґрунтованості їх економічного рівня.</w:t>
            </w:r>
          </w:p>
          <w:p w:rsidR="00006018" w:rsidRPr="00EF1540" w:rsidRDefault="00006018" w:rsidP="00006018">
            <w:pPr>
              <w:shd w:val="clear" w:color="auto" w:fill="FFFFFF"/>
              <w:ind w:firstLine="448"/>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Оператор системи передачі та оператори систем розподілу відповідають за достовірність даних, зазначених ними у формах звітності та в документах.</w:t>
            </w:r>
          </w:p>
          <w:p w:rsidR="00006018" w:rsidRPr="00EF1540" w:rsidRDefault="00006018" w:rsidP="00281235">
            <w:pPr>
              <w:shd w:val="clear" w:color="auto" w:fill="FFFFFF"/>
              <w:ind w:firstLine="448"/>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Оператори систем розподілу та оператор системи передачі мають право надавати скориговані дані, зазначені ними у формах звітності та в інформації, передбаченій у цьому пункті, виключно після проведення НКРЕКП відповідного заходу державного контролю. В інших випадках НКРЕКП не приймає до розгляду скориговані дані, надані операторами систем розподілу та оператором системи передачі.</w:t>
            </w:r>
          </w:p>
        </w:tc>
      </w:tr>
      <w:tr w:rsidR="00EF1540" w:rsidRPr="00EF1540" w:rsidTr="00D426BB">
        <w:trPr>
          <w:trHeight w:val="175"/>
        </w:trPr>
        <w:tc>
          <w:tcPr>
            <w:tcW w:w="15877" w:type="dxa"/>
            <w:gridSpan w:val="2"/>
          </w:tcPr>
          <w:p w:rsidR="008B675D" w:rsidRPr="00EF1540" w:rsidRDefault="008B675D" w:rsidP="008B675D">
            <w:pPr>
              <w:shd w:val="clear" w:color="auto" w:fill="FFFFFF"/>
              <w:ind w:firstLine="448"/>
              <w:jc w:val="center"/>
              <w:rPr>
                <w:rFonts w:ascii="Times New Roman" w:eastAsia="Times New Roman" w:hAnsi="Times New Roman" w:cs="Times New Roman"/>
                <w:b/>
                <w:sz w:val="24"/>
                <w:szCs w:val="24"/>
                <w:lang w:eastAsia="uk-UA"/>
              </w:rPr>
            </w:pPr>
            <w:r w:rsidRPr="00EF1540">
              <w:rPr>
                <w:rFonts w:ascii="Times New Roman" w:eastAsia="Times New Roman" w:hAnsi="Times New Roman" w:cs="Times New Roman"/>
                <w:b/>
                <w:sz w:val="24"/>
                <w:szCs w:val="24"/>
                <w:lang w:eastAsia="uk-UA"/>
              </w:rPr>
              <w:lastRenderedPageBreak/>
              <w:t>2. Вартість приєднання електроустановок до електричних мереж</w:t>
            </w:r>
          </w:p>
        </w:tc>
      </w:tr>
      <w:tr w:rsidR="00EF1540" w:rsidRPr="00EF1540" w:rsidTr="00D426BB">
        <w:trPr>
          <w:trHeight w:val="708"/>
        </w:trPr>
        <w:tc>
          <w:tcPr>
            <w:tcW w:w="8731" w:type="dxa"/>
          </w:tcPr>
          <w:p w:rsidR="008B675D" w:rsidRPr="00EF1540" w:rsidRDefault="008B675D" w:rsidP="008B675D">
            <w:pPr>
              <w:shd w:val="clear" w:color="auto" w:fill="FFFFFF"/>
              <w:ind w:firstLine="448"/>
              <w:jc w:val="both"/>
              <w:rPr>
                <w:rFonts w:ascii="Times New Roman" w:eastAsia="Times New Roman" w:hAnsi="Times New Roman" w:cs="Times New Roman"/>
                <w:sz w:val="24"/>
                <w:szCs w:val="24"/>
              </w:rPr>
            </w:pPr>
            <w:r w:rsidRPr="00EF1540">
              <w:rPr>
                <w:rFonts w:ascii="Times New Roman" w:eastAsia="Times New Roman" w:hAnsi="Times New Roman" w:cs="Times New Roman"/>
                <w:sz w:val="24"/>
                <w:szCs w:val="24"/>
              </w:rPr>
              <w:t>2.3. Вартість проєктної документації визначається на підставі актів виконаних робіт, що складені відповідно до вимог ДСТУ Б Д.1.1-7:2013 «Правила визначення вартості проєктних робіт та експертизи проєктів будівництва».</w:t>
            </w:r>
          </w:p>
        </w:tc>
        <w:tc>
          <w:tcPr>
            <w:tcW w:w="7146" w:type="dxa"/>
          </w:tcPr>
          <w:p w:rsidR="008B675D" w:rsidRPr="00EF1540" w:rsidRDefault="008B675D" w:rsidP="008B675D">
            <w:pPr>
              <w:shd w:val="clear" w:color="auto" w:fill="FFFFFF"/>
              <w:ind w:firstLine="448"/>
              <w:jc w:val="both"/>
              <w:rPr>
                <w:rFonts w:ascii="Times New Roman" w:eastAsia="Times New Roman" w:hAnsi="Times New Roman" w:cs="Times New Roman"/>
                <w:sz w:val="24"/>
                <w:szCs w:val="24"/>
              </w:rPr>
            </w:pPr>
            <w:bookmarkStart w:id="10" w:name="_Hlk161073995"/>
            <w:r w:rsidRPr="00EF1540">
              <w:rPr>
                <w:rFonts w:ascii="Times New Roman" w:eastAsia="Times New Roman" w:hAnsi="Times New Roman" w:cs="Times New Roman"/>
                <w:sz w:val="24"/>
                <w:szCs w:val="24"/>
              </w:rPr>
              <w:t xml:space="preserve">2.3. Вартість проєктної документації визначається </w:t>
            </w:r>
            <w:r w:rsidRPr="00EF1540">
              <w:rPr>
                <w:rFonts w:ascii="Times New Roman" w:eastAsia="Times New Roman" w:hAnsi="Times New Roman" w:cs="Times New Roman"/>
                <w:b/>
                <w:sz w:val="24"/>
                <w:szCs w:val="24"/>
              </w:rPr>
              <w:t xml:space="preserve">відповідно до </w:t>
            </w:r>
            <w:r w:rsidR="00A17353" w:rsidRPr="00A17353">
              <w:rPr>
                <w:rFonts w:ascii="Times New Roman" w:eastAsia="Times New Roman" w:hAnsi="Times New Roman" w:cs="Times New Roman"/>
                <w:b/>
                <w:sz w:val="24"/>
                <w:szCs w:val="24"/>
              </w:rPr>
              <w:t>Кошторисних норм України у будівництві «Настанова з визначення вартості проектних, науково-проектних, вишукувальних робіт та експертизи проектної документації на будівництво», затверджених наказом Міністерства розвитку громад та територій України від 01 листопада 2021 року № 281 (далі – Настанова)</w:t>
            </w:r>
            <w:r w:rsidRPr="00EF1540">
              <w:rPr>
                <w:rFonts w:ascii="Times New Roman" w:eastAsia="Times New Roman" w:hAnsi="Times New Roman" w:cs="Times New Roman"/>
                <w:sz w:val="24"/>
                <w:szCs w:val="24"/>
              </w:rPr>
              <w:t>.</w:t>
            </w:r>
            <w:bookmarkEnd w:id="10"/>
          </w:p>
        </w:tc>
      </w:tr>
      <w:tr w:rsidR="00EF1540" w:rsidRPr="00EF1540" w:rsidTr="00D426BB">
        <w:trPr>
          <w:trHeight w:val="708"/>
        </w:trPr>
        <w:tc>
          <w:tcPr>
            <w:tcW w:w="8731" w:type="dxa"/>
          </w:tcPr>
          <w:p w:rsidR="008B675D" w:rsidRPr="00EF1540" w:rsidRDefault="008B675D" w:rsidP="008B675D">
            <w:pPr>
              <w:shd w:val="clear" w:color="auto" w:fill="FFFFFF"/>
              <w:ind w:firstLine="448"/>
              <w:jc w:val="both"/>
              <w:rPr>
                <w:rFonts w:ascii="Times New Roman" w:eastAsia="Times New Roman" w:hAnsi="Times New Roman" w:cs="Times New Roman"/>
                <w:sz w:val="24"/>
                <w:szCs w:val="24"/>
              </w:rPr>
            </w:pPr>
            <w:r w:rsidRPr="00EF1540">
              <w:rPr>
                <w:rFonts w:ascii="Times New Roman" w:eastAsia="Times New Roman" w:hAnsi="Times New Roman" w:cs="Times New Roman"/>
                <w:sz w:val="24"/>
                <w:szCs w:val="24"/>
              </w:rPr>
              <w:t>2.5. Вартість будівельно-монтажних та пусконалагоджувальних робіт визначається з урахуванням:</w:t>
            </w:r>
          </w:p>
          <w:p w:rsidR="008B675D" w:rsidRPr="00EF1540" w:rsidRDefault="008B675D" w:rsidP="008B675D">
            <w:pPr>
              <w:shd w:val="clear" w:color="auto" w:fill="FFFFFF"/>
              <w:ind w:firstLine="448"/>
              <w:jc w:val="both"/>
              <w:rPr>
                <w:rFonts w:ascii="Times New Roman" w:eastAsia="Times New Roman" w:hAnsi="Times New Roman" w:cs="Times New Roman"/>
                <w:sz w:val="24"/>
                <w:szCs w:val="24"/>
              </w:rPr>
            </w:pPr>
            <w:r w:rsidRPr="00EF1540">
              <w:rPr>
                <w:rFonts w:ascii="Times New Roman" w:eastAsia="Times New Roman" w:hAnsi="Times New Roman" w:cs="Times New Roman"/>
                <w:sz w:val="24"/>
                <w:szCs w:val="24"/>
              </w:rPr>
              <w:t>при виконанні робіт господарським способом використовуються норми часу на виконання робіт працівниками згідно з ДСТУ Б Д.1.1-1:2013 «Правила визначення вартості будівництва» з урахуванням фактичної заробітної плати персоналу оператора системи передачі або розподілу;</w:t>
            </w:r>
          </w:p>
          <w:p w:rsidR="008B675D" w:rsidRPr="00EF1540" w:rsidRDefault="008B675D" w:rsidP="008B675D">
            <w:pPr>
              <w:shd w:val="clear" w:color="auto" w:fill="FFFFFF"/>
              <w:ind w:firstLine="448"/>
              <w:jc w:val="both"/>
              <w:rPr>
                <w:rFonts w:ascii="Times New Roman" w:eastAsia="Times New Roman" w:hAnsi="Times New Roman" w:cs="Times New Roman"/>
                <w:sz w:val="24"/>
                <w:szCs w:val="24"/>
              </w:rPr>
            </w:pPr>
            <w:r w:rsidRPr="00EF1540">
              <w:rPr>
                <w:rFonts w:ascii="Times New Roman" w:eastAsia="Times New Roman" w:hAnsi="Times New Roman" w:cs="Times New Roman"/>
                <w:sz w:val="24"/>
                <w:szCs w:val="24"/>
              </w:rPr>
              <w:t>при виконанні робіт підрядним способом використовується ДСТУ Б Д.1.1-1:2013 «Правила визначення вартості будівництва» та Порядок розрахунку розміру кошторисної заробітної плати, який враховується при визначенні вартості будівництва об'єктів, затверджений наказом Міністерства регіонального розвитку, будівництва та житлово-комунального господарства України від 20 жовтня 2016 року № 281 та зареєстрований у Міністерстві юстиції України 11 листопада 2016 року за № 1469/29599, виходячи з фактично виконаних обсягів робіт і вартості фактично використаних матеріалів.</w:t>
            </w:r>
          </w:p>
        </w:tc>
        <w:tc>
          <w:tcPr>
            <w:tcW w:w="7146" w:type="dxa"/>
          </w:tcPr>
          <w:p w:rsidR="008B675D" w:rsidRPr="00EF1540" w:rsidRDefault="008B675D" w:rsidP="008B675D">
            <w:pPr>
              <w:shd w:val="clear" w:color="auto" w:fill="FFFFFF"/>
              <w:ind w:firstLine="448"/>
              <w:jc w:val="both"/>
              <w:rPr>
                <w:rFonts w:ascii="Times New Roman" w:eastAsia="Times New Roman" w:hAnsi="Times New Roman" w:cs="Times New Roman"/>
                <w:sz w:val="24"/>
                <w:szCs w:val="24"/>
              </w:rPr>
            </w:pPr>
            <w:r w:rsidRPr="00EF1540">
              <w:rPr>
                <w:rFonts w:ascii="Times New Roman" w:eastAsia="Times New Roman" w:hAnsi="Times New Roman" w:cs="Times New Roman"/>
                <w:sz w:val="24"/>
                <w:szCs w:val="24"/>
              </w:rPr>
              <w:t>2.5. Вартість будівельно-монтажних та пусконалагоджувальних робіт визначається з урахуванням:</w:t>
            </w:r>
          </w:p>
          <w:p w:rsidR="008B675D" w:rsidRPr="00EF1540" w:rsidRDefault="008B675D" w:rsidP="008B675D">
            <w:pPr>
              <w:shd w:val="clear" w:color="auto" w:fill="FFFFFF"/>
              <w:ind w:firstLine="448"/>
              <w:jc w:val="both"/>
              <w:rPr>
                <w:rFonts w:ascii="Times New Roman" w:eastAsia="Times New Roman" w:hAnsi="Times New Roman" w:cs="Times New Roman"/>
                <w:sz w:val="24"/>
                <w:szCs w:val="24"/>
              </w:rPr>
            </w:pPr>
            <w:bookmarkStart w:id="11" w:name="_Hlk161074065"/>
            <w:r w:rsidRPr="00EF1540">
              <w:rPr>
                <w:rFonts w:ascii="Times New Roman" w:eastAsia="Times New Roman" w:hAnsi="Times New Roman" w:cs="Times New Roman"/>
                <w:sz w:val="24"/>
                <w:szCs w:val="24"/>
              </w:rPr>
              <w:t xml:space="preserve">при виконанні робіт господарським способом використовуються норми часу на виконання робіт працівниками згідно з </w:t>
            </w:r>
            <w:r w:rsidRPr="00EF1540">
              <w:rPr>
                <w:rFonts w:ascii="Times New Roman" w:eastAsia="Times New Roman" w:hAnsi="Times New Roman" w:cs="Times New Roman"/>
                <w:b/>
                <w:sz w:val="24"/>
                <w:szCs w:val="24"/>
              </w:rPr>
              <w:t xml:space="preserve">Настановою </w:t>
            </w:r>
            <w:r w:rsidRPr="00EF1540">
              <w:rPr>
                <w:rFonts w:ascii="Times New Roman" w:eastAsia="Times New Roman" w:hAnsi="Times New Roman" w:cs="Times New Roman"/>
                <w:sz w:val="24"/>
                <w:szCs w:val="24"/>
              </w:rPr>
              <w:t>з урахуванням фактичної заробітної плати персоналу оператора системи передачі або розподілу;</w:t>
            </w:r>
          </w:p>
          <w:p w:rsidR="008B675D" w:rsidRPr="00EF1540" w:rsidRDefault="008B675D" w:rsidP="008B675D">
            <w:pPr>
              <w:shd w:val="clear" w:color="auto" w:fill="FFFFFF"/>
              <w:ind w:firstLine="448"/>
              <w:jc w:val="both"/>
              <w:rPr>
                <w:rFonts w:ascii="Times New Roman" w:eastAsia="Times New Roman" w:hAnsi="Times New Roman" w:cs="Times New Roman"/>
                <w:sz w:val="24"/>
                <w:szCs w:val="24"/>
              </w:rPr>
            </w:pPr>
            <w:r w:rsidRPr="00EF1540">
              <w:rPr>
                <w:rFonts w:ascii="Times New Roman" w:eastAsia="Times New Roman" w:hAnsi="Times New Roman" w:cs="Times New Roman"/>
                <w:sz w:val="24"/>
                <w:szCs w:val="24"/>
              </w:rPr>
              <w:t xml:space="preserve">при виконанні робіт підрядним способом використовується </w:t>
            </w:r>
            <w:r w:rsidRPr="00EF1540">
              <w:rPr>
                <w:rFonts w:ascii="Times New Roman" w:eastAsia="Times New Roman" w:hAnsi="Times New Roman" w:cs="Times New Roman"/>
                <w:b/>
                <w:sz w:val="24"/>
                <w:szCs w:val="24"/>
              </w:rPr>
              <w:t xml:space="preserve">Настанова </w:t>
            </w:r>
            <w:r w:rsidRPr="00EF1540">
              <w:rPr>
                <w:rFonts w:ascii="Times New Roman" w:eastAsia="Times New Roman" w:hAnsi="Times New Roman" w:cs="Times New Roman"/>
                <w:sz w:val="24"/>
                <w:szCs w:val="24"/>
              </w:rPr>
              <w:t>та Порядок розрахунку розміру кошторисної заробітної плати, який враховується при визначенні вартості будівництва об'єктів, затверджений наказом Міністерства регіонального розвитку, будівництва та житлово-комунального господарства України від 20 жовтня 2016 року № 281 та зареєстрований у Міністерстві юстиції України 11 листопада 2016 року за № 1469/29599, виходячи з фактично виконаних обсягів робіт і вартості фактично використаних матеріалів.</w:t>
            </w:r>
            <w:bookmarkEnd w:id="11"/>
          </w:p>
        </w:tc>
      </w:tr>
      <w:tr w:rsidR="00EF1540" w:rsidRPr="00EF1540" w:rsidTr="00D426BB">
        <w:trPr>
          <w:trHeight w:val="361"/>
        </w:trPr>
        <w:tc>
          <w:tcPr>
            <w:tcW w:w="15877" w:type="dxa"/>
            <w:gridSpan w:val="2"/>
          </w:tcPr>
          <w:p w:rsidR="00006018" w:rsidRPr="00EF1540" w:rsidRDefault="00006018" w:rsidP="00006018">
            <w:pPr>
              <w:shd w:val="clear" w:color="auto" w:fill="FFFFFF"/>
              <w:ind w:firstLine="448"/>
              <w:jc w:val="center"/>
              <w:rPr>
                <w:rFonts w:ascii="Times New Roman" w:eastAsia="Times New Roman" w:hAnsi="Times New Roman" w:cs="Times New Roman"/>
                <w:b/>
                <w:sz w:val="24"/>
                <w:szCs w:val="24"/>
                <w:lang w:eastAsia="uk-UA"/>
              </w:rPr>
            </w:pPr>
            <w:r w:rsidRPr="00EF1540">
              <w:rPr>
                <w:rFonts w:ascii="Times New Roman" w:eastAsia="Times New Roman" w:hAnsi="Times New Roman" w:cs="Times New Roman"/>
                <w:b/>
                <w:sz w:val="24"/>
                <w:szCs w:val="24"/>
                <w:lang w:eastAsia="uk-UA"/>
              </w:rPr>
              <w:lastRenderedPageBreak/>
              <w:t>3. Плата за стандартне приєднання</w:t>
            </w:r>
          </w:p>
        </w:tc>
      </w:tr>
      <w:tr w:rsidR="00EF1540" w:rsidRPr="00EF1540" w:rsidTr="00D426BB">
        <w:trPr>
          <w:trHeight w:val="708"/>
        </w:trPr>
        <w:tc>
          <w:tcPr>
            <w:tcW w:w="8731" w:type="dxa"/>
          </w:tcPr>
          <w:p w:rsidR="00006018" w:rsidRPr="00EF1540" w:rsidRDefault="00006018" w:rsidP="00006018">
            <w:pPr>
              <w:spacing w:before="100" w:beforeAutospacing="1" w:after="100" w:afterAutospacing="1"/>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 xml:space="preserve">3.2. Ставки плати за стандартне приєднання </w:t>
            </w:r>
            <m:oMath>
              <m:sSubSup>
                <m:sSubSupPr>
                  <m:ctrlPr>
                    <w:rPr>
                      <w:rFonts w:ascii="Cambria Math" w:hAnsi="Cambria Math"/>
                      <w:i/>
                      <w:sz w:val="32"/>
                      <w:szCs w:val="28"/>
                    </w:rPr>
                  </m:ctrlPr>
                </m:sSubSupPr>
                <m:e>
                  <m:r>
                    <w:rPr>
                      <w:rFonts w:ascii="Cambria Math" w:hAnsi="Cambria Math"/>
                      <w:sz w:val="32"/>
                      <w:szCs w:val="28"/>
                    </w:rPr>
                    <m:t>С</m:t>
                  </m:r>
                </m:e>
                <m:sub>
                  <m:r>
                    <w:rPr>
                      <w:rFonts w:ascii="Cambria Math" w:hAnsi="Cambria Math"/>
                      <w:sz w:val="32"/>
                      <w:szCs w:val="28"/>
                    </w:rPr>
                    <m:t>ст</m:t>
                  </m:r>
                </m:sub>
                <m:sup>
                  <m:r>
                    <w:rPr>
                      <w:rFonts w:ascii="Cambria Math" w:hAnsi="Cambria Math"/>
                      <w:sz w:val="32"/>
                      <w:szCs w:val="28"/>
                    </w:rPr>
                    <m:t>к,н,ф,місц</m:t>
                  </m:r>
                </m:sup>
              </m:sSubSup>
            </m:oMath>
            <w:r w:rsidRPr="00EF1540">
              <w:rPr>
                <w:rFonts w:ascii="Times New Roman" w:eastAsia="Times New Roman" w:hAnsi="Times New Roman" w:cs="Times New Roman"/>
                <w:sz w:val="32"/>
                <w:szCs w:val="28"/>
              </w:rPr>
              <w:t xml:space="preserve"> </w:t>
            </w:r>
            <w:r w:rsidRPr="00EF1540">
              <w:rPr>
                <w:rFonts w:ascii="Times New Roman" w:eastAsia="Times New Roman" w:hAnsi="Times New Roman" w:cs="Times New Roman"/>
                <w:sz w:val="24"/>
                <w:szCs w:val="24"/>
                <w:lang/>
              </w:rPr>
              <w:t>встановлюються НКРЕКП на розрахунковий період та розраховуються за формулою</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848"/>
              <w:gridCol w:w="184"/>
              <w:gridCol w:w="1076"/>
              <w:gridCol w:w="699"/>
              <w:gridCol w:w="17"/>
              <w:gridCol w:w="699"/>
              <w:gridCol w:w="2395"/>
              <w:gridCol w:w="1350"/>
              <w:gridCol w:w="51"/>
              <w:gridCol w:w="869"/>
            </w:tblGrid>
            <w:tr w:rsidR="00EF1540" w:rsidRPr="00EF1540" w:rsidTr="00047CAF">
              <w:tc>
                <w:tcPr>
                  <w:tcW w:w="6958" w:type="dxa"/>
                  <w:gridSpan w:val="8"/>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7"/>
                    <w:jc w:val="center"/>
                    <w:rPr>
                      <w:rFonts w:ascii="Times New Roman" w:eastAsia="Times New Roman" w:hAnsi="Times New Roman" w:cs="Times New Roman"/>
                      <w:sz w:val="24"/>
                      <w:szCs w:val="24"/>
                      <w:lang/>
                    </w:rPr>
                  </w:pPr>
                  <w:bookmarkStart w:id="12" w:name="n234"/>
                  <w:bookmarkEnd w:id="12"/>
                  <w:r w:rsidRPr="00EF1540">
                    <w:rPr>
                      <w:rFonts w:ascii="Times New Roman" w:eastAsia="Times New Roman" w:hAnsi="Times New Roman" w:cs="Times New Roman"/>
                      <w:noProof/>
                      <w:sz w:val="24"/>
                      <w:szCs w:val="24"/>
                      <w:lang/>
                    </w:rPr>
                    <w:drawing>
                      <wp:inline distT="0" distB="0" distL="0" distR="0" wp14:anchorId="08D5D525" wp14:editId="0E5E9F19">
                        <wp:extent cx="3810000" cy="361533"/>
                        <wp:effectExtent l="0" t="0" r="0" b="635"/>
                        <wp:docPr id="19" name="Рисунок 19" descr="https://zakon.rada.gov.ua/laws/file/imgs/85/p480243n234-2.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85/p480243n234-2.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22780" cy="362746"/>
                                </a:xfrm>
                                <a:prstGeom prst="rect">
                                  <a:avLst/>
                                </a:prstGeom>
                                <a:noFill/>
                                <a:ln>
                                  <a:noFill/>
                                </a:ln>
                              </pic:spPr>
                            </pic:pic>
                          </a:graphicData>
                        </a:graphic>
                      </wp:inline>
                    </w:drawing>
                  </w:r>
                </w:p>
              </w:tc>
              <w:tc>
                <w:tcPr>
                  <w:tcW w:w="390" w:type="dxa"/>
                  <w:gridSpan w:val="2"/>
                  <w:tcBorders>
                    <w:top w:val="nil"/>
                    <w:left w:val="nil"/>
                    <w:bottom w:val="nil"/>
                    <w:right w:val="nil"/>
                  </w:tcBorders>
                  <w:vAlign w:val="center"/>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(2)</w:t>
                  </w:r>
                </w:p>
              </w:tc>
            </w:tr>
            <w:tr w:rsidR="00EF1540" w:rsidRPr="00EF1540" w:rsidTr="00047CAF">
              <w:tc>
                <w:tcPr>
                  <w:tcW w:w="540" w:type="dxa"/>
                  <w:gridSpan w:val="2"/>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bookmarkStart w:id="13" w:name="n235"/>
                  <w:bookmarkEnd w:id="13"/>
                  <w:r w:rsidRPr="00EF1540">
                    <w:rPr>
                      <w:rFonts w:ascii="Times New Roman" w:eastAsia="Times New Roman" w:hAnsi="Times New Roman" w:cs="Times New Roman"/>
                      <w:sz w:val="24"/>
                      <w:szCs w:val="24"/>
                      <w:lang/>
                    </w:rPr>
                    <w:t>де</w:t>
                  </w:r>
                </w:p>
              </w:tc>
              <w:tc>
                <w:tcPr>
                  <w:tcW w:w="1245" w:type="dxa"/>
                  <w:gridSpan w:val="3"/>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noProof/>
                      <w:sz w:val="24"/>
                      <w:szCs w:val="24"/>
                      <w:lang/>
                    </w:rPr>
                    <w:drawing>
                      <wp:inline distT="0" distB="0" distL="0" distR="0" wp14:anchorId="5F0A2D77" wp14:editId="247F0E97">
                        <wp:extent cx="609600" cy="247650"/>
                        <wp:effectExtent l="0" t="0" r="0" b="0"/>
                        <wp:docPr id="2" name="Рисунок 2" descr="https://zakon.rada.gov.ua/laws/file/imgs/85/p480243n235-3.gif">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zakon.rada.gov.ua/laws/file/imgs/85/p480243n235-3.gif">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9600" cy="247650"/>
                                </a:xfrm>
                                <a:prstGeom prst="rect">
                                  <a:avLst/>
                                </a:prstGeom>
                                <a:noFill/>
                                <a:ln>
                                  <a:noFill/>
                                </a:ln>
                              </pic:spPr>
                            </pic:pic>
                          </a:graphicData>
                        </a:graphic>
                      </wp:inline>
                    </w:drawing>
                  </w:r>
                </w:p>
              </w:tc>
              <w:tc>
                <w:tcPr>
                  <w:tcW w:w="110" w:type="dxa"/>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w:t>
                  </w:r>
                </w:p>
              </w:tc>
              <w:tc>
                <w:tcPr>
                  <w:tcW w:w="5453" w:type="dxa"/>
                  <w:gridSpan w:val="4"/>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питома вартість приєднання 1 кВт потужності електроустановок замовника, яка розраховується за формулою</w:t>
                  </w:r>
                </w:p>
              </w:tc>
            </w:tr>
            <w:tr w:rsidR="00EF1540" w:rsidRPr="00EF1540" w:rsidTr="00047CAF">
              <w:tblPrEx>
                <w:tblCellSpacing w:w="0" w:type="dxa"/>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blCellSpacing w:w="0" w:type="dxa"/>
              </w:trPr>
              <w:tc>
                <w:tcPr>
                  <w:tcW w:w="7009" w:type="dxa"/>
                  <w:gridSpan w:val="9"/>
                  <w:hideMark/>
                </w:tcPr>
                <w:p w:rsidR="00006018" w:rsidRPr="00EF1540" w:rsidRDefault="00006018" w:rsidP="00006018">
                  <w:pPr>
                    <w:spacing w:before="100" w:beforeAutospacing="1" w:after="100" w:afterAutospacing="1" w:line="240" w:lineRule="auto"/>
                    <w:ind w:firstLine="22"/>
                    <w:jc w:val="center"/>
                    <w:rPr>
                      <w:rFonts w:ascii="Times New Roman" w:eastAsia="Times New Roman" w:hAnsi="Times New Roman" w:cs="Times New Roman"/>
                      <w:sz w:val="24"/>
                      <w:szCs w:val="24"/>
                      <w:lang/>
                    </w:rPr>
                  </w:pPr>
                  <w:bookmarkStart w:id="14" w:name="n325"/>
                  <w:bookmarkEnd w:id="14"/>
                  <w:r w:rsidRPr="00EF1540">
                    <w:rPr>
                      <w:rFonts w:ascii="Times New Roman" w:eastAsia="Times New Roman" w:hAnsi="Times New Roman" w:cs="Times New Roman"/>
                      <w:noProof/>
                      <w:sz w:val="24"/>
                      <w:szCs w:val="24"/>
                      <w:lang/>
                    </w:rPr>
                    <w:drawing>
                      <wp:inline distT="0" distB="0" distL="0" distR="0" wp14:anchorId="395F80F6" wp14:editId="1FE3297F">
                        <wp:extent cx="4171950" cy="622924"/>
                        <wp:effectExtent l="0" t="0" r="0" b="6350"/>
                        <wp:docPr id="3" name="Рисунок 3" descr="https://zakon.rada.gov.ua/laws/file/imgs/98/p480243n325-4.gif">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akon.rada.gov.ua/laws/file/imgs/98/p480243n325-4.gif">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202400" cy="627471"/>
                                </a:xfrm>
                                <a:prstGeom prst="rect">
                                  <a:avLst/>
                                </a:prstGeom>
                                <a:noFill/>
                                <a:ln>
                                  <a:noFill/>
                                </a:ln>
                              </pic:spPr>
                            </pic:pic>
                          </a:graphicData>
                        </a:graphic>
                      </wp:inline>
                    </w:drawing>
                  </w:r>
                </w:p>
              </w:tc>
              <w:tc>
                <w:tcPr>
                  <w:tcW w:w="339" w:type="dxa"/>
                  <w:vAlign w:val="center"/>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(3)</w:t>
                  </w:r>
                </w:p>
              </w:tc>
            </w:tr>
            <w:tr w:rsidR="00EF1540" w:rsidRPr="00EF1540" w:rsidTr="00047CAF">
              <w:tc>
                <w:tcPr>
                  <w:tcW w:w="356" w:type="dxa"/>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bookmarkStart w:id="15" w:name="n326"/>
                  <w:bookmarkStart w:id="16" w:name="n237"/>
                  <w:bookmarkEnd w:id="15"/>
                  <w:bookmarkEnd w:id="16"/>
                  <w:r w:rsidRPr="00EF1540">
                    <w:rPr>
                      <w:rFonts w:ascii="Times New Roman" w:eastAsia="Times New Roman" w:hAnsi="Times New Roman" w:cs="Times New Roman"/>
                      <w:sz w:val="24"/>
                      <w:szCs w:val="24"/>
                      <w:lang/>
                    </w:rPr>
                    <w:t>де</w:t>
                  </w:r>
                </w:p>
              </w:tc>
              <w:tc>
                <w:tcPr>
                  <w:tcW w:w="1260" w:type="dxa"/>
                  <w:gridSpan w:val="2"/>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3"/>
                    <w:jc w:val="both"/>
                    <w:rPr>
                      <w:rFonts w:ascii="Times New Roman" w:eastAsia="Times New Roman" w:hAnsi="Times New Roman" w:cs="Times New Roman"/>
                      <w:sz w:val="24"/>
                      <w:szCs w:val="24"/>
                      <w:lang/>
                    </w:rPr>
                  </w:pPr>
                  <w:r w:rsidRPr="00EF1540">
                    <w:rPr>
                      <w:rFonts w:ascii="Times New Roman" w:eastAsia="Times New Roman" w:hAnsi="Times New Roman" w:cs="Times New Roman"/>
                      <w:noProof/>
                      <w:sz w:val="24"/>
                      <w:szCs w:val="24"/>
                      <w:lang/>
                    </w:rPr>
                    <w:drawing>
                      <wp:inline distT="0" distB="0" distL="0" distR="0" wp14:anchorId="68BBB597" wp14:editId="04325480">
                        <wp:extent cx="685800" cy="304800"/>
                        <wp:effectExtent l="0" t="0" r="0" b="0"/>
                        <wp:docPr id="20" name="Рисунок 20" descr="https://zakon.rada.gov.ua/laws/file/imgs/98/p480243n237v1-5.gif">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akon.rada.gov.ua/laws/file/imgs/98/p480243n237v1-5.gif">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85800" cy="304800"/>
                                </a:xfrm>
                                <a:prstGeom prst="rect">
                                  <a:avLst/>
                                </a:prstGeom>
                                <a:noFill/>
                                <a:ln>
                                  <a:noFill/>
                                </a:ln>
                              </pic:spPr>
                            </pic:pic>
                          </a:graphicData>
                        </a:graphic>
                      </wp:inline>
                    </w:drawing>
                  </w:r>
                </w:p>
              </w:tc>
              <w:tc>
                <w:tcPr>
                  <w:tcW w:w="152" w:type="dxa"/>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w:t>
                  </w:r>
                </w:p>
              </w:tc>
              <w:tc>
                <w:tcPr>
                  <w:tcW w:w="5580" w:type="dxa"/>
                  <w:gridSpan w:val="6"/>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 xml:space="preserve">фактичні капітальні витрати (без ПДВ), понесені під час надання послуги за i-те стандартне приєднання (за об'єктами замовників, приєднання яких завершено у базовому періоді) для міської за першим та другим ступенями стандартного приєднання та сільської місцевості за першим та другим ступенями стандартного приєднання, (значення за рядками графи 80 </w:t>
                  </w:r>
                  <w:hyperlink r:id="rId21" w:anchor="n146" w:history="1">
                    <w:r w:rsidRPr="00EF1540">
                      <w:rPr>
                        <w:rFonts w:ascii="Times New Roman" w:eastAsia="Times New Roman" w:hAnsi="Times New Roman" w:cs="Times New Roman"/>
                        <w:sz w:val="24"/>
                        <w:szCs w:val="24"/>
                        <w:lang/>
                      </w:rPr>
                      <w:t>додатка 1</w:t>
                    </w:r>
                  </w:hyperlink>
                  <w:r w:rsidRPr="00EF1540">
                    <w:rPr>
                      <w:rFonts w:ascii="Times New Roman" w:eastAsia="Times New Roman" w:hAnsi="Times New Roman" w:cs="Times New Roman"/>
                      <w:sz w:val="24"/>
                      <w:szCs w:val="24"/>
                      <w:lang/>
                    </w:rPr>
                    <w:t xml:space="preserve"> до цієї Методики), тис. грн (без ПДВ);</w:t>
                  </w:r>
                </w:p>
              </w:tc>
            </w:tr>
            <w:tr w:rsidR="00EF1540" w:rsidRPr="00EF1540" w:rsidTr="00047CAF">
              <w:tc>
                <w:tcPr>
                  <w:tcW w:w="7348" w:type="dxa"/>
                  <w:gridSpan w:val="10"/>
                  <w:tcBorders>
                    <w:top w:val="nil"/>
                    <w:left w:val="nil"/>
                    <w:bottom w:val="nil"/>
                    <w:right w:val="nil"/>
                  </w:tcBorders>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p>
              </w:tc>
            </w:tr>
            <w:tr w:rsidR="00EF1540" w:rsidRPr="00EF1540" w:rsidTr="00047CAF">
              <w:tc>
                <w:tcPr>
                  <w:tcW w:w="356" w:type="dxa"/>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p>
              </w:tc>
              <w:tc>
                <w:tcPr>
                  <w:tcW w:w="1260" w:type="dxa"/>
                  <w:gridSpan w:val="2"/>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3"/>
                    <w:jc w:val="both"/>
                    <w:rPr>
                      <w:rFonts w:ascii="Times New Roman" w:eastAsia="Times New Roman" w:hAnsi="Times New Roman" w:cs="Times New Roman"/>
                      <w:sz w:val="24"/>
                      <w:szCs w:val="24"/>
                      <w:lang/>
                    </w:rPr>
                  </w:pPr>
                  <w:r w:rsidRPr="00EF1540">
                    <w:rPr>
                      <w:rFonts w:ascii="Times New Roman" w:eastAsia="Times New Roman" w:hAnsi="Times New Roman" w:cs="Times New Roman"/>
                      <w:noProof/>
                      <w:sz w:val="24"/>
                      <w:szCs w:val="24"/>
                      <w:lang/>
                    </w:rPr>
                    <w:drawing>
                      <wp:inline distT="0" distB="0" distL="0" distR="0" wp14:anchorId="19E06288" wp14:editId="5030BF71">
                        <wp:extent cx="781050" cy="285750"/>
                        <wp:effectExtent l="0" t="0" r="0" b="0"/>
                        <wp:docPr id="21" name="Рисунок 21" descr="https://zakon.rada.gov.ua/laws/file/imgs/98/p480243n237v1-6.gif">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on.rada.gov.ua/laws/file/imgs/98/p480243n237v1-6.gif">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81050" cy="285750"/>
                                </a:xfrm>
                                <a:prstGeom prst="rect">
                                  <a:avLst/>
                                </a:prstGeom>
                                <a:noFill/>
                                <a:ln>
                                  <a:noFill/>
                                </a:ln>
                              </pic:spPr>
                            </pic:pic>
                          </a:graphicData>
                        </a:graphic>
                      </wp:inline>
                    </w:drawing>
                  </w:r>
                </w:p>
              </w:tc>
              <w:tc>
                <w:tcPr>
                  <w:tcW w:w="152" w:type="dxa"/>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w:t>
                  </w:r>
                </w:p>
              </w:tc>
              <w:tc>
                <w:tcPr>
                  <w:tcW w:w="5580" w:type="dxa"/>
                  <w:gridSpan w:val="6"/>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фактичні капітальні витрати (без ПДВ), понесені під час надання послуги за i-те стандартне приєднання, за яким здійснювалось улаштування розвантажувальних трансформаторних пунктів, окрім трансформаторних пунктів, які забезпечують покриття дефіциту потужності виключно для потреб замовника приєднання, для міської місцевості за першим та другим ступенями стандартного приєднання та сільської місцевості за першим та другим ступенями стандартного приєднання (за об'єктами замовників, приєднання яких завершено у базовому періоді), тис. грн (без ПДВ);</w:t>
                  </w:r>
                </w:p>
              </w:tc>
            </w:tr>
            <w:tr w:rsidR="00EF1540" w:rsidRPr="00EF1540" w:rsidTr="00047CAF">
              <w:tc>
                <w:tcPr>
                  <w:tcW w:w="7348" w:type="dxa"/>
                  <w:gridSpan w:val="10"/>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p>
              </w:tc>
            </w:tr>
            <w:tr w:rsidR="00EF1540" w:rsidRPr="00EF1540" w:rsidTr="00047CAF">
              <w:tc>
                <w:tcPr>
                  <w:tcW w:w="356" w:type="dxa"/>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p>
              </w:tc>
              <w:tc>
                <w:tcPr>
                  <w:tcW w:w="1260" w:type="dxa"/>
                  <w:gridSpan w:val="2"/>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3"/>
                    <w:jc w:val="both"/>
                    <w:rPr>
                      <w:rFonts w:ascii="Times New Roman" w:eastAsia="Times New Roman" w:hAnsi="Times New Roman" w:cs="Times New Roman"/>
                      <w:sz w:val="24"/>
                      <w:szCs w:val="24"/>
                      <w:lang/>
                    </w:rPr>
                  </w:pPr>
                  <w:r w:rsidRPr="00EF1540">
                    <w:rPr>
                      <w:rFonts w:ascii="Times New Roman" w:eastAsia="Times New Roman" w:hAnsi="Times New Roman" w:cs="Times New Roman"/>
                      <w:noProof/>
                      <w:sz w:val="24"/>
                      <w:szCs w:val="24"/>
                      <w:lang/>
                    </w:rPr>
                    <w:drawing>
                      <wp:inline distT="0" distB="0" distL="0" distR="0" wp14:anchorId="792D2930" wp14:editId="54922028">
                        <wp:extent cx="400050" cy="238125"/>
                        <wp:effectExtent l="0" t="0" r="0" b="9525"/>
                        <wp:docPr id="6" name="Рисунок 6" descr="https://zakon.rada.gov.ua/laws/file/imgs/98/p480243n237v1-7.gif">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on.rada.gov.ua/laws/file/imgs/98/p480243n237v1-7.gif">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00050" cy="238125"/>
                                </a:xfrm>
                                <a:prstGeom prst="rect">
                                  <a:avLst/>
                                </a:prstGeom>
                                <a:noFill/>
                                <a:ln>
                                  <a:noFill/>
                                </a:ln>
                              </pic:spPr>
                            </pic:pic>
                          </a:graphicData>
                        </a:graphic>
                      </wp:inline>
                    </w:drawing>
                  </w:r>
                </w:p>
              </w:tc>
              <w:tc>
                <w:tcPr>
                  <w:tcW w:w="152" w:type="dxa"/>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w:t>
                  </w:r>
                </w:p>
              </w:tc>
              <w:tc>
                <w:tcPr>
                  <w:tcW w:w="5580" w:type="dxa"/>
                  <w:gridSpan w:val="6"/>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 xml:space="preserve">величина замовленої до приєднання потужності i-того стандартного приєднання (за </w:t>
                  </w:r>
                  <w:r w:rsidRPr="00EF1540">
                    <w:rPr>
                      <w:rFonts w:ascii="Times New Roman" w:eastAsia="Times New Roman" w:hAnsi="Times New Roman" w:cs="Times New Roman"/>
                      <w:sz w:val="24"/>
                      <w:szCs w:val="24"/>
                      <w:lang/>
                    </w:rPr>
                    <w:lastRenderedPageBreak/>
                    <w:t xml:space="preserve">об'єктами замовників, приєднання яких завершено у базовому періоді) для міської та сільської місцевості за першим та другим ступенями стандартного приєднання, (значення відповідних рядків графи 12 </w:t>
                  </w:r>
                  <w:hyperlink r:id="rId26" w:anchor="n146" w:history="1">
                    <w:r w:rsidRPr="00EF1540">
                      <w:rPr>
                        <w:rFonts w:ascii="Times New Roman" w:eastAsia="Times New Roman" w:hAnsi="Times New Roman" w:cs="Times New Roman"/>
                        <w:sz w:val="24"/>
                        <w:szCs w:val="24"/>
                        <w:lang/>
                      </w:rPr>
                      <w:t>додатка 1</w:t>
                    </w:r>
                  </w:hyperlink>
                  <w:r w:rsidRPr="00EF1540">
                    <w:rPr>
                      <w:rFonts w:ascii="Times New Roman" w:eastAsia="Times New Roman" w:hAnsi="Times New Roman" w:cs="Times New Roman"/>
                      <w:sz w:val="24"/>
                      <w:szCs w:val="24"/>
                      <w:lang/>
                    </w:rPr>
                    <w:t xml:space="preserve"> до цієї Методики) крім приєднань, зазначених у </w:t>
                  </w:r>
                  <w:hyperlink r:id="rId27" w:anchor="n320" w:history="1">
                    <w:r w:rsidRPr="00EF1540">
                      <w:rPr>
                        <w:rFonts w:ascii="Times New Roman" w:eastAsia="Times New Roman" w:hAnsi="Times New Roman" w:cs="Times New Roman"/>
                        <w:sz w:val="24"/>
                        <w:szCs w:val="24"/>
                        <w:lang/>
                      </w:rPr>
                      <w:t>пункті 1.4</w:t>
                    </w:r>
                  </w:hyperlink>
                  <w:r w:rsidRPr="00EF1540">
                    <w:rPr>
                      <w:rFonts w:ascii="Times New Roman" w:eastAsia="Times New Roman" w:hAnsi="Times New Roman" w:cs="Times New Roman"/>
                      <w:sz w:val="24"/>
                      <w:szCs w:val="24"/>
                      <w:lang/>
                    </w:rPr>
                    <w:t xml:space="preserve"> глави 1 цієї Методики, кВт;</w:t>
                  </w:r>
                </w:p>
              </w:tc>
            </w:tr>
            <w:tr w:rsidR="00EF1540" w:rsidRPr="00EF1540" w:rsidTr="00047CAF">
              <w:tc>
                <w:tcPr>
                  <w:tcW w:w="7348" w:type="dxa"/>
                  <w:gridSpan w:val="10"/>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p>
              </w:tc>
            </w:tr>
            <w:tr w:rsidR="00EF1540" w:rsidRPr="00EF1540" w:rsidTr="00047CAF">
              <w:tc>
                <w:tcPr>
                  <w:tcW w:w="356" w:type="dxa"/>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p>
              </w:tc>
              <w:tc>
                <w:tcPr>
                  <w:tcW w:w="1260" w:type="dxa"/>
                  <w:gridSpan w:val="2"/>
                  <w:tcBorders>
                    <w:top w:val="nil"/>
                    <w:left w:val="nil"/>
                    <w:bottom w:val="nil"/>
                    <w:right w:val="nil"/>
                  </w:tcBorders>
                  <w:hideMark/>
                </w:tcPr>
                <w:p w:rsidR="00006018" w:rsidRPr="00EF1540" w:rsidRDefault="00006018" w:rsidP="00006018">
                  <w:pPr>
                    <w:spacing w:before="100" w:beforeAutospacing="1" w:after="100" w:afterAutospacing="1" w:line="240" w:lineRule="auto"/>
                    <w:jc w:val="both"/>
                    <w:rPr>
                      <w:rFonts w:ascii="Times New Roman" w:eastAsia="Times New Roman" w:hAnsi="Times New Roman" w:cs="Times New Roman"/>
                      <w:sz w:val="24"/>
                      <w:szCs w:val="24"/>
                      <w:lang/>
                    </w:rPr>
                  </w:pPr>
                  <w:proofErr w:type="spellStart"/>
                  <w:r w:rsidRPr="00EF1540">
                    <w:rPr>
                      <w:rFonts w:ascii="Times New Roman" w:eastAsia="Times New Roman" w:hAnsi="Times New Roman" w:cs="Times New Roman"/>
                      <w:sz w:val="24"/>
                      <w:szCs w:val="24"/>
                      <w:lang/>
                    </w:rPr>
                    <w:t>Кк</w:t>
                  </w:r>
                  <w:proofErr w:type="spellEnd"/>
                </w:p>
              </w:tc>
              <w:tc>
                <w:tcPr>
                  <w:tcW w:w="152" w:type="dxa"/>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w:t>
                  </w:r>
                </w:p>
              </w:tc>
              <w:tc>
                <w:tcPr>
                  <w:tcW w:w="5580" w:type="dxa"/>
                  <w:gridSpan w:val="6"/>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коефіцієнт категорії надійності електропостачання (</w:t>
                  </w:r>
                  <w:hyperlink r:id="rId28" w:anchor="n152" w:history="1">
                    <w:r w:rsidRPr="00EF1540">
                      <w:rPr>
                        <w:rFonts w:ascii="Times New Roman" w:eastAsia="Times New Roman" w:hAnsi="Times New Roman" w:cs="Times New Roman"/>
                        <w:sz w:val="24"/>
                        <w:szCs w:val="24"/>
                        <w:lang/>
                      </w:rPr>
                      <w:t>додаток 3</w:t>
                    </w:r>
                  </w:hyperlink>
                  <w:r w:rsidRPr="00EF1540">
                    <w:rPr>
                      <w:rFonts w:ascii="Times New Roman" w:eastAsia="Times New Roman" w:hAnsi="Times New Roman" w:cs="Times New Roman"/>
                      <w:sz w:val="24"/>
                      <w:szCs w:val="24"/>
                      <w:lang/>
                    </w:rPr>
                    <w:t xml:space="preserve"> до цієї Методики);</w:t>
                  </w:r>
                </w:p>
              </w:tc>
            </w:tr>
            <w:tr w:rsidR="00EF1540" w:rsidRPr="00EF1540" w:rsidTr="00047CAF">
              <w:tc>
                <w:tcPr>
                  <w:tcW w:w="7348" w:type="dxa"/>
                  <w:gridSpan w:val="10"/>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p>
              </w:tc>
            </w:tr>
            <w:tr w:rsidR="00EF1540" w:rsidRPr="00EF1540" w:rsidTr="00047CAF">
              <w:tc>
                <w:tcPr>
                  <w:tcW w:w="356" w:type="dxa"/>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p>
              </w:tc>
              <w:tc>
                <w:tcPr>
                  <w:tcW w:w="1260" w:type="dxa"/>
                  <w:gridSpan w:val="2"/>
                  <w:tcBorders>
                    <w:top w:val="nil"/>
                    <w:left w:val="nil"/>
                    <w:bottom w:val="nil"/>
                    <w:right w:val="nil"/>
                  </w:tcBorders>
                  <w:hideMark/>
                </w:tcPr>
                <w:p w:rsidR="00006018" w:rsidRPr="00EF1540" w:rsidRDefault="00006018" w:rsidP="00006018">
                  <w:pPr>
                    <w:spacing w:before="100" w:beforeAutospacing="1" w:after="100" w:afterAutospacing="1" w:line="240" w:lineRule="auto"/>
                    <w:jc w:val="both"/>
                    <w:rPr>
                      <w:rFonts w:ascii="Times New Roman" w:eastAsia="Times New Roman" w:hAnsi="Times New Roman" w:cs="Times New Roman"/>
                      <w:sz w:val="24"/>
                      <w:szCs w:val="24"/>
                      <w:lang/>
                    </w:rPr>
                  </w:pPr>
                  <w:proofErr w:type="spellStart"/>
                  <w:r w:rsidRPr="00EF1540">
                    <w:rPr>
                      <w:rFonts w:ascii="Times New Roman" w:eastAsia="Times New Roman" w:hAnsi="Times New Roman" w:cs="Times New Roman"/>
                      <w:sz w:val="24"/>
                      <w:szCs w:val="24"/>
                      <w:lang/>
                    </w:rPr>
                    <w:t>Кн</w:t>
                  </w:r>
                  <w:proofErr w:type="spellEnd"/>
                </w:p>
              </w:tc>
              <w:tc>
                <w:tcPr>
                  <w:tcW w:w="152" w:type="dxa"/>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w:t>
                  </w:r>
                </w:p>
              </w:tc>
              <w:tc>
                <w:tcPr>
                  <w:tcW w:w="5580" w:type="dxa"/>
                  <w:gridSpan w:val="6"/>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коефіцієнт ступеня напруги в точці приєднання (0,4 (0,23), 6(10)20 кВ) (</w:t>
                  </w:r>
                  <w:hyperlink r:id="rId29" w:anchor="n155" w:history="1">
                    <w:r w:rsidRPr="00EF1540">
                      <w:rPr>
                        <w:rFonts w:ascii="Times New Roman" w:eastAsia="Times New Roman" w:hAnsi="Times New Roman" w:cs="Times New Roman"/>
                        <w:sz w:val="24"/>
                        <w:szCs w:val="24"/>
                        <w:lang/>
                      </w:rPr>
                      <w:t>додаток 4</w:t>
                    </w:r>
                  </w:hyperlink>
                  <w:r w:rsidRPr="00EF1540">
                    <w:rPr>
                      <w:rFonts w:ascii="Times New Roman" w:eastAsia="Times New Roman" w:hAnsi="Times New Roman" w:cs="Times New Roman"/>
                      <w:sz w:val="24"/>
                      <w:szCs w:val="24"/>
                      <w:lang/>
                    </w:rPr>
                    <w:t xml:space="preserve"> до цієї Методики);</w:t>
                  </w:r>
                </w:p>
              </w:tc>
            </w:tr>
            <w:tr w:rsidR="00EF1540" w:rsidRPr="00EF1540" w:rsidTr="00047CAF">
              <w:tc>
                <w:tcPr>
                  <w:tcW w:w="7348" w:type="dxa"/>
                  <w:gridSpan w:val="10"/>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p>
              </w:tc>
            </w:tr>
            <w:tr w:rsidR="00EF1540" w:rsidRPr="00EF1540" w:rsidTr="00047CAF">
              <w:tc>
                <w:tcPr>
                  <w:tcW w:w="356" w:type="dxa"/>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p>
              </w:tc>
              <w:tc>
                <w:tcPr>
                  <w:tcW w:w="1260" w:type="dxa"/>
                  <w:gridSpan w:val="2"/>
                  <w:tcBorders>
                    <w:top w:val="nil"/>
                    <w:left w:val="nil"/>
                    <w:bottom w:val="nil"/>
                    <w:right w:val="nil"/>
                  </w:tcBorders>
                  <w:hideMark/>
                </w:tcPr>
                <w:p w:rsidR="00006018" w:rsidRPr="00EF1540" w:rsidRDefault="00006018" w:rsidP="00006018">
                  <w:pPr>
                    <w:spacing w:before="100" w:beforeAutospacing="1" w:after="100" w:afterAutospacing="1" w:line="240" w:lineRule="auto"/>
                    <w:jc w:val="both"/>
                    <w:rPr>
                      <w:rFonts w:ascii="Times New Roman" w:eastAsia="Times New Roman" w:hAnsi="Times New Roman" w:cs="Times New Roman"/>
                      <w:sz w:val="24"/>
                      <w:szCs w:val="24"/>
                      <w:lang/>
                    </w:rPr>
                  </w:pPr>
                  <w:proofErr w:type="spellStart"/>
                  <w:r w:rsidRPr="00EF1540">
                    <w:rPr>
                      <w:rFonts w:ascii="Times New Roman" w:eastAsia="Times New Roman" w:hAnsi="Times New Roman" w:cs="Times New Roman"/>
                      <w:sz w:val="24"/>
                      <w:szCs w:val="24"/>
                      <w:lang/>
                    </w:rPr>
                    <w:t>Кф</w:t>
                  </w:r>
                  <w:proofErr w:type="spellEnd"/>
                </w:p>
              </w:tc>
              <w:tc>
                <w:tcPr>
                  <w:tcW w:w="152" w:type="dxa"/>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w:t>
                  </w:r>
                </w:p>
              </w:tc>
              <w:tc>
                <w:tcPr>
                  <w:tcW w:w="5580" w:type="dxa"/>
                  <w:gridSpan w:val="6"/>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коефіцієнт схеми електрозабезпечення (</w:t>
                  </w:r>
                  <w:hyperlink r:id="rId30" w:anchor="n158" w:history="1">
                    <w:r w:rsidRPr="00EF1540">
                      <w:rPr>
                        <w:rFonts w:ascii="Times New Roman" w:eastAsia="Times New Roman" w:hAnsi="Times New Roman" w:cs="Times New Roman"/>
                        <w:sz w:val="24"/>
                        <w:szCs w:val="24"/>
                        <w:lang/>
                      </w:rPr>
                      <w:t>додаток 5</w:t>
                    </w:r>
                  </w:hyperlink>
                  <w:r w:rsidRPr="00EF1540">
                    <w:rPr>
                      <w:rFonts w:ascii="Times New Roman" w:eastAsia="Times New Roman" w:hAnsi="Times New Roman" w:cs="Times New Roman"/>
                      <w:sz w:val="24"/>
                      <w:szCs w:val="24"/>
                      <w:lang/>
                    </w:rPr>
                    <w:t xml:space="preserve"> до цієї Методики);</w:t>
                  </w:r>
                </w:p>
              </w:tc>
            </w:tr>
            <w:tr w:rsidR="00EF1540" w:rsidRPr="00EF1540" w:rsidTr="00047CAF">
              <w:tc>
                <w:tcPr>
                  <w:tcW w:w="7348" w:type="dxa"/>
                  <w:gridSpan w:val="10"/>
                  <w:tcBorders>
                    <w:top w:val="nil"/>
                    <w:left w:val="nil"/>
                    <w:bottom w:val="nil"/>
                    <w:right w:val="nil"/>
                  </w:tcBorders>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p>
              </w:tc>
            </w:tr>
            <w:tr w:rsidR="00EF1540" w:rsidRPr="00EF1540" w:rsidTr="00047CAF">
              <w:tc>
                <w:tcPr>
                  <w:tcW w:w="356" w:type="dxa"/>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p>
              </w:tc>
              <w:tc>
                <w:tcPr>
                  <w:tcW w:w="1260" w:type="dxa"/>
                  <w:gridSpan w:val="2"/>
                  <w:tcBorders>
                    <w:top w:val="nil"/>
                    <w:left w:val="nil"/>
                    <w:bottom w:val="nil"/>
                    <w:right w:val="nil"/>
                  </w:tcBorders>
                  <w:hideMark/>
                </w:tcPr>
                <w:p w:rsidR="00006018" w:rsidRPr="00EF1540" w:rsidRDefault="00006018" w:rsidP="00006018">
                  <w:pPr>
                    <w:spacing w:before="100" w:beforeAutospacing="1" w:after="100" w:afterAutospacing="1" w:line="240" w:lineRule="auto"/>
                    <w:jc w:val="both"/>
                    <w:rPr>
                      <w:rFonts w:ascii="Times New Roman" w:eastAsia="Times New Roman" w:hAnsi="Times New Roman" w:cs="Times New Roman"/>
                      <w:sz w:val="24"/>
                      <w:szCs w:val="24"/>
                      <w:lang/>
                    </w:rPr>
                  </w:pPr>
                  <w:r w:rsidRPr="00EF1540">
                    <w:rPr>
                      <w:rFonts w:ascii="Times New Roman" w:eastAsia="Times New Roman" w:hAnsi="Times New Roman" w:cs="Times New Roman"/>
                      <w:noProof/>
                      <w:sz w:val="24"/>
                      <w:szCs w:val="24"/>
                      <w:lang/>
                    </w:rPr>
                    <w:drawing>
                      <wp:inline distT="0" distB="0" distL="0" distR="0" wp14:anchorId="04E872FB" wp14:editId="648FAF7E">
                        <wp:extent cx="228600" cy="200025"/>
                        <wp:effectExtent l="0" t="0" r="0" b="9525"/>
                        <wp:docPr id="7" name="Рисунок 7" descr="https://zakon.rada.gov.ua/laws/file/imgs/98/p480243n237v1-8.gif">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zakon.rada.gov.ua/laws/file/imgs/98/p480243n237v1-8.gif">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28600" cy="200025"/>
                                </a:xfrm>
                                <a:prstGeom prst="rect">
                                  <a:avLst/>
                                </a:prstGeom>
                                <a:noFill/>
                                <a:ln>
                                  <a:noFill/>
                                </a:ln>
                              </pic:spPr>
                            </pic:pic>
                          </a:graphicData>
                        </a:graphic>
                      </wp:inline>
                    </w:drawing>
                  </w:r>
                </w:p>
              </w:tc>
              <w:tc>
                <w:tcPr>
                  <w:tcW w:w="152" w:type="dxa"/>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w:t>
                  </w:r>
                </w:p>
              </w:tc>
              <w:tc>
                <w:tcPr>
                  <w:tcW w:w="5580" w:type="dxa"/>
                  <w:gridSpan w:val="6"/>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коефіцієнт категорії надійності електропостачання i-того стандартного приєднання (за об'єктами замовників, приєднання яких завершено у базовому періоді) (</w:t>
                  </w:r>
                  <w:hyperlink r:id="rId33" w:anchor="n152" w:history="1">
                    <w:r w:rsidRPr="00EF1540">
                      <w:rPr>
                        <w:rFonts w:ascii="Times New Roman" w:eastAsia="Times New Roman" w:hAnsi="Times New Roman" w:cs="Times New Roman"/>
                        <w:sz w:val="24"/>
                        <w:szCs w:val="24"/>
                        <w:lang/>
                      </w:rPr>
                      <w:t>додаток 3</w:t>
                    </w:r>
                  </w:hyperlink>
                  <w:r w:rsidRPr="00EF1540">
                    <w:rPr>
                      <w:rFonts w:ascii="Times New Roman" w:eastAsia="Times New Roman" w:hAnsi="Times New Roman" w:cs="Times New Roman"/>
                      <w:sz w:val="24"/>
                      <w:szCs w:val="24"/>
                      <w:lang/>
                    </w:rPr>
                    <w:t xml:space="preserve"> до цієї Методики);</w:t>
                  </w:r>
                </w:p>
              </w:tc>
            </w:tr>
            <w:tr w:rsidR="00EF1540" w:rsidRPr="00EF1540" w:rsidTr="00047CAF">
              <w:tc>
                <w:tcPr>
                  <w:tcW w:w="7348" w:type="dxa"/>
                  <w:gridSpan w:val="10"/>
                  <w:tcBorders>
                    <w:top w:val="nil"/>
                    <w:left w:val="nil"/>
                    <w:bottom w:val="nil"/>
                    <w:right w:val="nil"/>
                  </w:tcBorders>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p>
              </w:tc>
            </w:tr>
            <w:tr w:rsidR="00EF1540" w:rsidRPr="00EF1540" w:rsidTr="00047CAF">
              <w:tc>
                <w:tcPr>
                  <w:tcW w:w="356" w:type="dxa"/>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p>
              </w:tc>
              <w:tc>
                <w:tcPr>
                  <w:tcW w:w="1260" w:type="dxa"/>
                  <w:gridSpan w:val="2"/>
                  <w:tcBorders>
                    <w:top w:val="nil"/>
                    <w:left w:val="nil"/>
                    <w:bottom w:val="nil"/>
                    <w:right w:val="nil"/>
                  </w:tcBorders>
                  <w:hideMark/>
                </w:tcPr>
                <w:p w:rsidR="00006018" w:rsidRPr="00EF1540" w:rsidRDefault="00006018" w:rsidP="00006018">
                  <w:pPr>
                    <w:spacing w:before="100" w:beforeAutospacing="1" w:after="100" w:afterAutospacing="1" w:line="240" w:lineRule="auto"/>
                    <w:jc w:val="both"/>
                    <w:rPr>
                      <w:rFonts w:ascii="Times New Roman" w:eastAsia="Times New Roman" w:hAnsi="Times New Roman" w:cs="Times New Roman"/>
                      <w:sz w:val="24"/>
                      <w:szCs w:val="24"/>
                      <w:lang/>
                    </w:rPr>
                  </w:pPr>
                  <w:r w:rsidRPr="00EF1540">
                    <w:rPr>
                      <w:rFonts w:ascii="Times New Roman" w:eastAsia="Times New Roman" w:hAnsi="Times New Roman" w:cs="Times New Roman"/>
                      <w:noProof/>
                      <w:sz w:val="24"/>
                      <w:szCs w:val="24"/>
                      <w:lang/>
                    </w:rPr>
                    <w:drawing>
                      <wp:inline distT="0" distB="0" distL="0" distR="0" wp14:anchorId="774C6A55" wp14:editId="49983EDB">
                        <wp:extent cx="266700" cy="209550"/>
                        <wp:effectExtent l="0" t="0" r="0" b="0"/>
                        <wp:docPr id="22" name="Рисунок 22" descr="https://zakon.rada.gov.ua/laws/file/imgs/98/p480243n237v1-9.gif">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rada.gov.ua/laws/file/imgs/98/p480243n237v1-9.gif">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66700" cy="209550"/>
                                </a:xfrm>
                                <a:prstGeom prst="rect">
                                  <a:avLst/>
                                </a:prstGeom>
                                <a:noFill/>
                                <a:ln>
                                  <a:noFill/>
                                </a:ln>
                              </pic:spPr>
                            </pic:pic>
                          </a:graphicData>
                        </a:graphic>
                      </wp:inline>
                    </w:drawing>
                  </w:r>
                </w:p>
              </w:tc>
              <w:tc>
                <w:tcPr>
                  <w:tcW w:w="152" w:type="dxa"/>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w:t>
                  </w:r>
                </w:p>
              </w:tc>
              <w:tc>
                <w:tcPr>
                  <w:tcW w:w="5580" w:type="dxa"/>
                  <w:gridSpan w:val="6"/>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коефіцієнт ступеня напруги в точці приєднання (0,4 (0,23), 6(10)20 кВ) i-того стандартного приєднання (за об'єктами замовників, приєднання яких завершено у базовому періоді) (</w:t>
                  </w:r>
                  <w:hyperlink r:id="rId36" w:anchor="n155" w:history="1">
                    <w:r w:rsidRPr="00EF1540">
                      <w:rPr>
                        <w:rFonts w:ascii="Times New Roman" w:eastAsia="Times New Roman" w:hAnsi="Times New Roman" w:cs="Times New Roman"/>
                        <w:sz w:val="24"/>
                        <w:szCs w:val="24"/>
                        <w:lang/>
                      </w:rPr>
                      <w:t>додаток 4</w:t>
                    </w:r>
                  </w:hyperlink>
                  <w:r w:rsidRPr="00EF1540">
                    <w:rPr>
                      <w:rFonts w:ascii="Times New Roman" w:eastAsia="Times New Roman" w:hAnsi="Times New Roman" w:cs="Times New Roman"/>
                      <w:sz w:val="24"/>
                      <w:szCs w:val="24"/>
                      <w:lang/>
                    </w:rPr>
                    <w:t xml:space="preserve"> до цієї Методики);</w:t>
                  </w:r>
                </w:p>
              </w:tc>
            </w:tr>
            <w:tr w:rsidR="00EF1540" w:rsidRPr="00EF1540" w:rsidTr="00047CAF">
              <w:tc>
                <w:tcPr>
                  <w:tcW w:w="7348" w:type="dxa"/>
                  <w:gridSpan w:val="10"/>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p>
              </w:tc>
            </w:tr>
            <w:tr w:rsidR="00EF1540" w:rsidRPr="00EF1540" w:rsidTr="00047CAF">
              <w:tc>
                <w:tcPr>
                  <w:tcW w:w="356" w:type="dxa"/>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p>
              </w:tc>
              <w:tc>
                <w:tcPr>
                  <w:tcW w:w="1260" w:type="dxa"/>
                  <w:gridSpan w:val="2"/>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3"/>
                    <w:jc w:val="both"/>
                    <w:rPr>
                      <w:rFonts w:ascii="Times New Roman" w:eastAsia="Times New Roman" w:hAnsi="Times New Roman" w:cs="Times New Roman"/>
                      <w:sz w:val="24"/>
                      <w:szCs w:val="24"/>
                      <w:lang/>
                    </w:rPr>
                  </w:pPr>
                  <w:r w:rsidRPr="00EF1540">
                    <w:rPr>
                      <w:rFonts w:ascii="Times New Roman" w:eastAsia="Times New Roman" w:hAnsi="Times New Roman" w:cs="Times New Roman"/>
                      <w:noProof/>
                      <w:sz w:val="24"/>
                      <w:szCs w:val="24"/>
                      <w:lang/>
                    </w:rPr>
                    <w:drawing>
                      <wp:inline distT="0" distB="0" distL="0" distR="0" wp14:anchorId="70B03AB0" wp14:editId="33C857B1">
                        <wp:extent cx="257175" cy="219075"/>
                        <wp:effectExtent l="0" t="0" r="9525" b="9525"/>
                        <wp:docPr id="23" name="Рисунок 23" descr="https://zakon.rada.gov.ua/laws/file/imgs/98/p480243n237v1-10.gif">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zakon.rada.gov.ua/laws/file/imgs/98/p480243n237v1-10.gif">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152" w:type="dxa"/>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w:t>
                  </w:r>
                </w:p>
              </w:tc>
              <w:tc>
                <w:tcPr>
                  <w:tcW w:w="5580" w:type="dxa"/>
                  <w:gridSpan w:val="6"/>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коефіцієнт схеми електрозабезпечення i-того стандартного приєднання (за об'єктами замовників, приєднання яких завершено у базовому періоді) (</w:t>
                  </w:r>
                  <w:hyperlink r:id="rId39" w:anchor="n158" w:history="1">
                    <w:r w:rsidRPr="00EF1540">
                      <w:rPr>
                        <w:rFonts w:ascii="Times New Roman" w:eastAsia="Times New Roman" w:hAnsi="Times New Roman" w:cs="Times New Roman"/>
                        <w:sz w:val="24"/>
                        <w:szCs w:val="24"/>
                        <w:lang/>
                      </w:rPr>
                      <w:t>додаток 5</w:t>
                    </w:r>
                  </w:hyperlink>
                  <w:r w:rsidRPr="00EF1540">
                    <w:rPr>
                      <w:rFonts w:ascii="Times New Roman" w:eastAsia="Times New Roman" w:hAnsi="Times New Roman" w:cs="Times New Roman"/>
                      <w:sz w:val="24"/>
                      <w:szCs w:val="24"/>
                      <w:lang/>
                    </w:rPr>
                    <w:t xml:space="preserve"> до цієї Методики);</w:t>
                  </w:r>
                </w:p>
              </w:tc>
            </w:tr>
            <w:tr w:rsidR="00EF1540" w:rsidRPr="00EF1540" w:rsidTr="00047CAF">
              <w:tc>
                <w:tcPr>
                  <w:tcW w:w="7348" w:type="dxa"/>
                  <w:gridSpan w:val="10"/>
                  <w:tcBorders>
                    <w:top w:val="nil"/>
                    <w:left w:val="nil"/>
                    <w:bottom w:val="nil"/>
                    <w:right w:val="nil"/>
                  </w:tcBorders>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p>
              </w:tc>
            </w:tr>
            <w:tr w:rsidR="00EF1540" w:rsidRPr="00EF1540" w:rsidTr="00047CAF">
              <w:tc>
                <w:tcPr>
                  <w:tcW w:w="356" w:type="dxa"/>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p>
              </w:tc>
              <w:tc>
                <w:tcPr>
                  <w:tcW w:w="1260" w:type="dxa"/>
                  <w:gridSpan w:val="2"/>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3"/>
                    <w:jc w:val="both"/>
                    <w:rPr>
                      <w:rFonts w:ascii="Times New Roman" w:eastAsia="Times New Roman" w:hAnsi="Times New Roman" w:cs="Times New Roman"/>
                      <w:sz w:val="24"/>
                      <w:szCs w:val="24"/>
                      <w:lang/>
                    </w:rPr>
                  </w:pPr>
                  <w:r w:rsidRPr="00EF1540">
                    <w:rPr>
                      <w:rFonts w:ascii="Times New Roman" w:eastAsia="Times New Roman" w:hAnsi="Times New Roman" w:cs="Times New Roman"/>
                      <w:noProof/>
                      <w:sz w:val="24"/>
                      <w:szCs w:val="24"/>
                      <w:lang/>
                    </w:rPr>
                    <w:drawing>
                      <wp:inline distT="0" distB="0" distL="0" distR="0" wp14:anchorId="27D8EE8E" wp14:editId="48447B7A">
                        <wp:extent cx="304800" cy="180975"/>
                        <wp:effectExtent l="0" t="0" r="0" b="9525"/>
                        <wp:docPr id="24" name="Рисунок 24" descr="https://zakon.rada.gov.ua/laws/file/imgs/98/p480243n237v1-11.gif">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zakon.rada.gov.ua/laws/file/imgs/98/p480243n237v1-11.gif">
                                  <a:hlinkClick r:id="rId40"/>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04800" cy="180975"/>
                                </a:xfrm>
                                <a:prstGeom prst="rect">
                                  <a:avLst/>
                                </a:prstGeom>
                                <a:noFill/>
                                <a:ln>
                                  <a:noFill/>
                                </a:ln>
                              </pic:spPr>
                            </pic:pic>
                          </a:graphicData>
                        </a:graphic>
                      </wp:inline>
                    </w:drawing>
                  </w:r>
                </w:p>
              </w:tc>
              <w:tc>
                <w:tcPr>
                  <w:tcW w:w="152" w:type="dxa"/>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w:t>
                  </w:r>
                </w:p>
              </w:tc>
              <w:tc>
                <w:tcPr>
                  <w:tcW w:w="5580" w:type="dxa"/>
                  <w:gridSpan w:val="6"/>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 xml:space="preserve">коефіцієнт прогнозного індексу зміни цін виробників промислової продукції на розрахунковий період у відношенні до базового періоду. Розмір індексу затверджується відповідною постановою Кабінету Міністрів України про схвалення Прогнозу економічного і соціального </w:t>
                  </w:r>
                  <w:r w:rsidRPr="00EF1540">
                    <w:rPr>
                      <w:rFonts w:ascii="Times New Roman" w:eastAsia="Times New Roman" w:hAnsi="Times New Roman" w:cs="Times New Roman"/>
                      <w:sz w:val="24"/>
                      <w:szCs w:val="24"/>
                      <w:lang/>
                    </w:rPr>
                    <w:lastRenderedPageBreak/>
                    <w:t>розвитку України на розрахунковий період (мінімальний);</w:t>
                  </w:r>
                </w:p>
              </w:tc>
            </w:tr>
            <w:tr w:rsidR="00EF1540" w:rsidRPr="00EF1540" w:rsidTr="00047CAF">
              <w:tc>
                <w:tcPr>
                  <w:tcW w:w="356" w:type="dxa"/>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p>
              </w:tc>
              <w:tc>
                <w:tcPr>
                  <w:tcW w:w="1260" w:type="dxa"/>
                  <w:gridSpan w:val="2"/>
                  <w:tcBorders>
                    <w:top w:val="nil"/>
                    <w:left w:val="nil"/>
                    <w:bottom w:val="nil"/>
                    <w:right w:val="nil"/>
                  </w:tcBorders>
                  <w:hideMark/>
                </w:tcPr>
                <w:p w:rsidR="00006018" w:rsidRPr="00EF1540" w:rsidRDefault="00006018" w:rsidP="00006018">
                  <w:pPr>
                    <w:spacing w:before="100" w:beforeAutospacing="1" w:after="100" w:afterAutospacing="1" w:line="240" w:lineRule="auto"/>
                    <w:jc w:val="both"/>
                    <w:rPr>
                      <w:rFonts w:ascii="Times New Roman" w:eastAsia="Times New Roman" w:hAnsi="Times New Roman" w:cs="Times New Roman"/>
                      <w:sz w:val="24"/>
                      <w:szCs w:val="24"/>
                      <w:lang/>
                    </w:rPr>
                  </w:pPr>
                  <w:r w:rsidRPr="00EF1540">
                    <w:rPr>
                      <w:rFonts w:ascii="Times New Roman" w:eastAsia="Times New Roman" w:hAnsi="Times New Roman" w:cs="Times New Roman"/>
                      <w:noProof/>
                      <w:sz w:val="24"/>
                      <w:szCs w:val="24"/>
                      <w:lang/>
                    </w:rPr>
                    <w:drawing>
                      <wp:inline distT="0" distB="0" distL="0" distR="0" wp14:anchorId="0641D283" wp14:editId="2635A13E">
                        <wp:extent cx="428625" cy="238125"/>
                        <wp:effectExtent l="0" t="0" r="9525" b="9525"/>
                        <wp:docPr id="25" name="Рисунок 25" descr="https://zakon.rada.gov.ua/laws/file/imgs/98/p480243n237v1-12.gif">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zakon.rada.gov.ua/laws/file/imgs/98/p480243n237v1-12.gif">
                                  <a:hlinkClick r:id="rId42"/>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28625" cy="238125"/>
                                </a:xfrm>
                                <a:prstGeom prst="rect">
                                  <a:avLst/>
                                </a:prstGeom>
                                <a:noFill/>
                                <a:ln>
                                  <a:noFill/>
                                </a:ln>
                              </pic:spPr>
                            </pic:pic>
                          </a:graphicData>
                        </a:graphic>
                      </wp:inline>
                    </w:drawing>
                  </w:r>
                </w:p>
              </w:tc>
              <w:tc>
                <w:tcPr>
                  <w:tcW w:w="152" w:type="dxa"/>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w:t>
                  </w:r>
                </w:p>
              </w:tc>
              <w:tc>
                <w:tcPr>
                  <w:tcW w:w="5580" w:type="dxa"/>
                  <w:gridSpan w:val="6"/>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коефіцієнт оптимізації коштів щодо витрат, пов'язаних з наданням послуг зі стандартних приєднань електроустановок замовників до електричних мереж за базовий період для міської та сільської місцевості, який розраховується за формулою</w:t>
                  </w:r>
                </w:p>
              </w:tc>
            </w:tr>
            <w:tr w:rsidR="00EF1540" w:rsidRPr="00EF1540" w:rsidTr="00047CAF">
              <w:tc>
                <w:tcPr>
                  <w:tcW w:w="4923" w:type="dxa"/>
                  <w:gridSpan w:val="7"/>
                  <w:tcBorders>
                    <w:top w:val="nil"/>
                    <w:left w:val="nil"/>
                    <w:bottom w:val="nil"/>
                    <w:right w:val="nil"/>
                  </w:tcBorders>
                  <w:hideMark/>
                </w:tcPr>
                <w:p w:rsidR="00006018" w:rsidRPr="00EF1540" w:rsidRDefault="00006018" w:rsidP="00006018">
                  <w:pPr>
                    <w:spacing w:before="100" w:beforeAutospacing="1" w:after="100" w:afterAutospacing="1" w:line="240" w:lineRule="auto"/>
                    <w:jc w:val="center"/>
                    <w:rPr>
                      <w:rFonts w:ascii="Times New Roman" w:eastAsia="Times New Roman" w:hAnsi="Times New Roman" w:cs="Times New Roman"/>
                      <w:sz w:val="24"/>
                      <w:szCs w:val="24"/>
                      <w:lang/>
                    </w:rPr>
                  </w:pPr>
                  <w:bookmarkStart w:id="17" w:name="n238"/>
                  <w:bookmarkEnd w:id="17"/>
                  <w:r w:rsidRPr="00EF1540">
                    <w:rPr>
                      <w:rFonts w:ascii="Times New Roman" w:eastAsia="Times New Roman" w:hAnsi="Times New Roman" w:cs="Times New Roman"/>
                      <w:noProof/>
                      <w:sz w:val="24"/>
                      <w:szCs w:val="24"/>
                      <w:lang/>
                    </w:rPr>
                    <w:drawing>
                      <wp:inline distT="0" distB="0" distL="0" distR="0" wp14:anchorId="72777D18" wp14:editId="6D06FD0C">
                        <wp:extent cx="1695450" cy="571500"/>
                        <wp:effectExtent l="0" t="0" r="0" b="0"/>
                        <wp:docPr id="26" name="Рисунок 26" descr="https://zakon.rada.gov.ua/laws/file/imgs/98/p480243n238-13.gif">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zakon.rada.gov.ua/laws/file/imgs/98/p480243n238-13.gif">
                                  <a:hlinkClick r:id="rId44"/>
                                </pic:cNvP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695450" cy="571500"/>
                                </a:xfrm>
                                <a:prstGeom prst="rect">
                                  <a:avLst/>
                                </a:prstGeom>
                                <a:noFill/>
                                <a:ln>
                                  <a:noFill/>
                                </a:ln>
                              </pic:spPr>
                            </pic:pic>
                          </a:graphicData>
                        </a:graphic>
                      </wp:inline>
                    </w:drawing>
                  </w:r>
                </w:p>
              </w:tc>
              <w:tc>
                <w:tcPr>
                  <w:tcW w:w="2425" w:type="dxa"/>
                  <w:gridSpan w:val="3"/>
                  <w:tcBorders>
                    <w:top w:val="nil"/>
                    <w:left w:val="nil"/>
                    <w:bottom w:val="nil"/>
                    <w:right w:val="nil"/>
                  </w:tcBorders>
                  <w:vAlign w:val="center"/>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(4)</w:t>
                  </w:r>
                </w:p>
              </w:tc>
            </w:tr>
          </w:tbl>
          <w:p w:rsidR="00006018" w:rsidRPr="00EF1540" w:rsidRDefault="00006018" w:rsidP="00006018">
            <w:pPr>
              <w:ind w:firstLine="589"/>
              <w:jc w:val="both"/>
              <w:rPr>
                <w:rFonts w:ascii="Times New Roman" w:eastAsia="Times New Roman" w:hAnsi="Times New Roman" w:cs="Times New Roman"/>
                <w:vanish/>
                <w:sz w:val="24"/>
                <w:szCs w:val="24"/>
                <w:lang/>
              </w:rPr>
            </w:pPr>
            <w:bookmarkStart w:id="18" w:name="n239"/>
            <w:bookmarkEnd w:id="18"/>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848"/>
              <w:gridCol w:w="1243"/>
              <w:gridCol w:w="699"/>
              <w:gridCol w:w="5398"/>
            </w:tblGrid>
            <w:tr w:rsidR="00EF1540" w:rsidRPr="00EF1540" w:rsidTr="00047CAF">
              <w:tc>
                <w:tcPr>
                  <w:tcW w:w="600" w:type="dxa"/>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де</w:t>
                  </w:r>
                </w:p>
              </w:tc>
              <w:tc>
                <w:tcPr>
                  <w:tcW w:w="1335" w:type="dxa"/>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3"/>
                    <w:jc w:val="both"/>
                    <w:rPr>
                      <w:rFonts w:ascii="Times New Roman" w:eastAsia="Times New Roman" w:hAnsi="Times New Roman" w:cs="Times New Roman"/>
                      <w:sz w:val="24"/>
                      <w:szCs w:val="24"/>
                      <w:lang/>
                    </w:rPr>
                  </w:pPr>
                  <w:r w:rsidRPr="00EF1540">
                    <w:rPr>
                      <w:rFonts w:ascii="Times New Roman" w:eastAsia="Times New Roman" w:hAnsi="Times New Roman" w:cs="Times New Roman"/>
                      <w:noProof/>
                      <w:sz w:val="24"/>
                      <w:szCs w:val="24"/>
                      <w:lang/>
                    </w:rPr>
                    <w:drawing>
                      <wp:inline distT="0" distB="0" distL="0" distR="0" wp14:anchorId="4026B4F6" wp14:editId="27F92818">
                        <wp:extent cx="723900" cy="333375"/>
                        <wp:effectExtent l="0" t="0" r="0" b="9525"/>
                        <wp:docPr id="27" name="Рисунок 27" descr="https://zakon.rada.gov.ua/laws/file/imgs/98/p480243n239v1-14.gif">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zakon.rada.gov.ua/laws/file/imgs/98/p480243n239v1-14.gif">
                                  <a:hlinkClick r:id="rId46"/>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723900" cy="333375"/>
                                </a:xfrm>
                                <a:prstGeom prst="rect">
                                  <a:avLst/>
                                </a:prstGeom>
                                <a:noFill/>
                                <a:ln>
                                  <a:noFill/>
                                </a:ln>
                              </pic:spPr>
                            </pic:pic>
                          </a:graphicData>
                        </a:graphic>
                      </wp:inline>
                    </w:drawing>
                  </w:r>
                </w:p>
              </w:tc>
              <w:tc>
                <w:tcPr>
                  <w:tcW w:w="105" w:type="dxa"/>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w:t>
                  </w:r>
                </w:p>
              </w:tc>
              <w:tc>
                <w:tcPr>
                  <w:tcW w:w="10515" w:type="dxa"/>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 xml:space="preserve">фактичні капітальні витрати, понесені під час надання послуги за j-те стандартне приєднання (за об'єктами замовників, приєднання яких завершено у базовому періоді) для міської та сільської місцевості за першим та другим ступенями стандартного приєднання, по яких проводився аналіз відповідно до </w:t>
                  </w:r>
                  <w:hyperlink r:id="rId48" w:anchor="n249" w:history="1">
                    <w:r w:rsidRPr="00EF1540">
                      <w:rPr>
                        <w:rFonts w:ascii="Times New Roman" w:eastAsia="Times New Roman" w:hAnsi="Times New Roman" w:cs="Times New Roman"/>
                        <w:sz w:val="24"/>
                        <w:szCs w:val="24"/>
                        <w:lang/>
                      </w:rPr>
                      <w:t>пункту 3.7</w:t>
                    </w:r>
                  </w:hyperlink>
                  <w:r w:rsidRPr="00EF1540">
                    <w:rPr>
                      <w:rFonts w:ascii="Times New Roman" w:eastAsia="Times New Roman" w:hAnsi="Times New Roman" w:cs="Times New Roman"/>
                      <w:sz w:val="24"/>
                      <w:szCs w:val="24"/>
                      <w:lang/>
                    </w:rPr>
                    <w:t xml:space="preserve"> цієї глави з урахуванням результатів аналізу, тис. грн (без ПДВ);</w:t>
                  </w:r>
                </w:p>
              </w:tc>
            </w:tr>
            <w:tr w:rsidR="00EF1540" w:rsidRPr="00EF1540" w:rsidTr="00047CAF">
              <w:tc>
                <w:tcPr>
                  <w:tcW w:w="600" w:type="dxa"/>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p>
              </w:tc>
              <w:tc>
                <w:tcPr>
                  <w:tcW w:w="1335" w:type="dxa"/>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3"/>
                    <w:jc w:val="both"/>
                    <w:rPr>
                      <w:rFonts w:ascii="Times New Roman" w:eastAsia="Times New Roman" w:hAnsi="Times New Roman" w:cs="Times New Roman"/>
                      <w:sz w:val="24"/>
                      <w:szCs w:val="24"/>
                      <w:lang/>
                    </w:rPr>
                  </w:pPr>
                  <w:r w:rsidRPr="00EF1540">
                    <w:rPr>
                      <w:rFonts w:ascii="Times New Roman" w:eastAsia="Times New Roman" w:hAnsi="Times New Roman" w:cs="Times New Roman"/>
                      <w:noProof/>
                      <w:sz w:val="24"/>
                      <w:szCs w:val="24"/>
                      <w:lang/>
                    </w:rPr>
                    <w:drawing>
                      <wp:inline distT="0" distB="0" distL="0" distR="0" wp14:anchorId="1C83FBAF" wp14:editId="0E5B2FAF">
                        <wp:extent cx="666750" cy="323850"/>
                        <wp:effectExtent l="0" t="0" r="0" b="0"/>
                        <wp:docPr id="28" name="Рисунок 28" descr="https://zakon.rada.gov.ua/laws/file/imgs/98/p480243n239v1-15.gif">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zakon.rada.gov.ua/laws/file/imgs/98/p480243n239v1-15.gif">
                                  <a:hlinkClick r:id="rId49"/>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66750" cy="323850"/>
                                </a:xfrm>
                                <a:prstGeom prst="rect">
                                  <a:avLst/>
                                </a:prstGeom>
                                <a:noFill/>
                                <a:ln>
                                  <a:noFill/>
                                </a:ln>
                              </pic:spPr>
                            </pic:pic>
                          </a:graphicData>
                        </a:graphic>
                      </wp:inline>
                    </w:drawing>
                  </w:r>
                </w:p>
              </w:tc>
              <w:tc>
                <w:tcPr>
                  <w:tcW w:w="105" w:type="dxa"/>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w:t>
                  </w:r>
                </w:p>
              </w:tc>
              <w:tc>
                <w:tcPr>
                  <w:tcW w:w="10515" w:type="dxa"/>
                  <w:tcBorders>
                    <w:top w:val="nil"/>
                    <w:left w:val="nil"/>
                    <w:bottom w:val="nil"/>
                    <w:right w:val="nil"/>
                  </w:tcBorders>
                  <w:hideMark/>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 xml:space="preserve">фактичні капітальні витрати, понесені під час надання послуги за j-те стандартне приєднання (за об'єктами замовників, приєднання яких завершено у базовому періоді) для міської та сільської місцевості за першим та другим ступенями стандартного приєднання (значення за рядками графи 80 </w:t>
                  </w:r>
                  <w:hyperlink r:id="rId51" w:anchor="n146" w:history="1">
                    <w:r w:rsidRPr="00EF1540">
                      <w:rPr>
                        <w:rFonts w:ascii="Times New Roman" w:eastAsia="Times New Roman" w:hAnsi="Times New Roman" w:cs="Times New Roman"/>
                        <w:sz w:val="24"/>
                        <w:szCs w:val="24"/>
                        <w:lang/>
                      </w:rPr>
                      <w:t>додатка 1</w:t>
                    </w:r>
                  </w:hyperlink>
                  <w:r w:rsidRPr="00EF1540">
                    <w:rPr>
                      <w:rFonts w:ascii="Times New Roman" w:eastAsia="Times New Roman" w:hAnsi="Times New Roman" w:cs="Times New Roman"/>
                      <w:sz w:val="24"/>
                      <w:szCs w:val="24"/>
                      <w:lang/>
                    </w:rPr>
                    <w:t xml:space="preserve"> до цієї Методики), по яких проводився аналіз відповідно до </w:t>
                  </w:r>
                  <w:hyperlink r:id="rId52" w:anchor="n249" w:history="1">
                    <w:r w:rsidRPr="00EF1540">
                      <w:rPr>
                        <w:rFonts w:ascii="Times New Roman" w:eastAsia="Times New Roman" w:hAnsi="Times New Roman" w:cs="Times New Roman"/>
                        <w:sz w:val="24"/>
                        <w:szCs w:val="24"/>
                        <w:lang/>
                      </w:rPr>
                      <w:t>пункту 3.7</w:t>
                    </w:r>
                  </w:hyperlink>
                  <w:r w:rsidRPr="00EF1540">
                    <w:rPr>
                      <w:rFonts w:ascii="Times New Roman" w:eastAsia="Times New Roman" w:hAnsi="Times New Roman" w:cs="Times New Roman"/>
                      <w:sz w:val="24"/>
                      <w:szCs w:val="24"/>
                      <w:lang/>
                    </w:rPr>
                    <w:t xml:space="preserve"> цієї глави, тис. грн (без ПДВ).</w:t>
                  </w:r>
                </w:p>
              </w:tc>
            </w:tr>
          </w:tbl>
          <w:p w:rsidR="00006018" w:rsidRPr="00EF1540" w:rsidRDefault="00006018" w:rsidP="00006018">
            <w:pPr>
              <w:ind w:firstLine="589"/>
              <w:jc w:val="both"/>
              <w:rPr>
                <w:rFonts w:ascii="Times New Roman" w:eastAsia="Times New Roman" w:hAnsi="Times New Roman" w:cs="Times New Roman"/>
                <w:sz w:val="24"/>
                <w:szCs w:val="24"/>
                <w:lang/>
              </w:rPr>
            </w:pPr>
          </w:p>
        </w:tc>
        <w:tc>
          <w:tcPr>
            <w:tcW w:w="7146" w:type="dxa"/>
          </w:tcPr>
          <w:p w:rsidR="00006018" w:rsidRPr="00647D68" w:rsidRDefault="00006018" w:rsidP="008B675D">
            <w:pPr>
              <w:ind w:firstLine="589"/>
              <w:jc w:val="both"/>
              <w:rPr>
                <w:rFonts w:ascii="Times New Roman" w:eastAsia="Times New Roman" w:hAnsi="Times New Roman" w:cs="Times New Roman"/>
                <w:sz w:val="24"/>
                <w:szCs w:val="24"/>
                <w:lang w:val="ru-RU"/>
              </w:rPr>
            </w:pPr>
            <w:bookmarkStart w:id="19" w:name="_Hlk161074294"/>
            <w:r w:rsidRPr="00EF1540">
              <w:rPr>
                <w:rFonts w:ascii="Times New Roman" w:eastAsia="Times New Roman" w:hAnsi="Times New Roman" w:cs="Times New Roman"/>
                <w:sz w:val="24"/>
                <w:szCs w:val="24"/>
                <w:lang/>
              </w:rPr>
              <w:lastRenderedPageBreak/>
              <w:t xml:space="preserve">3.2. Ставки плати за стандартне приєднання </w:t>
            </w:r>
            <m:oMath>
              <m:sSubSup>
                <m:sSubSupPr>
                  <m:ctrlPr>
                    <w:rPr>
                      <w:rFonts w:ascii="Cambria Math" w:hAnsi="Cambria Math"/>
                      <w:i/>
                      <w:sz w:val="32"/>
                      <w:szCs w:val="28"/>
                    </w:rPr>
                  </m:ctrlPr>
                </m:sSubSupPr>
                <m:e>
                  <m:r>
                    <w:rPr>
                      <w:rFonts w:ascii="Cambria Math" w:hAnsi="Cambria Math"/>
                      <w:sz w:val="32"/>
                      <w:szCs w:val="28"/>
                    </w:rPr>
                    <m:t>С</m:t>
                  </m:r>
                </m:e>
                <m:sub>
                  <m:r>
                    <w:rPr>
                      <w:rFonts w:ascii="Cambria Math" w:hAnsi="Cambria Math"/>
                      <w:sz w:val="32"/>
                      <w:szCs w:val="28"/>
                    </w:rPr>
                    <m:t>ст</m:t>
                  </m:r>
                </m:sub>
                <m:sup>
                  <m:r>
                    <w:rPr>
                      <w:rFonts w:ascii="Cambria Math" w:hAnsi="Cambria Math"/>
                      <w:sz w:val="32"/>
                      <w:szCs w:val="28"/>
                    </w:rPr>
                    <m:t>к,н,ф,місц</m:t>
                  </m:r>
                </m:sup>
              </m:sSubSup>
            </m:oMath>
            <w:r w:rsidRPr="00EF1540">
              <w:rPr>
                <w:rFonts w:ascii="Times New Roman" w:eastAsia="Times New Roman" w:hAnsi="Times New Roman" w:cs="Times New Roman"/>
                <w:sz w:val="24"/>
                <w:szCs w:val="24"/>
                <w:lang/>
              </w:rPr>
              <w:t xml:space="preserve"> встановлюються НКРЕКП на розрахунковий період та розраховуються за формулою:</w:t>
            </w:r>
          </w:p>
          <w:p w:rsidR="00006018" w:rsidRPr="00EF1540" w:rsidRDefault="00647D68" w:rsidP="008B675D">
            <w:pPr>
              <w:ind w:firstLine="589"/>
              <w:jc w:val="both"/>
              <w:rPr>
                <w:rFonts w:ascii="Times New Roman" w:eastAsia="Times New Roman" w:hAnsi="Times New Roman" w:cs="Times New Roman"/>
                <w:sz w:val="24"/>
                <w:szCs w:val="24"/>
                <w:lang/>
              </w:rPr>
            </w:pPr>
            <m:oMathPara>
              <m:oMathParaPr>
                <m:jc m:val="center"/>
              </m:oMathParaPr>
              <m:oMath>
                <m:sSubSup>
                  <m:sSubSupPr>
                    <m:ctrlPr>
                      <w:rPr>
                        <w:rFonts w:ascii="Cambria Math" w:hAnsi="Cambria Math"/>
                        <w:b/>
                        <w:sz w:val="24"/>
                        <w:szCs w:val="24"/>
                      </w:rPr>
                    </m:ctrlPr>
                  </m:sSubSupPr>
                  <m:e>
                    <m:r>
                      <m:rPr>
                        <m:sty m:val="bi"/>
                      </m:rPr>
                      <w:rPr>
                        <w:rFonts w:ascii="Cambria Math" w:hAnsi="Cambria Math"/>
                        <w:sz w:val="24"/>
                        <w:szCs w:val="24"/>
                      </w:rPr>
                      <m:t>С</m:t>
                    </m:r>
                  </m:e>
                  <m:sub>
                    <m:r>
                      <m:rPr>
                        <m:sty m:val="bi"/>
                      </m:rPr>
                      <w:rPr>
                        <w:rFonts w:ascii="Cambria Math" w:hAnsi="Cambria Math"/>
                        <w:sz w:val="24"/>
                        <w:szCs w:val="24"/>
                      </w:rPr>
                      <m:t>ст</m:t>
                    </m:r>
                  </m:sub>
                  <m:sup>
                    <m:r>
                      <m:rPr>
                        <m:sty m:val="bi"/>
                      </m:rPr>
                      <w:rPr>
                        <w:rFonts w:ascii="Cambria Math" w:hAnsi="Cambria Math"/>
                        <w:sz w:val="24"/>
                        <w:szCs w:val="24"/>
                      </w:rPr>
                      <m:t>к,н,ф,місц</m:t>
                    </m:r>
                  </m:sup>
                </m:sSubSup>
                <m:r>
                  <m:rPr>
                    <m:sty m:val="bi"/>
                  </m:rPr>
                  <w:rPr>
                    <w:rFonts w:ascii="Cambria Math" w:hAnsi="Cambria Math"/>
                    <w:sz w:val="24"/>
                    <w:szCs w:val="24"/>
                  </w:rPr>
                  <m:t>=</m:t>
                </m:r>
                <m:sSubSup>
                  <m:sSubSupPr>
                    <m:ctrlPr>
                      <w:rPr>
                        <w:rFonts w:ascii="Cambria Math" w:hAnsi="Cambria Math"/>
                        <w:b/>
                        <w:i/>
                        <w:sz w:val="24"/>
                        <w:szCs w:val="24"/>
                      </w:rPr>
                    </m:ctrlPr>
                  </m:sSubSupPr>
                  <m:e>
                    <m:r>
                      <m:rPr>
                        <m:sty m:val="bi"/>
                      </m:rPr>
                      <w:rPr>
                        <w:rFonts w:ascii="Cambria Math" w:hAnsi="Cambria Math"/>
                        <w:sz w:val="24"/>
                        <w:szCs w:val="24"/>
                      </w:rPr>
                      <m:t>П</m:t>
                    </m:r>
                  </m:e>
                  <m:sub>
                    <m:sSub>
                      <m:sSubPr>
                        <m:ctrlPr>
                          <w:rPr>
                            <w:rFonts w:ascii="Cambria Math" w:hAnsi="Cambria Math"/>
                            <w:b/>
                            <w:i/>
                            <w:sz w:val="24"/>
                            <w:szCs w:val="24"/>
                          </w:rPr>
                        </m:ctrlPr>
                      </m:sSubPr>
                      <m:e>
                        <m:r>
                          <m:rPr>
                            <m:sty m:val="bi"/>
                          </m:rPr>
                          <w:rPr>
                            <w:rFonts w:ascii="Cambria Math" w:hAnsi="Cambria Math"/>
                            <w:sz w:val="24"/>
                            <w:szCs w:val="24"/>
                          </w:rPr>
                          <m:t>базова</m:t>
                        </m:r>
                      </m:e>
                      <m:sub>
                        <m:r>
                          <m:rPr>
                            <m:sty m:val="bi"/>
                          </m:rPr>
                          <w:rPr>
                            <w:rFonts w:ascii="Cambria Math" w:hAnsi="Cambria Math"/>
                            <w:sz w:val="24"/>
                            <w:szCs w:val="24"/>
                          </w:rPr>
                          <m:t>ст</m:t>
                        </m:r>
                      </m:sub>
                    </m:sSub>
                  </m:sub>
                  <m:sup>
                    <m:r>
                      <m:rPr>
                        <m:sty m:val="bi"/>
                      </m:rPr>
                      <w:rPr>
                        <w:rFonts w:ascii="Cambria Math" w:hAnsi="Cambria Math"/>
                        <w:sz w:val="24"/>
                        <w:szCs w:val="24"/>
                      </w:rPr>
                      <m:t>місц</m:t>
                    </m:r>
                  </m:sup>
                </m:sSubSup>
                <m:r>
                  <m:rPr>
                    <m:sty m:val="bi"/>
                  </m:rPr>
                  <w:rPr>
                    <w:rFonts w:ascii="Cambria Math" w:hAnsi="Cambria Math"/>
                    <w:sz w:val="24"/>
                    <w:szCs w:val="24"/>
                  </w:rPr>
                  <m:t>×</m:t>
                </m:r>
                <m:sSub>
                  <m:sSubPr>
                    <m:ctrlPr>
                      <w:rPr>
                        <w:rFonts w:ascii="Cambria Math" w:hAnsi="Cambria Math"/>
                        <w:b/>
                        <w:i/>
                        <w:sz w:val="24"/>
                        <w:szCs w:val="24"/>
                      </w:rPr>
                    </m:ctrlPr>
                  </m:sSubPr>
                  <m:e>
                    <m:r>
                      <m:rPr>
                        <m:sty m:val="bi"/>
                      </m:rPr>
                      <w:rPr>
                        <w:rFonts w:ascii="Cambria Math" w:hAnsi="Cambria Math"/>
                        <w:sz w:val="24"/>
                        <w:szCs w:val="24"/>
                      </w:rPr>
                      <m:t>К</m:t>
                    </m:r>
                  </m:e>
                  <m:sub>
                    <m:r>
                      <m:rPr>
                        <m:sty m:val="bi"/>
                      </m:rPr>
                      <w:rPr>
                        <w:rFonts w:ascii="Cambria Math" w:hAnsi="Cambria Math"/>
                        <w:sz w:val="24"/>
                        <w:szCs w:val="24"/>
                      </w:rPr>
                      <m:t>інд</m:t>
                    </m:r>
                  </m:sub>
                </m:sSub>
                <m:r>
                  <m:rPr>
                    <m:sty m:val="bi"/>
                  </m:rPr>
                  <w:rPr>
                    <w:rFonts w:ascii="Cambria Math" w:hAnsi="Cambria Math"/>
                    <w:sz w:val="24"/>
                    <w:szCs w:val="24"/>
                  </w:rPr>
                  <m:t>×</m:t>
                </m:r>
                <m:sSub>
                  <m:sSubPr>
                    <m:ctrlPr>
                      <w:rPr>
                        <w:rFonts w:ascii="Cambria Math" w:hAnsi="Cambria Math"/>
                        <w:b/>
                        <w:i/>
                        <w:sz w:val="24"/>
                        <w:szCs w:val="24"/>
                      </w:rPr>
                    </m:ctrlPr>
                  </m:sSubPr>
                  <m:e>
                    <m:r>
                      <m:rPr>
                        <m:sty m:val="bi"/>
                      </m:rPr>
                      <w:rPr>
                        <w:rFonts w:ascii="Cambria Math" w:hAnsi="Cambria Math"/>
                        <w:sz w:val="24"/>
                        <w:szCs w:val="24"/>
                      </w:rPr>
                      <m:t>К</m:t>
                    </m:r>
                  </m:e>
                  <m:sub>
                    <m:r>
                      <m:rPr>
                        <m:sty m:val="bi"/>
                      </m:rPr>
                      <w:rPr>
                        <w:rFonts w:ascii="Cambria Math" w:hAnsi="Cambria Math"/>
                        <w:sz w:val="24"/>
                        <w:szCs w:val="24"/>
                      </w:rPr>
                      <m:t>к</m:t>
                    </m:r>
                  </m:sub>
                </m:sSub>
                <m:r>
                  <m:rPr>
                    <m:sty m:val="bi"/>
                  </m:rPr>
                  <w:rPr>
                    <w:rFonts w:ascii="Cambria Math" w:hAnsi="Cambria Math"/>
                    <w:sz w:val="24"/>
                    <w:szCs w:val="24"/>
                  </w:rPr>
                  <m:t>×</m:t>
                </m:r>
                <m:sSub>
                  <m:sSubPr>
                    <m:ctrlPr>
                      <w:rPr>
                        <w:rFonts w:ascii="Cambria Math" w:hAnsi="Cambria Math"/>
                        <w:b/>
                        <w:i/>
                        <w:sz w:val="24"/>
                        <w:szCs w:val="24"/>
                      </w:rPr>
                    </m:ctrlPr>
                  </m:sSubPr>
                  <m:e>
                    <m:r>
                      <m:rPr>
                        <m:sty m:val="bi"/>
                      </m:rPr>
                      <w:rPr>
                        <w:rFonts w:ascii="Cambria Math" w:hAnsi="Cambria Math"/>
                        <w:sz w:val="24"/>
                        <w:szCs w:val="24"/>
                      </w:rPr>
                      <m:t>К</m:t>
                    </m:r>
                  </m:e>
                  <m:sub>
                    <m:r>
                      <m:rPr>
                        <m:sty m:val="bi"/>
                      </m:rPr>
                      <w:rPr>
                        <w:rFonts w:ascii="Cambria Math" w:hAnsi="Cambria Math"/>
                        <w:sz w:val="24"/>
                        <w:szCs w:val="24"/>
                      </w:rPr>
                      <m:t>н</m:t>
                    </m:r>
                  </m:sub>
                </m:sSub>
                <m:r>
                  <m:rPr>
                    <m:sty m:val="bi"/>
                  </m:rPr>
                  <w:rPr>
                    <w:rFonts w:ascii="Cambria Math" w:hAnsi="Cambria Math"/>
                    <w:sz w:val="24"/>
                    <w:szCs w:val="24"/>
                  </w:rPr>
                  <m:t>×</m:t>
                </m:r>
                <m:sSub>
                  <m:sSubPr>
                    <m:ctrlPr>
                      <w:rPr>
                        <w:rFonts w:ascii="Cambria Math" w:hAnsi="Cambria Math"/>
                        <w:b/>
                        <w:i/>
                        <w:sz w:val="24"/>
                        <w:szCs w:val="24"/>
                      </w:rPr>
                    </m:ctrlPr>
                  </m:sSubPr>
                  <m:e>
                    <m:r>
                      <m:rPr>
                        <m:sty m:val="bi"/>
                      </m:rPr>
                      <w:rPr>
                        <w:rFonts w:ascii="Cambria Math" w:hAnsi="Cambria Math"/>
                        <w:sz w:val="24"/>
                        <w:szCs w:val="24"/>
                      </w:rPr>
                      <m:t>К</m:t>
                    </m:r>
                  </m:e>
                  <m:sub>
                    <m:r>
                      <m:rPr>
                        <m:sty m:val="bi"/>
                      </m:rPr>
                      <w:rPr>
                        <w:rFonts w:ascii="Cambria Math" w:hAnsi="Cambria Math"/>
                        <w:sz w:val="24"/>
                        <w:szCs w:val="24"/>
                      </w:rPr>
                      <m:t>ф</m:t>
                    </m:r>
                  </m:sub>
                </m:sSub>
                <m:r>
                  <m:rPr>
                    <m:sty m:val="bi"/>
                  </m:rPr>
                  <w:rPr>
                    <w:rFonts w:ascii="Cambria Math" w:hAnsi="Cambria Math"/>
                    <w:sz w:val="24"/>
                    <w:szCs w:val="24"/>
                  </w:rPr>
                  <m:t>, тис грн/кВт</m:t>
                </m:r>
              </m:oMath>
            </m:oMathPara>
          </w:p>
          <w:p w:rsidR="00006018" w:rsidRPr="00EF1540" w:rsidRDefault="00647D68" w:rsidP="008B675D">
            <w:pPr>
              <w:ind w:firstLine="578"/>
              <w:jc w:val="both"/>
              <w:rPr>
                <w:rFonts w:ascii="Times New Roman" w:eastAsia="Times New Roman" w:hAnsi="Times New Roman" w:cs="Times New Roman"/>
                <w:b/>
                <w:noProof/>
                <w:sz w:val="24"/>
                <w:szCs w:val="24"/>
                <w:lang/>
              </w:rPr>
            </w:pPr>
            <m:oMath>
              <m:sSubSup>
                <m:sSubSupPr>
                  <m:ctrlPr>
                    <w:rPr>
                      <w:rFonts w:ascii="Cambria Math" w:hAnsi="Cambria Math"/>
                      <w:b/>
                      <w:i/>
                      <w:sz w:val="24"/>
                      <w:szCs w:val="24"/>
                    </w:rPr>
                  </m:ctrlPr>
                </m:sSubSupPr>
                <m:e>
                  <m:r>
                    <m:rPr>
                      <m:sty m:val="bi"/>
                    </m:rPr>
                    <w:rPr>
                      <w:rFonts w:ascii="Cambria Math" w:hAnsi="Cambria Math"/>
                      <w:sz w:val="24"/>
                      <w:szCs w:val="24"/>
                    </w:rPr>
                    <m:t>П</m:t>
                  </m:r>
                </m:e>
                <m:sub>
                  <m:sSub>
                    <m:sSubPr>
                      <m:ctrlPr>
                        <w:rPr>
                          <w:rFonts w:ascii="Cambria Math" w:hAnsi="Cambria Math"/>
                          <w:b/>
                          <w:i/>
                          <w:sz w:val="24"/>
                          <w:szCs w:val="24"/>
                        </w:rPr>
                      </m:ctrlPr>
                    </m:sSubPr>
                    <m:e>
                      <m:r>
                        <m:rPr>
                          <m:sty m:val="bi"/>
                        </m:rPr>
                        <w:rPr>
                          <w:rFonts w:ascii="Cambria Math" w:hAnsi="Cambria Math"/>
                          <w:sz w:val="24"/>
                          <w:szCs w:val="24"/>
                        </w:rPr>
                        <m:t>базова</m:t>
                      </m:r>
                    </m:e>
                    <m:sub>
                      <m:r>
                        <m:rPr>
                          <m:sty m:val="bi"/>
                        </m:rPr>
                        <w:rPr>
                          <w:rFonts w:ascii="Cambria Math" w:hAnsi="Cambria Math"/>
                          <w:sz w:val="24"/>
                          <w:szCs w:val="24"/>
                        </w:rPr>
                        <m:t>ст</m:t>
                      </m:r>
                    </m:sub>
                  </m:sSub>
                </m:sub>
                <m:sup>
                  <m:r>
                    <m:rPr>
                      <m:sty m:val="bi"/>
                    </m:rPr>
                    <w:rPr>
                      <w:rFonts w:ascii="Cambria Math" w:hAnsi="Cambria Math"/>
                      <w:sz w:val="24"/>
                      <w:szCs w:val="24"/>
                    </w:rPr>
                    <m:t>місц</m:t>
                  </m:r>
                </m:sup>
              </m:sSubSup>
            </m:oMath>
            <w:r w:rsidR="00006018" w:rsidRPr="00EF1540">
              <w:rPr>
                <w:rFonts w:ascii="Times New Roman" w:eastAsia="Times New Roman" w:hAnsi="Times New Roman" w:cs="Times New Roman"/>
                <w:b/>
                <w:sz w:val="24"/>
                <w:szCs w:val="24"/>
              </w:rPr>
              <w:t xml:space="preserve"> - </w:t>
            </w:r>
            <w:r w:rsidR="00006018" w:rsidRPr="00EF1540">
              <w:rPr>
                <w:rFonts w:ascii="Times New Roman" w:eastAsia="Times New Roman" w:hAnsi="Times New Roman" w:cs="Times New Roman"/>
                <w:b/>
                <w:sz w:val="24"/>
                <w:szCs w:val="24"/>
                <w:lang/>
              </w:rPr>
              <w:t>питома вартість приєднання 1 кВт потужності електроустановок замовника</w:t>
            </w:r>
            <w:r w:rsidR="00006018" w:rsidRPr="00EF1540">
              <w:t xml:space="preserve"> </w:t>
            </w:r>
            <w:r w:rsidR="00006018" w:rsidRPr="00EF1540">
              <w:rPr>
                <w:rFonts w:ascii="Times New Roman" w:eastAsia="Times New Roman" w:hAnsi="Times New Roman" w:cs="Times New Roman"/>
                <w:b/>
                <w:sz w:val="24"/>
                <w:szCs w:val="24"/>
                <w:lang/>
              </w:rPr>
              <w:t>визначена згідно з додатком 9 до цієї Методики</w:t>
            </w:r>
            <w:r w:rsidR="00AD2947" w:rsidRPr="00EF1540">
              <w:rPr>
                <w:rFonts w:ascii="Times New Roman" w:eastAsia="Times New Roman" w:hAnsi="Times New Roman" w:cs="Times New Roman"/>
                <w:b/>
                <w:sz w:val="24"/>
                <w:szCs w:val="24"/>
                <w:lang/>
              </w:rPr>
              <w:t xml:space="preserve"> станом на 01 січня 202</w:t>
            </w:r>
            <w:r w:rsidR="004104E1" w:rsidRPr="00EF1540">
              <w:rPr>
                <w:rFonts w:ascii="Times New Roman" w:eastAsia="Times New Roman" w:hAnsi="Times New Roman" w:cs="Times New Roman"/>
                <w:b/>
                <w:sz w:val="24"/>
                <w:szCs w:val="24"/>
                <w:lang/>
              </w:rPr>
              <w:t>5</w:t>
            </w:r>
            <w:r w:rsidR="00AD2947" w:rsidRPr="00EF1540">
              <w:rPr>
                <w:rFonts w:ascii="Times New Roman" w:eastAsia="Times New Roman" w:hAnsi="Times New Roman" w:cs="Times New Roman"/>
                <w:b/>
                <w:sz w:val="24"/>
                <w:szCs w:val="24"/>
                <w:lang/>
              </w:rPr>
              <w:t xml:space="preserve"> року</w:t>
            </w:r>
            <w:r w:rsidR="00006018" w:rsidRPr="00EF1540">
              <w:rPr>
                <w:rFonts w:ascii="Times New Roman" w:eastAsia="Times New Roman" w:hAnsi="Times New Roman" w:cs="Times New Roman"/>
                <w:b/>
                <w:sz w:val="24"/>
                <w:szCs w:val="24"/>
                <w:lang/>
              </w:rPr>
              <w:t>;</w:t>
            </w:r>
          </w:p>
          <w:p w:rsidR="00006018" w:rsidRPr="00EF1540" w:rsidRDefault="00006018" w:rsidP="008B675D">
            <w:pPr>
              <w:ind w:firstLine="578"/>
              <w:jc w:val="both"/>
              <w:rPr>
                <w:rFonts w:ascii="Times New Roman" w:eastAsia="Times New Roman" w:hAnsi="Times New Roman" w:cs="Times New Roman"/>
                <w:b/>
                <w:sz w:val="24"/>
                <w:szCs w:val="24"/>
                <w:lang/>
              </w:rPr>
            </w:pPr>
            <w:r w:rsidRPr="00EF1540">
              <w:rPr>
                <w:rFonts w:ascii="Times New Roman" w:eastAsia="Times New Roman" w:hAnsi="Times New Roman" w:cs="Times New Roman"/>
                <w:b/>
                <w:noProof/>
                <w:sz w:val="24"/>
                <w:szCs w:val="24"/>
                <w:lang/>
              </w:rPr>
              <w:t>К</w:t>
            </w:r>
            <w:r w:rsidRPr="00EF1540">
              <w:rPr>
                <w:rFonts w:ascii="Times New Roman" w:eastAsia="Times New Roman" w:hAnsi="Times New Roman" w:cs="Times New Roman"/>
                <w:b/>
                <w:noProof/>
                <w:sz w:val="24"/>
                <w:szCs w:val="24"/>
                <w:vertAlign w:val="subscript"/>
                <w:lang/>
              </w:rPr>
              <w:t>інд</w:t>
            </w:r>
            <w:r w:rsidRPr="00EF1540">
              <w:rPr>
                <w:rFonts w:ascii="Times New Roman" w:eastAsia="Times New Roman" w:hAnsi="Times New Roman" w:cs="Times New Roman"/>
                <w:b/>
                <w:noProof/>
                <w:sz w:val="24"/>
                <w:szCs w:val="24"/>
                <w:lang/>
              </w:rPr>
              <w:t xml:space="preserve"> - </w:t>
            </w:r>
            <w:r w:rsidR="00A17353" w:rsidRPr="00A17353">
              <w:rPr>
                <w:rFonts w:ascii="Times New Roman" w:eastAsia="Times New Roman" w:hAnsi="Times New Roman" w:cs="Times New Roman"/>
                <w:b/>
                <w:sz w:val="24"/>
                <w:szCs w:val="24"/>
                <w:lang/>
              </w:rPr>
              <w:t>коефіцієнт прогнозного індексу зміни цін виробників промислової продукції на розрахунковий період у відношенні до базового періоду. Розмір індексу затверджується відповідною постановою Кабінету Міністрів України про схвалення Прогнозу економічного і соціального розвитку України на розрахунковий період (мінімальний). У разі відсутності затвердженого відповідною постановою Кабінету Міністрів України прогнозного індексу цін виробників промислової продукції, застосовується індекс, врахований у Державному бюджеті України на відповідний рік</w:t>
            </w:r>
            <w:r w:rsidR="008B675D" w:rsidRPr="00EF1540">
              <w:rPr>
                <w:rFonts w:ascii="Times New Roman" w:eastAsia="Times New Roman" w:hAnsi="Times New Roman" w:cs="Times New Roman"/>
                <w:b/>
                <w:sz w:val="24"/>
                <w:szCs w:val="24"/>
              </w:rPr>
              <w:t>;</w:t>
            </w:r>
          </w:p>
          <w:p w:rsidR="00006018" w:rsidRPr="00EF1540" w:rsidRDefault="00006018" w:rsidP="008B675D">
            <w:pPr>
              <w:ind w:firstLine="578"/>
              <w:jc w:val="both"/>
              <w:rPr>
                <w:rFonts w:ascii="Times New Roman" w:eastAsia="Times New Roman" w:hAnsi="Times New Roman" w:cs="Times New Roman"/>
                <w:sz w:val="24"/>
                <w:szCs w:val="24"/>
                <w:lang/>
              </w:rPr>
            </w:pPr>
            <w:proofErr w:type="spellStart"/>
            <w:r w:rsidRPr="00EF1540">
              <w:rPr>
                <w:rFonts w:ascii="Times New Roman" w:eastAsia="Times New Roman" w:hAnsi="Times New Roman" w:cs="Times New Roman"/>
                <w:sz w:val="24"/>
                <w:szCs w:val="24"/>
                <w:lang/>
              </w:rPr>
              <w:t>Кк</w:t>
            </w:r>
            <w:proofErr w:type="spellEnd"/>
            <w:r w:rsidRPr="00EF1540">
              <w:rPr>
                <w:rFonts w:ascii="Times New Roman" w:eastAsia="Times New Roman" w:hAnsi="Times New Roman" w:cs="Times New Roman"/>
                <w:sz w:val="24"/>
                <w:szCs w:val="24"/>
                <w:lang/>
              </w:rPr>
              <w:t xml:space="preserve"> - коефіцієнт категорії надійності електропостачання (</w:t>
            </w:r>
            <w:hyperlink r:id="rId53" w:anchor="n152" w:history="1">
              <w:r w:rsidRPr="00EF1540">
                <w:rPr>
                  <w:rFonts w:ascii="Times New Roman" w:eastAsia="Times New Roman" w:hAnsi="Times New Roman" w:cs="Times New Roman"/>
                  <w:sz w:val="24"/>
                  <w:szCs w:val="24"/>
                  <w:lang/>
                </w:rPr>
                <w:t>додаток 3</w:t>
              </w:r>
            </w:hyperlink>
            <w:r w:rsidRPr="00EF1540">
              <w:rPr>
                <w:rFonts w:ascii="Times New Roman" w:eastAsia="Times New Roman" w:hAnsi="Times New Roman" w:cs="Times New Roman"/>
                <w:sz w:val="24"/>
                <w:szCs w:val="24"/>
                <w:lang/>
              </w:rPr>
              <w:t xml:space="preserve"> до цієї Методики);</w:t>
            </w:r>
          </w:p>
          <w:p w:rsidR="00006018" w:rsidRPr="00EF1540" w:rsidRDefault="00006018" w:rsidP="008B675D">
            <w:pPr>
              <w:ind w:firstLine="578"/>
              <w:jc w:val="both"/>
              <w:rPr>
                <w:rFonts w:ascii="Times New Roman" w:eastAsia="Times New Roman" w:hAnsi="Times New Roman" w:cs="Times New Roman"/>
                <w:b/>
                <w:sz w:val="24"/>
                <w:szCs w:val="24"/>
              </w:rPr>
            </w:pPr>
            <w:proofErr w:type="spellStart"/>
            <w:r w:rsidRPr="00EF1540">
              <w:rPr>
                <w:rFonts w:ascii="Times New Roman" w:eastAsia="Times New Roman" w:hAnsi="Times New Roman" w:cs="Times New Roman"/>
                <w:sz w:val="24"/>
                <w:szCs w:val="24"/>
                <w:lang/>
              </w:rPr>
              <w:t>Кн</w:t>
            </w:r>
            <w:proofErr w:type="spellEnd"/>
            <w:r w:rsidRPr="00EF1540">
              <w:rPr>
                <w:rFonts w:ascii="Times New Roman" w:eastAsia="Times New Roman" w:hAnsi="Times New Roman" w:cs="Times New Roman"/>
                <w:sz w:val="24"/>
                <w:szCs w:val="24"/>
                <w:lang/>
              </w:rPr>
              <w:t xml:space="preserve"> - коефіцієнт ступеня напруги в точці приєднання (0,4 (0,23), 6(10)20 кВ) (</w:t>
            </w:r>
            <w:hyperlink r:id="rId54" w:anchor="n155" w:history="1">
              <w:r w:rsidRPr="00EF1540">
                <w:rPr>
                  <w:rFonts w:ascii="Times New Roman" w:eastAsia="Times New Roman" w:hAnsi="Times New Roman" w:cs="Times New Roman"/>
                  <w:sz w:val="24"/>
                  <w:szCs w:val="24"/>
                  <w:lang/>
                </w:rPr>
                <w:t>додаток 4</w:t>
              </w:r>
            </w:hyperlink>
            <w:r w:rsidRPr="00EF1540">
              <w:rPr>
                <w:rFonts w:ascii="Times New Roman" w:eastAsia="Times New Roman" w:hAnsi="Times New Roman" w:cs="Times New Roman"/>
                <w:sz w:val="24"/>
                <w:szCs w:val="24"/>
                <w:lang/>
              </w:rPr>
              <w:t xml:space="preserve"> до цієї Методики);</w:t>
            </w:r>
          </w:p>
          <w:p w:rsidR="00006018" w:rsidRPr="00EF1540" w:rsidRDefault="00006018" w:rsidP="008B675D">
            <w:pPr>
              <w:ind w:firstLine="578"/>
              <w:jc w:val="both"/>
              <w:rPr>
                <w:rFonts w:ascii="Times New Roman" w:eastAsia="Times New Roman" w:hAnsi="Times New Roman" w:cs="Times New Roman"/>
                <w:sz w:val="24"/>
                <w:szCs w:val="24"/>
                <w:lang/>
              </w:rPr>
            </w:pPr>
            <w:proofErr w:type="spellStart"/>
            <w:r w:rsidRPr="00EF1540">
              <w:rPr>
                <w:rFonts w:ascii="Times New Roman" w:eastAsia="Times New Roman" w:hAnsi="Times New Roman" w:cs="Times New Roman"/>
                <w:sz w:val="24"/>
                <w:szCs w:val="24"/>
                <w:lang/>
              </w:rPr>
              <w:t>Кф</w:t>
            </w:r>
            <w:proofErr w:type="spellEnd"/>
            <w:r w:rsidRPr="00EF1540">
              <w:rPr>
                <w:rFonts w:ascii="Times New Roman" w:eastAsia="Times New Roman" w:hAnsi="Times New Roman" w:cs="Times New Roman"/>
                <w:sz w:val="24"/>
                <w:szCs w:val="24"/>
                <w:lang/>
              </w:rPr>
              <w:t xml:space="preserve"> - коефіцієнт схеми електрозабезпечення (</w:t>
            </w:r>
            <w:hyperlink r:id="rId55" w:anchor="n158" w:history="1">
              <w:r w:rsidRPr="00EF1540">
                <w:rPr>
                  <w:rFonts w:ascii="Times New Roman" w:eastAsia="Times New Roman" w:hAnsi="Times New Roman" w:cs="Times New Roman"/>
                  <w:sz w:val="24"/>
                  <w:szCs w:val="24"/>
                  <w:lang/>
                </w:rPr>
                <w:t>додаток 5</w:t>
              </w:r>
            </w:hyperlink>
            <w:r w:rsidRPr="00EF1540">
              <w:rPr>
                <w:rFonts w:ascii="Times New Roman" w:eastAsia="Times New Roman" w:hAnsi="Times New Roman" w:cs="Times New Roman"/>
                <w:sz w:val="24"/>
                <w:szCs w:val="24"/>
                <w:lang/>
              </w:rPr>
              <w:t xml:space="preserve"> до цієї Методики);</w:t>
            </w:r>
          </w:p>
          <w:bookmarkEnd w:id="19"/>
          <w:p w:rsidR="00006018" w:rsidRPr="00EF1540" w:rsidRDefault="00006018" w:rsidP="00006018">
            <w:pPr>
              <w:spacing w:before="100" w:beforeAutospacing="1" w:after="100" w:afterAutospacing="1"/>
              <w:ind w:firstLine="578"/>
              <w:jc w:val="both"/>
              <w:rPr>
                <w:rFonts w:ascii="Times New Roman" w:eastAsia="Times New Roman" w:hAnsi="Times New Roman" w:cs="Times New Roman"/>
                <w:b/>
                <w:sz w:val="24"/>
                <w:szCs w:val="24"/>
              </w:rPr>
            </w:pPr>
          </w:p>
        </w:tc>
      </w:tr>
      <w:tr w:rsidR="00EF1540" w:rsidRPr="00EF1540" w:rsidTr="00D426BB">
        <w:trPr>
          <w:trHeight w:val="708"/>
        </w:trPr>
        <w:tc>
          <w:tcPr>
            <w:tcW w:w="8731" w:type="dxa"/>
          </w:tcPr>
          <w:p w:rsidR="00006018" w:rsidRPr="00EF1540" w:rsidRDefault="00006018" w:rsidP="00006018">
            <w:pPr>
              <w:pStyle w:val="rvps2"/>
              <w:ind w:firstLine="741"/>
              <w:jc w:val="both"/>
            </w:pPr>
            <w:r w:rsidRPr="00EF1540">
              <w:lastRenderedPageBreak/>
              <w:t xml:space="preserve">3.3. Різниця між обсягом надходження коштів від надання послуг зі стандартних приєднань та фактичними витратами на приєднання </w:t>
            </w:r>
            <w:proofErr w:type="spellStart"/>
            <w:r w:rsidRPr="00EF1540">
              <w:rPr>
                <w:rStyle w:val="rvts80"/>
              </w:rPr>
              <w:t>Δ</w:t>
            </w:r>
            <w:r w:rsidRPr="00EF1540">
              <w:rPr>
                <w:rStyle w:val="rvts40"/>
                <w:vertAlign w:val="subscript"/>
              </w:rPr>
              <w:t>В</w:t>
            </w:r>
            <w:r w:rsidRPr="00EF1540">
              <w:rPr>
                <w:rStyle w:val="rvts37"/>
                <w:vertAlign w:val="superscript"/>
              </w:rPr>
              <w:t>місц</w:t>
            </w:r>
            <w:proofErr w:type="spellEnd"/>
            <w:r w:rsidRPr="00EF1540">
              <w:t xml:space="preserve"> визначається окремо для міської та сільської місцевості за першим та другим ступенями стандартного приєднання за формулою</w:t>
            </w:r>
          </w:p>
          <w:tbl>
            <w:tblPr>
              <w:tblW w:w="5000" w:type="pct"/>
              <w:tblCellMar>
                <w:top w:w="15" w:type="dxa"/>
                <w:left w:w="15" w:type="dxa"/>
                <w:bottom w:w="15" w:type="dxa"/>
                <w:right w:w="15" w:type="dxa"/>
              </w:tblCellMar>
              <w:tblLook w:val="04A0" w:firstRow="1" w:lastRow="0" w:firstColumn="1" w:lastColumn="0" w:noHBand="0" w:noVBand="1"/>
            </w:tblPr>
            <w:tblGrid>
              <w:gridCol w:w="615"/>
              <w:gridCol w:w="1380"/>
              <w:gridCol w:w="110"/>
              <w:gridCol w:w="5711"/>
              <w:gridCol w:w="372"/>
            </w:tblGrid>
            <w:tr w:rsidR="00EF1540" w:rsidRPr="00EF1540" w:rsidTr="00B2239D">
              <w:tc>
                <w:tcPr>
                  <w:tcW w:w="12300" w:type="dxa"/>
                  <w:gridSpan w:val="4"/>
                  <w:hideMark/>
                </w:tcPr>
                <w:p w:rsidR="00006018" w:rsidRPr="00EF1540" w:rsidRDefault="00006018" w:rsidP="00006018">
                  <w:pPr>
                    <w:pStyle w:val="rvps12"/>
                    <w:jc w:val="center"/>
                  </w:pPr>
                  <w:bookmarkStart w:id="20" w:name="n241"/>
                  <w:bookmarkEnd w:id="20"/>
                  <w:r w:rsidRPr="00EF1540">
                    <w:rPr>
                      <w:noProof/>
                    </w:rPr>
                    <w:drawing>
                      <wp:inline distT="0" distB="0" distL="0" distR="0" wp14:anchorId="5B410E83" wp14:editId="69D68B6F">
                        <wp:extent cx="3886200" cy="349250"/>
                        <wp:effectExtent l="0" t="0" r="0" b="0"/>
                        <wp:docPr id="38" name="Рисунок 38" descr="https://zakon.rada.gov.ua/laws/file/imgs/98/p480243n241-16.gif">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zakon.rada.gov.ua/laws/file/imgs/98/p480243n241-16.gif">
                                  <a:hlinkClick r:id="rId56"/>
                                </pic:cNvPr>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886200" cy="349250"/>
                                </a:xfrm>
                                <a:prstGeom prst="rect">
                                  <a:avLst/>
                                </a:prstGeom>
                                <a:noFill/>
                                <a:ln>
                                  <a:noFill/>
                                </a:ln>
                              </pic:spPr>
                            </pic:pic>
                          </a:graphicData>
                        </a:graphic>
                      </wp:inline>
                    </w:drawing>
                  </w:r>
                </w:p>
              </w:tc>
              <w:tc>
                <w:tcPr>
                  <w:tcW w:w="555" w:type="dxa"/>
                  <w:vAlign w:val="center"/>
                  <w:hideMark/>
                </w:tcPr>
                <w:p w:rsidR="00006018" w:rsidRPr="00EF1540" w:rsidRDefault="00006018" w:rsidP="00006018">
                  <w:pPr>
                    <w:pStyle w:val="rvps11"/>
                  </w:pPr>
                  <w:r w:rsidRPr="00EF1540">
                    <w:t>(5)</w:t>
                  </w:r>
                </w:p>
              </w:tc>
            </w:tr>
            <w:tr w:rsidR="00EF1540" w:rsidRPr="00EF1540" w:rsidTr="00B2239D">
              <w:tc>
                <w:tcPr>
                  <w:tcW w:w="615" w:type="dxa"/>
                  <w:hideMark/>
                </w:tcPr>
                <w:p w:rsidR="00006018" w:rsidRPr="00EF1540" w:rsidRDefault="00006018" w:rsidP="00006018">
                  <w:pPr>
                    <w:pStyle w:val="rvps14"/>
                  </w:pPr>
                  <w:bookmarkStart w:id="21" w:name="n242"/>
                  <w:bookmarkEnd w:id="21"/>
                  <w:r w:rsidRPr="00EF1540">
                    <w:t>де</w:t>
                  </w:r>
                </w:p>
              </w:tc>
              <w:tc>
                <w:tcPr>
                  <w:tcW w:w="1095" w:type="dxa"/>
                  <w:hideMark/>
                </w:tcPr>
                <w:p w:rsidR="00006018" w:rsidRPr="00EF1540" w:rsidRDefault="00006018" w:rsidP="00006018">
                  <w:pPr>
                    <w:pStyle w:val="rvps14"/>
                  </w:pPr>
                  <w:r w:rsidRPr="00EF1540">
                    <w:rPr>
                      <w:noProof/>
                    </w:rPr>
                    <w:drawing>
                      <wp:inline distT="0" distB="0" distL="0" distR="0" wp14:anchorId="66B004FA" wp14:editId="09BBDAFE">
                        <wp:extent cx="660400" cy="241300"/>
                        <wp:effectExtent l="0" t="0" r="6350" b="6350"/>
                        <wp:docPr id="37" name="Рисунок 37" descr="https://zakon.rada.gov.ua/laws/file/imgs/98/p480243n242v1-17.gif">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rada.gov.ua/laws/file/imgs/98/p480243n242v1-17.gif">
                                  <a:hlinkClick r:id="rId58"/>
                                </pic:cNvPr>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60400" cy="241300"/>
                                </a:xfrm>
                                <a:prstGeom prst="rect">
                                  <a:avLst/>
                                </a:prstGeom>
                                <a:noFill/>
                                <a:ln>
                                  <a:noFill/>
                                </a:ln>
                              </pic:spPr>
                            </pic:pic>
                          </a:graphicData>
                        </a:graphic>
                      </wp:inline>
                    </w:drawing>
                  </w:r>
                </w:p>
              </w:tc>
              <w:tc>
                <w:tcPr>
                  <w:tcW w:w="15" w:type="dxa"/>
                  <w:hideMark/>
                </w:tcPr>
                <w:p w:rsidR="00006018" w:rsidRPr="00EF1540" w:rsidRDefault="00006018" w:rsidP="00006018">
                  <w:pPr>
                    <w:pStyle w:val="rvps12"/>
                  </w:pPr>
                  <w:r w:rsidRPr="00EF1540">
                    <w:t>-</w:t>
                  </w:r>
                </w:p>
              </w:tc>
              <w:tc>
                <w:tcPr>
                  <w:tcW w:w="10260" w:type="dxa"/>
                  <w:gridSpan w:val="2"/>
                  <w:hideMark/>
                </w:tcPr>
                <w:p w:rsidR="00006018" w:rsidRPr="00EF1540" w:rsidRDefault="00006018" w:rsidP="00006018">
                  <w:pPr>
                    <w:pStyle w:val="rvps14"/>
                  </w:pPr>
                  <w:r w:rsidRPr="00EF1540">
                    <w:t xml:space="preserve">сума коштів, що надійшли як плата за стандартне приєднання (за об'єктами замовників, приєднання яких </w:t>
                  </w:r>
                  <w:r w:rsidRPr="00EF1540">
                    <w:lastRenderedPageBreak/>
                    <w:t xml:space="preserve">завершено у базовому періоді) для міської та сільської місцевості за першим та другим ступенями стандартного приєднання (сумарне значення за рядками графи 25 </w:t>
                  </w:r>
                  <w:hyperlink r:id="rId60" w:anchor="n146" w:history="1">
                    <w:r w:rsidRPr="00EF1540">
                      <w:rPr>
                        <w:rStyle w:val="a4"/>
                        <w:color w:val="auto"/>
                        <w:u w:val="none"/>
                      </w:rPr>
                      <w:t>додатка 1</w:t>
                    </w:r>
                  </w:hyperlink>
                  <w:r w:rsidRPr="00EF1540">
                    <w:t xml:space="preserve"> до цієї Методики), тис. грн (без ПДВ);</w:t>
                  </w:r>
                </w:p>
              </w:tc>
            </w:tr>
            <w:tr w:rsidR="00EF1540" w:rsidRPr="00EF1540" w:rsidTr="00B2239D">
              <w:tc>
                <w:tcPr>
                  <w:tcW w:w="11985" w:type="dxa"/>
                  <w:gridSpan w:val="5"/>
                </w:tcPr>
                <w:p w:rsidR="00006018" w:rsidRPr="00EF1540" w:rsidRDefault="00006018" w:rsidP="00006018">
                  <w:pPr>
                    <w:pStyle w:val="rvps2"/>
                  </w:pPr>
                </w:p>
              </w:tc>
            </w:tr>
            <w:tr w:rsidR="00EF1540" w:rsidRPr="00EF1540" w:rsidTr="00B2239D">
              <w:tc>
                <w:tcPr>
                  <w:tcW w:w="615" w:type="dxa"/>
                  <w:hideMark/>
                </w:tcPr>
                <w:p w:rsidR="00006018" w:rsidRPr="00EF1540" w:rsidRDefault="00006018" w:rsidP="00006018">
                  <w:pPr>
                    <w:pStyle w:val="rvps14"/>
                  </w:pPr>
                </w:p>
              </w:tc>
              <w:tc>
                <w:tcPr>
                  <w:tcW w:w="1095" w:type="dxa"/>
                  <w:hideMark/>
                </w:tcPr>
                <w:p w:rsidR="00006018" w:rsidRPr="00EF1540" w:rsidRDefault="00006018" w:rsidP="00006018">
                  <w:pPr>
                    <w:pStyle w:val="rvps14"/>
                  </w:pPr>
                  <w:r w:rsidRPr="00EF1540">
                    <w:rPr>
                      <w:noProof/>
                    </w:rPr>
                    <w:drawing>
                      <wp:inline distT="0" distB="0" distL="0" distR="0" wp14:anchorId="06CCF288" wp14:editId="7F80FDFB">
                        <wp:extent cx="857250" cy="304800"/>
                        <wp:effectExtent l="0" t="0" r="0" b="0"/>
                        <wp:docPr id="36" name="Рисунок 36" descr="https://zakon.rada.gov.ua/laws/file/imgs/98/p480243n242v1-18.gif">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zakon.rada.gov.ua/laws/file/imgs/98/p480243n242v1-18.gif">
                                  <a:hlinkClick r:id="rId61"/>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857250" cy="304800"/>
                                </a:xfrm>
                                <a:prstGeom prst="rect">
                                  <a:avLst/>
                                </a:prstGeom>
                                <a:noFill/>
                                <a:ln>
                                  <a:noFill/>
                                </a:ln>
                              </pic:spPr>
                            </pic:pic>
                          </a:graphicData>
                        </a:graphic>
                      </wp:inline>
                    </w:drawing>
                  </w:r>
                </w:p>
              </w:tc>
              <w:tc>
                <w:tcPr>
                  <w:tcW w:w="15" w:type="dxa"/>
                  <w:hideMark/>
                </w:tcPr>
                <w:p w:rsidR="00006018" w:rsidRPr="00EF1540" w:rsidRDefault="00006018" w:rsidP="00006018">
                  <w:pPr>
                    <w:pStyle w:val="rvps12"/>
                  </w:pPr>
                  <w:r w:rsidRPr="00EF1540">
                    <w:t>-</w:t>
                  </w:r>
                </w:p>
              </w:tc>
              <w:tc>
                <w:tcPr>
                  <w:tcW w:w="10260" w:type="dxa"/>
                  <w:gridSpan w:val="2"/>
                  <w:hideMark/>
                </w:tcPr>
                <w:p w:rsidR="00006018" w:rsidRPr="00EF1540" w:rsidRDefault="00006018" w:rsidP="00006018">
                  <w:pPr>
                    <w:pStyle w:val="rvps14"/>
                  </w:pPr>
                  <w:r w:rsidRPr="00EF1540">
                    <w:t xml:space="preserve">сума фактичних капітальних витрат, понесених під час надання послуг зі стандартних приєднань (за об'єктами замовників, приєднання яких завершено у базовому періоді) та підтверджених актами виконаних робіт для міської та сільської місцевості за першим та другим ступенями стандартного приєднання (сумарне значення за рядками графи 80 </w:t>
                  </w:r>
                  <w:hyperlink r:id="rId63" w:anchor="n146" w:history="1">
                    <w:r w:rsidRPr="00EF1540">
                      <w:rPr>
                        <w:rStyle w:val="a4"/>
                        <w:color w:val="auto"/>
                        <w:u w:val="none"/>
                      </w:rPr>
                      <w:t>додатка 1</w:t>
                    </w:r>
                  </w:hyperlink>
                  <w:r w:rsidRPr="00EF1540">
                    <w:t xml:space="preserve"> до цієї Методики), тис. грн (без ПДВ).</w:t>
                  </w:r>
                </w:p>
              </w:tc>
            </w:tr>
          </w:tbl>
          <w:p w:rsidR="00006018" w:rsidRPr="00EF1540" w:rsidRDefault="00006018" w:rsidP="00006018">
            <w:pPr>
              <w:tabs>
                <w:tab w:val="left" w:pos="2750"/>
              </w:tabs>
              <w:spacing w:before="100" w:beforeAutospacing="1" w:after="100" w:afterAutospacing="1"/>
              <w:jc w:val="both"/>
              <w:rPr>
                <w:rFonts w:ascii="Times New Roman" w:eastAsia="Times New Roman" w:hAnsi="Times New Roman" w:cs="Times New Roman"/>
                <w:sz w:val="24"/>
                <w:szCs w:val="24"/>
                <w:lang/>
              </w:rPr>
            </w:pPr>
          </w:p>
          <w:p w:rsidR="00006018" w:rsidRPr="00EF1540" w:rsidRDefault="00006018" w:rsidP="00006018">
            <w:pPr>
              <w:tabs>
                <w:tab w:val="left" w:pos="2750"/>
              </w:tabs>
              <w:spacing w:before="100" w:beforeAutospacing="1" w:after="100" w:afterAutospacing="1"/>
              <w:ind w:firstLine="589"/>
              <w:jc w:val="both"/>
              <w:rPr>
                <w:rFonts w:ascii="Times New Roman" w:eastAsia="Times New Roman" w:hAnsi="Times New Roman" w:cs="Times New Roman"/>
                <w:sz w:val="24"/>
                <w:szCs w:val="24"/>
                <w:lang/>
              </w:rPr>
            </w:pPr>
          </w:p>
          <w:p w:rsidR="00006018" w:rsidRPr="00EF1540" w:rsidRDefault="00006018" w:rsidP="00006018">
            <w:pPr>
              <w:tabs>
                <w:tab w:val="left" w:pos="2750"/>
              </w:tabs>
              <w:spacing w:before="100" w:beforeAutospacing="1" w:after="100" w:afterAutospacing="1"/>
              <w:ind w:firstLine="589"/>
              <w:jc w:val="both"/>
              <w:rPr>
                <w:rFonts w:ascii="Times New Roman" w:eastAsia="Times New Roman" w:hAnsi="Times New Roman" w:cs="Times New Roman"/>
                <w:sz w:val="24"/>
                <w:szCs w:val="24"/>
                <w:lang/>
              </w:rPr>
            </w:pPr>
          </w:p>
          <w:p w:rsidR="00006018" w:rsidRPr="00EF1540" w:rsidRDefault="00006018" w:rsidP="00006018">
            <w:pPr>
              <w:rPr>
                <w:rFonts w:ascii="Times New Roman" w:eastAsia="Times New Roman" w:hAnsi="Times New Roman" w:cs="Times New Roman"/>
                <w:sz w:val="24"/>
                <w:szCs w:val="24"/>
                <w:lang/>
              </w:rPr>
            </w:pPr>
          </w:p>
        </w:tc>
        <w:tc>
          <w:tcPr>
            <w:tcW w:w="7146" w:type="dxa"/>
          </w:tcPr>
          <w:p w:rsidR="00006018" w:rsidRPr="00EF1540" w:rsidRDefault="00006018" w:rsidP="00EF6D1A">
            <w:pPr>
              <w:pStyle w:val="rvps2"/>
              <w:spacing w:before="0" w:beforeAutospacing="0" w:after="0" w:afterAutospacing="0"/>
              <w:ind w:firstLine="741"/>
              <w:jc w:val="both"/>
            </w:pPr>
            <w:r w:rsidRPr="00EF1540">
              <w:lastRenderedPageBreak/>
              <w:t xml:space="preserve">3.3. </w:t>
            </w:r>
            <w:bookmarkStart w:id="22" w:name="_Hlk161074586"/>
            <w:r w:rsidRPr="00EF1540">
              <w:t xml:space="preserve">Різниця між обсягом надходження коштів від надання послуг зі стандартних приєднань та фактичними витратами на приєднання </w:t>
            </w:r>
            <w:bookmarkStart w:id="23" w:name="_Hlk161406852"/>
            <m:oMath>
              <m:sSubSup>
                <m:sSubSupPr>
                  <m:ctrlPr>
                    <w:rPr>
                      <w:rFonts w:ascii="Cambria Math" w:hAnsi="Cambria Math"/>
                      <w:b/>
                    </w:rPr>
                  </m:ctrlPr>
                </m:sSubSupPr>
                <m:e>
                  <m:r>
                    <m:rPr>
                      <m:sty m:val="bi"/>
                    </m:rPr>
                    <w:rPr>
                      <w:rFonts w:ascii="Cambria Math" w:hAnsi="Cambria Math"/>
                    </w:rPr>
                    <m:t>∆</m:t>
                  </m:r>
                </m:e>
                <m:sub>
                  <m:r>
                    <m:rPr>
                      <m:sty m:val="bi"/>
                    </m:rPr>
                    <w:rPr>
                      <w:rFonts w:ascii="Cambria Math" w:hAnsi="Cambria Math"/>
                    </w:rPr>
                    <m:t>В</m:t>
                  </m:r>
                </m:sub>
                <m:sup>
                  <m:r>
                    <m:rPr>
                      <m:sty m:val="bi"/>
                    </m:rPr>
                    <w:rPr>
                      <w:rFonts w:ascii="Cambria Math" w:hAnsi="Cambria Math"/>
                    </w:rPr>
                    <m:t>місц</m:t>
                  </m:r>
                </m:sup>
              </m:sSubSup>
            </m:oMath>
            <w:bookmarkEnd w:id="23"/>
            <w:r w:rsidRPr="00EF1540">
              <w:t xml:space="preserve"> визначається окремо для міської та сільської місцевості за першим та другим ступенями стандартного приєднання за формулою</w:t>
            </w:r>
          </w:p>
          <w:tbl>
            <w:tblPr>
              <w:tblW w:w="7236" w:type="dxa"/>
              <w:tblCellMar>
                <w:top w:w="15" w:type="dxa"/>
                <w:left w:w="15" w:type="dxa"/>
                <w:bottom w:w="15" w:type="dxa"/>
                <w:right w:w="15" w:type="dxa"/>
              </w:tblCellMar>
              <w:tblLook w:val="04A0" w:firstRow="1" w:lastRow="0" w:firstColumn="1" w:lastColumn="0" w:noHBand="0" w:noVBand="1"/>
            </w:tblPr>
            <w:tblGrid>
              <w:gridCol w:w="848"/>
              <w:gridCol w:w="1529"/>
              <w:gridCol w:w="280"/>
              <w:gridCol w:w="3843"/>
              <w:gridCol w:w="736"/>
            </w:tblGrid>
            <w:tr w:rsidR="00006018" w:rsidRPr="00EF1540" w:rsidTr="00901686">
              <w:tc>
                <w:tcPr>
                  <w:tcW w:w="6500" w:type="dxa"/>
                  <w:gridSpan w:val="4"/>
                  <w:hideMark/>
                </w:tcPr>
                <w:bookmarkStart w:id="24" w:name="_Hlk161074622"/>
                <w:bookmarkEnd w:id="22"/>
                <w:p w:rsidR="00006018" w:rsidRPr="00EF1540" w:rsidRDefault="00647D68" w:rsidP="00EF6D1A">
                  <w:pPr>
                    <w:pStyle w:val="rvps12"/>
                    <w:spacing w:before="0" w:beforeAutospacing="0" w:after="0" w:afterAutospacing="0"/>
                    <w:jc w:val="center"/>
                  </w:pPr>
                  <m:oMathPara>
                    <m:oMath>
                      <m:sSubSup>
                        <m:sSubSupPr>
                          <m:ctrlPr>
                            <w:rPr>
                              <w:rFonts w:ascii="Cambria Math" w:hAnsi="Cambria Math"/>
                              <w:b/>
                            </w:rPr>
                          </m:ctrlPr>
                        </m:sSubSupPr>
                        <m:e>
                          <m:r>
                            <m:rPr>
                              <m:sty m:val="bi"/>
                            </m:rPr>
                            <w:rPr>
                              <w:rFonts w:ascii="Cambria Math" w:hAnsi="Cambria Math"/>
                            </w:rPr>
                            <m:t>∆</m:t>
                          </m:r>
                        </m:e>
                        <m:sub>
                          <m:r>
                            <m:rPr>
                              <m:sty m:val="bi"/>
                            </m:rPr>
                            <w:rPr>
                              <w:rFonts w:ascii="Cambria Math" w:hAnsi="Cambria Math"/>
                            </w:rPr>
                            <m:t>В</m:t>
                          </m:r>
                        </m:sub>
                        <m:sup>
                          <m:r>
                            <m:rPr>
                              <m:sty m:val="bi"/>
                            </m:rPr>
                            <w:rPr>
                              <w:rFonts w:ascii="Cambria Math" w:hAnsi="Cambria Math"/>
                            </w:rPr>
                            <m:t>місц</m:t>
                          </m:r>
                        </m:sup>
                      </m:sSubSup>
                      <m:r>
                        <m:rPr>
                          <m:sty m:val="bi"/>
                        </m:rPr>
                        <w:rPr>
                          <w:rFonts w:ascii="Cambria Math" w:hAnsi="Cambria Math"/>
                        </w:rPr>
                        <m:t>=</m:t>
                      </m:r>
                      <m:nary>
                        <m:naryPr>
                          <m:chr m:val="∑"/>
                          <m:limLoc m:val="subSup"/>
                          <m:supHide m:val="1"/>
                          <m:ctrlPr>
                            <w:rPr>
                              <w:rFonts w:ascii="Cambria Math" w:hAnsi="Cambria Math"/>
                              <w:b/>
                              <w:i/>
                            </w:rPr>
                          </m:ctrlPr>
                        </m:naryPr>
                        <m:sub>
                          <m:r>
                            <m:rPr>
                              <m:sty m:val="bi"/>
                            </m:rPr>
                            <w:rPr>
                              <w:rFonts w:ascii="Cambria Math" w:hAnsi="Cambria Math"/>
                            </w:rPr>
                            <m:t>і</m:t>
                          </m:r>
                        </m:sub>
                        <m:sup/>
                        <m:e>
                          <m:sSubSup>
                            <m:sSubSupPr>
                              <m:ctrlPr>
                                <w:rPr>
                                  <w:rFonts w:ascii="Cambria Math" w:hAnsi="Cambria Math"/>
                                  <w:b/>
                                  <w:i/>
                                </w:rPr>
                              </m:ctrlPr>
                            </m:sSubSupPr>
                            <m:e>
                              <m:r>
                                <m:rPr>
                                  <m:sty m:val="bi"/>
                                </m:rPr>
                                <w:rPr>
                                  <w:rFonts w:ascii="Cambria Math" w:hAnsi="Cambria Math"/>
                                </w:rPr>
                                <m:t>П</m:t>
                              </m:r>
                            </m:e>
                            <m:sub>
                              <m:r>
                                <m:rPr>
                                  <m:sty m:val="bi"/>
                                </m:rPr>
                                <w:rPr>
                                  <w:rFonts w:ascii="Cambria Math" w:hAnsi="Cambria Math"/>
                                </w:rPr>
                                <m:t>і</m:t>
                              </m:r>
                            </m:sub>
                            <m:sup>
                              <m:sSup>
                                <m:sSupPr>
                                  <m:ctrlPr>
                                    <w:rPr>
                                      <w:rFonts w:ascii="Cambria Math" w:hAnsi="Cambria Math"/>
                                      <w:b/>
                                      <w:i/>
                                    </w:rPr>
                                  </m:ctrlPr>
                                </m:sSupPr>
                                <m:e>
                                  <m:r>
                                    <m:rPr>
                                      <m:sty m:val="bi"/>
                                    </m:rPr>
                                    <w:rPr>
                                      <w:rFonts w:ascii="Cambria Math" w:hAnsi="Cambria Math"/>
                                    </w:rPr>
                                    <m:t>ст</m:t>
                                  </m:r>
                                </m:e>
                                <m:sup>
                                  <m:r>
                                    <m:rPr>
                                      <m:sty m:val="bi"/>
                                    </m:rPr>
                                    <w:rPr>
                                      <w:rFonts w:ascii="Cambria Math" w:hAnsi="Cambria Math"/>
                                    </w:rPr>
                                    <m:t>місц</m:t>
                                  </m:r>
                                </m:sup>
                              </m:sSup>
                            </m:sup>
                          </m:sSubSup>
                        </m:e>
                      </m:nary>
                      <m:r>
                        <m:rPr>
                          <m:sty m:val="bi"/>
                        </m:rPr>
                        <w:rPr>
                          <w:rFonts w:ascii="Cambria Math" w:hAnsi="Cambria Math"/>
                        </w:rPr>
                        <m:t>-</m:t>
                      </m:r>
                      <m:nary>
                        <m:naryPr>
                          <m:chr m:val="∑"/>
                          <m:limLoc m:val="subSup"/>
                          <m:supHide m:val="1"/>
                          <m:ctrlPr>
                            <w:rPr>
                              <w:rFonts w:ascii="Cambria Math" w:hAnsi="Cambria Math"/>
                              <w:b/>
                              <w:i/>
                            </w:rPr>
                          </m:ctrlPr>
                        </m:naryPr>
                        <m:sub>
                          <m:r>
                            <m:rPr>
                              <m:sty m:val="bi"/>
                            </m:rPr>
                            <w:rPr>
                              <w:rFonts w:ascii="Cambria Math" w:hAnsi="Cambria Math"/>
                            </w:rPr>
                            <m:t>і</m:t>
                          </m:r>
                        </m:sub>
                        <m:sup/>
                        <m:e>
                          <m:sSubSup>
                            <m:sSubSupPr>
                              <m:ctrlPr>
                                <w:rPr>
                                  <w:rFonts w:ascii="Cambria Math" w:hAnsi="Cambria Math"/>
                                  <w:b/>
                                  <w:i/>
                                </w:rPr>
                              </m:ctrlPr>
                            </m:sSubSupPr>
                            <m:e>
                              <m:r>
                                <m:rPr>
                                  <m:sty m:val="bi"/>
                                </m:rPr>
                                <w:rPr>
                                  <w:rFonts w:ascii="Cambria Math" w:hAnsi="Cambria Math"/>
                                </w:rPr>
                                <m:t>В</m:t>
                              </m:r>
                            </m:e>
                            <m:sub>
                              <m:sSub>
                                <m:sSubPr>
                                  <m:ctrlPr>
                                    <w:rPr>
                                      <w:rFonts w:ascii="Cambria Math" w:hAnsi="Cambria Math"/>
                                      <w:b/>
                                      <w:i/>
                                    </w:rPr>
                                  </m:ctrlPr>
                                </m:sSubPr>
                                <m:e>
                                  <m:r>
                                    <m:rPr>
                                      <m:sty m:val="bi"/>
                                    </m:rPr>
                                    <w:rPr>
                                      <w:rFonts w:ascii="Cambria Math" w:hAnsi="Cambria Math"/>
                                    </w:rPr>
                                    <m:t>факт.кап</m:t>
                                  </m:r>
                                </m:e>
                                <m:sub>
                                  <m:r>
                                    <m:rPr>
                                      <m:sty m:val="bi"/>
                                    </m:rPr>
                                    <w:rPr>
                                      <w:rFonts w:ascii="Cambria Math" w:hAnsi="Cambria Math"/>
                                    </w:rPr>
                                    <m:t>і</m:t>
                                  </m:r>
                                </m:sub>
                              </m:sSub>
                            </m:sub>
                            <m:sup>
                              <m:sSup>
                                <m:sSupPr>
                                  <m:ctrlPr>
                                    <w:rPr>
                                      <w:rFonts w:ascii="Cambria Math" w:hAnsi="Cambria Math"/>
                                      <w:b/>
                                      <w:i/>
                                    </w:rPr>
                                  </m:ctrlPr>
                                </m:sSupPr>
                                <m:e>
                                  <m:r>
                                    <m:rPr>
                                      <m:sty m:val="bi"/>
                                    </m:rPr>
                                    <w:rPr>
                                      <w:rFonts w:ascii="Cambria Math" w:hAnsi="Cambria Math"/>
                                    </w:rPr>
                                    <m:t>ст</m:t>
                                  </m:r>
                                </m:e>
                                <m:sup>
                                  <m:r>
                                    <m:rPr>
                                      <m:sty m:val="bi"/>
                                    </m:rPr>
                                    <w:rPr>
                                      <w:rFonts w:ascii="Cambria Math" w:hAnsi="Cambria Math"/>
                                    </w:rPr>
                                    <m:t>місц</m:t>
                                  </m:r>
                                </m:sup>
                              </m:sSup>
                            </m:sup>
                          </m:sSubSup>
                        </m:e>
                      </m:nary>
                      <m:r>
                        <m:rPr>
                          <m:sty m:val="bi"/>
                        </m:rPr>
                        <w:rPr>
                          <w:rFonts w:ascii="Cambria Math" w:hAnsi="Cambria Math"/>
                        </w:rPr>
                        <m:t>×(</m:t>
                      </m:r>
                      <m:sSubSup>
                        <m:sSubSupPr>
                          <m:ctrlPr>
                            <w:rPr>
                              <w:rFonts w:ascii="Cambria Math" w:hAnsi="Cambria Math"/>
                              <w:b/>
                              <w:i/>
                            </w:rPr>
                          </m:ctrlPr>
                        </m:sSubSupPr>
                        <m:e>
                          <m:r>
                            <m:rPr>
                              <m:sty m:val="bi"/>
                            </m:rPr>
                            <w:rPr>
                              <w:rFonts w:ascii="Cambria Math" w:hAnsi="Cambria Math"/>
                            </w:rPr>
                            <m:t>К</m:t>
                          </m:r>
                        </m:e>
                        <m:sub>
                          <m:sSub>
                            <m:sSubPr>
                              <m:ctrlPr>
                                <w:rPr>
                                  <w:rFonts w:ascii="Cambria Math" w:hAnsi="Cambria Math"/>
                                  <w:b/>
                                  <w:i/>
                                </w:rPr>
                              </m:ctrlPr>
                            </m:sSubPr>
                            <m:e>
                              <m:r>
                                <m:rPr>
                                  <m:sty m:val="bi"/>
                                </m:rPr>
                                <w:rPr>
                                  <w:rFonts w:ascii="Cambria Math" w:hAnsi="Cambria Math"/>
                                </w:rPr>
                                <m:t>опт</m:t>
                              </m:r>
                            </m:e>
                            <m:sub>
                              <m:r>
                                <m:rPr>
                                  <m:sty m:val="bi"/>
                                </m:rPr>
                                <w:rPr>
                                  <w:rFonts w:ascii="Cambria Math" w:hAnsi="Cambria Math"/>
                                </w:rPr>
                                <m:t>ст</m:t>
                              </m:r>
                            </m:sub>
                          </m:sSub>
                        </m:sub>
                        <m:sup>
                          <m:r>
                            <m:rPr>
                              <m:sty m:val="bi"/>
                            </m:rPr>
                            <w:rPr>
                              <w:rFonts w:ascii="Cambria Math" w:hAnsi="Cambria Math"/>
                            </w:rPr>
                            <m:t>місц</m:t>
                          </m:r>
                        </m:sup>
                      </m:sSubSup>
                      <m:r>
                        <m:rPr>
                          <m:sty m:val="bi"/>
                        </m:rPr>
                        <w:rPr>
                          <w:rFonts w:ascii="Cambria Math" w:hAnsi="Cambria Math"/>
                        </w:rPr>
                        <m:t>-</m:t>
                      </m:r>
                      <m:sSub>
                        <m:sSubPr>
                          <m:ctrlPr>
                            <w:rPr>
                              <w:rFonts w:ascii="Cambria Math" w:hAnsi="Cambria Math"/>
                              <w:b/>
                              <w:i/>
                            </w:rPr>
                          </m:ctrlPr>
                        </m:sSubPr>
                        <m:e>
                          <m:r>
                            <m:rPr>
                              <m:sty m:val="bi"/>
                            </m:rPr>
                            <w:rPr>
                              <w:rFonts w:ascii="Cambria Math" w:hAnsi="Cambria Math"/>
                            </w:rPr>
                            <m:t>К</m:t>
                          </m:r>
                        </m:e>
                        <m:sub>
                          <m:r>
                            <m:rPr>
                              <m:sty m:val="bi"/>
                            </m:rPr>
                            <w:rPr>
                              <w:rFonts w:ascii="Cambria Math" w:hAnsi="Cambria Math"/>
                            </w:rPr>
                            <m:t>ДД</m:t>
                          </m:r>
                        </m:sub>
                      </m:sSub>
                      <m:r>
                        <m:rPr>
                          <m:sty m:val="bi"/>
                        </m:rPr>
                        <w:rPr>
                          <w:rFonts w:ascii="Cambria Math" w:hAnsi="Cambria Math"/>
                        </w:rPr>
                        <m:t>), тис грн</m:t>
                      </m:r>
                    </m:oMath>
                  </m:oMathPara>
                  <w:bookmarkEnd w:id="24"/>
                </w:p>
              </w:tc>
              <w:tc>
                <w:tcPr>
                  <w:tcW w:w="736" w:type="dxa"/>
                  <w:vAlign w:val="center"/>
                  <w:hideMark/>
                </w:tcPr>
                <w:p w:rsidR="00006018" w:rsidRPr="00EF1540" w:rsidRDefault="00006018" w:rsidP="00EF6D1A">
                  <w:pPr>
                    <w:pStyle w:val="rvps11"/>
                    <w:spacing w:before="0" w:beforeAutospacing="0" w:after="0" w:afterAutospacing="0"/>
                  </w:pPr>
                  <w:r w:rsidRPr="00EF1540">
                    <w:t>(5)</w:t>
                  </w:r>
                </w:p>
              </w:tc>
            </w:tr>
            <w:tr w:rsidR="00006018" w:rsidRPr="00EF1540" w:rsidTr="00901686">
              <w:tc>
                <w:tcPr>
                  <w:tcW w:w="848" w:type="dxa"/>
                  <w:hideMark/>
                </w:tcPr>
                <w:p w:rsidR="00006018" w:rsidRPr="00EF1540" w:rsidRDefault="00006018" w:rsidP="00EF6D1A">
                  <w:pPr>
                    <w:pStyle w:val="rvps14"/>
                    <w:spacing w:before="0" w:beforeAutospacing="0" w:after="0" w:afterAutospacing="0"/>
                  </w:pPr>
                  <w:r w:rsidRPr="00EF1540">
                    <w:t>де</w:t>
                  </w:r>
                </w:p>
              </w:tc>
              <w:tc>
                <w:tcPr>
                  <w:tcW w:w="1529" w:type="dxa"/>
                  <w:hideMark/>
                </w:tcPr>
                <w:p w:rsidR="00006018" w:rsidRPr="00EF1540" w:rsidRDefault="00006018" w:rsidP="00EF6D1A">
                  <w:pPr>
                    <w:pStyle w:val="rvps14"/>
                    <w:spacing w:before="0" w:beforeAutospacing="0" w:after="0" w:afterAutospacing="0"/>
                  </w:pPr>
                  <w:r w:rsidRPr="00EF1540">
                    <w:rPr>
                      <w:noProof/>
                    </w:rPr>
                    <w:drawing>
                      <wp:inline distT="0" distB="0" distL="0" distR="0" wp14:anchorId="129C7754" wp14:editId="179A8FC9">
                        <wp:extent cx="660400" cy="241300"/>
                        <wp:effectExtent l="0" t="0" r="6350" b="6350"/>
                        <wp:docPr id="40" name="Рисунок 40" descr="https://zakon.rada.gov.ua/laws/file/imgs/98/p480243n242v1-17.gif">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rada.gov.ua/laws/file/imgs/98/p480243n242v1-17.gif">
                                  <a:hlinkClick r:id="rId58"/>
                                </pic:cNvPr>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60400" cy="241300"/>
                                </a:xfrm>
                                <a:prstGeom prst="rect">
                                  <a:avLst/>
                                </a:prstGeom>
                                <a:noFill/>
                                <a:ln>
                                  <a:noFill/>
                                </a:ln>
                              </pic:spPr>
                            </pic:pic>
                          </a:graphicData>
                        </a:graphic>
                      </wp:inline>
                    </w:drawing>
                  </w:r>
                </w:p>
              </w:tc>
              <w:tc>
                <w:tcPr>
                  <w:tcW w:w="280" w:type="dxa"/>
                  <w:hideMark/>
                </w:tcPr>
                <w:p w:rsidR="00006018" w:rsidRPr="00EF1540" w:rsidRDefault="00006018" w:rsidP="00EF6D1A">
                  <w:pPr>
                    <w:pStyle w:val="rvps12"/>
                    <w:spacing w:before="0" w:beforeAutospacing="0" w:after="0" w:afterAutospacing="0"/>
                  </w:pPr>
                  <w:r w:rsidRPr="00EF1540">
                    <w:t>-</w:t>
                  </w:r>
                </w:p>
              </w:tc>
              <w:tc>
                <w:tcPr>
                  <w:tcW w:w="4579" w:type="dxa"/>
                  <w:gridSpan w:val="2"/>
                  <w:hideMark/>
                </w:tcPr>
                <w:p w:rsidR="00006018" w:rsidRPr="00EF1540" w:rsidRDefault="00006018" w:rsidP="00EF6D1A">
                  <w:pPr>
                    <w:pStyle w:val="rvps14"/>
                    <w:spacing w:before="0" w:beforeAutospacing="0" w:after="0" w:afterAutospacing="0"/>
                    <w:jc w:val="both"/>
                  </w:pPr>
                  <w:bookmarkStart w:id="25" w:name="_Hlk161074699"/>
                  <w:r w:rsidRPr="00EF1540">
                    <w:t xml:space="preserve">сума коштів, що надійшли як плата за стандартне приєднання (за об'єктами </w:t>
                  </w:r>
                  <w:r w:rsidRPr="00EF1540">
                    <w:lastRenderedPageBreak/>
                    <w:t xml:space="preserve">замовників, приєднання яких завершено у базовому періоді) для міської та сільської місцевості за першим та другим ступенями стандартного приєднання (сумарне значення за рядками графи </w:t>
                  </w:r>
                  <w:r w:rsidRPr="00EF1540">
                    <w:rPr>
                      <w:b/>
                    </w:rPr>
                    <w:t>2</w:t>
                  </w:r>
                  <w:r w:rsidR="00381D5A" w:rsidRPr="00EF1540">
                    <w:rPr>
                      <w:b/>
                    </w:rPr>
                    <w:t>7</w:t>
                  </w:r>
                  <w:r w:rsidRPr="00EF1540">
                    <w:t xml:space="preserve"> </w:t>
                  </w:r>
                  <w:hyperlink r:id="rId64" w:anchor="n146" w:history="1">
                    <w:r w:rsidRPr="00EF1540">
                      <w:rPr>
                        <w:rStyle w:val="a4"/>
                        <w:color w:val="auto"/>
                        <w:u w:val="none"/>
                      </w:rPr>
                      <w:t>додатка 1</w:t>
                    </w:r>
                  </w:hyperlink>
                  <w:r w:rsidRPr="00EF1540">
                    <w:t xml:space="preserve"> до цієї Методики), тис. грн (без ПДВ);</w:t>
                  </w:r>
                  <w:bookmarkEnd w:id="25"/>
                </w:p>
              </w:tc>
            </w:tr>
            <w:tr w:rsidR="00006018" w:rsidRPr="00EF1540" w:rsidTr="00901686">
              <w:tc>
                <w:tcPr>
                  <w:tcW w:w="7236" w:type="dxa"/>
                  <w:gridSpan w:val="5"/>
                </w:tcPr>
                <w:p w:rsidR="00006018" w:rsidRPr="00EF1540" w:rsidRDefault="00006018" w:rsidP="00EF6D1A">
                  <w:pPr>
                    <w:pStyle w:val="rvps2"/>
                    <w:spacing w:before="0" w:beforeAutospacing="0" w:after="0" w:afterAutospacing="0"/>
                  </w:pPr>
                </w:p>
              </w:tc>
            </w:tr>
            <w:tr w:rsidR="00006018" w:rsidRPr="00EF1540" w:rsidTr="00901686">
              <w:tc>
                <w:tcPr>
                  <w:tcW w:w="848" w:type="dxa"/>
                  <w:hideMark/>
                </w:tcPr>
                <w:p w:rsidR="00006018" w:rsidRPr="00EF1540" w:rsidRDefault="00006018" w:rsidP="00EF6D1A">
                  <w:pPr>
                    <w:pStyle w:val="rvps14"/>
                    <w:spacing w:before="0" w:beforeAutospacing="0" w:after="0" w:afterAutospacing="0"/>
                  </w:pPr>
                </w:p>
              </w:tc>
              <w:tc>
                <w:tcPr>
                  <w:tcW w:w="1529" w:type="dxa"/>
                  <w:hideMark/>
                </w:tcPr>
                <w:p w:rsidR="00006018" w:rsidRPr="00EF1540" w:rsidRDefault="00006018" w:rsidP="00EF6D1A">
                  <w:pPr>
                    <w:pStyle w:val="rvps14"/>
                    <w:spacing w:before="0" w:beforeAutospacing="0" w:after="0" w:afterAutospacing="0"/>
                  </w:pPr>
                  <w:r w:rsidRPr="00EF1540">
                    <w:rPr>
                      <w:noProof/>
                    </w:rPr>
                    <w:drawing>
                      <wp:inline distT="0" distB="0" distL="0" distR="0" wp14:anchorId="1F8AC353" wp14:editId="29740E90">
                        <wp:extent cx="857250" cy="304800"/>
                        <wp:effectExtent l="0" t="0" r="0" b="0"/>
                        <wp:docPr id="41" name="Рисунок 41" descr="https://zakon.rada.gov.ua/laws/file/imgs/98/p480243n242v1-18.gif">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zakon.rada.gov.ua/laws/file/imgs/98/p480243n242v1-18.gif">
                                  <a:hlinkClick r:id="rId61"/>
                                </pic:cNvPr>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857250" cy="304800"/>
                                </a:xfrm>
                                <a:prstGeom prst="rect">
                                  <a:avLst/>
                                </a:prstGeom>
                                <a:noFill/>
                                <a:ln>
                                  <a:noFill/>
                                </a:ln>
                              </pic:spPr>
                            </pic:pic>
                          </a:graphicData>
                        </a:graphic>
                      </wp:inline>
                    </w:drawing>
                  </w:r>
                </w:p>
              </w:tc>
              <w:tc>
                <w:tcPr>
                  <w:tcW w:w="280" w:type="dxa"/>
                  <w:hideMark/>
                </w:tcPr>
                <w:p w:rsidR="00006018" w:rsidRPr="00EF1540" w:rsidRDefault="00006018" w:rsidP="00EF6D1A">
                  <w:pPr>
                    <w:pStyle w:val="rvps12"/>
                    <w:spacing w:before="0" w:beforeAutospacing="0" w:after="0" w:afterAutospacing="0"/>
                  </w:pPr>
                  <w:r w:rsidRPr="00EF1540">
                    <w:t>-</w:t>
                  </w:r>
                </w:p>
              </w:tc>
              <w:tc>
                <w:tcPr>
                  <w:tcW w:w="4579" w:type="dxa"/>
                  <w:gridSpan w:val="2"/>
                  <w:hideMark/>
                </w:tcPr>
                <w:p w:rsidR="00006018" w:rsidRPr="00EF1540" w:rsidRDefault="00006018" w:rsidP="00EF6D1A">
                  <w:pPr>
                    <w:pStyle w:val="rvps14"/>
                    <w:spacing w:before="0" w:beforeAutospacing="0" w:after="0" w:afterAutospacing="0"/>
                    <w:jc w:val="both"/>
                  </w:pPr>
                  <w:bookmarkStart w:id="26" w:name="_Hlk161074765"/>
                  <w:r w:rsidRPr="00EF1540">
                    <w:t xml:space="preserve">сума фактичних капітальних витрат, понесених під час надання послуг зі стандартних приєднань (за об'єктами замовників, приєднання яких завершено у базовому періоді) та підтверджених актами виконаних робіт для міської та сільської місцевості за першим та другим ступенями стандартного приєднання (сумарне значення за рядками графи </w:t>
                  </w:r>
                  <w:r w:rsidR="00381D5A" w:rsidRPr="00EF1540">
                    <w:rPr>
                      <w:b/>
                    </w:rPr>
                    <w:t>101</w:t>
                  </w:r>
                  <w:r w:rsidRPr="00EF1540">
                    <w:t xml:space="preserve"> </w:t>
                  </w:r>
                  <w:hyperlink r:id="rId65" w:anchor="n146" w:history="1">
                    <w:r w:rsidRPr="00EF1540">
                      <w:rPr>
                        <w:rStyle w:val="a4"/>
                        <w:color w:val="auto"/>
                        <w:u w:val="none"/>
                      </w:rPr>
                      <w:t>додатка 1</w:t>
                    </w:r>
                  </w:hyperlink>
                  <w:r w:rsidRPr="00EF1540">
                    <w:t xml:space="preserve"> до цієї Методики), тис. грн (без ПДВ).</w:t>
                  </w:r>
                  <w:bookmarkEnd w:id="26"/>
                </w:p>
              </w:tc>
            </w:tr>
            <w:tr w:rsidR="00006018" w:rsidRPr="00EF1540" w:rsidTr="00901686">
              <w:tc>
                <w:tcPr>
                  <w:tcW w:w="848" w:type="dxa"/>
                </w:tcPr>
                <w:p w:rsidR="00006018" w:rsidRPr="00EF1540" w:rsidRDefault="00006018" w:rsidP="00006018">
                  <w:pPr>
                    <w:pStyle w:val="rvps14"/>
                  </w:pPr>
                </w:p>
              </w:tc>
              <w:tc>
                <w:tcPr>
                  <w:tcW w:w="1529" w:type="dxa"/>
                </w:tcPr>
                <w:p w:rsidR="00006018" w:rsidRPr="00EF1540" w:rsidRDefault="00006018" w:rsidP="00006018">
                  <w:pPr>
                    <w:spacing w:before="100" w:beforeAutospacing="1" w:after="100" w:afterAutospacing="1" w:line="240" w:lineRule="auto"/>
                    <w:jc w:val="both"/>
                    <w:rPr>
                      <w:rFonts w:ascii="Times New Roman" w:eastAsia="Times New Roman" w:hAnsi="Times New Roman" w:cs="Times New Roman"/>
                      <w:sz w:val="24"/>
                      <w:szCs w:val="24"/>
                      <w:lang/>
                    </w:rPr>
                  </w:pPr>
                  <w:r w:rsidRPr="00EF1540">
                    <w:rPr>
                      <w:rFonts w:ascii="Times New Roman" w:eastAsia="Times New Roman" w:hAnsi="Times New Roman" w:cs="Times New Roman"/>
                      <w:noProof/>
                      <w:sz w:val="24"/>
                      <w:szCs w:val="24"/>
                      <w:lang/>
                    </w:rPr>
                    <w:drawing>
                      <wp:inline distT="0" distB="0" distL="0" distR="0" wp14:anchorId="645F61C2" wp14:editId="3A363933">
                        <wp:extent cx="428625" cy="238125"/>
                        <wp:effectExtent l="0" t="0" r="9525" b="9525"/>
                        <wp:docPr id="43" name="Рисунок 43" descr="https://zakon.rada.gov.ua/laws/file/imgs/98/p480243n237v1-12.gif">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zakon.rada.gov.ua/laws/file/imgs/98/p480243n237v1-12.gif">
                                  <a:hlinkClick r:id="rId42"/>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28625" cy="238125"/>
                                </a:xfrm>
                                <a:prstGeom prst="rect">
                                  <a:avLst/>
                                </a:prstGeom>
                                <a:noFill/>
                                <a:ln>
                                  <a:noFill/>
                                </a:ln>
                              </pic:spPr>
                            </pic:pic>
                          </a:graphicData>
                        </a:graphic>
                      </wp:inline>
                    </w:drawing>
                  </w:r>
                </w:p>
              </w:tc>
              <w:tc>
                <w:tcPr>
                  <w:tcW w:w="280" w:type="dxa"/>
                </w:tcPr>
                <w:p w:rsidR="00006018" w:rsidRPr="00EF1540" w:rsidRDefault="00006018" w:rsidP="00006018">
                  <w:pPr>
                    <w:spacing w:before="100" w:beforeAutospacing="1" w:after="100" w:afterAutospacing="1" w:line="240" w:lineRule="auto"/>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w:t>
                  </w:r>
                </w:p>
              </w:tc>
              <w:tc>
                <w:tcPr>
                  <w:tcW w:w="4579" w:type="dxa"/>
                  <w:gridSpan w:val="2"/>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b/>
                      <w:sz w:val="24"/>
                      <w:szCs w:val="24"/>
                      <w:lang/>
                    </w:rPr>
                  </w:pPr>
                  <w:bookmarkStart w:id="27" w:name="_Hlk161074964"/>
                  <w:r w:rsidRPr="00EF1540">
                    <w:rPr>
                      <w:rFonts w:ascii="Times New Roman" w:eastAsia="Times New Roman" w:hAnsi="Times New Roman" w:cs="Times New Roman"/>
                      <w:b/>
                      <w:sz w:val="24"/>
                      <w:szCs w:val="24"/>
                      <w:lang/>
                    </w:rPr>
                    <w:t>коефіцієнт оптимізації коштів щодо витрат, пов'язаних з наданням послуг зі стандартних приєднань електроустановок замовників до електричних мереж за базовий період для міської та сільської місцевості, який розраховується за формулою</w:t>
                  </w:r>
                  <w:bookmarkEnd w:id="27"/>
                </w:p>
              </w:tc>
            </w:tr>
            <w:tr w:rsidR="00006018" w:rsidRPr="00EF1540" w:rsidTr="00901686">
              <w:tc>
                <w:tcPr>
                  <w:tcW w:w="7236" w:type="dxa"/>
                  <w:gridSpan w:val="5"/>
                </w:tcPr>
                <w:p w:rsidR="00006018" w:rsidRPr="00EF1540" w:rsidRDefault="00006018" w:rsidP="00006018">
                  <w:pPr>
                    <w:pStyle w:val="rvps14"/>
                    <w:jc w:val="center"/>
                  </w:pPr>
                  <w:r w:rsidRPr="00EF1540">
                    <w:rPr>
                      <w:noProof/>
                      <w:lang/>
                    </w:rPr>
                    <w:drawing>
                      <wp:inline distT="0" distB="0" distL="0" distR="0" wp14:anchorId="4D3D3EAE" wp14:editId="419A7B4B">
                        <wp:extent cx="1695450" cy="571500"/>
                        <wp:effectExtent l="0" t="0" r="0" b="0"/>
                        <wp:docPr id="42" name="Рисунок 42" descr="https://zakon.rada.gov.ua/laws/file/imgs/98/p480243n238-13.gif">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zakon.rada.gov.ua/laws/file/imgs/98/p480243n238-13.gif">
                                  <a:hlinkClick r:id="rId44"/>
                                </pic:cNvP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695450" cy="571500"/>
                                </a:xfrm>
                                <a:prstGeom prst="rect">
                                  <a:avLst/>
                                </a:prstGeom>
                                <a:noFill/>
                                <a:ln>
                                  <a:noFill/>
                                </a:ln>
                              </pic:spPr>
                            </pic:pic>
                          </a:graphicData>
                        </a:graphic>
                      </wp:inline>
                    </w:drawing>
                  </w:r>
                </w:p>
              </w:tc>
            </w:tr>
            <w:tr w:rsidR="00006018" w:rsidRPr="00EF1540" w:rsidTr="00901686">
              <w:tc>
                <w:tcPr>
                  <w:tcW w:w="848" w:type="dxa"/>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p>
              </w:tc>
              <w:tc>
                <w:tcPr>
                  <w:tcW w:w="1529" w:type="dxa"/>
                </w:tcPr>
                <w:p w:rsidR="00006018" w:rsidRPr="00EF1540" w:rsidRDefault="00006018" w:rsidP="00006018">
                  <w:pPr>
                    <w:spacing w:before="100" w:beforeAutospacing="1" w:after="100" w:afterAutospacing="1" w:line="240" w:lineRule="auto"/>
                    <w:ind w:firstLine="3"/>
                    <w:jc w:val="both"/>
                    <w:rPr>
                      <w:rFonts w:ascii="Times New Roman" w:eastAsia="Times New Roman" w:hAnsi="Times New Roman" w:cs="Times New Roman"/>
                      <w:sz w:val="24"/>
                      <w:szCs w:val="24"/>
                      <w:lang/>
                    </w:rPr>
                  </w:pPr>
                  <w:r w:rsidRPr="00EF1540">
                    <w:rPr>
                      <w:rFonts w:ascii="Times New Roman" w:eastAsia="Times New Roman" w:hAnsi="Times New Roman" w:cs="Times New Roman"/>
                      <w:noProof/>
                      <w:sz w:val="24"/>
                      <w:szCs w:val="24"/>
                      <w:lang/>
                    </w:rPr>
                    <w:drawing>
                      <wp:inline distT="0" distB="0" distL="0" distR="0" wp14:anchorId="5E78BD2B" wp14:editId="58FDFB0D">
                        <wp:extent cx="723900" cy="333375"/>
                        <wp:effectExtent l="0" t="0" r="0" b="9525"/>
                        <wp:docPr id="44" name="Рисунок 44" descr="https://zakon.rada.gov.ua/laws/file/imgs/98/p480243n239v1-14.gif">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zakon.rada.gov.ua/laws/file/imgs/98/p480243n239v1-14.gif">
                                  <a:hlinkClick r:id="rId46"/>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723900" cy="333375"/>
                                </a:xfrm>
                                <a:prstGeom prst="rect">
                                  <a:avLst/>
                                </a:prstGeom>
                                <a:noFill/>
                                <a:ln>
                                  <a:noFill/>
                                </a:ln>
                              </pic:spPr>
                            </pic:pic>
                          </a:graphicData>
                        </a:graphic>
                      </wp:inline>
                    </w:drawing>
                  </w:r>
                </w:p>
              </w:tc>
              <w:tc>
                <w:tcPr>
                  <w:tcW w:w="280" w:type="dxa"/>
                </w:tcPr>
                <w:p w:rsidR="00006018" w:rsidRPr="00EF1540" w:rsidRDefault="00006018" w:rsidP="00006018">
                  <w:pPr>
                    <w:spacing w:before="100" w:beforeAutospacing="1" w:after="100" w:afterAutospacing="1" w:line="240" w:lineRule="auto"/>
                    <w:ind w:firstLine="26"/>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w:t>
                  </w:r>
                </w:p>
              </w:tc>
              <w:tc>
                <w:tcPr>
                  <w:tcW w:w="4579" w:type="dxa"/>
                  <w:gridSpan w:val="2"/>
                </w:tcPr>
                <w:p w:rsidR="00006018" w:rsidRPr="00EF1540" w:rsidRDefault="00A17353" w:rsidP="00006018">
                  <w:pPr>
                    <w:spacing w:before="100" w:beforeAutospacing="1" w:after="100" w:afterAutospacing="1" w:line="240" w:lineRule="auto"/>
                    <w:ind w:firstLine="589"/>
                    <w:jc w:val="both"/>
                    <w:rPr>
                      <w:rFonts w:ascii="Times New Roman" w:eastAsia="Times New Roman" w:hAnsi="Times New Roman" w:cs="Times New Roman"/>
                      <w:b/>
                      <w:sz w:val="24"/>
                      <w:szCs w:val="24"/>
                      <w:lang/>
                    </w:rPr>
                  </w:pPr>
                  <w:bookmarkStart w:id="28" w:name="_Hlk161075387"/>
                  <w:r w:rsidRPr="00A17353">
                    <w:rPr>
                      <w:rFonts w:ascii="Times New Roman" w:eastAsia="Times New Roman" w:hAnsi="Times New Roman" w:cs="Times New Roman"/>
                      <w:b/>
                      <w:sz w:val="24"/>
                      <w:szCs w:val="24"/>
                      <w:lang/>
                    </w:rPr>
                    <w:t>фактичні капітальні витрати, понесені під час надання послуги за j-те стандартне приєднання (за об'єктами замовників, приєднання яких завершено у базовому періоді) для міської та сільської місцевості за першим та другим ступенями стандартного приєднання, по яких проводився аналіз відповідно до пункту 3.5 цієї глави з урахуванням результатів аналізу, тис. грн (без ПДВ);</w:t>
                  </w:r>
                  <w:bookmarkEnd w:id="28"/>
                </w:p>
              </w:tc>
            </w:tr>
            <w:tr w:rsidR="00006018" w:rsidRPr="00EF1540" w:rsidTr="00901686">
              <w:tc>
                <w:tcPr>
                  <w:tcW w:w="848" w:type="dxa"/>
                </w:tcPr>
                <w:p w:rsidR="00006018" w:rsidRPr="00EF1540" w:rsidRDefault="00006018"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p>
              </w:tc>
              <w:tc>
                <w:tcPr>
                  <w:tcW w:w="1529" w:type="dxa"/>
                </w:tcPr>
                <w:p w:rsidR="00006018" w:rsidRPr="00EF1540" w:rsidRDefault="00006018" w:rsidP="00006018">
                  <w:pPr>
                    <w:spacing w:before="100" w:beforeAutospacing="1" w:after="100" w:afterAutospacing="1" w:line="240" w:lineRule="auto"/>
                    <w:ind w:firstLine="3"/>
                    <w:jc w:val="both"/>
                    <w:rPr>
                      <w:rFonts w:ascii="Times New Roman" w:eastAsia="Times New Roman" w:hAnsi="Times New Roman" w:cs="Times New Roman"/>
                      <w:sz w:val="24"/>
                      <w:szCs w:val="24"/>
                      <w:lang/>
                    </w:rPr>
                  </w:pPr>
                  <w:r w:rsidRPr="00EF1540">
                    <w:rPr>
                      <w:rFonts w:ascii="Times New Roman" w:eastAsia="Times New Roman" w:hAnsi="Times New Roman" w:cs="Times New Roman"/>
                      <w:noProof/>
                      <w:sz w:val="24"/>
                      <w:szCs w:val="24"/>
                      <w:lang/>
                    </w:rPr>
                    <w:drawing>
                      <wp:inline distT="0" distB="0" distL="0" distR="0" wp14:anchorId="22951929" wp14:editId="4CF301E6">
                        <wp:extent cx="666750" cy="323850"/>
                        <wp:effectExtent l="0" t="0" r="0" b="0"/>
                        <wp:docPr id="45" name="Рисунок 45" descr="https://zakon.rada.gov.ua/laws/file/imgs/98/p480243n239v1-15.gif">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zakon.rada.gov.ua/laws/file/imgs/98/p480243n239v1-15.gif">
                                  <a:hlinkClick r:id="rId49"/>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66750" cy="323850"/>
                                </a:xfrm>
                                <a:prstGeom prst="rect">
                                  <a:avLst/>
                                </a:prstGeom>
                                <a:noFill/>
                                <a:ln>
                                  <a:noFill/>
                                </a:ln>
                              </pic:spPr>
                            </pic:pic>
                          </a:graphicData>
                        </a:graphic>
                      </wp:inline>
                    </w:drawing>
                  </w:r>
                </w:p>
              </w:tc>
              <w:tc>
                <w:tcPr>
                  <w:tcW w:w="280" w:type="dxa"/>
                </w:tcPr>
                <w:p w:rsidR="00006018" w:rsidRPr="00EF1540" w:rsidRDefault="00006018" w:rsidP="00006018">
                  <w:pPr>
                    <w:spacing w:before="100" w:beforeAutospacing="1" w:after="100" w:afterAutospacing="1" w:line="240" w:lineRule="auto"/>
                    <w:ind w:firstLine="26"/>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w:t>
                  </w:r>
                </w:p>
              </w:tc>
              <w:tc>
                <w:tcPr>
                  <w:tcW w:w="4579" w:type="dxa"/>
                  <w:gridSpan w:val="2"/>
                </w:tcPr>
                <w:p w:rsidR="00006018" w:rsidRPr="00EF1540" w:rsidRDefault="00A17353" w:rsidP="00006018">
                  <w:pPr>
                    <w:spacing w:before="100" w:beforeAutospacing="1" w:after="100" w:afterAutospacing="1" w:line="240" w:lineRule="auto"/>
                    <w:ind w:firstLine="589"/>
                    <w:jc w:val="both"/>
                    <w:rPr>
                      <w:rFonts w:ascii="Times New Roman" w:eastAsia="Times New Roman" w:hAnsi="Times New Roman" w:cs="Times New Roman"/>
                      <w:b/>
                      <w:sz w:val="24"/>
                      <w:szCs w:val="24"/>
                      <w:lang/>
                    </w:rPr>
                  </w:pPr>
                  <w:r w:rsidRPr="00A17353">
                    <w:rPr>
                      <w:rFonts w:ascii="Times New Roman" w:eastAsia="Times New Roman" w:hAnsi="Times New Roman" w:cs="Times New Roman"/>
                      <w:b/>
                      <w:sz w:val="24"/>
                      <w:szCs w:val="24"/>
                      <w:lang/>
                    </w:rPr>
                    <w:t>фактичні капітальні витрати, понесені під час надання послуги за j-те стандартне приєднання (за об'єктами замовників, приєднання яких завершено у базовому періоді) для міської та сільської місцевості за першим та другим ступенями стандартного приєднання (значення за рядками графи 101 додатка 1 до цієї Методики), по яких проводився аналіз відповідно до пункту 3.5 цієї глави, тис. грн (без ПДВ);</w:t>
                  </w:r>
                </w:p>
              </w:tc>
            </w:tr>
            <w:tr w:rsidR="00A17353" w:rsidRPr="00EF1540" w:rsidTr="00901686">
              <w:tc>
                <w:tcPr>
                  <w:tcW w:w="848" w:type="dxa"/>
                </w:tcPr>
                <w:p w:rsidR="00A17353" w:rsidRPr="00A17353" w:rsidRDefault="00A17353" w:rsidP="00006018">
                  <w:pPr>
                    <w:spacing w:before="100" w:beforeAutospacing="1" w:after="100" w:afterAutospacing="1" w:line="240" w:lineRule="auto"/>
                    <w:jc w:val="both"/>
                    <w:rPr>
                      <w:rFonts w:ascii="Times New Roman" w:eastAsia="Times New Roman" w:hAnsi="Times New Roman" w:cs="Times New Roman"/>
                      <w:b/>
                      <w:sz w:val="24"/>
                      <w:szCs w:val="24"/>
                      <w:lang/>
                    </w:rPr>
                  </w:pPr>
                </w:p>
              </w:tc>
              <w:tc>
                <w:tcPr>
                  <w:tcW w:w="1529" w:type="dxa"/>
                </w:tcPr>
                <w:p w:rsidR="00A17353" w:rsidRDefault="00A17353" w:rsidP="00006018">
                  <w:pPr>
                    <w:spacing w:before="100" w:beforeAutospacing="1" w:after="100" w:afterAutospacing="1" w:line="240" w:lineRule="auto"/>
                    <w:ind w:firstLine="3"/>
                    <w:jc w:val="both"/>
                    <w:rPr>
                      <w:rFonts w:ascii="Times New Roman" w:hAnsi="Times New Roman" w:cs="Times New Roman"/>
                      <w:b/>
                      <w:sz w:val="24"/>
                      <w:szCs w:val="28"/>
                      <w:vertAlign w:val="subscript"/>
                    </w:rPr>
                  </w:pPr>
                  <w:r w:rsidRPr="00A17353">
                    <w:rPr>
                      <w:rFonts w:ascii="Times New Roman" w:hAnsi="Times New Roman" w:cs="Times New Roman"/>
                      <w:b/>
                      <w:sz w:val="24"/>
                      <w:szCs w:val="28"/>
                    </w:rPr>
                    <w:t>К</w:t>
                  </w:r>
                  <w:r w:rsidRPr="00A17353">
                    <w:rPr>
                      <w:rFonts w:ascii="Times New Roman" w:hAnsi="Times New Roman" w:cs="Times New Roman"/>
                      <w:b/>
                      <w:sz w:val="24"/>
                      <w:szCs w:val="28"/>
                      <w:vertAlign w:val="subscript"/>
                    </w:rPr>
                    <w:t>ДД</w:t>
                  </w:r>
                </w:p>
                <w:p w:rsidR="00A17353" w:rsidRDefault="00A17353" w:rsidP="00006018">
                  <w:pPr>
                    <w:spacing w:before="100" w:beforeAutospacing="1" w:after="100" w:afterAutospacing="1" w:line="240" w:lineRule="auto"/>
                    <w:ind w:firstLine="3"/>
                    <w:jc w:val="both"/>
                    <w:rPr>
                      <w:rFonts w:ascii="Times New Roman" w:eastAsia="Times New Roman" w:hAnsi="Times New Roman" w:cs="Times New Roman"/>
                      <w:noProof/>
                      <w:sz w:val="24"/>
                      <w:szCs w:val="24"/>
                      <w:lang/>
                    </w:rPr>
                  </w:pPr>
                </w:p>
                <w:p w:rsidR="00A17353" w:rsidRDefault="00A17353" w:rsidP="00006018">
                  <w:pPr>
                    <w:spacing w:before="100" w:beforeAutospacing="1" w:after="100" w:afterAutospacing="1" w:line="240" w:lineRule="auto"/>
                    <w:ind w:firstLine="3"/>
                    <w:jc w:val="both"/>
                    <w:rPr>
                      <w:rFonts w:ascii="Times New Roman" w:eastAsia="Times New Roman" w:hAnsi="Times New Roman" w:cs="Times New Roman"/>
                      <w:noProof/>
                      <w:sz w:val="24"/>
                      <w:szCs w:val="24"/>
                      <w:lang/>
                    </w:rPr>
                  </w:pPr>
                </w:p>
                <w:p w:rsidR="00A17353" w:rsidRDefault="00A17353" w:rsidP="00006018">
                  <w:pPr>
                    <w:spacing w:before="100" w:beforeAutospacing="1" w:after="100" w:afterAutospacing="1" w:line="240" w:lineRule="auto"/>
                    <w:ind w:firstLine="3"/>
                    <w:jc w:val="both"/>
                    <w:rPr>
                      <w:rFonts w:ascii="Times New Roman" w:eastAsia="Times New Roman" w:hAnsi="Times New Roman" w:cs="Times New Roman"/>
                      <w:noProof/>
                      <w:sz w:val="24"/>
                      <w:szCs w:val="24"/>
                      <w:lang/>
                    </w:rPr>
                  </w:pPr>
                </w:p>
                <w:p w:rsidR="00A17353" w:rsidRDefault="00A17353" w:rsidP="00006018">
                  <w:pPr>
                    <w:spacing w:before="100" w:beforeAutospacing="1" w:after="100" w:afterAutospacing="1" w:line="240" w:lineRule="auto"/>
                    <w:ind w:firstLine="3"/>
                    <w:jc w:val="both"/>
                    <w:rPr>
                      <w:rFonts w:ascii="Times New Roman" w:eastAsia="Times New Roman" w:hAnsi="Times New Roman" w:cs="Times New Roman"/>
                      <w:noProof/>
                      <w:sz w:val="24"/>
                      <w:szCs w:val="24"/>
                      <w:lang/>
                    </w:rPr>
                  </w:pPr>
                </w:p>
                <w:p w:rsidR="00A17353" w:rsidRDefault="00A17353" w:rsidP="00006018">
                  <w:pPr>
                    <w:spacing w:before="100" w:beforeAutospacing="1" w:after="100" w:afterAutospacing="1" w:line="240" w:lineRule="auto"/>
                    <w:ind w:firstLine="3"/>
                    <w:jc w:val="both"/>
                    <w:rPr>
                      <w:rFonts w:ascii="Times New Roman" w:eastAsia="Times New Roman" w:hAnsi="Times New Roman" w:cs="Times New Roman"/>
                      <w:noProof/>
                      <w:sz w:val="24"/>
                      <w:szCs w:val="24"/>
                      <w:lang/>
                    </w:rPr>
                  </w:pPr>
                </w:p>
                <w:p w:rsidR="00A17353" w:rsidRDefault="00A17353" w:rsidP="00006018">
                  <w:pPr>
                    <w:spacing w:before="100" w:beforeAutospacing="1" w:after="100" w:afterAutospacing="1" w:line="240" w:lineRule="auto"/>
                    <w:ind w:firstLine="3"/>
                    <w:jc w:val="both"/>
                    <w:rPr>
                      <w:rFonts w:ascii="Times New Roman" w:eastAsia="Times New Roman" w:hAnsi="Times New Roman" w:cs="Times New Roman"/>
                      <w:noProof/>
                      <w:sz w:val="24"/>
                      <w:szCs w:val="24"/>
                      <w:lang/>
                    </w:rPr>
                  </w:pPr>
                </w:p>
                <w:p w:rsidR="00A17353" w:rsidRPr="00EF1540" w:rsidRDefault="00A17353" w:rsidP="00006018">
                  <w:pPr>
                    <w:spacing w:before="100" w:beforeAutospacing="1" w:after="100" w:afterAutospacing="1" w:line="240" w:lineRule="auto"/>
                    <w:ind w:firstLine="3"/>
                    <w:jc w:val="both"/>
                    <w:rPr>
                      <w:rFonts w:ascii="Times New Roman" w:eastAsia="Times New Roman" w:hAnsi="Times New Roman" w:cs="Times New Roman"/>
                      <w:noProof/>
                      <w:sz w:val="24"/>
                      <w:szCs w:val="24"/>
                      <w:lang/>
                    </w:rPr>
                  </w:pPr>
                </w:p>
              </w:tc>
              <w:tc>
                <w:tcPr>
                  <w:tcW w:w="280" w:type="dxa"/>
                </w:tcPr>
                <w:p w:rsidR="00A17353" w:rsidRPr="00EF1540" w:rsidRDefault="00A17353" w:rsidP="00006018">
                  <w:pPr>
                    <w:spacing w:before="100" w:beforeAutospacing="1" w:after="100" w:afterAutospacing="1" w:line="240" w:lineRule="auto"/>
                    <w:ind w:firstLine="26"/>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w:t>
                  </w:r>
                </w:p>
              </w:tc>
              <w:tc>
                <w:tcPr>
                  <w:tcW w:w="4579" w:type="dxa"/>
                  <w:gridSpan w:val="2"/>
                </w:tcPr>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7"/>
                    <w:gridCol w:w="972"/>
                  </w:tblGrid>
                  <w:tr w:rsidR="00A17353" w:rsidRPr="00A17353" w:rsidTr="00A37180">
                    <w:tc>
                      <w:tcPr>
                        <w:tcW w:w="7649" w:type="dxa"/>
                      </w:tcPr>
                      <w:p w:rsidR="00A17353" w:rsidRPr="00A17353" w:rsidRDefault="00A17353" w:rsidP="00A17353">
                        <w:pPr>
                          <w:pStyle w:val="rvps14"/>
                          <w:spacing w:before="0" w:beforeAutospacing="0" w:after="0" w:afterAutospacing="0"/>
                          <w:ind w:firstLine="709"/>
                          <w:jc w:val="center"/>
                          <w:rPr>
                            <w:b/>
                            <w:szCs w:val="28"/>
                          </w:rPr>
                        </w:pPr>
                        <w:r w:rsidRPr="00A17353">
                          <w:rPr>
                            <w:b/>
                            <w:szCs w:val="28"/>
                          </w:rPr>
                          <w:t>відношення кількості приєднань, щодо яких виявлено* надання до НКРЕКП недостовірних даних, до загальної кількості завершених у базовому періоді послуг з приєднань/по яким надавалася до НКРЕКП інформація**, %</w:t>
                        </w:r>
                      </w:p>
                    </w:tc>
                    <w:tc>
                      <w:tcPr>
                        <w:tcW w:w="1849" w:type="dxa"/>
                      </w:tcPr>
                      <w:p w:rsidR="00A17353" w:rsidRPr="00A17353" w:rsidRDefault="00A17353" w:rsidP="00A17353">
                        <w:pPr>
                          <w:pStyle w:val="rvps14"/>
                          <w:spacing w:before="0" w:beforeAutospacing="0" w:after="0" w:afterAutospacing="0"/>
                          <w:ind w:firstLine="42"/>
                          <w:jc w:val="center"/>
                          <w:rPr>
                            <w:b/>
                            <w:szCs w:val="28"/>
                          </w:rPr>
                        </w:pPr>
                        <w:r w:rsidRPr="00A17353">
                          <w:rPr>
                            <w:b/>
                            <w:noProof/>
                            <w:szCs w:val="28"/>
                          </w:rPr>
                          <w:t>К</w:t>
                        </w:r>
                        <w:r w:rsidRPr="00A17353">
                          <w:rPr>
                            <w:b/>
                            <w:noProof/>
                            <w:szCs w:val="28"/>
                            <w:vertAlign w:val="subscript"/>
                          </w:rPr>
                          <w:t>ДД</w:t>
                        </w:r>
                      </w:p>
                    </w:tc>
                  </w:tr>
                  <w:tr w:rsidR="00A17353" w:rsidRPr="00A17353" w:rsidTr="00A37180">
                    <w:tc>
                      <w:tcPr>
                        <w:tcW w:w="7649" w:type="dxa"/>
                      </w:tcPr>
                      <w:p w:rsidR="00A17353" w:rsidRPr="00A17353" w:rsidRDefault="00A17353" w:rsidP="00A17353">
                        <w:pPr>
                          <w:pStyle w:val="rvps14"/>
                          <w:spacing w:before="0" w:beforeAutospacing="0" w:after="0" w:afterAutospacing="0"/>
                          <w:ind w:firstLine="709"/>
                          <w:jc w:val="center"/>
                          <w:rPr>
                            <w:b/>
                            <w:szCs w:val="28"/>
                          </w:rPr>
                        </w:pPr>
                        <w:r w:rsidRPr="00A17353">
                          <w:rPr>
                            <w:b/>
                            <w:szCs w:val="28"/>
                          </w:rPr>
                          <w:t>до 0,5 (включно)</w:t>
                        </w:r>
                      </w:p>
                    </w:tc>
                    <w:tc>
                      <w:tcPr>
                        <w:tcW w:w="1849" w:type="dxa"/>
                      </w:tcPr>
                      <w:p w:rsidR="00A17353" w:rsidRPr="00A17353" w:rsidRDefault="00A17353" w:rsidP="00A17353">
                        <w:pPr>
                          <w:pStyle w:val="rvps14"/>
                          <w:spacing w:before="0" w:beforeAutospacing="0" w:after="0" w:afterAutospacing="0"/>
                          <w:ind w:firstLine="42"/>
                          <w:jc w:val="center"/>
                          <w:rPr>
                            <w:b/>
                            <w:szCs w:val="28"/>
                          </w:rPr>
                        </w:pPr>
                        <w:r w:rsidRPr="00A17353">
                          <w:rPr>
                            <w:b/>
                            <w:szCs w:val="28"/>
                          </w:rPr>
                          <w:t>0,05</w:t>
                        </w:r>
                      </w:p>
                    </w:tc>
                  </w:tr>
                  <w:tr w:rsidR="00A17353" w:rsidRPr="00A17353" w:rsidTr="00A37180">
                    <w:tc>
                      <w:tcPr>
                        <w:tcW w:w="7649" w:type="dxa"/>
                      </w:tcPr>
                      <w:p w:rsidR="00A17353" w:rsidRPr="00A17353" w:rsidRDefault="00A17353" w:rsidP="00A17353">
                        <w:pPr>
                          <w:pStyle w:val="rvps14"/>
                          <w:spacing w:before="0" w:beforeAutospacing="0" w:after="0" w:afterAutospacing="0"/>
                          <w:ind w:firstLine="709"/>
                          <w:jc w:val="center"/>
                          <w:rPr>
                            <w:b/>
                            <w:szCs w:val="28"/>
                          </w:rPr>
                        </w:pPr>
                        <w:r w:rsidRPr="00647D68">
                          <w:rPr>
                            <w:b/>
                            <w:szCs w:val="28"/>
                            <w:lang w:val="ru-RU"/>
                          </w:rPr>
                          <w:t>в</w:t>
                        </w:r>
                        <w:r w:rsidRPr="00A17353">
                          <w:rPr>
                            <w:b/>
                            <w:szCs w:val="28"/>
                          </w:rPr>
                          <w:t>ід 0,5 до 1,5 (включно)</w:t>
                        </w:r>
                      </w:p>
                    </w:tc>
                    <w:tc>
                      <w:tcPr>
                        <w:tcW w:w="1849" w:type="dxa"/>
                      </w:tcPr>
                      <w:p w:rsidR="00A17353" w:rsidRPr="00A17353" w:rsidRDefault="00A17353" w:rsidP="00A17353">
                        <w:pPr>
                          <w:pStyle w:val="rvps14"/>
                          <w:spacing w:before="0" w:beforeAutospacing="0" w:after="0" w:afterAutospacing="0"/>
                          <w:ind w:firstLine="42"/>
                          <w:jc w:val="center"/>
                          <w:rPr>
                            <w:b/>
                            <w:szCs w:val="28"/>
                          </w:rPr>
                        </w:pPr>
                        <w:r w:rsidRPr="00A17353">
                          <w:rPr>
                            <w:b/>
                            <w:szCs w:val="28"/>
                          </w:rPr>
                          <w:t>0,10</w:t>
                        </w:r>
                      </w:p>
                    </w:tc>
                  </w:tr>
                  <w:tr w:rsidR="00A17353" w:rsidRPr="00A17353" w:rsidTr="00A37180">
                    <w:tc>
                      <w:tcPr>
                        <w:tcW w:w="7649" w:type="dxa"/>
                      </w:tcPr>
                      <w:p w:rsidR="00A17353" w:rsidRPr="00A17353" w:rsidRDefault="00A17353" w:rsidP="00A17353">
                        <w:pPr>
                          <w:pStyle w:val="rvps14"/>
                          <w:spacing w:before="0" w:beforeAutospacing="0" w:after="0" w:afterAutospacing="0"/>
                          <w:ind w:firstLine="709"/>
                          <w:jc w:val="center"/>
                          <w:rPr>
                            <w:b/>
                            <w:szCs w:val="28"/>
                          </w:rPr>
                        </w:pPr>
                        <w:r w:rsidRPr="00647D68">
                          <w:rPr>
                            <w:b/>
                            <w:szCs w:val="28"/>
                            <w:lang w:val="ru-RU"/>
                          </w:rPr>
                          <w:t>в</w:t>
                        </w:r>
                        <w:r w:rsidRPr="00A17353">
                          <w:rPr>
                            <w:b/>
                            <w:szCs w:val="28"/>
                          </w:rPr>
                          <w:t>ід 1,5 до 3 (включно)</w:t>
                        </w:r>
                      </w:p>
                    </w:tc>
                    <w:tc>
                      <w:tcPr>
                        <w:tcW w:w="1849" w:type="dxa"/>
                      </w:tcPr>
                      <w:p w:rsidR="00A17353" w:rsidRPr="00A17353" w:rsidRDefault="00A17353" w:rsidP="00A17353">
                        <w:pPr>
                          <w:pStyle w:val="rvps14"/>
                          <w:spacing w:before="0" w:beforeAutospacing="0" w:after="0" w:afterAutospacing="0"/>
                          <w:ind w:firstLine="42"/>
                          <w:jc w:val="center"/>
                          <w:rPr>
                            <w:b/>
                            <w:szCs w:val="28"/>
                          </w:rPr>
                        </w:pPr>
                        <w:r w:rsidRPr="00A17353">
                          <w:rPr>
                            <w:b/>
                            <w:szCs w:val="28"/>
                          </w:rPr>
                          <w:t>0,15</w:t>
                        </w:r>
                      </w:p>
                    </w:tc>
                  </w:tr>
                  <w:tr w:rsidR="00A17353" w:rsidRPr="00A17353" w:rsidTr="00A37180">
                    <w:tc>
                      <w:tcPr>
                        <w:tcW w:w="7649" w:type="dxa"/>
                      </w:tcPr>
                      <w:p w:rsidR="00A17353" w:rsidRPr="00A17353" w:rsidRDefault="00A17353" w:rsidP="00A17353">
                        <w:pPr>
                          <w:pStyle w:val="rvps14"/>
                          <w:spacing w:before="0" w:beforeAutospacing="0" w:after="0" w:afterAutospacing="0"/>
                          <w:ind w:firstLine="709"/>
                          <w:jc w:val="center"/>
                          <w:rPr>
                            <w:b/>
                            <w:szCs w:val="28"/>
                          </w:rPr>
                        </w:pPr>
                        <w:r w:rsidRPr="00A17353">
                          <w:rPr>
                            <w:b/>
                            <w:szCs w:val="28"/>
                          </w:rPr>
                          <w:t>більше 3</w:t>
                        </w:r>
                      </w:p>
                    </w:tc>
                    <w:tc>
                      <w:tcPr>
                        <w:tcW w:w="1849" w:type="dxa"/>
                      </w:tcPr>
                      <w:p w:rsidR="00A17353" w:rsidRPr="00A17353" w:rsidRDefault="00A17353" w:rsidP="00A17353">
                        <w:pPr>
                          <w:pStyle w:val="rvps14"/>
                          <w:spacing w:before="0" w:beforeAutospacing="0" w:after="0" w:afterAutospacing="0"/>
                          <w:ind w:firstLine="42"/>
                          <w:jc w:val="center"/>
                          <w:rPr>
                            <w:b/>
                            <w:szCs w:val="28"/>
                          </w:rPr>
                        </w:pPr>
                        <w:r w:rsidRPr="00A17353">
                          <w:rPr>
                            <w:b/>
                            <w:szCs w:val="28"/>
                          </w:rPr>
                          <w:t>0,20</w:t>
                        </w:r>
                      </w:p>
                    </w:tc>
                  </w:tr>
                </w:tbl>
                <w:p w:rsidR="00A17353" w:rsidRPr="00A17353" w:rsidRDefault="00A17353" w:rsidP="00A17353">
                  <w:pPr>
                    <w:spacing w:after="0" w:line="240" w:lineRule="auto"/>
                    <w:ind w:firstLine="590"/>
                    <w:jc w:val="both"/>
                    <w:rPr>
                      <w:rFonts w:ascii="Times New Roman" w:eastAsia="Times New Roman" w:hAnsi="Times New Roman" w:cs="Times New Roman"/>
                      <w:b/>
                      <w:sz w:val="24"/>
                      <w:szCs w:val="24"/>
                      <w:lang/>
                    </w:rPr>
                  </w:pPr>
                  <w:r w:rsidRPr="00A17353">
                    <w:rPr>
                      <w:rFonts w:ascii="Times New Roman" w:eastAsia="Times New Roman" w:hAnsi="Times New Roman" w:cs="Times New Roman"/>
                      <w:b/>
                      <w:sz w:val="24"/>
                      <w:szCs w:val="24"/>
                      <w:lang/>
                    </w:rPr>
                    <w:t>Примітки:</w:t>
                  </w:r>
                </w:p>
                <w:p w:rsidR="00A17353" w:rsidRPr="00A17353" w:rsidRDefault="00A17353" w:rsidP="00A17353">
                  <w:pPr>
                    <w:spacing w:after="0" w:line="240" w:lineRule="auto"/>
                    <w:ind w:firstLine="590"/>
                    <w:jc w:val="both"/>
                    <w:rPr>
                      <w:rFonts w:ascii="Times New Roman" w:eastAsia="Times New Roman" w:hAnsi="Times New Roman" w:cs="Times New Roman"/>
                      <w:b/>
                      <w:sz w:val="24"/>
                      <w:szCs w:val="24"/>
                      <w:lang/>
                    </w:rPr>
                  </w:pPr>
                  <w:r w:rsidRPr="00A17353">
                    <w:rPr>
                      <w:rFonts w:ascii="Times New Roman" w:eastAsia="Times New Roman" w:hAnsi="Times New Roman" w:cs="Times New Roman"/>
                      <w:b/>
                      <w:sz w:val="24"/>
                      <w:szCs w:val="24"/>
                      <w:lang/>
                    </w:rPr>
                    <w:t>* – у звіті щодо надання послуг з приєднань за формою, наведеною в додатку 1 до цієї Методики, що наданий оператором системи до 01 лютого/ в інформації для розрахунку коефіцієнта оптимізації коштів щодо витрат, пов'язаних з наданням послуг зі стандартних приєднань електроустановок замовників до електричних мереж)</w:t>
                  </w:r>
                </w:p>
                <w:p w:rsidR="00A17353" w:rsidRPr="00A17353" w:rsidRDefault="00A17353" w:rsidP="00A17353">
                  <w:pPr>
                    <w:spacing w:after="0" w:line="240" w:lineRule="auto"/>
                    <w:ind w:firstLine="590"/>
                    <w:jc w:val="both"/>
                    <w:rPr>
                      <w:rFonts w:ascii="Times New Roman" w:eastAsia="Times New Roman" w:hAnsi="Times New Roman" w:cs="Times New Roman"/>
                      <w:b/>
                      <w:sz w:val="24"/>
                      <w:szCs w:val="24"/>
                      <w:lang/>
                    </w:rPr>
                  </w:pPr>
                  <w:r w:rsidRPr="00A17353">
                    <w:rPr>
                      <w:rFonts w:ascii="Times New Roman" w:eastAsia="Times New Roman" w:hAnsi="Times New Roman" w:cs="Times New Roman"/>
                      <w:b/>
                      <w:sz w:val="24"/>
                      <w:szCs w:val="24"/>
                      <w:lang/>
                    </w:rPr>
                    <w:t>** – без урахування надання операторами систем скоригованих даних.</w:t>
                  </w:r>
                </w:p>
              </w:tc>
            </w:tr>
            <w:tr w:rsidR="00A17353" w:rsidRPr="00EF1540" w:rsidTr="00901686">
              <w:tc>
                <w:tcPr>
                  <w:tcW w:w="848" w:type="dxa"/>
                </w:tcPr>
                <w:p w:rsidR="00A17353" w:rsidRPr="00EF1540" w:rsidRDefault="00A17353" w:rsidP="00006018">
                  <w:pPr>
                    <w:spacing w:before="100" w:beforeAutospacing="1" w:after="100" w:afterAutospacing="1" w:line="240" w:lineRule="auto"/>
                    <w:ind w:firstLine="589"/>
                    <w:jc w:val="both"/>
                    <w:rPr>
                      <w:rFonts w:ascii="Times New Roman" w:eastAsia="Times New Roman" w:hAnsi="Times New Roman" w:cs="Times New Roman"/>
                      <w:sz w:val="24"/>
                      <w:szCs w:val="24"/>
                      <w:lang/>
                    </w:rPr>
                  </w:pPr>
                </w:p>
              </w:tc>
              <w:tc>
                <w:tcPr>
                  <w:tcW w:w="1529" w:type="dxa"/>
                </w:tcPr>
                <w:p w:rsidR="00A17353" w:rsidRPr="00EF1540" w:rsidRDefault="00A17353" w:rsidP="00006018">
                  <w:pPr>
                    <w:spacing w:before="100" w:beforeAutospacing="1" w:after="100" w:afterAutospacing="1" w:line="240" w:lineRule="auto"/>
                    <w:ind w:firstLine="3"/>
                    <w:jc w:val="both"/>
                    <w:rPr>
                      <w:rFonts w:ascii="Times New Roman" w:eastAsia="Times New Roman" w:hAnsi="Times New Roman" w:cs="Times New Roman"/>
                      <w:noProof/>
                      <w:sz w:val="24"/>
                      <w:szCs w:val="24"/>
                      <w:lang/>
                    </w:rPr>
                  </w:pPr>
                </w:p>
              </w:tc>
              <w:tc>
                <w:tcPr>
                  <w:tcW w:w="280" w:type="dxa"/>
                </w:tcPr>
                <w:p w:rsidR="00A17353" w:rsidRPr="00EF1540" w:rsidRDefault="00A17353" w:rsidP="00006018">
                  <w:pPr>
                    <w:spacing w:before="100" w:beforeAutospacing="1" w:after="100" w:afterAutospacing="1" w:line="240" w:lineRule="auto"/>
                    <w:ind w:firstLine="26"/>
                    <w:jc w:val="both"/>
                    <w:rPr>
                      <w:rFonts w:ascii="Times New Roman" w:eastAsia="Times New Roman" w:hAnsi="Times New Roman" w:cs="Times New Roman"/>
                      <w:sz w:val="24"/>
                      <w:szCs w:val="24"/>
                      <w:lang/>
                    </w:rPr>
                  </w:pPr>
                </w:p>
              </w:tc>
              <w:tc>
                <w:tcPr>
                  <w:tcW w:w="4579" w:type="dxa"/>
                  <w:gridSpan w:val="2"/>
                </w:tcPr>
                <w:p w:rsidR="00A17353" w:rsidRPr="00A17353" w:rsidRDefault="00A17353" w:rsidP="00006018">
                  <w:pPr>
                    <w:spacing w:before="100" w:beforeAutospacing="1" w:after="100" w:afterAutospacing="1" w:line="240" w:lineRule="auto"/>
                    <w:ind w:firstLine="589"/>
                    <w:jc w:val="both"/>
                    <w:rPr>
                      <w:rFonts w:ascii="Times New Roman" w:eastAsia="Times New Roman" w:hAnsi="Times New Roman" w:cs="Times New Roman"/>
                      <w:b/>
                      <w:sz w:val="24"/>
                      <w:szCs w:val="24"/>
                      <w:lang/>
                    </w:rPr>
                  </w:pPr>
                </w:p>
              </w:tc>
            </w:tr>
          </w:tbl>
          <w:p w:rsidR="00006018" w:rsidRPr="00EF1540" w:rsidRDefault="00006018" w:rsidP="00006018">
            <w:pPr>
              <w:ind w:firstLine="709"/>
              <w:jc w:val="both"/>
              <w:rPr>
                <w:rFonts w:ascii="Times New Roman" w:hAnsi="Times New Roman" w:cs="Times New Roman"/>
                <w:b/>
                <w:sz w:val="24"/>
                <w:szCs w:val="24"/>
              </w:rPr>
            </w:pPr>
          </w:p>
        </w:tc>
      </w:tr>
      <w:tr w:rsidR="00EF1540" w:rsidRPr="00EF1540" w:rsidTr="00D426BB">
        <w:trPr>
          <w:trHeight w:val="708"/>
        </w:trPr>
        <w:tc>
          <w:tcPr>
            <w:tcW w:w="8731" w:type="dxa"/>
          </w:tcPr>
          <w:p w:rsidR="001121BD" w:rsidRPr="00EF1540" w:rsidRDefault="001121BD" w:rsidP="00006018">
            <w:pPr>
              <w:ind w:firstLine="70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lastRenderedPageBreak/>
              <w:t>3.4. Для розрахунку ставок плати за стандартне приєднання та величини дефіциту або профіциту коштів щодо надходжень та витрат, пов'язаних з наданням послуг зі стандартних приєднань, оператор системи розподілу формує розширений звіт за формою, наведеною в додатку 1 до цієї Методики (з урахуванням граф 64-108), із зазначенням фактичних витрат (без ПДВ) на приєднання електроустановок замовників, які за ознаками відповідають першому та другому ступеням стандартного приєднання, та пояснювальну записку, що містить обґрунтування витрат.</w:t>
            </w:r>
          </w:p>
        </w:tc>
        <w:tc>
          <w:tcPr>
            <w:tcW w:w="7146" w:type="dxa"/>
          </w:tcPr>
          <w:p w:rsidR="001121BD" w:rsidRPr="00EF1540" w:rsidRDefault="001121BD" w:rsidP="00006018">
            <w:pPr>
              <w:ind w:firstLine="709"/>
              <w:jc w:val="both"/>
              <w:rPr>
                <w:rFonts w:ascii="Times New Roman" w:eastAsia="Times New Roman" w:hAnsi="Times New Roman" w:cs="Times New Roman"/>
                <w:sz w:val="24"/>
                <w:szCs w:val="24"/>
                <w:lang/>
              </w:rPr>
            </w:pPr>
            <w:bookmarkStart w:id="29" w:name="_Hlk161075746"/>
            <w:r w:rsidRPr="00EF1540">
              <w:rPr>
                <w:rFonts w:ascii="Times New Roman" w:eastAsia="Times New Roman" w:hAnsi="Times New Roman" w:cs="Times New Roman"/>
                <w:sz w:val="24"/>
                <w:szCs w:val="24"/>
                <w:lang/>
              </w:rPr>
              <w:t xml:space="preserve">3.4. Для розрахунку </w:t>
            </w:r>
            <w:r w:rsidRPr="00EF1540">
              <w:rPr>
                <w:rFonts w:ascii="Times New Roman" w:eastAsia="Times New Roman" w:hAnsi="Times New Roman" w:cs="Times New Roman"/>
                <w:strike/>
                <w:sz w:val="24"/>
                <w:szCs w:val="24"/>
                <w:lang/>
              </w:rPr>
              <w:t>ставок плати за стандартне приєднання та</w:t>
            </w:r>
            <w:r w:rsidRPr="00EF1540">
              <w:rPr>
                <w:rFonts w:ascii="Times New Roman" w:eastAsia="Times New Roman" w:hAnsi="Times New Roman" w:cs="Times New Roman"/>
                <w:sz w:val="24"/>
                <w:szCs w:val="24"/>
                <w:lang/>
              </w:rPr>
              <w:t xml:space="preserve"> величини дефіциту або профіциту коштів щодо надходжень та витрат, пов'язаних з наданням послуг зі стандартних приєднань, оператор системи розподілу формує </w:t>
            </w:r>
            <w:r w:rsidRPr="00EF1540">
              <w:rPr>
                <w:rFonts w:ascii="Times New Roman" w:eastAsia="Times New Roman" w:hAnsi="Times New Roman" w:cs="Times New Roman"/>
                <w:strike/>
                <w:sz w:val="24"/>
                <w:szCs w:val="24"/>
                <w:lang/>
              </w:rPr>
              <w:t>розширений</w:t>
            </w:r>
            <w:r w:rsidRPr="00EF1540">
              <w:rPr>
                <w:rFonts w:ascii="Times New Roman" w:eastAsia="Times New Roman" w:hAnsi="Times New Roman" w:cs="Times New Roman"/>
                <w:sz w:val="24"/>
                <w:szCs w:val="24"/>
                <w:lang/>
              </w:rPr>
              <w:t xml:space="preserve"> звіт за формою, наведеною в додатку 1 до цієї Методики </w:t>
            </w:r>
            <w:r w:rsidRPr="00EF1540">
              <w:rPr>
                <w:rFonts w:ascii="Times New Roman" w:eastAsia="Times New Roman" w:hAnsi="Times New Roman" w:cs="Times New Roman"/>
                <w:strike/>
                <w:sz w:val="24"/>
                <w:szCs w:val="24"/>
                <w:lang/>
              </w:rPr>
              <w:t>(з урахуванням граф 64-108)</w:t>
            </w:r>
            <w:r w:rsidRPr="00EF1540">
              <w:rPr>
                <w:rFonts w:ascii="Times New Roman" w:eastAsia="Times New Roman" w:hAnsi="Times New Roman" w:cs="Times New Roman"/>
                <w:sz w:val="24"/>
                <w:szCs w:val="24"/>
                <w:lang/>
              </w:rPr>
              <w:t>, із зазначенням фактичних витрат (без ПДВ) на приєднання електроустановок замовників, які за ознаками відповідають першому та другому ступеням стандартного приєднання, та пояснювальну записку, що містить обґрунтування витрат.</w:t>
            </w:r>
            <w:bookmarkEnd w:id="29"/>
          </w:p>
        </w:tc>
      </w:tr>
      <w:tr w:rsidR="00EF1540" w:rsidRPr="00EF1540" w:rsidTr="00D426BB">
        <w:trPr>
          <w:trHeight w:val="708"/>
        </w:trPr>
        <w:tc>
          <w:tcPr>
            <w:tcW w:w="8731" w:type="dxa"/>
          </w:tcPr>
          <w:p w:rsidR="001121BD" w:rsidRPr="00EF1540" w:rsidRDefault="001121BD" w:rsidP="001121BD">
            <w:pPr>
              <w:ind w:firstLine="70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3.5. У випадку ненадання оператором системи розподілу інформації щодо фактичних витрат (без ПДВ) на приєднання НКРЕКП затверджує для такого оператора системи розподілу ставки плати за стандартне приєднання виходячи з наявної інформації попередніх періодів на рівні найнижчих величин відповідних ставок плати за стандартне приєднання серед усіх інших операторів систем розподілу.</w:t>
            </w:r>
          </w:p>
          <w:p w:rsidR="001121BD" w:rsidRPr="00EF1540" w:rsidRDefault="001121BD" w:rsidP="001121BD">
            <w:pPr>
              <w:ind w:firstLine="70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У разі ненадання операторами систем розподілу даних для розрахунку ставок плати за стандартне приєднання у вигляді та обсягах, установлених НКРЕКП, розрахунок ставок плати за стандартне приєднання проводиться на підставі даних, скоригованих НКРЕКП згідно з цією Методикою.</w:t>
            </w:r>
          </w:p>
          <w:p w:rsidR="001121BD" w:rsidRPr="00EF1540" w:rsidRDefault="001121BD" w:rsidP="001121BD">
            <w:pPr>
              <w:ind w:firstLine="70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Для новоствореного оператора системи розподілу НКРЕКП затверджує ставки плати за стандартне приєднання на рівні середнього значення за величинами відповідних ставок плати за стандартне приєднання всіх інших операторів систем розподілу.</w:t>
            </w:r>
          </w:p>
        </w:tc>
        <w:tc>
          <w:tcPr>
            <w:tcW w:w="7146" w:type="dxa"/>
          </w:tcPr>
          <w:p w:rsidR="001121BD" w:rsidRPr="00EF1540" w:rsidRDefault="001121BD" w:rsidP="001121BD">
            <w:pPr>
              <w:ind w:firstLine="709"/>
              <w:jc w:val="both"/>
              <w:rPr>
                <w:rFonts w:ascii="Times New Roman" w:eastAsia="Times New Roman" w:hAnsi="Times New Roman" w:cs="Times New Roman"/>
                <w:strike/>
                <w:sz w:val="24"/>
                <w:szCs w:val="24"/>
                <w:lang/>
              </w:rPr>
            </w:pPr>
            <w:r w:rsidRPr="00EF1540">
              <w:rPr>
                <w:rFonts w:ascii="Times New Roman" w:eastAsia="Times New Roman" w:hAnsi="Times New Roman" w:cs="Times New Roman"/>
                <w:strike/>
                <w:sz w:val="24"/>
                <w:szCs w:val="24"/>
                <w:lang/>
              </w:rPr>
              <w:t>3.5. У випадку ненадання оператором системи розподілу інформації щодо фактичних витрат (без ПДВ) на приєднання НКРЕКП затверджує для такого оператора системи розподілу ставки плати за стандартне приєднання виходячи з наявної інформації попередніх періодів на рівні найнижчих величин відповідних ставок плати за стандартне приєднання серед усіх інших операторів систем розподілу.</w:t>
            </w:r>
          </w:p>
          <w:p w:rsidR="001121BD" w:rsidRPr="00EF1540" w:rsidRDefault="001121BD" w:rsidP="001121BD">
            <w:pPr>
              <w:ind w:firstLine="709"/>
              <w:jc w:val="both"/>
              <w:rPr>
                <w:rFonts w:ascii="Times New Roman" w:eastAsia="Times New Roman" w:hAnsi="Times New Roman" w:cs="Times New Roman"/>
                <w:strike/>
                <w:sz w:val="24"/>
                <w:szCs w:val="24"/>
                <w:lang/>
              </w:rPr>
            </w:pPr>
            <w:r w:rsidRPr="00EF1540">
              <w:rPr>
                <w:rFonts w:ascii="Times New Roman" w:eastAsia="Times New Roman" w:hAnsi="Times New Roman" w:cs="Times New Roman"/>
                <w:strike/>
                <w:sz w:val="24"/>
                <w:szCs w:val="24"/>
                <w:lang/>
              </w:rPr>
              <w:t>У разі ненадання операторами систем розподілу даних для розрахунку ставок плати за стандартне приєднання у вигляді та обсягах, установлених НКРЕКП, розрахунок ставок плати за стандартне приєднання проводиться на підставі даних, скоригованих НКРЕКП згідно з цією Методикою.</w:t>
            </w:r>
          </w:p>
          <w:p w:rsidR="001121BD" w:rsidRPr="00EF1540" w:rsidRDefault="001121BD" w:rsidP="001121BD">
            <w:pPr>
              <w:ind w:firstLine="709"/>
              <w:jc w:val="both"/>
              <w:rPr>
                <w:rFonts w:ascii="Times New Roman" w:eastAsia="Times New Roman" w:hAnsi="Times New Roman" w:cs="Times New Roman"/>
                <w:sz w:val="24"/>
                <w:szCs w:val="24"/>
                <w:lang/>
              </w:rPr>
            </w:pPr>
            <w:r w:rsidRPr="00EF1540">
              <w:rPr>
                <w:rFonts w:ascii="Times New Roman" w:eastAsia="Times New Roman" w:hAnsi="Times New Roman" w:cs="Times New Roman"/>
                <w:strike/>
                <w:sz w:val="24"/>
                <w:szCs w:val="24"/>
                <w:lang/>
              </w:rPr>
              <w:t>Для новоствореного оператора системи розподілу НКРЕКП затверджує ставки плати за стандартне приєднання на рівні середнього значення за величинами відповідних ставок плати за стандартне приєднання всіх інших операторів систем розподілу.</w:t>
            </w:r>
          </w:p>
        </w:tc>
      </w:tr>
      <w:tr w:rsidR="00EF1540" w:rsidRPr="00EF1540" w:rsidTr="00D426BB">
        <w:trPr>
          <w:trHeight w:val="708"/>
        </w:trPr>
        <w:tc>
          <w:tcPr>
            <w:tcW w:w="8731" w:type="dxa"/>
          </w:tcPr>
          <w:p w:rsidR="008609E0" w:rsidRPr="00EF1540" w:rsidRDefault="008609E0" w:rsidP="001121BD">
            <w:pPr>
              <w:ind w:firstLine="70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3.6. НКРЕКП розглядає та перевіряє надані операторами систем розподілу вихідні дані для розрахунку та пояснювальні записки, що містять обґрунтування розрахунків, здійснює розрахунок значення ставок плати за стандартне приєднання та встановлює на наступний розрахунковий період для кожного оператора системи розподілу ставки плати за стандартне приєднання.</w:t>
            </w:r>
          </w:p>
        </w:tc>
        <w:tc>
          <w:tcPr>
            <w:tcW w:w="7146" w:type="dxa"/>
          </w:tcPr>
          <w:p w:rsidR="008609E0" w:rsidRPr="00EF1540" w:rsidRDefault="008609E0" w:rsidP="001121BD">
            <w:pPr>
              <w:ind w:firstLine="709"/>
              <w:jc w:val="both"/>
              <w:rPr>
                <w:rFonts w:ascii="Times New Roman" w:eastAsia="Times New Roman" w:hAnsi="Times New Roman" w:cs="Times New Roman"/>
                <w:strike/>
                <w:sz w:val="24"/>
                <w:szCs w:val="24"/>
                <w:lang/>
              </w:rPr>
            </w:pPr>
            <w:r w:rsidRPr="00EF1540">
              <w:rPr>
                <w:rFonts w:ascii="Times New Roman" w:eastAsia="Times New Roman" w:hAnsi="Times New Roman" w:cs="Times New Roman"/>
                <w:strike/>
                <w:sz w:val="24"/>
                <w:szCs w:val="24"/>
                <w:lang/>
              </w:rPr>
              <w:t>3.6. НКРЕКП розглядає та перевіряє надані операторами систем розподілу вихідні дані для розрахунку та пояснювальні записки, що містять обґрунтування розрахунків, здійснює розрахунок значення ставок плати за стандартне приєднання та встановлює на наступний розрахунковий період для кожного оператора системи розподілу ставки плати за стандартне приєднання.</w:t>
            </w:r>
          </w:p>
        </w:tc>
      </w:tr>
      <w:tr w:rsidR="00EF1540" w:rsidRPr="00EF1540" w:rsidTr="00D426BB">
        <w:trPr>
          <w:trHeight w:val="708"/>
        </w:trPr>
        <w:tc>
          <w:tcPr>
            <w:tcW w:w="8731" w:type="dxa"/>
          </w:tcPr>
          <w:p w:rsidR="00006018" w:rsidRPr="00EF1540" w:rsidRDefault="00006018" w:rsidP="00006018">
            <w:pPr>
              <w:ind w:firstLine="70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3.7. З метою визначення величини дефіциту або профіциту коштів щодо надходжень та витрат, пов'язаних з наданням послуг зі стандартних приєднань, на економічно обґрунтованому рівні НКРЕКП здійснює перевірку та аналіз наданих операторами систем розподілу відповідно до пункту 1.5 глави 1 цієї Методики вихідних даних, зокрема шляхом аналізу актів виконаних робіт та проєктної документації, пов'язаних із наданням у базовому періоді послуг з приєднання до електричних мереж електроустановок замовників, що відповідають критеріям стандартного приєднання.</w:t>
            </w:r>
          </w:p>
          <w:p w:rsidR="00006018" w:rsidRPr="00EF1540" w:rsidRDefault="00006018" w:rsidP="00006018">
            <w:pPr>
              <w:ind w:firstLine="709"/>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lastRenderedPageBreak/>
              <w:t>Проведення ОСР розрахунку дефіциту або профіциту коштів щодо надходжень та витрат, пов'язаних з наданням послуг з приєднання, на виконання вимог пункту 1.5 глави 1 цієї Методики має здійснюватися без застосування коефіцієнта оптимізації коштів.</w:t>
            </w:r>
          </w:p>
        </w:tc>
        <w:tc>
          <w:tcPr>
            <w:tcW w:w="7146" w:type="dxa"/>
          </w:tcPr>
          <w:p w:rsidR="00006018" w:rsidRPr="00EF1540" w:rsidRDefault="00006018" w:rsidP="00006018">
            <w:pPr>
              <w:ind w:firstLine="709"/>
              <w:jc w:val="both"/>
              <w:rPr>
                <w:rFonts w:ascii="Times New Roman" w:eastAsia="Times New Roman" w:hAnsi="Times New Roman" w:cs="Times New Roman"/>
                <w:sz w:val="24"/>
                <w:szCs w:val="24"/>
                <w:lang/>
              </w:rPr>
            </w:pPr>
            <w:bookmarkStart w:id="30" w:name="_Hlk161075764"/>
            <w:r w:rsidRPr="00A17353">
              <w:rPr>
                <w:rFonts w:ascii="Times New Roman" w:eastAsia="Times New Roman" w:hAnsi="Times New Roman" w:cs="Times New Roman"/>
                <w:b/>
                <w:sz w:val="24"/>
                <w:szCs w:val="24"/>
                <w:lang/>
              </w:rPr>
              <w:lastRenderedPageBreak/>
              <w:t>3.</w:t>
            </w:r>
            <w:r w:rsidR="00A17353" w:rsidRPr="00A17353">
              <w:rPr>
                <w:rFonts w:ascii="Times New Roman" w:eastAsia="Times New Roman" w:hAnsi="Times New Roman" w:cs="Times New Roman"/>
                <w:b/>
                <w:sz w:val="24"/>
                <w:szCs w:val="24"/>
                <w:lang/>
              </w:rPr>
              <w:t>5</w:t>
            </w:r>
            <w:r w:rsidRPr="00EF1540">
              <w:rPr>
                <w:rFonts w:ascii="Times New Roman" w:eastAsia="Times New Roman" w:hAnsi="Times New Roman" w:cs="Times New Roman"/>
                <w:sz w:val="24"/>
                <w:szCs w:val="24"/>
                <w:lang/>
              </w:rPr>
              <w:t xml:space="preserve">. З метою визначення величини дефіциту або профіциту коштів щодо надходжень та витрат, пов'язаних з наданням послуг зі стандартних приєднань, на економічно обґрунтованому рівні НКРЕКП здійснює </w:t>
            </w:r>
            <w:r w:rsidRPr="00EF1540">
              <w:rPr>
                <w:rFonts w:ascii="Times New Roman" w:eastAsia="Times New Roman" w:hAnsi="Times New Roman" w:cs="Times New Roman"/>
                <w:b/>
                <w:sz w:val="24"/>
                <w:szCs w:val="24"/>
                <w:lang/>
              </w:rPr>
              <w:t>під час проведення заходів державного контролю</w:t>
            </w:r>
            <w:r w:rsidRPr="00EF1540">
              <w:rPr>
                <w:rFonts w:ascii="Times New Roman" w:eastAsia="Times New Roman" w:hAnsi="Times New Roman" w:cs="Times New Roman"/>
                <w:sz w:val="24"/>
                <w:szCs w:val="24"/>
                <w:lang/>
              </w:rPr>
              <w:t xml:space="preserve"> перевірку та аналіз наданих операторами систем розподілу відповідно до пункту 1.5 глави 1 цієї Методики вихідних даних, зокрема шляхом аналізу актів виконаних робіт та проєктної документації, пов'язаних із наданням у базовому періоді послуг з приєднання до електричних </w:t>
            </w:r>
            <w:r w:rsidRPr="00EF1540">
              <w:rPr>
                <w:rFonts w:ascii="Times New Roman" w:eastAsia="Times New Roman" w:hAnsi="Times New Roman" w:cs="Times New Roman"/>
                <w:sz w:val="24"/>
                <w:szCs w:val="24"/>
                <w:lang/>
              </w:rPr>
              <w:lastRenderedPageBreak/>
              <w:t>мереж електроустановок замовників, що відповідають критеріям стандартного приєднання.</w:t>
            </w:r>
          </w:p>
          <w:p w:rsidR="00006018" w:rsidRPr="00EF1540" w:rsidRDefault="00006018" w:rsidP="00006018">
            <w:pPr>
              <w:ind w:firstLine="447"/>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 xml:space="preserve">Проведення </w:t>
            </w:r>
            <w:bookmarkStart w:id="31" w:name="_Hlk161075972"/>
            <w:r w:rsidR="008F73E4" w:rsidRPr="00EF1540">
              <w:rPr>
                <w:rFonts w:ascii="Times New Roman" w:eastAsia="Times New Roman" w:hAnsi="Times New Roman" w:cs="Times New Roman"/>
                <w:b/>
                <w:sz w:val="24"/>
                <w:szCs w:val="24"/>
                <w:lang/>
              </w:rPr>
              <w:t>операторами систем розподілу</w:t>
            </w:r>
            <w:r w:rsidRPr="00EF1540">
              <w:rPr>
                <w:rFonts w:ascii="Times New Roman" w:eastAsia="Times New Roman" w:hAnsi="Times New Roman" w:cs="Times New Roman"/>
                <w:sz w:val="24"/>
                <w:szCs w:val="24"/>
                <w:lang/>
              </w:rPr>
              <w:t xml:space="preserve"> </w:t>
            </w:r>
            <w:bookmarkEnd w:id="31"/>
            <w:r w:rsidRPr="00EF1540">
              <w:rPr>
                <w:rFonts w:ascii="Times New Roman" w:eastAsia="Times New Roman" w:hAnsi="Times New Roman" w:cs="Times New Roman"/>
                <w:sz w:val="24"/>
                <w:szCs w:val="24"/>
                <w:lang/>
              </w:rPr>
              <w:t>розрахунку дефіциту або профіциту коштів щодо надходжень та витрат, пов'язаних з наданням послуг з приєднання, на виконання вимог пункту 1.5 глави 1 цієї Методики має здійснюватися без застосування коефіцієнта оптимізації коштів</w:t>
            </w:r>
            <w:r w:rsidR="0051675E" w:rsidRPr="00EF1540">
              <w:rPr>
                <w:rFonts w:ascii="Times New Roman" w:eastAsia="Times New Roman" w:hAnsi="Times New Roman" w:cs="Times New Roman"/>
                <w:sz w:val="24"/>
                <w:szCs w:val="24"/>
                <w:lang/>
              </w:rPr>
              <w:t xml:space="preserve"> </w:t>
            </w:r>
            <w:r w:rsidR="0051675E" w:rsidRPr="00EF1540">
              <w:rPr>
                <w:rFonts w:ascii="Times New Roman" w:eastAsia="Times New Roman" w:hAnsi="Times New Roman" w:cs="Times New Roman"/>
                <w:b/>
                <w:sz w:val="24"/>
                <w:szCs w:val="24"/>
                <w:lang/>
              </w:rPr>
              <w:t>та коефіцієнта достовірності даних</w:t>
            </w:r>
            <w:r w:rsidRPr="00EF1540">
              <w:rPr>
                <w:rFonts w:ascii="Times New Roman" w:eastAsia="Times New Roman" w:hAnsi="Times New Roman" w:cs="Times New Roman"/>
                <w:b/>
                <w:sz w:val="24"/>
                <w:szCs w:val="24"/>
                <w:lang/>
              </w:rPr>
              <w:t>.</w:t>
            </w:r>
            <w:bookmarkEnd w:id="30"/>
          </w:p>
        </w:tc>
      </w:tr>
      <w:tr w:rsidR="00EF1540" w:rsidRPr="00EF1540" w:rsidTr="00D426BB">
        <w:trPr>
          <w:trHeight w:val="708"/>
        </w:trPr>
        <w:tc>
          <w:tcPr>
            <w:tcW w:w="8731" w:type="dxa"/>
          </w:tcPr>
          <w:p w:rsidR="00006018" w:rsidRPr="00EF1540" w:rsidRDefault="00006018" w:rsidP="00006018">
            <w:pPr>
              <w:ind w:firstLine="447"/>
              <w:jc w:val="both"/>
              <w:rPr>
                <w:rFonts w:ascii="Times New Roman" w:eastAsia="Times New Roman" w:hAnsi="Times New Roman" w:cs="Times New Roman"/>
                <w:sz w:val="24"/>
                <w:szCs w:val="24"/>
                <w:lang/>
              </w:rPr>
            </w:pPr>
            <w:bookmarkStart w:id="32" w:name="n384"/>
            <w:bookmarkEnd w:id="32"/>
            <w:r w:rsidRPr="00EF1540">
              <w:rPr>
                <w:rFonts w:ascii="Times New Roman" w:eastAsia="Times New Roman" w:hAnsi="Times New Roman" w:cs="Times New Roman"/>
                <w:sz w:val="24"/>
                <w:szCs w:val="24"/>
                <w:lang/>
              </w:rPr>
              <w:lastRenderedPageBreak/>
              <w:t xml:space="preserve">3.8. Розрахунок коефіцієнта оптимізації </w:t>
            </w:r>
            <w:r w:rsidRPr="00EF1540">
              <w:rPr>
                <w:rFonts w:ascii="Times New Roman" w:eastAsia="Times New Roman" w:hAnsi="Times New Roman" w:cs="Times New Roman"/>
                <w:noProof/>
                <w:sz w:val="24"/>
                <w:szCs w:val="24"/>
                <w:lang/>
              </w:rPr>
              <w:drawing>
                <wp:inline distT="0" distB="0" distL="0" distR="0" wp14:anchorId="219CC3C0" wp14:editId="160E6582">
                  <wp:extent cx="666750" cy="285750"/>
                  <wp:effectExtent l="0" t="0" r="0" b="0"/>
                  <wp:docPr id="8" name="Рисунок 8" descr="https://zakon.rada.gov.ua/laws/file/imgs/98/p480243n382-19.gif">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on.rada.gov.ua/laws/file/imgs/98/p480243n382-19.gif">
                            <a:hlinkClick r:id="rId66"/>
                          </pic:cNvPr>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666750" cy="285750"/>
                          </a:xfrm>
                          <a:prstGeom prst="rect">
                            <a:avLst/>
                          </a:prstGeom>
                          <a:noFill/>
                          <a:ln>
                            <a:noFill/>
                          </a:ln>
                        </pic:spPr>
                      </pic:pic>
                    </a:graphicData>
                  </a:graphic>
                </wp:inline>
              </w:drawing>
            </w:r>
            <w:r w:rsidRPr="00EF1540">
              <w:rPr>
                <w:rFonts w:ascii="Times New Roman" w:eastAsia="Times New Roman" w:hAnsi="Times New Roman" w:cs="Times New Roman"/>
                <w:sz w:val="24"/>
                <w:szCs w:val="24"/>
                <w:lang/>
              </w:rPr>
              <w:t>коштів щодо витрат, пов'язаних з наданням послуг зі стандартних приєднань електроустановок замовників до електричних мереж за базовий період, окремо проводиться НКРЕКП для міської та сільської місцевості на підставі аналізу актів за виконаними договорами про приєднання.</w:t>
            </w:r>
          </w:p>
          <w:p w:rsidR="00006018" w:rsidRPr="00EF1540" w:rsidRDefault="00006018" w:rsidP="00006018">
            <w:pPr>
              <w:ind w:firstLine="447"/>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Додатково проводиться окремий аналіз по кошторисах виконаних приєднань господарським і підрядним способами з найбільшими витратами:</w:t>
            </w:r>
          </w:p>
          <w:p w:rsidR="00006018" w:rsidRPr="00EF1540" w:rsidRDefault="00006018" w:rsidP="00006018">
            <w:pPr>
              <w:ind w:firstLine="447"/>
              <w:jc w:val="both"/>
              <w:rPr>
                <w:rFonts w:ascii="Times New Roman" w:eastAsia="Times New Roman" w:hAnsi="Times New Roman" w:cs="Times New Roman"/>
                <w:sz w:val="24"/>
                <w:szCs w:val="24"/>
                <w:lang/>
              </w:rPr>
            </w:pPr>
            <w:bookmarkStart w:id="33" w:name="n385"/>
            <w:bookmarkEnd w:id="33"/>
            <w:r w:rsidRPr="00EF1540">
              <w:rPr>
                <w:rFonts w:ascii="Times New Roman" w:eastAsia="Times New Roman" w:hAnsi="Times New Roman" w:cs="Times New Roman"/>
                <w:sz w:val="24"/>
                <w:szCs w:val="24"/>
                <w:lang/>
              </w:rPr>
              <w:t>по п’ять кошторисів для стандартних приєднань для міської та сільської місцевостей, виконаних підрядним способом;</w:t>
            </w:r>
          </w:p>
          <w:p w:rsidR="00006018" w:rsidRPr="00EF1540" w:rsidRDefault="00006018" w:rsidP="00006018">
            <w:pPr>
              <w:ind w:firstLine="447"/>
              <w:jc w:val="both"/>
              <w:rPr>
                <w:rFonts w:ascii="Times New Roman" w:eastAsia="Times New Roman" w:hAnsi="Times New Roman" w:cs="Times New Roman"/>
                <w:sz w:val="24"/>
                <w:szCs w:val="24"/>
                <w:lang/>
              </w:rPr>
            </w:pPr>
            <w:bookmarkStart w:id="34" w:name="n386"/>
            <w:bookmarkEnd w:id="34"/>
            <w:r w:rsidRPr="00EF1540">
              <w:rPr>
                <w:rFonts w:ascii="Times New Roman" w:eastAsia="Times New Roman" w:hAnsi="Times New Roman" w:cs="Times New Roman"/>
                <w:sz w:val="24"/>
                <w:szCs w:val="24"/>
                <w:lang/>
              </w:rPr>
              <w:t>по п’ять кошторисів для стандартних приєднань для міської та сільської місцевостей, виконаних господарським способом.</w:t>
            </w:r>
          </w:p>
          <w:p w:rsidR="00006018" w:rsidRPr="00EF1540" w:rsidRDefault="00006018" w:rsidP="00006018">
            <w:pPr>
              <w:ind w:firstLine="447"/>
              <w:jc w:val="both"/>
              <w:rPr>
                <w:rFonts w:ascii="Times New Roman" w:eastAsia="Times New Roman" w:hAnsi="Times New Roman" w:cs="Times New Roman"/>
                <w:sz w:val="24"/>
                <w:szCs w:val="24"/>
                <w:lang/>
              </w:rPr>
            </w:pPr>
            <w:bookmarkStart w:id="35" w:name="n387"/>
            <w:bookmarkEnd w:id="35"/>
            <w:r w:rsidRPr="00EF1540">
              <w:rPr>
                <w:rFonts w:ascii="Times New Roman" w:eastAsia="Times New Roman" w:hAnsi="Times New Roman" w:cs="Times New Roman"/>
                <w:sz w:val="24"/>
                <w:szCs w:val="24"/>
                <w:lang/>
              </w:rPr>
              <w:t>Вартісні показники на матеріали та обладнання враховуються із застосуванням коефіцієнта 1,1 для всього переліку матеріалів та обладнання, використаних під час надання послуг з приєднань.</w:t>
            </w:r>
          </w:p>
          <w:p w:rsidR="00006018" w:rsidRPr="00EF1540" w:rsidRDefault="00006018" w:rsidP="00006018">
            <w:pPr>
              <w:ind w:firstLine="447"/>
              <w:jc w:val="both"/>
              <w:rPr>
                <w:rFonts w:ascii="Times New Roman" w:eastAsia="Times New Roman" w:hAnsi="Times New Roman" w:cs="Times New Roman"/>
                <w:sz w:val="24"/>
                <w:szCs w:val="24"/>
                <w:lang/>
              </w:rPr>
            </w:pPr>
            <w:bookmarkStart w:id="36" w:name="n388"/>
            <w:bookmarkEnd w:id="36"/>
            <w:r w:rsidRPr="00EF1540">
              <w:rPr>
                <w:rFonts w:ascii="Times New Roman" w:eastAsia="Times New Roman" w:hAnsi="Times New Roman" w:cs="Times New Roman"/>
                <w:sz w:val="24"/>
                <w:szCs w:val="24"/>
                <w:lang/>
              </w:rPr>
              <w:t>У разі придбання обладнання/матеріалів, по яких відсутні цінові показники, граничні ціни визначаються виходячи з вартості складових обладнання в разі можливості такого аналізу або на підставі цінових показників на обладнання зі схожими технічними характеристиками.</w:t>
            </w:r>
          </w:p>
          <w:p w:rsidR="00006018" w:rsidRPr="00EF1540" w:rsidRDefault="00006018" w:rsidP="00006018">
            <w:pPr>
              <w:ind w:firstLine="447"/>
              <w:jc w:val="both"/>
              <w:rPr>
                <w:rFonts w:ascii="Times New Roman" w:eastAsia="Times New Roman" w:hAnsi="Times New Roman" w:cs="Times New Roman"/>
                <w:sz w:val="24"/>
                <w:szCs w:val="24"/>
                <w:lang/>
              </w:rPr>
            </w:pPr>
            <w:bookmarkStart w:id="37" w:name="n389"/>
            <w:bookmarkEnd w:id="37"/>
            <w:r w:rsidRPr="00EF1540">
              <w:rPr>
                <w:rFonts w:ascii="Times New Roman" w:eastAsia="Times New Roman" w:hAnsi="Times New Roman" w:cs="Times New Roman"/>
                <w:sz w:val="24"/>
                <w:szCs w:val="24"/>
                <w:lang/>
              </w:rPr>
              <w:t xml:space="preserve">Результати аналізу застосовуються </w:t>
            </w:r>
            <w:proofErr w:type="spellStart"/>
            <w:r w:rsidRPr="00EF1540">
              <w:rPr>
                <w:rFonts w:ascii="Times New Roman" w:eastAsia="Times New Roman" w:hAnsi="Times New Roman" w:cs="Times New Roman"/>
                <w:sz w:val="24"/>
                <w:szCs w:val="24"/>
                <w:lang/>
              </w:rPr>
              <w:t>пропорційно</w:t>
            </w:r>
            <w:proofErr w:type="spellEnd"/>
            <w:r w:rsidRPr="00EF1540">
              <w:rPr>
                <w:rFonts w:ascii="Times New Roman" w:eastAsia="Times New Roman" w:hAnsi="Times New Roman" w:cs="Times New Roman"/>
                <w:sz w:val="24"/>
                <w:szCs w:val="24"/>
                <w:lang/>
              </w:rPr>
              <w:t xml:space="preserve"> до кожного напряму для визначення фактичних капітальних витрат, понесених під час надання послуг зі стандартного приєднання (за об'єктами замовників, приєднання яких завершено в базовому періоді) для міської та сільської місцевості за першим та другим ступенями стандартного приєднання, за якими проводився аналіз.</w:t>
            </w:r>
          </w:p>
          <w:p w:rsidR="00006018" w:rsidRPr="00EF1540" w:rsidRDefault="00006018" w:rsidP="00006018">
            <w:pPr>
              <w:shd w:val="clear" w:color="auto" w:fill="FFFFFF"/>
              <w:ind w:firstLine="448"/>
              <w:jc w:val="both"/>
              <w:rPr>
                <w:rFonts w:ascii="Times New Roman" w:eastAsia="Times New Roman" w:hAnsi="Times New Roman" w:cs="Times New Roman"/>
                <w:sz w:val="24"/>
                <w:szCs w:val="24"/>
                <w:lang/>
              </w:rPr>
            </w:pPr>
          </w:p>
        </w:tc>
        <w:tc>
          <w:tcPr>
            <w:tcW w:w="7146" w:type="dxa"/>
          </w:tcPr>
          <w:p w:rsidR="00006018" w:rsidRPr="00EF1540" w:rsidRDefault="00006018" w:rsidP="00006018">
            <w:pPr>
              <w:ind w:firstLine="447"/>
              <w:jc w:val="both"/>
              <w:rPr>
                <w:rFonts w:ascii="Times New Roman" w:eastAsia="Times New Roman" w:hAnsi="Times New Roman" w:cs="Times New Roman"/>
                <w:sz w:val="24"/>
                <w:szCs w:val="24"/>
                <w:lang/>
              </w:rPr>
            </w:pPr>
            <w:bookmarkStart w:id="38" w:name="_Hlk161075784"/>
            <w:r w:rsidRPr="00A17353">
              <w:rPr>
                <w:rFonts w:ascii="Times New Roman" w:eastAsia="Times New Roman" w:hAnsi="Times New Roman" w:cs="Times New Roman"/>
                <w:b/>
                <w:sz w:val="24"/>
                <w:szCs w:val="24"/>
                <w:lang/>
              </w:rPr>
              <w:t>3.</w:t>
            </w:r>
            <w:r w:rsidR="00A17353" w:rsidRPr="00A17353">
              <w:rPr>
                <w:rFonts w:ascii="Times New Roman" w:eastAsia="Times New Roman" w:hAnsi="Times New Roman" w:cs="Times New Roman"/>
                <w:b/>
                <w:sz w:val="24"/>
                <w:szCs w:val="24"/>
                <w:lang/>
              </w:rPr>
              <w:t>6</w:t>
            </w:r>
            <w:r w:rsidRPr="00A17353">
              <w:rPr>
                <w:rFonts w:ascii="Times New Roman" w:eastAsia="Times New Roman" w:hAnsi="Times New Roman" w:cs="Times New Roman"/>
                <w:b/>
                <w:sz w:val="24"/>
                <w:szCs w:val="24"/>
                <w:lang/>
              </w:rPr>
              <w:t>.</w:t>
            </w:r>
            <w:r w:rsidRPr="00EF1540">
              <w:rPr>
                <w:rFonts w:ascii="Times New Roman" w:eastAsia="Times New Roman" w:hAnsi="Times New Roman" w:cs="Times New Roman"/>
                <w:sz w:val="24"/>
                <w:szCs w:val="24"/>
                <w:lang/>
              </w:rPr>
              <w:t xml:space="preserve"> Розрахунок коефіцієнта оптимізації </w:t>
            </w:r>
            <w:r w:rsidRPr="00EF1540">
              <w:rPr>
                <w:rFonts w:ascii="Times New Roman" w:eastAsia="Times New Roman" w:hAnsi="Times New Roman" w:cs="Times New Roman"/>
                <w:noProof/>
                <w:sz w:val="24"/>
                <w:szCs w:val="24"/>
                <w:lang/>
              </w:rPr>
              <w:drawing>
                <wp:inline distT="0" distB="0" distL="0" distR="0" wp14:anchorId="4158EE04" wp14:editId="0BAFD55D">
                  <wp:extent cx="666750" cy="285750"/>
                  <wp:effectExtent l="0" t="0" r="0" b="0"/>
                  <wp:docPr id="9" name="Рисунок 9" descr="https://zakon.rada.gov.ua/laws/file/imgs/98/p480243n382-19.gif">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on.rada.gov.ua/laws/file/imgs/98/p480243n382-19.gif">
                            <a:hlinkClick r:id="rId66"/>
                          </pic:cNvPr>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666750" cy="285750"/>
                          </a:xfrm>
                          <a:prstGeom prst="rect">
                            <a:avLst/>
                          </a:prstGeom>
                          <a:noFill/>
                          <a:ln>
                            <a:noFill/>
                          </a:ln>
                        </pic:spPr>
                      </pic:pic>
                    </a:graphicData>
                  </a:graphic>
                </wp:inline>
              </w:drawing>
            </w:r>
            <w:r w:rsidRPr="00EF1540">
              <w:rPr>
                <w:rFonts w:ascii="Times New Roman" w:eastAsia="Times New Roman" w:hAnsi="Times New Roman" w:cs="Times New Roman"/>
                <w:sz w:val="24"/>
                <w:szCs w:val="24"/>
                <w:lang/>
              </w:rPr>
              <w:t>коштів щодо витрат, пов'язаних з наданням послуг зі стандартних приєднань електроустановок замовників до електричних мереж за базовий період, окремо проводиться НКРЕКП для міської та сільської місцевості на підставі аналізу актів за виконаними договорами про приєднання.</w:t>
            </w:r>
          </w:p>
          <w:p w:rsidR="00A17353" w:rsidRPr="00A17353" w:rsidRDefault="00A17353" w:rsidP="00A17353">
            <w:pPr>
              <w:ind w:firstLine="447"/>
              <w:jc w:val="both"/>
              <w:rPr>
                <w:rFonts w:ascii="Times New Roman" w:eastAsia="Times New Roman" w:hAnsi="Times New Roman" w:cs="Times New Roman"/>
                <w:b/>
                <w:sz w:val="24"/>
                <w:szCs w:val="24"/>
                <w:lang/>
              </w:rPr>
            </w:pPr>
            <w:r w:rsidRPr="00A17353">
              <w:rPr>
                <w:rFonts w:ascii="Times New Roman" w:eastAsia="Times New Roman" w:hAnsi="Times New Roman" w:cs="Times New Roman"/>
                <w:sz w:val="24"/>
                <w:szCs w:val="24"/>
                <w:lang/>
              </w:rPr>
              <w:t>Додатково проводиться окремий аналіз</w:t>
            </w:r>
            <w:r w:rsidRPr="00A17353">
              <w:rPr>
                <w:rFonts w:ascii="Times New Roman" w:eastAsia="Times New Roman" w:hAnsi="Times New Roman" w:cs="Times New Roman"/>
                <w:b/>
                <w:sz w:val="24"/>
                <w:szCs w:val="24"/>
                <w:lang/>
              </w:rPr>
              <w:t xml:space="preserve"> не менш як по п’яти </w:t>
            </w:r>
            <w:r w:rsidRPr="00A17353">
              <w:rPr>
                <w:rFonts w:ascii="Times New Roman" w:eastAsia="Times New Roman" w:hAnsi="Times New Roman" w:cs="Times New Roman"/>
                <w:sz w:val="24"/>
                <w:szCs w:val="24"/>
                <w:lang/>
              </w:rPr>
              <w:t>кошторисах з найбільшими витратами</w:t>
            </w:r>
            <w:r w:rsidRPr="00A17353">
              <w:rPr>
                <w:rFonts w:ascii="Times New Roman" w:eastAsia="Times New Roman" w:hAnsi="Times New Roman" w:cs="Times New Roman"/>
                <w:b/>
                <w:sz w:val="24"/>
                <w:szCs w:val="24"/>
                <w:lang/>
              </w:rPr>
              <w:t>:</w:t>
            </w:r>
          </w:p>
          <w:p w:rsidR="00A17353" w:rsidRPr="00A17353" w:rsidRDefault="00A17353" w:rsidP="00A17353">
            <w:pPr>
              <w:ind w:firstLine="447"/>
              <w:jc w:val="both"/>
              <w:rPr>
                <w:rFonts w:ascii="Times New Roman" w:eastAsia="Times New Roman" w:hAnsi="Times New Roman" w:cs="Times New Roman"/>
                <w:b/>
                <w:sz w:val="24"/>
                <w:szCs w:val="24"/>
                <w:lang/>
              </w:rPr>
            </w:pPr>
            <w:r w:rsidRPr="00A17353">
              <w:rPr>
                <w:rFonts w:ascii="Times New Roman" w:eastAsia="Times New Roman" w:hAnsi="Times New Roman" w:cs="Times New Roman"/>
                <w:b/>
                <w:sz w:val="24"/>
                <w:szCs w:val="24"/>
                <w:lang/>
              </w:rPr>
              <w:t>для стандартних приєднань для міської та сільської місцевостей, виконаних підрядним способом;</w:t>
            </w:r>
          </w:p>
          <w:p w:rsidR="00A17353" w:rsidRPr="00A17353" w:rsidRDefault="00A17353" w:rsidP="00A17353">
            <w:pPr>
              <w:ind w:firstLine="447"/>
              <w:jc w:val="both"/>
              <w:rPr>
                <w:rFonts w:ascii="Times New Roman" w:eastAsia="Times New Roman" w:hAnsi="Times New Roman" w:cs="Times New Roman"/>
                <w:b/>
                <w:sz w:val="24"/>
                <w:szCs w:val="24"/>
                <w:lang/>
              </w:rPr>
            </w:pPr>
            <w:r w:rsidRPr="00A17353">
              <w:rPr>
                <w:rFonts w:ascii="Times New Roman" w:eastAsia="Times New Roman" w:hAnsi="Times New Roman" w:cs="Times New Roman"/>
                <w:b/>
                <w:sz w:val="24"/>
                <w:szCs w:val="24"/>
                <w:lang/>
              </w:rPr>
              <w:t>для стандартних приєднань для міської та сільської місцевостей, виконаних господарським способом.</w:t>
            </w:r>
          </w:p>
          <w:p w:rsidR="00A17353" w:rsidRDefault="00A17353" w:rsidP="00006018">
            <w:pPr>
              <w:ind w:firstLine="447"/>
              <w:jc w:val="both"/>
              <w:rPr>
                <w:rFonts w:ascii="Times New Roman" w:eastAsia="Times New Roman" w:hAnsi="Times New Roman" w:cs="Times New Roman"/>
                <w:b/>
                <w:sz w:val="24"/>
                <w:szCs w:val="24"/>
                <w:lang/>
              </w:rPr>
            </w:pPr>
            <w:r w:rsidRPr="00A17353">
              <w:rPr>
                <w:rFonts w:ascii="Times New Roman" w:eastAsia="Times New Roman" w:hAnsi="Times New Roman" w:cs="Times New Roman"/>
                <w:b/>
                <w:sz w:val="24"/>
                <w:szCs w:val="24"/>
                <w:lang/>
              </w:rPr>
              <w:t>У разі, якщо фактична кількість наданих ОСР послуг зі стандартних приєднань у базовому періоді залежно від способу виконання та/або місцевості менша п’яти, аналіз по кошторисах виконаних приєднань проводиться по фактичній кількості наданих ОСР послуг зі стандартних приєднань у базовому періоді.</w:t>
            </w:r>
          </w:p>
          <w:p w:rsidR="00006018" w:rsidRPr="00EF1540" w:rsidRDefault="00006018" w:rsidP="00006018">
            <w:pPr>
              <w:ind w:firstLine="447"/>
              <w:jc w:val="both"/>
              <w:rPr>
                <w:rFonts w:ascii="Times New Roman" w:eastAsia="Times New Roman" w:hAnsi="Times New Roman" w:cs="Times New Roman"/>
                <w:b/>
                <w:sz w:val="24"/>
                <w:szCs w:val="24"/>
                <w:lang/>
              </w:rPr>
            </w:pPr>
            <w:r w:rsidRPr="00EF1540">
              <w:rPr>
                <w:rFonts w:ascii="Times New Roman" w:eastAsia="Times New Roman" w:hAnsi="Times New Roman" w:cs="Times New Roman"/>
                <w:sz w:val="24"/>
                <w:szCs w:val="24"/>
                <w:lang/>
              </w:rPr>
              <w:t>Вартісні показники на матеріали та обладнання враховуються із застосуванням коефіцієнта 1,1 для всього переліку матеріалів та обладнання, використаних під час надання послуг з приєднань</w:t>
            </w:r>
            <w:r w:rsidR="0051675E" w:rsidRPr="00EF1540">
              <w:rPr>
                <w:rFonts w:ascii="Times New Roman" w:eastAsia="Times New Roman" w:hAnsi="Times New Roman" w:cs="Times New Roman"/>
                <w:b/>
                <w:sz w:val="24"/>
                <w:szCs w:val="24"/>
                <w:lang/>
              </w:rPr>
              <w:t xml:space="preserve">, </w:t>
            </w:r>
            <w:r w:rsidR="001B16A7" w:rsidRPr="001B16A7">
              <w:rPr>
                <w:rFonts w:ascii="Times New Roman" w:eastAsia="Times New Roman" w:hAnsi="Times New Roman" w:cs="Times New Roman"/>
                <w:b/>
                <w:sz w:val="24"/>
                <w:szCs w:val="24"/>
                <w:lang/>
              </w:rPr>
              <w:t>у разі наявності в оператора системи розподілу профіциту коштів щодо надходжень та витрат, пов'язаних з наданням послуг з приєднання, визначених згідно з вимогами цієї Методики без застосування коефіцієнта оптимізації коштів та коефіцієнта достовірності даних</w:t>
            </w:r>
            <w:r w:rsidR="0051675E" w:rsidRPr="00EF1540">
              <w:rPr>
                <w:rFonts w:ascii="Times New Roman" w:eastAsia="Times New Roman" w:hAnsi="Times New Roman" w:cs="Times New Roman"/>
                <w:b/>
                <w:sz w:val="24"/>
                <w:szCs w:val="24"/>
                <w:lang/>
              </w:rPr>
              <w:t>.</w:t>
            </w:r>
          </w:p>
          <w:p w:rsidR="00006018" w:rsidRPr="00EF1540" w:rsidRDefault="00006018" w:rsidP="00006018">
            <w:pPr>
              <w:ind w:firstLine="447"/>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У разі придбання обладнання/матеріалів, по яких відсутні цінові показники, граничні ціни визначаються виходячи з вартості складових обладнання в разі можливості такого аналізу або на підставі цінових показників на обладнання зі схожими технічними характеристиками.</w:t>
            </w:r>
          </w:p>
          <w:p w:rsidR="00006018" w:rsidRPr="00EF1540" w:rsidRDefault="00006018" w:rsidP="00006018">
            <w:pPr>
              <w:ind w:firstLine="447"/>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 xml:space="preserve">Результати аналізу застосовуються </w:t>
            </w:r>
            <w:proofErr w:type="spellStart"/>
            <w:r w:rsidRPr="00EF1540">
              <w:rPr>
                <w:rFonts w:ascii="Times New Roman" w:eastAsia="Times New Roman" w:hAnsi="Times New Roman" w:cs="Times New Roman"/>
                <w:sz w:val="24"/>
                <w:szCs w:val="24"/>
                <w:lang/>
              </w:rPr>
              <w:t>пропорційно</w:t>
            </w:r>
            <w:proofErr w:type="spellEnd"/>
            <w:r w:rsidRPr="00EF1540">
              <w:rPr>
                <w:rFonts w:ascii="Times New Roman" w:eastAsia="Times New Roman" w:hAnsi="Times New Roman" w:cs="Times New Roman"/>
                <w:sz w:val="24"/>
                <w:szCs w:val="24"/>
                <w:lang/>
              </w:rPr>
              <w:t xml:space="preserve"> до кожного напряму для визначення фактичних капітальних витрат, понесених під час надання послуг зі стандартного приєднання (за об'єктами </w:t>
            </w:r>
            <w:r w:rsidRPr="00EF1540">
              <w:rPr>
                <w:rFonts w:ascii="Times New Roman" w:eastAsia="Times New Roman" w:hAnsi="Times New Roman" w:cs="Times New Roman"/>
                <w:sz w:val="24"/>
                <w:szCs w:val="24"/>
                <w:lang/>
              </w:rPr>
              <w:lastRenderedPageBreak/>
              <w:t>замовників, приєднання яких завершено в базовому періоді) для міської та сільської місцевості за першим та другим ступенями стандартного приєднання, за якими проводився аналіз.</w:t>
            </w:r>
            <w:bookmarkEnd w:id="38"/>
          </w:p>
        </w:tc>
      </w:tr>
      <w:tr w:rsidR="00EF1540" w:rsidRPr="00EF1540" w:rsidTr="00D426BB">
        <w:trPr>
          <w:trHeight w:val="275"/>
        </w:trPr>
        <w:tc>
          <w:tcPr>
            <w:tcW w:w="15877" w:type="dxa"/>
            <w:gridSpan w:val="2"/>
          </w:tcPr>
          <w:p w:rsidR="001E6219" w:rsidRPr="00EF1540" w:rsidRDefault="001E6219" w:rsidP="001E6219">
            <w:pPr>
              <w:ind w:firstLine="448"/>
              <w:jc w:val="center"/>
              <w:rPr>
                <w:rFonts w:ascii="Times New Roman" w:eastAsia="Times New Roman" w:hAnsi="Times New Roman" w:cs="Times New Roman"/>
                <w:b/>
                <w:sz w:val="24"/>
                <w:szCs w:val="24"/>
                <w:lang/>
              </w:rPr>
            </w:pPr>
            <w:r w:rsidRPr="00EF1540">
              <w:rPr>
                <w:rFonts w:ascii="Times New Roman" w:eastAsia="Times New Roman" w:hAnsi="Times New Roman" w:cs="Times New Roman"/>
                <w:b/>
                <w:sz w:val="24"/>
                <w:szCs w:val="24"/>
                <w:lang/>
              </w:rPr>
              <w:lastRenderedPageBreak/>
              <w:t>4. Плата за нестандартне приєднання до електричних мереж систем розподілу</w:t>
            </w:r>
          </w:p>
        </w:tc>
      </w:tr>
      <w:tr w:rsidR="00EF1540" w:rsidRPr="00EF1540" w:rsidTr="00D426BB">
        <w:trPr>
          <w:trHeight w:val="708"/>
        </w:trPr>
        <w:tc>
          <w:tcPr>
            <w:tcW w:w="8731" w:type="dxa"/>
          </w:tcPr>
          <w:p w:rsidR="001E6219" w:rsidRPr="00EF1540" w:rsidRDefault="001C1503" w:rsidP="001E6219">
            <w:pPr>
              <w:ind w:firstLine="448"/>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4.2. Для розрахунку ставок плати за нестандартне приєднання потужності та дефіциту або профіциту коштів щодо надходжень та витрат, пов'язаних з наданням послуг з нестандартних приєднань, оператор системи розподілу формує розширений звіт за формою, наведеною в додатку 1 до цієї Методики (з урахуванням граф 64-108), із зазначенням фактичних витрат (без ПДВ) на приєднання електроустановок замовників, які за ознаками відповідають нестандартним приєднанням, та пояснювальну записку, що містить обґрунтування витрат та розрахунків коефіцієнтів завантаження трансформаторних підстанцій основної мережі напругою 35-110 (154) кВ оператора системи розподілу, розрахованих відповідно до вимог глави 5 цієї Методики (для кожної територіальної одиниці оператора системи розподілу).</w:t>
            </w:r>
          </w:p>
        </w:tc>
        <w:tc>
          <w:tcPr>
            <w:tcW w:w="7146" w:type="dxa"/>
          </w:tcPr>
          <w:p w:rsidR="001E6219" w:rsidRPr="00EF1540" w:rsidRDefault="001C1503" w:rsidP="001E6219">
            <w:pPr>
              <w:ind w:firstLine="448"/>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 xml:space="preserve">4.2. Для розрахунку ставок плати за нестандартне приєднання потужності та дефіциту або профіциту коштів щодо надходжень та витрат, пов'язаних з наданням послуг з нестандартних приєднань, оператор системи розподілу формує </w:t>
            </w:r>
            <w:bookmarkStart w:id="39" w:name="_Hlk161076151"/>
            <w:r w:rsidRPr="00EF1540">
              <w:rPr>
                <w:rFonts w:ascii="Times New Roman" w:eastAsia="Times New Roman" w:hAnsi="Times New Roman" w:cs="Times New Roman"/>
                <w:strike/>
                <w:sz w:val="24"/>
                <w:szCs w:val="24"/>
                <w:lang/>
              </w:rPr>
              <w:t>розширений</w:t>
            </w:r>
            <w:bookmarkEnd w:id="39"/>
            <w:r w:rsidRPr="00EF1540">
              <w:rPr>
                <w:rFonts w:ascii="Times New Roman" w:eastAsia="Times New Roman" w:hAnsi="Times New Roman" w:cs="Times New Roman"/>
                <w:sz w:val="24"/>
                <w:szCs w:val="24"/>
                <w:lang/>
              </w:rPr>
              <w:t xml:space="preserve"> звіт за формою, наведеною в додатку 1 до цієї Методики </w:t>
            </w:r>
            <w:bookmarkStart w:id="40" w:name="_Hlk161076189"/>
            <w:r w:rsidRPr="00EF1540">
              <w:rPr>
                <w:rFonts w:ascii="Times New Roman" w:eastAsia="Times New Roman" w:hAnsi="Times New Roman" w:cs="Times New Roman"/>
                <w:strike/>
                <w:sz w:val="24"/>
                <w:szCs w:val="24"/>
                <w:lang/>
              </w:rPr>
              <w:t>(з урахуванням граф 64-108)</w:t>
            </w:r>
            <w:bookmarkEnd w:id="40"/>
            <w:r w:rsidRPr="00EF1540">
              <w:rPr>
                <w:rFonts w:ascii="Times New Roman" w:eastAsia="Times New Roman" w:hAnsi="Times New Roman" w:cs="Times New Roman"/>
                <w:sz w:val="24"/>
                <w:szCs w:val="24"/>
                <w:lang/>
              </w:rPr>
              <w:t>, із зазначенням фактичних витрат (без ПДВ) на приєднання електроустановок замовників, які за ознаками відповідають нестандартним приєднанням, та пояснювальну записку, що містить обґрунтування витрат та розрахунків коефіцієнтів завантаження трансформаторних підстанцій основної мережі напругою 35-110 (154) кВ оператора системи розподілу, розрахованих відповідно до вимог глави 5 цієї Методики (для кожної територіальної одиниці оператора системи розподілу).</w:t>
            </w:r>
          </w:p>
        </w:tc>
      </w:tr>
      <w:tr w:rsidR="00EF1540" w:rsidRPr="00EF1540" w:rsidTr="00D426BB">
        <w:trPr>
          <w:trHeight w:val="708"/>
        </w:trPr>
        <w:tc>
          <w:tcPr>
            <w:tcW w:w="8731" w:type="dxa"/>
          </w:tcPr>
          <w:p w:rsidR="004601A2" w:rsidRPr="00EF1540" w:rsidRDefault="004601A2" w:rsidP="004601A2">
            <w:pPr>
              <w:ind w:firstLine="448"/>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4.3. У випадку ненадання оператором системи розподілу інформації щодо фактичних витрат (без ПДВ) на приєднання НКРЕКП затверджує для такого оператора системи розподілу ставки плати за нестандартне приєднання потужності виходячи з наявної інформації попередніх періодів усіх операторів систем розподілу на рівні найнижчих величин відповідних ставок плати за нестандартне приєднання потужності серед усіх інших операторів систем розподілу.</w:t>
            </w:r>
          </w:p>
          <w:p w:rsidR="004601A2" w:rsidRPr="00EF1540" w:rsidRDefault="004601A2" w:rsidP="004601A2">
            <w:pPr>
              <w:ind w:firstLine="448"/>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У разі ненадання операторами систем розподілу даних для розрахунку ставок плати за нестандартне приєднання потужності у вигляді та обсягах, установлених НКРЕКП, розрахунок ставок плати за нестандартне приєднання потужності проводиться на підставі даних, скоригованих НКРЕКП згідно з цією Методикою.</w:t>
            </w:r>
          </w:p>
          <w:p w:rsidR="004601A2" w:rsidRPr="00EF1540" w:rsidRDefault="004601A2" w:rsidP="004601A2">
            <w:pPr>
              <w:ind w:firstLine="448"/>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Для новоствореного оператора системи розподілу НКРЕКП затверджує ставки плати за нестандартне приєднання потужності на рівні середнього значення за величинами відповідних ставок плати за нестандартне приєднання потужності всіх інших операторів систем розподілу.</w:t>
            </w:r>
          </w:p>
        </w:tc>
        <w:tc>
          <w:tcPr>
            <w:tcW w:w="7146" w:type="dxa"/>
          </w:tcPr>
          <w:p w:rsidR="004601A2" w:rsidRPr="00EF1540" w:rsidRDefault="004601A2" w:rsidP="004601A2">
            <w:pPr>
              <w:ind w:firstLine="448"/>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4.3. У випадку ненадання оператором системи розподілу інформації</w:t>
            </w:r>
            <w:bookmarkStart w:id="41" w:name="_Hlk161076421"/>
            <w:r w:rsidRPr="00EF1540">
              <w:rPr>
                <w:rFonts w:ascii="Times New Roman" w:eastAsia="Times New Roman" w:hAnsi="Times New Roman" w:cs="Times New Roman"/>
                <w:b/>
                <w:sz w:val="24"/>
                <w:szCs w:val="24"/>
                <w:lang/>
              </w:rPr>
              <w:t>, зазначеної у пункті 1.</w:t>
            </w:r>
            <w:r w:rsidR="001B16A7">
              <w:rPr>
                <w:rFonts w:ascii="Times New Roman" w:eastAsia="Times New Roman" w:hAnsi="Times New Roman" w:cs="Times New Roman"/>
                <w:b/>
                <w:sz w:val="24"/>
                <w:szCs w:val="24"/>
                <w:lang/>
              </w:rPr>
              <w:t>4</w:t>
            </w:r>
            <w:r w:rsidRPr="00EF1540">
              <w:rPr>
                <w:rFonts w:ascii="Times New Roman" w:eastAsia="Times New Roman" w:hAnsi="Times New Roman" w:cs="Times New Roman"/>
                <w:b/>
                <w:sz w:val="24"/>
                <w:szCs w:val="24"/>
                <w:lang/>
              </w:rPr>
              <w:t xml:space="preserve"> цієї Методики, яка необхідна для розрахунку  розподілу ставок плати за нестандартне приєднання потужності,</w:t>
            </w:r>
            <w:bookmarkEnd w:id="41"/>
            <w:r w:rsidRPr="00EF1540">
              <w:rPr>
                <w:rFonts w:ascii="Times New Roman" w:eastAsia="Times New Roman" w:hAnsi="Times New Roman" w:cs="Times New Roman"/>
                <w:sz w:val="24"/>
                <w:szCs w:val="24"/>
                <w:lang/>
              </w:rPr>
              <w:t xml:space="preserve"> </w:t>
            </w:r>
            <w:bookmarkStart w:id="42" w:name="_Hlk161076380"/>
            <w:r w:rsidRPr="00EF1540">
              <w:rPr>
                <w:rFonts w:ascii="Times New Roman" w:eastAsia="Times New Roman" w:hAnsi="Times New Roman" w:cs="Times New Roman"/>
                <w:strike/>
                <w:sz w:val="24"/>
                <w:szCs w:val="24"/>
                <w:lang/>
              </w:rPr>
              <w:t xml:space="preserve">щодо фактичних витрат (без ПДВ) на приєднання </w:t>
            </w:r>
            <w:bookmarkEnd w:id="42"/>
            <w:r w:rsidRPr="00EF1540">
              <w:rPr>
                <w:rFonts w:ascii="Times New Roman" w:eastAsia="Times New Roman" w:hAnsi="Times New Roman" w:cs="Times New Roman"/>
                <w:sz w:val="24"/>
                <w:szCs w:val="24"/>
                <w:lang/>
              </w:rPr>
              <w:t>НКРЕКП затверджує для такого оператора системи розподілу ставки плати за нестандартне приєднання потужності виходячи з наявної інформації попередніх періодів усіх операторів систем розподілу на рівні найнижчих величин відповідних ставок плати за нестандартне приєднання потужності серед усіх інших операторів систем розподілу.</w:t>
            </w:r>
          </w:p>
          <w:p w:rsidR="004601A2" w:rsidRPr="00EF1540" w:rsidRDefault="004601A2" w:rsidP="004601A2">
            <w:pPr>
              <w:ind w:firstLine="448"/>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У разі ненадання операторами систем розподілу даних для розрахунку ставок плати за нестандартне приєднання потужності у вигляді та обсягах, установлених НКРЕКП, розрахунок ставок плати за нестандартне приєднання потужності проводиться на підставі даних, скоригованих НКРЕКП згідно з цією Методикою.</w:t>
            </w:r>
          </w:p>
          <w:p w:rsidR="004601A2" w:rsidRPr="00EF1540" w:rsidRDefault="004601A2" w:rsidP="004601A2">
            <w:pPr>
              <w:ind w:firstLine="448"/>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Для новоствореного оператора системи розподілу НКРЕКП затверджує ставки плати за нестандартне приєднання потужності на рівні середнього значення за величинами відповідних ставок плати за нестандартне приєднання потужності всіх інших операторів систем розподілу.</w:t>
            </w:r>
          </w:p>
        </w:tc>
      </w:tr>
      <w:tr w:rsidR="00EF1540" w:rsidRPr="00EF1540" w:rsidTr="00D426BB">
        <w:trPr>
          <w:trHeight w:val="245"/>
        </w:trPr>
        <w:tc>
          <w:tcPr>
            <w:tcW w:w="15877" w:type="dxa"/>
            <w:gridSpan w:val="2"/>
          </w:tcPr>
          <w:p w:rsidR="004601A2" w:rsidRPr="00EF1540" w:rsidRDefault="004601A2" w:rsidP="004601A2">
            <w:pPr>
              <w:shd w:val="clear" w:color="auto" w:fill="FFFFFF"/>
              <w:spacing w:after="150"/>
              <w:ind w:firstLine="450"/>
              <w:jc w:val="center"/>
              <w:rPr>
                <w:rFonts w:ascii="Times New Roman" w:eastAsia="Times New Roman" w:hAnsi="Times New Roman" w:cs="Times New Roman"/>
                <w:b/>
                <w:sz w:val="24"/>
                <w:szCs w:val="24"/>
                <w:lang w:eastAsia="uk-UA"/>
              </w:rPr>
            </w:pPr>
            <w:r w:rsidRPr="00EF1540">
              <w:rPr>
                <w:rFonts w:ascii="Times New Roman" w:eastAsia="Times New Roman" w:hAnsi="Times New Roman" w:cs="Times New Roman"/>
                <w:b/>
                <w:sz w:val="24"/>
                <w:szCs w:val="24"/>
                <w:lang w:eastAsia="uk-UA"/>
              </w:rPr>
              <w:t>5. Порядок формування плати за нестандартне приєднання електроустановок до електричних мереж</w:t>
            </w:r>
          </w:p>
        </w:tc>
      </w:tr>
      <w:tr w:rsidR="00EF1540" w:rsidRPr="00EF1540" w:rsidTr="00D426BB">
        <w:trPr>
          <w:trHeight w:val="708"/>
        </w:trPr>
        <w:tc>
          <w:tcPr>
            <w:tcW w:w="8731" w:type="dxa"/>
          </w:tcPr>
          <w:p w:rsidR="004601A2" w:rsidRPr="00EF1540" w:rsidRDefault="004601A2" w:rsidP="004601A2">
            <w:pPr>
              <w:pStyle w:val="rvps2"/>
              <w:jc w:val="both"/>
            </w:pPr>
            <w:r w:rsidRPr="00EF1540">
              <w:lastRenderedPageBreak/>
              <w:t xml:space="preserve">5.1. Плата за нестандартне приєднання «під ключ» </w:t>
            </w:r>
            <w:proofErr w:type="spellStart"/>
            <w:r w:rsidRPr="00EF1540">
              <w:rPr>
                <w:rStyle w:val="rvts9"/>
              </w:rPr>
              <w:t>П</w:t>
            </w:r>
            <w:r w:rsidRPr="00EF1540">
              <w:rPr>
                <w:rStyle w:val="rvts40"/>
              </w:rPr>
              <w:t>нст</w:t>
            </w:r>
            <w:proofErr w:type="spellEnd"/>
            <w:r w:rsidRPr="00EF1540">
              <w:t xml:space="preserve"> розраховується за формулою</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468"/>
              <w:gridCol w:w="1768"/>
              <w:gridCol w:w="221"/>
              <w:gridCol w:w="5285"/>
              <w:gridCol w:w="446"/>
            </w:tblGrid>
            <w:tr w:rsidR="00EF1540" w:rsidRPr="00EF1540" w:rsidTr="0020226D">
              <w:tc>
                <w:tcPr>
                  <w:tcW w:w="7366" w:type="dxa"/>
                  <w:gridSpan w:val="4"/>
                  <w:tcBorders>
                    <w:top w:val="nil"/>
                    <w:left w:val="nil"/>
                    <w:bottom w:val="nil"/>
                    <w:right w:val="nil"/>
                  </w:tcBorders>
                  <w:hideMark/>
                </w:tcPr>
                <w:p w:rsidR="004601A2" w:rsidRPr="00EF1540" w:rsidRDefault="004601A2" w:rsidP="004601A2">
                  <w:pPr>
                    <w:pStyle w:val="rvps12"/>
                    <w:jc w:val="center"/>
                  </w:pPr>
                  <w:bookmarkStart w:id="43" w:name="n269"/>
                  <w:bookmarkEnd w:id="43"/>
                  <w:r w:rsidRPr="00EF1540">
                    <w:rPr>
                      <w:noProof/>
                    </w:rPr>
                    <w:drawing>
                      <wp:inline distT="0" distB="0" distL="0" distR="0" wp14:anchorId="37D32E19" wp14:editId="3B9C4DF3">
                        <wp:extent cx="3886200" cy="276225"/>
                        <wp:effectExtent l="0" t="0" r="0" b="9525"/>
                        <wp:docPr id="11" name="Рисунок 11" descr="https://zakon.rada.gov.ua/laws/file/imgs/98/p480243n269-20.gif">
                          <a:hlinkClick xmlns:a="http://schemas.openxmlformats.org/drawingml/2006/main" r:id="rId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zakon.rada.gov.ua/laws/file/imgs/98/p480243n269-20.gif">
                                  <a:hlinkClick r:id="rId68"/>
                                </pic:cNvPr>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3886200" cy="276225"/>
                                </a:xfrm>
                                <a:prstGeom prst="rect">
                                  <a:avLst/>
                                </a:prstGeom>
                                <a:noFill/>
                                <a:ln>
                                  <a:noFill/>
                                </a:ln>
                              </pic:spPr>
                            </pic:pic>
                          </a:graphicData>
                        </a:graphic>
                      </wp:inline>
                    </w:drawing>
                  </w:r>
                </w:p>
              </w:tc>
              <w:tc>
                <w:tcPr>
                  <w:tcW w:w="424" w:type="dxa"/>
                  <w:tcBorders>
                    <w:top w:val="nil"/>
                    <w:left w:val="nil"/>
                    <w:bottom w:val="nil"/>
                    <w:right w:val="nil"/>
                  </w:tcBorders>
                  <w:vAlign w:val="center"/>
                  <w:hideMark/>
                </w:tcPr>
                <w:p w:rsidR="004601A2" w:rsidRPr="00EF1540" w:rsidRDefault="004601A2" w:rsidP="004601A2">
                  <w:pPr>
                    <w:pStyle w:val="rvps11"/>
                  </w:pPr>
                  <w:r w:rsidRPr="00EF1540">
                    <w:t>(6)</w:t>
                  </w:r>
                </w:p>
              </w:tc>
            </w:tr>
            <w:tr w:rsidR="00EF1540" w:rsidRPr="00EF1540" w:rsidTr="0020226D">
              <w:tblPrEx>
                <w:tblCellMar>
                  <w:top w:w="15" w:type="dxa"/>
                  <w:left w:w="15" w:type="dxa"/>
                  <w:bottom w:w="15" w:type="dxa"/>
                  <w:right w:w="15" w:type="dxa"/>
                </w:tblCellMar>
              </w:tblPrEx>
              <w:tc>
                <w:tcPr>
                  <w:tcW w:w="446" w:type="dxa"/>
                  <w:tcBorders>
                    <w:top w:val="nil"/>
                    <w:left w:val="nil"/>
                    <w:bottom w:val="nil"/>
                    <w:right w:val="nil"/>
                  </w:tcBorders>
                  <w:hideMark/>
                </w:tcPr>
                <w:p w:rsidR="004601A2" w:rsidRPr="00EF1540" w:rsidRDefault="004601A2" w:rsidP="004601A2">
                  <w:pPr>
                    <w:pStyle w:val="rvps14"/>
                  </w:pPr>
                  <w:bookmarkStart w:id="44" w:name="n270"/>
                  <w:bookmarkEnd w:id="44"/>
                  <w:r w:rsidRPr="00EF1540">
                    <w:t>де</w:t>
                  </w:r>
                </w:p>
              </w:tc>
              <w:tc>
                <w:tcPr>
                  <w:tcW w:w="1682" w:type="dxa"/>
                  <w:tcBorders>
                    <w:top w:val="nil"/>
                    <w:left w:val="nil"/>
                    <w:bottom w:val="nil"/>
                    <w:right w:val="nil"/>
                  </w:tcBorders>
                  <w:hideMark/>
                </w:tcPr>
                <w:p w:rsidR="004601A2" w:rsidRPr="00EF1540" w:rsidRDefault="004601A2" w:rsidP="004601A2">
                  <w:pPr>
                    <w:pStyle w:val="rvps14"/>
                  </w:pPr>
                  <w:proofErr w:type="spellStart"/>
                  <w:r w:rsidRPr="00EF1540">
                    <w:rPr>
                      <w:rStyle w:val="rvts9"/>
                    </w:rPr>
                    <w:t>Р</w:t>
                  </w:r>
                  <w:r w:rsidRPr="00EF1540">
                    <w:rPr>
                      <w:rStyle w:val="rvts40"/>
                    </w:rPr>
                    <w:t>заявл</w:t>
                  </w:r>
                  <w:proofErr w:type="spellEnd"/>
                </w:p>
              </w:tc>
              <w:tc>
                <w:tcPr>
                  <w:tcW w:w="210" w:type="dxa"/>
                  <w:tcBorders>
                    <w:top w:val="nil"/>
                    <w:left w:val="nil"/>
                    <w:bottom w:val="nil"/>
                    <w:right w:val="nil"/>
                  </w:tcBorders>
                  <w:hideMark/>
                </w:tcPr>
                <w:p w:rsidR="004601A2" w:rsidRPr="00EF1540" w:rsidRDefault="004601A2" w:rsidP="004601A2">
                  <w:pPr>
                    <w:pStyle w:val="rvps12"/>
                  </w:pPr>
                  <w:r w:rsidRPr="00EF1540">
                    <w:t>-</w:t>
                  </w:r>
                </w:p>
              </w:tc>
              <w:tc>
                <w:tcPr>
                  <w:tcW w:w="5452" w:type="dxa"/>
                  <w:gridSpan w:val="2"/>
                  <w:tcBorders>
                    <w:top w:val="nil"/>
                    <w:left w:val="nil"/>
                    <w:bottom w:val="nil"/>
                    <w:right w:val="nil"/>
                  </w:tcBorders>
                  <w:hideMark/>
                </w:tcPr>
                <w:p w:rsidR="004601A2" w:rsidRPr="00EF1540" w:rsidRDefault="004601A2" w:rsidP="004601A2">
                  <w:pPr>
                    <w:pStyle w:val="rvps14"/>
                  </w:pPr>
                  <w:r w:rsidRPr="00EF1540">
                    <w:t>потужність, заявлена до приєднання електроустановок замовника;</w:t>
                  </w:r>
                </w:p>
              </w:tc>
            </w:tr>
            <w:tr w:rsidR="00EF1540" w:rsidRPr="00EF1540" w:rsidTr="0020226D">
              <w:tblPrEx>
                <w:tblCellMar>
                  <w:top w:w="15" w:type="dxa"/>
                  <w:left w:w="15" w:type="dxa"/>
                  <w:bottom w:w="15" w:type="dxa"/>
                  <w:right w:w="15" w:type="dxa"/>
                </w:tblCellMar>
              </w:tblPrEx>
              <w:tc>
                <w:tcPr>
                  <w:tcW w:w="446" w:type="dxa"/>
                  <w:tcBorders>
                    <w:top w:val="nil"/>
                    <w:left w:val="nil"/>
                    <w:bottom w:val="nil"/>
                    <w:right w:val="nil"/>
                  </w:tcBorders>
                  <w:hideMark/>
                </w:tcPr>
                <w:p w:rsidR="004601A2" w:rsidRPr="00EF1540" w:rsidRDefault="004601A2" w:rsidP="004601A2">
                  <w:pPr>
                    <w:pStyle w:val="rvps14"/>
                  </w:pPr>
                </w:p>
              </w:tc>
              <w:tc>
                <w:tcPr>
                  <w:tcW w:w="1682" w:type="dxa"/>
                  <w:tcBorders>
                    <w:top w:val="nil"/>
                    <w:left w:val="nil"/>
                    <w:bottom w:val="nil"/>
                    <w:right w:val="nil"/>
                  </w:tcBorders>
                  <w:hideMark/>
                </w:tcPr>
                <w:p w:rsidR="004601A2" w:rsidRPr="00EF1540" w:rsidRDefault="004601A2" w:rsidP="004601A2">
                  <w:pPr>
                    <w:pStyle w:val="rvps14"/>
                  </w:pPr>
                  <w:r w:rsidRPr="00EF1540">
                    <w:rPr>
                      <w:noProof/>
                    </w:rPr>
                    <w:drawing>
                      <wp:inline distT="0" distB="0" distL="0" distR="0" wp14:anchorId="76672716" wp14:editId="6E535F97">
                        <wp:extent cx="885825" cy="219075"/>
                        <wp:effectExtent l="0" t="0" r="9525" b="9525"/>
                        <wp:docPr id="10" name="Рисунок 10" descr="https://zakon.rada.gov.ua/laws/file/imgs/98/p480243n270-21.gif">
                          <a:hlinkClick xmlns:a="http://schemas.openxmlformats.org/drawingml/2006/main" r:id="rId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rada.gov.ua/laws/file/imgs/98/p480243n270-21.gif">
                                  <a:hlinkClick r:id="rId70"/>
                                </pic:cNvPr>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885825" cy="219075"/>
                                </a:xfrm>
                                <a:prstGeom prst="rect">
                                  <a:avLst/>
                                </a:prstGeom>
                                <a:noFill/>
                                <a:ln>
                                  <a:noFill/>
                                </a:ln>
                              </pic:spPr>
                            </pic:pic>
                          </a:graphicData>
                        </a:graphic>
                      </wp:inline>
                    </w:drawing>
                  </w:r>
                </w:p>
              </w:tc>
              <w:tc>
                <w:tcPr>
                  <w:tcW w:w="210" w:type="dxa"/>
                  <w:tcBorders>
                    <w:top w:val="nil"/>
                    <w:left w:val="nil"/>
                    <w:bottom w:val="nil"/>
                    <w:right w:val="nil"/>
                  </w:tcBorders>
                  <w:hideMark/>
                </w:tcPr>
                <w:p w:rsidR="004601A2" w:rsidRPr="00EF1540" w:rsidRDefault="004601A2" w:rsidP="004601A2">
                  <w:pPr>
                    <w:pStyle w:val="rvps12"/>
                  </w:pPr>
                  <w:r w:rsidRPr="00EF1540">
                    <w:t>-</w:t>
                  </w:r>
                </w:p>
              </w:tc>
              <w:tc>
                <w:tcPr>
                  <w:tcW w:w="5452" w:type="dxa"/>
                  <w:gridSpan w:val="2"/>
                  <w:tcBorders>
                    <w:top w:val="nil"/>
                    <w:left w:val="nil"/>
                    <w:bottom w:val="nil"/>
                    <w:right w:val="nil"/>
                  </w:tcBorders>
                  <w:hideMark/>
                </w:tcPr>
                <w:p w:rsidR="004601A2" w:rsidRPr="00EF1540" w:rsidRDefault="004601A2" w:rsidP="004601A2">
                  <w:pPr>
                    <w:pStyle w:val="rvps14"/>
                    <w:jc w:val="both"/>
                  </w:pPr>
                  <w:r w:rsidRPr="00EF1540">
                    <w:t xml:space="preserve">ставка плати за нестандартне приєднання потужності електроустановок, тис. грн/кВт (без ПДВ), визначається за </w:t>
                  </w:r>
                  <w:hyperlink r:id="rId72" w:anchor="n272" w:history="1">
                    <w:r w:rsidRPr="00EF1540">
                      <w:rPr>
                        <w:rStyle w:val="a4"/>
                        <w:color w:val="auto"/>
                        <w:u w:val="none"/>
                      </w:rPr>
                      <w:t>формулами 7</w:t>
                    </w:r>
                  </w:hyperlink>
                  <w:r w:rsidRPr="00EF1540">
                    <w:t xml:space="preserve"> та </w:t>
                  </w:r>
                  <w:hyperlink r:id="rId73" w:anchor="n279" w:history="1">
                    <w:r w:rsidRPr="00EF1540">
                      <w:rPr>
                        <w:rStyle w:val="a4"/>
                        <w:color w:val="auto"/>
                        <w:u w:val="none"/>
                      </w:rPr>
                      <w:t>10</w:t>
                    </w:r>
                  </w:hyperlink>
                  <w:r w:rsidRPr="00EF1540">
                    <w:t xml:space="preserve"> цієї Методики, встановлюється НКРЕКП та диференціюється за такими індексами:</w:t>
                  </w:r>
                </w:p>
              </w:tc>
            </w:tr>
            <w:tr w:rsidR="00EF1540" w:rsidRPr="00EF1540" w:rsidTr="0020226D">
              <w:tblPrEx>
                <w:tblCellMar>
                  <w:top w:w="15" w:type="dxa"/>
                  <w:left w:w="15" w:type="dxa"/>
                  <w:bottom w:w="15" w:type="dxa"/>
                  <w:right w:w="15" w:type="dxa"/>
                </w:tblCellMar>
              </w:tblPrEx>
              <w:tc>
                <w:tcPr>
                  <w:tcW w:w="446" w:type="dxa"/>
                  <w:tcBorders>
                    <w:top w:val="nil"/>
                    <w:left w:val="nil"/>
                    <w:bottom w:val="nil"/>
                    <w:right w:val="nil"/>
                  </w:tcBorders>
                  <w:hideMark/>
                </w:tcPr>
                <w:p w:rsidR="004601A2" w:rsidRPr="00EF1540" w:rsidRDefault="004601A2" w:rsidP="004601A2">
                  <w:pPr>
                    <w:pStyle w:val="rvps14"/>
                  </w:pPr>
                </w:p>
              </w:tc>
              <w:tc>
                <w:tcPr>
                  <w:tcW w:w="1682" w:type="dxa"/>
                  <w:tcBorders>
                    <w:top w:val="nil"/>
                    <w:left w:val="nil"/>
                    <w:bottom w:val="nil"/>
                    <w:right w:val="nil"/>
                  </w:tcBorders>
                  <w:hideMark/>
                </w:tcPr>
                <w:p w:rsidR="004601A2" w:rsidRPr="00EF1540" w:rsidRDefault="004601A2" w:rsidP="004601A2">
                  <w:pPr>
                    <w:pStyle w:val="rvps14"/>
                  </w:pPr>
                  <w:r w:rsidRPr="00EF1540">
                    <w:t>к</w:t>
                  </w:r>
                </w:p>
              </w:tc>
              <w:tc>
                <w:tcPr>
                  <w:tcW w:w="210" w:type="dxa"/>
                  <w:tcBorders>
                    <w:top w:val="nil"/>
                    <w:left w:val="nil"/>
                    <w:bottom w:val="nil"/>
                    <w:right w:val="nil"/>
                  </w:tcBorders>
                  <w:hideMark/>
                </w:tcPr>
                <w:p w:rsidR="004601A2" w:rsidRPr="00EF1540" w:rsidRDefault="004601A2" w:rsidP="004601A2">
                  <w:pPr>
                    <w:pStyle w:val="rvps12"/>
                  </w:pPr>
                  <w:r w:rsidRPr="00EF1540">
                    <w:t>-</w:t>
                  </w:r>
                </w:p>
              </w:tc>
              <w:tc>
                <w:tcPr>
                  <w:tcW w:w="5452" w:type="dxa"/>
                  <w:gridSpan w:val="2"/>
                  <w:tcBorders>
                    <w:top w:val="nil"/>
                    <w:left w:val="nil"/>
                    <w:bottom w:val="nil"/>
                    <w:right w:val="nil"/>
                  </w:tcBorders>
                  <w:hideMark/>
                </w:tcPr>
                <w:p w:rsidR="004601A2" w:rsidRPr="00EF1540" w:rsidRDefault="004601A2" w:rsidP="004601A2">
                  <w:pPr>
                    <w:pStyle w:val="rvps14"/>
                    <w:jc w:val="both"/>
                  </w:pPr>
                  <w:r w:rsidRPr="00EF1540">
                    <w:t>категорія надійності електропостачання згідно з ПУЕ, заявлена замовником;</w:t>
                  </w:r>
                </w:p>
              </w:tc>
            </w:tr>
            <w:tr w:rsidR="00EF1540" w:rsidRPr="00EF1540" w:rsidTr="0020226D">
              <w:tblPrEx>
                <w:tblCellMar>
                  <w:top w:w="15" w:type="dxa"/>
                  <w:left w:w="15" w:type="dxa"/>
                  <w:bottom w:w="15" w:type="dxa"/>
                  <w:right w:w="15" w:type="dxa"/>
                </w:tblCellMar>
              </w:tblPrEx>
              <w:tc>
                <w:tcPr>
                  <w:tcW w:w="446" w:type="dxa"/>
                  <w:tcBorders>
                    <w:top w:val="nil"/>
                    <w:left w:val="nil"/>
                    <w:bottom w:val="nil"/>
                    <w:right w:val="nil"/>
                  </w:tcBorders>
                  <w:hideMark/>
                </w:tcPr>
                <w:p w:rsidR="004601A2" w:rsidRPr="00EF1540" w:rsidRDefault="004601A2" w:rsidP="004601A2">
                  <w:pPr>
                    <w:pStyle w:val="rvps14"/>
                  </w:pPr>
                </w:p>
              </w:tc>
              <w:tc>
                <w:tcPr>
                  <w:tcW w:w="1682" w:type="dxa"/>
                  <w:tcBorders>
                    <w:top w:val="nil"/>
                    <w:left w:val="nil"/>
                    <w:bottom w:val="nil"/>
                    <w:right w:val="nil"/>
                  </w:tcBorders>
                  <w:hideMark/>
                </w:tcPr>
                <w:p w:rsidR="004601A2" w:rsidRPr="00EF1540" w:rsidRDefault="004601A2" w:rsidP="004601A2">
                  <w:pPr>
                    <w:pStyle w:val="rvps14"/>
                  </w:pPr>
                  <w:r w:rsidRPr="00EF1540">
                    <w:t>н</w:t>
                  </w:r>
                </w:p>
              </w:tc>
              <w:tc>
                <w:tcPr>
                  <w:tcW w:w="210" w:type="dxa"/>
                  <w:tcBorders>
                    <w:top w:val="nil"/>
                    <w:left w:val="nil"/>
                    <w:bottom w:val="nil"/>
                    <w:right w:val="nil"/>
                  </w:tcBorders>
                  <w:hideMark/>
                </w:tcPr>
                <w:p w:rsidR="004601A2" w:rsidRPr="00EF1540" w:rsidRDefault="004601A2" w:rsidP="004601A2">
                  <w:pPr>
                    <w:pStyle w:val="rvps12"/>
                  </w:pPr>
                  <w:r w:rsidRPr="00EF1540">
                    <w:t>-</w:t>
                  </w:r>
                </w:p>
              </w:tc>
              <w:tc>
                <w:tcPr>
                  <w:tcW w:w="5452" w:type="dxa"/>
                  <w:gridSpan w:val="2"/>
                  <w:tcBorders>
                    <w:top w:val="nil"/>
                    <w:left w:val="nil"/>
                    <w:bottom w:val="nil"/>
                    <w:right w:val="nil"/>
                  </w:tcBorders>
                  <w:hideMark/>
                </w:tcPr>
                <w:p w:rsidR="004601A2" w:rsidRPr="00EF1540" w:rsidRDefault="004601A2" w:rsidP="004601A2">
                  <w:pPr>
                    <w:pStyle w:val="rvps14"/>
                    <w:jc w:val="both"/>
                  </w:pPr>
                  <w:r w:rsidRPr="00EF1540">
                    <w:t>індекс рівня напруги в точці приєднання (0,4 (0,23); 6 (10)20; 27 (35); (110 (154));</w:t>
                  </w:r>
                </w:p>
              </w:tc>
            </w:tr>
            <w:tr w:rsidR="00EF1540" w:rsidRPr="00EF1540" w:rsidTr="0020226D">
              <w:tblPrEx>
                <w:tblCellMar>
                  <w:top w:w="15" w:type="dxa"/>
                  <w:left w:w="15" w:type="dxa"/>
                  <w:bottom w:w="15" w:type="dxa"/>
                  <w:right w:w="15" w:type="dxa"/>
                </w:tblCellMar>
              </w:tblPrEx>
              <w:tc>
                <w:tcPr>
                  <w:tcW w:w="446" w:type="dxa"/>
                  <w:tcBorders>
                    <w:top w:val="nil"/>
                    <w:left w:val="nil"/>
                    <w:bottom w:val="nil"/>
                    <w:right w:val="nil"/>
                  </w:tcBorders>
                  <w:hideMark/>
                </w:tcPr>
                <w:p w:rsidR="004601A2" w:rsidRPr="00EF1540" w:rsidRDefault="004601A2" w:rsidP="004601A2">
                  <w:pPr>
                    <w:pStyle w:val="rvps14"/>
                  </w:pPr>
                </w:p>
              </w:tc>
              <w:tc>
                <w:tcPr>
                  <w:tcW w:w="1682" w:type="dxa"/>
                  <w:tcBorders>
                    <w:top w:val="nil"/>
                    <w:left w:val="nil"/>
                    <w:bottom w:val="nil"/>
                    <w:right w:val="nil"/>
                  </w:tcBorders>
                  <w:hideMark/>
                </w:tcPr>
                <w:p w:rsidR="004601A2" w:rsidRPr="00EF1540" w:rsidRDefault="004601A2" w:rsidP="004601A2">
                  <w:pPr>
                    <w:pStyle w:val="rvps14"/>
                  </w:pPr>
                  <w:proofErr w:type="spellStart"/>
                  <w:r w:rsidRPr="00EF1540">
                    <w:t>зтт</w:t>
                  </w:r>
                  <w:proofErr w:type="spellEnd"/>
                </w:p>
              </w:tc>
              <w:tc>
                <w:tcPr>
                  <w:tcW w:w="210" w:type="dxa"/>
                  <w:tcBorders>
                    <w:top w:val="nil"/>
                    <w:left w:val="nil"/>
                    <w:bottom w:val="nil"/>
                    <w:right w:val="nil"/>
                  </w:tcBorders>
                  <w:hideMark/>
                </w:tcPr>
                <w:p w:rsidR="004601A2" w:rsidRPr="00EF1540" w:rsidRDefault="004601A2" w:rsidP="004601A2">
                  <w:pPr>
                    <w:pStyle w:val="rvps12"/>
                  </w:pPr>
                  <w:r w:rsidRPr="00EF1540">
                    <w:t>-</w:t>
                  </w:r>
                </w:p>
              </w:tc>
              <w:tc>
                <w:tcPr>
                  <w:tcW w:w="5452" w:type="dxa"/>
                  <w:gridSpan w:val="2"/>
                  <w:tcBorders>
                    <w:top w:val="nil"/>
                    <w:left w:val="nil"/>
                    <w:bottom w:val="nil"/>
                    <w:right w:val="nil"/>
                  </w:tcBorders>
                  <w:hideMark/>
                </w:tcPr>
                <w:p w:rsidR="004601A2" w:rsidRPr="00EF1540" w:rsidRDefault="004601A2" w:rsidP="004601A2">
                  <w:pPr>
                    <w:pStyle w:val="rvps14"/>
                    <w:jc w:val="both"/>
                  </w:pPr>
                  <w:r w:rsidRPr="00EF1540">
                    <w:t>індекс завантаження трансформаторних підстанцій основної мережі напругою 35 - 110(154) кВ оператора системи розподілу в межах територіальної одиниці оператора системи розподілу;</w:t>
                  </w:r>
                </w:p>
              </w:tc>
            </w:tr>
            <w:tr w:rsidR="00EF1540" w:rsidRPr="00EF1540" w:rsidTr="0020226D">
              <w:tblPrEx>
                <w:tblCellMar>
                  <w:top w:w="15" w:type="dxa"/>
                  <w:left w:w="15" w:type="dxa"/>
                  <w:bottom w:w="15" w:type="dxa"/>
                  <w:right w:w="15" w:type="dxa"/>
                </w:tblCellMar>
              </w:tblPrEx>
              <w:tc>
                <w:tcPr>
                  <w:tcW w:w="446" w:type="dxa"/>
                  <w:tcBorders>
                    <w:top w:val="nil"/>
                    <w:left w:val="nil"/>
                    <w:bottom w:val="nil"/>
                    <w:right w:val="nil"/>
                  </w:tcBorders>
                  <w:hideMark/>
                </w:tcPr>
                <w:p w:rsidR="004601A2" w:rsidRPr="00EF1540" w:rsidRDefault="004601A2" w:rsidP="004601A2">
                  <w:pPr>
                    <w:pStyle w:val="rvps14"/>
                  </w:pPr>
                </w:p>
              </w:tc>
              <w:tc>
                <w:tcPr>
                  <w:tcW w:w="1682" w:type="dxa"/>
                  <w:tcBorders>
                    <w:top w:val="nil"/>
                    <w:left w:val="nil"/>
                    <w:bottom w:val="nil"/>
                    <w:right w:val="nil"/>
                  </w:tcBorders>
                  <w:hideMark/>
                </w:tcPr>
                <w:p w:rsidR="004601A2" w:rsidRPr="00EF1540" w:rsidRDefault="004601A2" w:rsidP="004601A2">
                  <w:pPr>
                    <w:pStyle w:val="rvps14"/>
                  </w:pPr>
                  <w:proofErr w:type="spellStart"/>
                  <w:r w:rsidRPr="00EF1540">
                    <w:t>місц</w:t>
                  </w:r>
                  <w:proofErr w:type="spellEnd"/>
                </w:p>
              </w:tc>
              <w:tc>
                <w:tcPr>
                  <w:tcW w:w="210" w:type="dxa"/>
                  <w:tcBorders>
                    <w:top w:val="nil"/>
                    <w:left w:val="nil"/>
                    <w:bottom w:val="nil"/>
                    <w:right w:val="nil"/>
                  </w:tcBorders>
                  <w:hideMark/>
                </w:tcPr>
                <w:p w:rsidR="004601A2" w:rsidRPr="00EF1540" w:rsidRDefault="004601A2" w:rsidP="004601A2">
                  <w:pPr>
                    <w:pStyle w:val="rvps12"/>
                  </w:pPr>
                  <w:r w:rsidRPr="00EF1540">
                    <w:t>-</w:t>
                  </w:r>
                </w:p>
              </w:tc>
              <w:tc>
                <w:tcPr>
                  <w:tcW w:w="5452" w:type="dxa"/>
                  <w:gridSpan w:val="2"/>
                  <w:tcBorders>
                    <w:top w:val="nil"/>
                    <w:left w:val="nil"/>
                    <w:bottom w:val="nil"/>
                    <w:right w:val="nil"/>
                  </w:tcBorders>
                  <w:hideMark/>
                </w:tcPr>
                <w:p w:rsidR="004601A2" w:rsidRPr="00EF1540" w:rsidRDefault="004601A2" w:rsidP="004601A2">
                  <w:pPr>
                    <w:pStyle w:val="rvps14"/>
                    <w:jc w:val="both"/>
                  </w:pPr>
                  <w:r w:rsidRPr="00EF1540">
                    <w:t>місцезнаходження електроустановок замовника (міська, сільська місцевість);</w:t>
                  </w:r>
                </w:p>
              </w:tc>
            </w:tr>
            <w:tr w:rsidR="00EF1540" w:rsidRPr="00EF1540" w:rsidTr="0020226D">
              <w:tblPrEx>
                <w:tblCellMar>
                  <w:top w:w="15" w:type="dxa"/>
                  <w:left w:w="15" w:type="dxa"/>
                  <w:bottom w:w="15" w:type="dxa"/>
                  <w:right w:w="15" w:type="dxa"/>
                </w:tblCellMar>
              </w:tblPrEx>
              <w:tc>
                <w:tcPr>
                  <w:tcW w:w="446" w:type="dxa"/>
                  <w:tcBorders>
                    <w:top w:val="nil"/>
                    <w:left w:val="nil"/>
                    <w:bottom w:val="nil"/>
                    <w:right w:val="nil"/>
                  </w:tcBorders>
                  <w:hideMark/>
                </w:tcPr>
                <w:p w:rsidR="004601A2" w:rsidRPr="00EF1540" w:rsidRDefault="004601A2" w:rsidP="004601A2">
                  <w:pPr>
                    <w:pStyle w:val="rvps14"/>
                  </w:pPr>
                </w:p>
              </w:tc>
              <w:tc>
                <w:tcPr>
                  <w:tcW w:w="1682" w:type="dxa"/>
                  <w:tcBorders>
                    <w:top w:val="nil"/>
                    <w:left w:val="nil"/>
                    <w:bottom w:val="nil"/>
                    <w:right w:val="nil"/>
                  </w:tcBorders>
                  <w:hideMark/>
                </w:tcPr>
                <w:p w:rsidR="004601A2" w:rsidRPr="00EF1540" w:rsidRDefault="004601A2" w:rsidP="004601A2">
                  <w:pPr>
                    <w:pStyle w:val="rvps14"/>
                  </w:pPr>
                  <w:proofErr w:type="spellStart"/>
                  <w:r w:rsidRPr="00EF1540">
                    <w:t>св</w:t>
                  </w:r>
                  <w:proofErr w:type="spellEnd"/>
                </w:p>
              </w:tc>
              <w:tc>
                <w:tcPr>
                  <w:tcW w:w="210" w:type="dxa"/>
                  <w:tcBorders>
                    <w:top w:val="nil"/>
                    <w:left w:val="nil"/>
                    <w:bottom w:val="nil"/>
                    <w:right w:val="nil"/>
                  </w:tcBorders>
                  <w:hideMark/>
                </w:tcPr>
                <w:p w:rsidR="004601A2" w:rsidRPr="00EF1540" w:rsidRDefault="004601A2" w:rsidP="004601A2">
                  <w:pPr>
                    <w:pStyle w:val="rvps12"/>
                    <w:spacing w:before="0" w:beforeAutospacing="0" w:after="0" w:afterAutospacing="0"/>
                  </w:pPr>
                  <w:r w:rsidRPr="00EF1540">
                    <w:t>-</w:t>
                  </w:r>
                </w:p>
              </w:tc>
              <w:tc>
                <w:tcPr>
                  <w:tcW w:w="5452" w:type="dxa"/>
                  <w:gridSpan w:val="2"/>
                  <w:tcBorders>
                    <w:top w:val="nil"/>
                    <w:left w:val="nil"/>
                    <w:bottom w:val="nil"/>
                    <w:right w:val="nil"/>
                  </w:tcBorders>
                  <w:hideMark/>
                </w:tcPr>
                <w:p w:rsidR="004601A2" w:rsidRPr="00EF1540" w:rsidRDefault="004601A2" w:rsidP="004601A2">
                  <w:pPr>
                    <w:pStyle w:val="rvps14"/>
                    <w:spacing w:before="0" w:beforeAutospacing="0" w:after="0" w:afterAutospacing="0"/>
                    <w:jc w:val="both"/>
                  </w:pPr>
                  <w:r w:rsidRPr="00EF1540">
                    <w:t>індекс типу електроустановки, що приєднується (с- електроустановка, призначена для споживання електричної енергії; в- електроустановка, призначена для виробництва електричної енергії);</w:t>
                  </w:r>
                </w:p>
                <w:p w:rsidR="004601A2" w:rsidRPr="00EF1540" w:rsidRDefault="004601A2" w:rsidP="004601A2">
                  <w:pPr>
                    <w:pStyle w:val="rvps14"/>
                    <w:spacing w:before="0" w:beforeAutospacing="0" w:after="0" w:afterAutospacing="0"/>
                    <w:jc w:val="both"/>
                  </w:pPr>
                </w:p>
              </w:tc>
            </w:tr>
            <w:tr w:rsidR="00EF1540" w:rsidRPr="00EF1540" w:rsidTr="0020226D">
              <w:tblPrEx>
                <w:tblCellMar>
                  <w:top w:w="15" w:type="dxa"/>
                  <w:left w:w="15" w:type="dxa"/>
                  <w:bottom w:w="15" w:type="dxa"/>
                  <w:right w:w="15" w:type="dxa"/>
                </w:tblCellMar>
              </w:tblPrEx>
              <w:tc>
                <w:tcPr>
                  <w:tcW w:w="446" w:type="dxa"/>
                  <w:tcBorders>
                    <w:top w:val="nil"/>
                    <w:left w:val="nil"/>
                    <w:bottom w:val="nil"/>
                    <w:right w:val="nil"/>
                  </w:tcBorders>
                </w:tcPr>
                <w:p w:rsidR="0020226D" w:rsidRPr="00EF1540" w:rsidRDefault="0020226D" w:rsidP="0020226D">
                  <w:pPr>
                    <w:pStyle w:val="rvps14"/>
                  </w:pPr>
                </w:p>
              </w:tc>
              <w:tc>
                <w:tcPr>
                  <w:tcW w:w="1682" w:type="dxa"/>
                  <w:tcBorders>
                    <w:top w:val="nil"/>
                    <w:left w:val="nil"/>
                    <w:bottom w:val="nil"/>
                    <w:right w:val="nil"/>
                  </w:tcBorders>
                </w:tcPr>
                <w:p w:rsidR="0020226D" w:rsidRPr="00EF1540" w:rsidRDefault="0020226D" w:rsidP="0020226D">
                  <w:pPr>
                    <w:pStyle w:val="rvps14"/>
                  </w:pPr>
                  <w:r w:rsidRPr="00EF1540">
                    <w:rPr>
                      <w:noProof/>
                    </w:rPr>
                    <w:drawing>
                      <wp:inline distT="0" distB="0" distL="0" distR="0" wp14:anchorId="0A702A21" wp14:editId="0C0CE093">
                        <wp:extent cx="523875" cy="219075"/>
                        <wp:effectExtent l="0" t="0" r="9525" b="9525"/>
                        <wp:docPr id="29" name="Рисунок 29" descr="https://zakon.rada.gov.ua/laws/file/imgs/98/p480243n270-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zakon.rada.gov.ua/laws/file/imgs/98/p480243n270-22.gif"/>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23875" cy="219075"/>
                                </a:xfrm>
                                <a:prstGeom prst="rect">
                                  <a:avLst/>
                                </a:prstGeom>
                                <a:noFill/>
                                <a:ln>
                                  <a:noFill/>
                                </a:ln>
                              </pic:spPr>
                            </pic:pic>
                          </a:graphicData>
                        </a:graphic>
                      </wp:inline>
                    </w:drawing>
                  </w:r>
                </w:p>
              </w:tc>
              <w:tc>
                <w:tcPr>
                  <w:tcW w:w="210" w:type="dxa"/>
                  <w:tcBorders>
                    <w:top w:val="nil"/>
                    <w:left w:val="nil"/>
                    <w:bottom w:val="nil"/>
                    <w:right w:val="nil"/>
                  </w:tcBorders>
                </w:tcPr>
                <w:p w:rsidR="0020226D" w:rsidRPr="00EF1540" w:rsidRDefault="0020226D" w:rsidP="0020226D">
                  <w:pPr>
                    <w:pStyle w:val="rvps12"/>
                    <w:spacing w:before="0" w:beforeAutospacing="0" w:after="0" w:afterAutospacing="0"/>
                  </w:pPr>
                </w:p>
              </w:tc>
              <w:tc>
                <w:tcPr>
                  <w:tcW w:w="5452" w:type="dxa"/>
                  <w:gridSpan w:val="2"/>
                  <w:tcBorders>
                    <w:top w:val="nil"/>
                    <w:left w:val="nil"/>
                    <w:bottom w:val="nil"/>
                    <w:right w:val="nil"/>
                  </w:tcBorders>
                </w:tcPr>
                <w:p w:rsidR="0020226D" w:rsidRPr="00EF1540" w:rsidRDefault="0020226D" w:rsidP="0020226D">
                  <w:pPr>
                    <w:pStyle w:val="rvps14"/>
                    <w:spacing w:before="0" w:beforeAutospacing="0" w:after="0" w:afterAutospacing="0"/>
                    <w:jc w:val="both"/>
                  </w:pPr>
                  <w:r w:rsidRPr="00EF1540">
                    <w:t>ставка плати за створення електричних мереж лінійної частини приєднання визначається за формулою 13 цієї Методики, встановлюється НКРЕКП та диференціюється за такими індексами:</w:t>
                  </w:r>
                </w:p>
              </w:tc>
            </w:tr>
            <w:tr w:rsidR="00EF1540" w:rsidRPr="00EF1540" w:rsidTr="0020226D">
              <w:tblPrEx>
                <w:tblCellMar>
                  <w:top w:w="15" w:type="dxa"/>
                  <w:left w:w="15" w:type="dxa"/>
                  <w:bottom w:w="15" w:type="dxa"/>
                  <w:right w:w="15" w:type="dxa"/>
                </w:tblCellMar>
              </w:tblPrEx>
              <w:tc>
                <w:tcPr>
                  <w:tcW w:w="446" w:type="dxa"/>
                  <w:tcBorders>
                    <w:top w:val="nil"/>
                    <w:left w:val="nil"/>
                    <w:bottom w:val="nil"/>
                    <w:right w:val="nil"/>
                  </w:tcBorders>
                </w:tcPr>
                <w:p w:rsidR="0020226D" w:rsidRPr="00EF1540" w:rsidRDefault="0020226D" w:rsidP="0020226D">
                  <w:pPr>
                    <w:pStyle w:val="rvps14"/>
                  </w:pPr>
                </w:p>
              </w:tc>
              <w:tc>
                <w:tcPr>
                  <w:tcW w:w="1682" w:type="dxa"/>
                  <w:tcBorders>
                    <w:top w:val="nil"/>
                    <w:left w:val="nil"/>
                    <w:bottom w:val="nil"/>
                    <w:right w:val="nil"/>
                  </w:tcBorders>
                </w:tcPr>
                <w:p w:rsidR="0020226D" w:rsidRPr="00EF1540" w:rsidRDefault="0020226D" w:rsidP="0020226D">
                  <w:pPr>
                    <w:pStyle w:val="rvps14"/>
                    <w:rPr>
                      <w:noProof/>
                    </w:rPr>
                  </w:pPr>
                </w:p>
              </w:tc>
              <w:tc>
                <w:tcPr>
                  <w:tcW w:w="210" w:type="dxa"/>
                  <w:tcBorders>
                    <w:top w:val="nil"/>
                    <w:left w:val="nil"/>
                    <w:bottom w:val="nil"/>
                    <w:right w:val="nil"/>
                  </w:tcBorders>
                </w:tcPr>
                <w:p w:rsidR="0020226D" w:rsidRPr="00EF1540" w:rsidRDefault="0020226D" w:rsidP="0020226D">
                  <w:pPr>
                    <w:pStyle w:val="rvps12"/>
                    <w:spacing w:before="0" w:beforeAutospacing="0" w:after="0" w:afterAutospacing="0"/>
                  </w:pPr>
                </w:p>
              </w:tc>
              <w:tc>
                <w:tcPr>
                  <w:tcW w:w="5452" w:type="dxa"/>
                  <w:gridSpan w:val="2"/>
                  <w:tcBorders>
                    <w:top w:val="nil"/>
                    <w:left w:val="nil"/>
                    <w:bottom w:val="nil"/>
                    <w:right w:val="nil"/>
                  </w:tcBorders>
                </w:tcPr>
                <w:p w:rsidR="0020226D" w:rsidRPr="00EF1540" w:rsidRDefault="0020226D" w:rsidP="0020226D">
                  <w:pPr>
                    <w:pStyle w:val="rvps14"/>
                    <w:spacing w:before="0" w:beforeAutospacing="0" w:after="0" w:afterAutospacing="0"/>
                    <w:jc w:val="both"/>
                  </w:pPr>
                  <w:r w:rsidRPr="00EF1540">
                    <w:t>….</w:t>
                  </w:r>
                </w:p>
              </w:tc>
            </w:tr>
          </w:tbl>
          <w:p w:rsidR="004601A2" w:rsidRPr="00EF1540" w:rsidRDefault="004601A2" w:rsidP="004601A2">
            <w:pPr>
              <w:pStyle w:val="rvps2"/>
              <w:shd w:val="clear" w:color="auto" w:fill="FFFFFF"/>
              <w:spacing w:before="0" w:beforeAutospacing="0" w:after="150" w:afterAutospacing="0"/>
              <w:ind w:firstLine="450"/>
              <w:jc w:val="both"/>
            </w:pPr>
          </w:p>
        </w:tc>
        <w:tc>
          <w:tcPr>
            <w:tcW w:w="7146" w:type="dxa"/>
          </w:tcPr>
          <w:p w:rsidR="004601A2" w:rsidRPr="00EF1540" w:rsidRDefault="004601A2" w:rsidP="004601A2">
            <w:pPr>
              <w:pStyle w:val="rvps2"/>
              <w:jc w:val="both"/>
            </w:pPr>
            <w:r w:rsidRPr="00EF1540">
              <w:t xml:space="preserve">5.1. Плата за нестандартне приєднання «під ключ» </w:t>
            </w:r>
            <w:proofErr w:type="spellStart"/>
            <w:r w:rsidRPr="00EF1540">
              <w:rPr>
                <w:rStyle w:val="rvts9"/>
              </w:rPr>
              <w:t>Пн</w:t>
            </w:r>
            <w:r w:rsidRPr="00EF1540">
              <w:rPr>
                <w:rStyle w:val="rvts40"/>
              </w:rPr>
              <w:t>ст</w:t>
            </w:r>
            <w:proofErr w:type="spellEnd"/>
            <w:r w:rsidRPr="00EF1540">
              <w:t xml:space="preserve"> розраховується за формулою</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420"/>
              <w:gridCol w:w="1587"/>
              <w:gridCol w:w="198"/>
              <w:gridCol w:w="4652"/>
              <w:gridCol w:w="400"/>
            </w:tblGrid>
            <w:tr w:rsidR="00EF1540" w:rsidRPr="00EF1540" w:rsidTr="00ED5210">
              <w:tc>
                <w:tcPr>
                  <w:tcW w:w="6948" w:type="dxa"/>
                  <w:gridSpan w:val="4"/>
                  <w:tcBorders>
                    <w:top w:val="nil"/>
                    <w:left w:val="nil"/>
                    <w:bottom w:val="nil"/>
                    <w:right w:val="nil"/>
                  </w:tcBorders>
                  <w:hideMark/>
                </w:tcPr>
                <w:p w:rsidR="004601A2" w:rsidRPr="00EF1540" w:rsidRDefault="004601A2" w:rsidP="004601A2">
                  <w:pPr>
                    <w:pStyle w:val="rvps12"/>
                    <w:jc w:val="center"/>
                  </w:pPr>
                  <w:r w:rsidRPr="00EF1540">
                    <w:rPr>
                      <w:noProof/>
                    </w:rPr>
                    <w:drawing>
                      <wp:inline distT="0" distB="0" distL="0" distR="0" wp14:anchorId="0F871394" wp14:editId="4C06C1A6">
                        <wp:extent cx="3886200" cy="276225"/>
                        <wp:effectExtent l="0" t="0" r="0" b="9525"/>
                        <wp:docPr id="12" name="Рисунок 12" descr="https://zakon.rada.gov.ua/laws/file/imgs/98/p480243n269-20.gif">
                          <a:hlinkClick xmlns:a="http://schemas.openxmlformats.org/drawingml/2006/main" r:id="rId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zakon.rada.gov.ua/laws/file/imgs/98/p480243n269-20.gif">
                                  <a:hlinkClick r:id="rId68"/>
                                </pic:cNvPr>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3886200" cy="276225"/>
                                </a:xfrm>
                                <a:prstGeom prst="rect">
                                  <a:avLst/>
                                </a:prstGeom>
                                <a:noFill/>
                                <a:ln>
                                  <a:noFill/>
                                </a:ln>
                              </pic:spPr>
                            </pic:pic>
                          </a:graphicData>
                        </a:graphic>
                      </wp:inline>
                    </w:drawing>
                  </w:r>
                </w:p>
              </w:tc>
              <w:tc>
                <w:tcPr>
                  <w:tcW w:w="400" w:type="dxa"/>
                  <w:tcBorders>
                    <w:top w:val="nil"/>
                    <w:left w:val="nil"/>
                    <w:bottom w:val="nil"/>
                    <w:right w:val="nil"/>
                  </w:tcBorders>
                  <w:vAlign w:val="center"/>
                  <w:hideMark/>
                </w:tcPr>
                <w:p w:rsidR="004601A2" w:rsidRPr="00EF1540" w:rsidRDefault="004601A2" w:rsidP="004601A2">
                  <w:pPr>
                    <w:pStyle w:val="rvps11"/>
                  </w:pPr>
                  <w:r w:rsidRPr="00EF1540">
                    <w:t>(6)</w:t>
                  </w:r>
                </w:p>
              </w:tc>
            </w:tr>
            <w:tr w:rsidR="00EF1540" w:rsidRPr="00EF1540" w:rsidTr="00ED5210">
              <w:tblPrEx>
                <w:tblCellMar>
                  <w:top w:w="15" w:type="dxa"/>
                  <w:left w:w="15" w:type="dxa"/>
                  <w:bottom w:w="15" w:type="dxa"/>
                  <w:right w:w="15" w:type="dxa"/>
                </w:tblCellMar>
              </w:tblPrEx>
              <w:tc>
                <w:tcPr>
                  <w:tcW w:w="420" w:type="dxa"/>
                  <w:tcBorders>
                    <w:top w:val="nil"/>
                    <w:left w:val="nil"/>
                    <w:bottom w:val="nil"/>
                    <w:right w:val="nil"/>
                  </w:tcBorders>
                  <w:hideMark/>
                </w:tcPr>
                <w:p w:rsidR="004601A2" w:rsidRPr="00EF1540" w:rsidRDefault="004601A2" w:rsidP="004601A2">
                  <w:pPr>
                    <w:pStyle w:val="rvps14"/>
                  </w:pPr>
                </w:p>
              </w:tc>
              <w:tc>
                <w:tcPr>
                  <w:tcW w:w="1587" w:type="dxa"/>
                  <w:tcBorders>
                    <w:top w:val="nil"/>
                    <w:left w:val="nil"/>
                    <w:bottom w:val="nil"/>
                    <w:right w:val="nil"/>
                  </w:tcBorders>
                  <w:hideMark/>
                </w:tcPr>
                <w:p w:rsidR="004601A2" w:rsidRPr="00EF1540" w:rsidRDefault="004601A2" w:rsidP="004601A2">
                  <w:pPr>
                    <w:pStyle w:val="rvps14"/>
                  </w:pPr>
                  <w:bookmarkStart w:id="45" w:name="_Hlk161076742"/>
                  <w:proofErr w:type="spellStart"/>
                  <w:r w:rsidRPr="00EF1540">
                    <w:rPr>
                      <w:rStyle w:val="rvts9"/>
                    </w:rPr>
                    <w:t>Р</w:t>
                  </w:r>
                  <w:r w:rsidRPr="00EF1540">
                    <w:rPr>
                      <w:rStyle w:val="rvts40"/>
                    </w:rPr>
                    <w:t>заявл</w:t>
                  </w:r>
                  <w:bookmarkEnd w:id="45"/>
                  <w:proofErr w:type="spellEnd"/>
                </w:p>
              </w:tc>
              <w:tc>
                <w:tcPr>
                  <w:tcW w:w="198" w:type="dxa"/>
                  <w:tcBorders>
                    <w:top w:val="nil"/>
                    <w:left w:val="nil"/>
                    <w:bottom w:val="nil"/>
                    <w:right w:val="nil"/>
                  </w:tcBorders>
                  <w:hideMark/>
                </w:tcPr>
                <w:p w:rsidR="004601A2" w:rsidRPr="00EF1540" w:rsidRDefault="004601A2" w:rsidP="004601A2">
                  <w:pPr>
                    <w:pStyle w:val="rvps12"/>
                  </w:pPr>
                  <w:r w:rsidRPr="00EF1540">
                    <w:t>-</w:t>
                  </w:r>
                </w:p>
              </w:tc>
              <w:tc>
                <w:tcPr>
                  <w:tcW w:w="5143" w:type="dxa"/>
                  <w:gridSpan w:val="2"/>
                  <w:tcBorders>
                    <w:top w:val="nil"/>
                    <w:left w:val="nil"/>
                    <w:bottom w:val="nil"/>
                    <w:right w:val="nil"/>
                  </w:tcBorders>
                  <w:hideMark/>
                </w:tcPr>
                <w:p w:rsidR="004601A2" w:rsidRPr="00EF1540" w:rsidRDefault="004601A2" w:rsidP="004601A2">
                  <w:pPr>
                    <w:pStyle w:val="rvps14"/>
                    <w:jc w:val="both"/>
                    <w:rPr>
                      <w:b/>
                    </w:rPr>
                  </w:pPr>
                  <w:bookmarkStart w:id="46" w:name="_Hlk161076761"/>
                  <w:r w:rsidRPr="00EF1540">
                    <w:t>потужність</w:t>
                  </w:r>
                  <w:r w:rsidRPr="00EF1540">
                    <w:rPr>
                      <w:b/>
                    </w:rPr>
                    <w:t xml:space="preserve"> </w:t>
                  </w:r>
                  <w:r w:rsidR="001B16A7" w:rsidRPr="001B16A7">
                    <w:rPr>
                      <w:b/>
                    </w:rPr>
                    <w:t xml:space="preserve">електроустановок замовника, заявлена до приєднання/ замовлена до збільшення величина дозволеної до відпуску потужності активного споживача понад 50 відсотків від величини дозволеної (договірної) потужності електроустановок споживача, що призначені для споживання електричної енергії, за механізмом </w:t>
                  </w:r>
                  <w:proofErr w:type="spellStart"/>
                  <w:r w:rsidR="001B16A7" w:rsidRPr="001B16A7">
                    <w:rPr>
                      <w:b/>
                    </w:rPr>
                    <w:t>самовиробництва</w:t>
                  </w:r>
                  <w:proofErr w:type="spellEnd"/>
                  <w:r w:rsidR="001B16A7" w:rsidRPr="001B16A7">
                    <w:rPr>
                      <w:b/>
                    </w:rPr>
                    <w:t xml:space="preserve"> (крім побутового споживача та малого непобутового споживача), включно з генеруючими установками та установками зберігання енергії третіх осіб;</w:t>
                  </w:r>
                  <w:bookmarkEnd w:id="46"/>
                </w:p>
              </w:tc>
            </w:tr>
            <w:tr w:rsidR="00EF1540" w:rsidRPr="00EF1540" w:rsidTr="00ED5210">
              <w:tblPrEx>
                <w:tblCellMar>
                  <w:top w:w="15" w:type="dxa"/>
                  <w:left w:w="15" w:type="dxa"/>
                  <w:bottom w:w="15" w:type="dxa"/>
                  <w:right w:w="15" w:type="dxa"/>
                </w:tblCellMar>
              </w:tblPrEx>
              <w:tc>
                <w:tcPr>
                  <w:tcW w:w="420" w:type="dxa"/>
                  <w:tcBorders>
                    <w:top w:val="nil"/>
                    <w:left w:val="nil"/>
                    <w:bottom w:val="nil"/>
                    <w:right w:val="nil"/>
                  </w:tcBorders>
                  <w:hideMark/>
                </w:tcPr>
                <w:p w:rsidR="004601A2" w:rsidRPr="00EF1540" w:rsidRDefault="004601A2" w:rsidP="004601A2">
                  <w:pPr>
                    <w:pStyle w:val="rvps14"/>
                  </w:pPr>
                </w:p>
              </w:tc>
              <w:tc>
                <w:tcPr>
                  <w:tcW w:w="1587" w:type="dxa"/>
                  <w:tcBorders>
                    <w:top w:val="nil"/>
                    <w:left w:val="nil"/>
                    <w:bottom w:val="nil"/>
                    <w:right w:val="nil"/>
                  </w:tcBorders>
                  <w:hideMark/>
                </w:tcPr>
                <w:p w:rsidR="004601A2" w:rsidRPr="00EF1540" w:rsidRDefault="004601A2" w:rsidP="004601A2">
                  <w:pPr>
                    <w:pStyle w:val="rvps14"/>
                  </w:pPr>
                  <w:r w:rsidRPr="00EF1540">
                    <w:rPr>
                      <w:noProof/>
                    </w:rPr>
                    <w:drawing>
                      <wp:inline distT="0" distB="0" distL="0" distR="0" wp14:anchorId="3A3FCF94" wp14:editId="3D0B252D">
                        <wp:extent cx="885825" cy="219075"/>
                        <wp:effectExtent l="0" t="0" r="9525" b="9525"/>
                        <wp:docPr id="13" name="Рисунок 13" descr="https://zakon.rada.gov.ua/laws/file/imgs/98/p480243n270-21.gif">
                          <a:hlinkClick xmlns:a="http://schemas.openxmlformats.org/drawingml/2006/main" r:id="rId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rada.gov.ua/laws/file/imgs/98/p480243n270-21.gif">
                                  <a:hlinkClick r:id="rId70"/>
                                </pic:cNvPr>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885825" cy="219075"/>
                                </a:xfrm>
                                <a:prstGeom prst="rect">
                                  <a:avLst/>
                                </a:prstGeom>
                                <a:noFill/>
                                <a:ln>
                                  <a:noFill/>
                                </a:ln>
                              </pic:spPr>
                            </pic:pic>
                          </a:graphicData>
                        </a:graphic>
                      </wp:inline>
                    </w:drawing>
                  </w:r>
                </w:p>
              </w:tc>
              <w:tc>
                <w:tcPr>
                  <w:tcW w:w="198" w:type="dxa"/>
                  <w:tcBorders>
                    <w:top w:val="nil"/>
                    <w:left w:val="nil"/>
                    <w:bottom w:val="nil"/>
                    <w:right w:val="nil"/>
                  </w:tcBorders>
                  <w:hideMark/>
                </w:tcPr>
                <w:p w:rsidR="004601A2" w:rsidRPr="00EF1540" w:rsidRDefault="004601A2" w:rsidP="004601A2">
                  <w:pPr>
                    <w:pStyle w:val="rvps12"/>
                  </w:pPr>
                  <w:r w:rsidRPr="00EF1540">
                    <w:t>-</w:t>
                  </w:r>
                </w:p>
              </w:tc>
              <w:tc>
                <w:tcPr>
                  <w:tcW w:w="5143" w:type="dxa"/>
                  <w:gridSpan w:val="2"/>
                  <w:tcBorders>
                    <w:top w:val="nil"/>
                    <w:left w:val="nil"/>
                    <w:bottom w:val="nil"/>
                    <w:right w:val="nil"/>
                  </w:tcBorders>
                  <w:hideMark/>
                </w:tcPr>
                <w:p w:rsidR="004601A2" w:rsidRPr="00EF1540" w:rsidRDefault="004601A2" w:rsidP="004601A2">
                  <w:pPr>
                    <w:pStyle w:val="rvps14"/>
                    <w:jc w:val="both"/>
                  </w:pPr>
                  <w:r w:rsidRPr="00EF1540">
                    <w:t xml:space="preserve">ставка плати за нестандартне приєднання потужності електроустановок, тис. грн/кВт (без ПДВ), визначається за </w:t>
                  </w:r>
                  <w:hyperlink r:id="rId75" w:anchor="n272" w:history="1">
                    <w:r w:rsidRPr="00EF1540">
                      <w:rPr>
                        <w:rStyle w:val="a4"/>
                        <w:color w:val="auto"/>
                        <w:u w:val="none"/>
                      </w:rPr>
                      <w:t xml:space="preserve">формулами </w:t>
                    </w:r>
                    <w:r w:rsidR="0020226D" w:rsidRPr="00EF1540">
                      <w:rPr>
                        <w:rStyle w:val="a4"/>
                        <w:b/>
                        <w:color w:val="auto"/>
                        <w:u w:val="none"/>
                      </w:rPr>
                      <w:t>6</w:t>
                    </w:r>
                  </w:hyperlink>
                  <w:r w:rsidRPr="00EF1540">
                    <w:rPr>
                      <w:b/>
                    </w:rPr>
                    <w:t xml:space="preserve"> та </w:t>
                  </w:r>
                  <w:hyperlink r:id="rId76" w:anchor="n279" w:history="1">
                    <w:r w:rsidR="0020226D" w:rsidRPr="00EF1540">
                      <w:rPr>
                        <w:rStyle w:val="a4"/>
                        <w:b/>
                        <w:color w:val="auto"/>
                        <w:u w:val="none"/>
                      </w:rPr>
                      <w:t>7</w:t>
                    </w:r>
                  </w:hyperlink>
                  <w:r w:rsidRPr="00EF1540">
                    <w:t xml:space="preserve"> цієї Методики, встановлюється НКРЕКП та диференціюється за такими індексами:</w:t>
                  </w:r>
                </w:p>
              </w:tc>
            </w:tr>
            <w:tr w:rsidR="00EF1540" w:rsidRPr="00EF1540" w:rsidTr="00ED5210">
              <w:tblPrEx>
                <w:tblCellMar>
                  <w:top w:w="15" w:type="dxa"/>
                  <w:left w:w="15" w:type="dxa"/>
                  <w:bottom w:w="15" w:type="dxa"/>
                  <w:right w:w="15" w:type="dxa"/>
                </w:tblCellMar>
              </w:tblPrEx>
              <w:tc>
                <w:tcPr>
                  <w:tcW w:w="420" w:type="dxa"/>
                  <w:tcBorders>
                    <w:top w:val="nil"/>
                    <w:left w:val="nil"/>
                    <w:bottom w:val="nil"/>
                    <w:right w:val="nil"/>
                  </w:tcBorders>
                  <w:hideMark/>
                </w:tcPr>
                <w:p w:rsidR="004601A2" w:rsidRPr="00EF1540" w:rsidRDefault="004601A2" w:rsidP="004601A2">
                  <w:pPr>
                    <w:pStyle w:val="rvps14"/>
                  </w:pPr>
                </w:p>
              </w:tc>
              <w:tc>
                <w:tcPr>
                  <w:tcW w:w="1587" w:type="dxa"/>
                  <w:tcBorders>
                    <w:top w:val="nil"/>
                    <w:left w:val="nil"/>
                    <w:bottom w:val="nil"/>
                    <w:right w:val="nil"/>
                  </w:tcBorders>
                  <w:hideMark/>
                </w:tcPr>
                <w:p w:rsidR="004601A2" w:rsidRPr="00EF1540" w:rsidRDefault="004601A2" w:rsidP="004601A2">
                  <w:pPr>
                    <w:pStyle w:val="rvps14"/>
                  </w:pPr>
                  <w:r w:rsidRPr="00EF1540">
                    <w:t>к</w:t>
                  </w:r>
                </w:p>
              </w:tc>
              <w:tc>
                <w:tcPr>
                  <w:tcW w:w="198" w:type="dxa"/>
                  <w:tcBorders>
                    <w:top w:val="nil"/>
                    <w:left w:val="nil"/>
                    <w:bottom w:val="nil"/>
                    <w:right w:val="nil"/>
                  </w:tcBorders>
                  <w:hideMark/>
                </w:tcPr>
                <w:p w:rsidR="004601A2" w:rsidRPr="00EF1540" w:rsidRDefault="004601A2" w:rsidP="004601A2">
                  <w:pPr>
                    <w:pStyle w:val="rvps12"/>
                  </w:pPr>
                  <w:r w:rsidRPr="00EF1540">
                    <w:t>-</w:t>
                  </w:r>
                </w:p>
              </w:tc>
              <w:tc>
                <w:tcPr>
                  <w:tcW w:w="5143" w:type="dxa"/>
                  <w:gridSpan w:val="2"/>
                  <w:tcBorders>
                    <w:top w:val="nil"/>
                    <w:left w:val="nil"/>
                    <w:bottom w:val="nil"/>
                    <w:right w:val="nil"/>
                  </w:tcBorders>
                  <w:hideMark/>
                </w:tcPr>
                <w:p w:rsidR="004601A2" w:rsidRPr="00EF1540" w:rsidRDefault="004601A2" w:rsidP="004601A2">
                  <w:pPr>
                    <w:pStyle w:val="rvps14"/>
                    <w:jc w:val="both"/>
                  </w:pPr>
                  <w:r w:rsidRPr="00EF1540">
                    <w:t>категорія надійності електропостачання згідно з ПУЕ, заявлена замовником;</w:t>
                  </w:r>
                </w:p>
              </w:tc>
            </w:tr>
            <w:tr w:rsidR="00EF1540" w:rsidRPr="00EF1540" w:rsidTr="00ED5210">
              <w:tblPrEx>
                <w:tblCellMar>
                  <w:top w:w="15" w:type="dxa"/>
                  <w:left w:w="15" w:type="dxa"/>
                  <w:bottom w:w="15" w:type="dxa"/>
                  <w:right w:w="15" w:type="dxa"/>
                </w:tblCellMar>
              </w:tblPrEx>
              <w:tc>
                <w:tcPr>
                  <w:tcW w:w="420" w:type="dxa"/>
                  <w:tcBorders>
                    <w:top w:val="nil"/>
                    <w:left w:val="nil"/>
                    <w:bottom w:val="nil"/>
                    <w:right w:val="nil"/>
                  </w:tcBorders>
                  <w:hideMark/>
                </w:tcPr>
                <w:p w:rsidR="004601A2" w:rsidRPr="00EF1540" w:rsidRDefault="004601A2" w:rsidP="004601A2">
                  <w:pPr>
                    <w:pStyle w:val="rvps14"/>
                  </w:pPr>
                </w:p>
              </w:tc>
              <w:tc>
                <w:tcPr>
                  <w:tcW w:w="1587" w:type="dxa"/>
                  <w:tcBorders>
                    <w:top w:val="nil"/>
                    <w:left w:val="nil"/>
                    <w:bottom w:val="nil"/>
                    <w:right w:val="nil"/>
                  </w:tcBorders>
                  <w:hideMark/>
                </w:tcPr>
                <w:p w:rsidR="004601A2" w:rsidRPr="00EF1540" w:rsidRDefault="004601A2" w:rsidP="004601A2">
                  <w:pPr>
                    <w:pStyle w:val="rvps14"/>
                  </w:pPr>
                  <w:r w:rsidRPr="00EF1540">
                    <w:t>н</w:t>
                  </w:r>
                </w:p>
              </w:tc>
              <w:tc>
                <w:tcPr>
                  <w:tcW w:w="198" w:type="dxa"/>
                  <w:tcBorders>
                    <w:top w:val="nil"/>
                    <w:left w:val="nil"/>
                    <w:bottom w:val="nil"/>
                    <w:right w:val="nil"/>
                  </w:tcBorders>
                  <w:hideMark/>
                </w:tcPr>
                <w:p w:rsidR="004601A2" w:rsidRPr="00EF1540" w:rsidRDefault="004601A2" w:rsidP="004601A2">
                  <w:pPr>
                    <w:pStyle w:val="rvps12"/>
                  </w:pPr>
                  <w:r w:rsidRPr="00EF1540">
                    <w:t>-</w:t>
                  </w:r>
                </w:p>
              </w:tc>
              <w:tc>
                <w:tcPr>
                  <w:tcW w:w="5143" w:type="dxa"/>
                  <w:gridSpan w:val="2"/>
                  <w:tcBorders>
                    <w:top w:val="nil"/>
                    <w:left w:val="nil"/>
                    <w:bottom w:val="nil"/>
                    <w:right w:val="nil"/>
                  </w:tcBorders>
                  <w:hideMark/>
                </w:tcPr>
                <w:p w:rsidR="004601A2" w:rsidRPr="00EF1540" w:rsidRDefault="004601A2" w:rsidP="004601A2">
                  <w:pPr>
                    <w:pStyle w:val="rvps14"/>
                    <w:jc w:val="both"/>
                  </w:pPr>
                  <w:r w:rsidRPr="00EF1540">
                    <w:t>індекс рівня напруги в точці приєднання (0,4 (0,23); 6 (10)20; 27 (35); (110 (154));</w:t>
                  </w:r>
                </w:p>
              </w:tc>
            </w:tr>
            <w:tr w:rsidR="00EF1540" w:rsidRPr="00EF1540" w:rsidTr="00ED5210">
              <w:tblPrEx>
                <w:tblCellMar>
                  <w:top w:w="15" w:type="dxa"/>
                  <w:left w:w="15" w:type="dxa"/>
                  <w:bottom w:w="15" w:type="dxa"/>
                  <w:right w:w="15" w:type="dxa"/>
                </w:tblCellMar>
              </w:tblPrEx>
              <w:tc>
                <w:tcPr>
                  <w:tcW w:w="420" w:type="dxa"/>
                  <w:tcBorders>
                    <w:top w:val="nil"/>
                    <w:left w:val="nil"/>
                    <w:bottom w:val="nil"/>
                    <w:right w:val="nil"/>
                  </w:tcBorders>
                  <w:hideMark/>
                </w:tcPr>
                <w:p w:rsidR="004601A2" w:rsidRPr="00EF1540" w:rsidRDefault="004601A2" w:rsidP="004601A2">
                  <w:pPr>
                    <w:pStyle w:val="rvps14"/>
                  </w:pPr>
                </w:p>
              </w:tc>
              <w:tc>
                <w:tcPr>
                  <w:tcW w:w="1587" w:type="dxa"/>
                  <w:tcBorders>
                    <w:top w:val="nil"/>
                    <w:left w:val="nil"/>
                    <w:bottom w:val="nil"/>
                    <w:right w:val="nil"/>
                  </w:tcBorders>
                  <w:hideMark/>
                </w:tcPr>
                <w:p w:rsidR="004601A2" w:rsidRPr="00EF1540" w:rsidRDefault="004601A2" w:rsidP="004601A2">
                  <w:pPr>
                    <w:pStyle w:val="rvps14"/>
                  </w:pPr>
                  <w:proofErr w:type="spellStart"/>
                  <w:r w:rsidRPr="00EF1540">
                    <w:t>зтт</w:t>
                  </w:r>
                  <w:proofErr w:type="spellEnd"/>
                </w:p>
              </w:tc>
              <w:tc>
                <w:tcPr>
                  <w:tcW w:w="198" w:type="dxa"/>
                  <w:tcBorders>
                    <w:top w:val="nil"/>
                    <w:left w:val="nil"/>
                    <w:bottom w:val="nil"/>
                    <w:right w:val="nil"/>
                  </w:tcBorders>
                  <w:hideMark/>
                </w:tcPr>
                <w:p w:rsidR="004601A2" w:rsidRPr="00EF1540" w:rsidRDefault="004601A2" w:rsidP="004601A2">
                  <w:pPr>
                    <w:pStyle w:val="rvps12"/>
                  </w:pPr>
                  <w:r w:rsidRPr="00EF1540">
                    <w:t>-</w:t>
                  </w:r>
                </w:p>
              </w:tc>
              <w:tc>
                <w:tcPr>
                  <w:tcW w:w="5143" w:type="dxa"/>
                  <w:gridSpan w:val="2"/>
                  <w:tcBorders>
                    <w:top w:val="nil"/>
                    <w:left w:val="nil"/>
                    <w:bottom w:val="nil"/>
                    <w:right w:val="nil"/>
                  </w:tcBorders>
                  <w:hideMark/>
                </w:tcPr>
                <w:p w:rsidR="004601A2" w:rsidRPr="00EF1540" w:rsidRDefault="004601A2" w:rsidP="004601A2">
                  <w:pPr>
                    <w:pStyle w:val="rvps14"/>
                    <w:jc w:val="both"/>
                  </w:pPr>
                  <w:r w:rsidRPr="00EF1540">
                    <w:t>індекс завантаження трансформаторних підстанцій основної мережі напругою 35 - 110(154) кВ оператора системи розподілу в межах територіальної одиниці оператора системи розподілу;</w:t>
                  </w:r>
                </w:p>
              </w:tc>
            </w:tr>
            <w:tr w:rsidR="00EF1540" w:rsidRPr="00EF1540" w:rsidTr="00ED5210">
              <w:tblPrEx>
                <w:tblCellMar>
                  <w:top w:w="15" w:type="dxa"/>
                  <w:left w:w="15" w:type="dxa"/>
                  <w:bottom w:w="15" w:type="dxa"/>
                  <w:right w:w="15" w:type="dxa"/>
                </w:tblCellMar>
              </w:tblPrEx>
              <w:tc>
                <w:tcPr>
                  <w:tcW w:w="420" w:type="dxa"/>
                  <w:tcBorders>
                    <w:top w:val="nil"/>
                    <w:left w:val="nil"/>
                    <w:bottom w:val="nil"/>
                    <w:right w:val="nil"/>
                  </w:tcBorders>
                  <w:hideMark/>
                </w:tcPr>
                <w:p w:rsidR="004601A2" w:rsidRPr="00EF1540" w:rsidRDefault="004601A2" w:rsidP="004601A2">
                  <w:pPr>
                    <w:pStyle w:val="rvps14"/>
                  </w:pPr>
                </w:p>
              </w:tc>
              <w:tc>
                <w:tcPr>
                  <w:tcW w:w="1587" w:type="dxa"/>
                  <w:tcBorders>
                    <w:top w:val="nil"/>
                    <w:left w:val="nil"/>
                    <w:bottom w:val="nil"/>
                    <w:right w:val="nil"/>
                  </w:tcBorders>
                  <w:hideMark/>
                </w:tcPr>
                <w:p w:rsidR="004601A2" w:rsidRPr="00EF1540" w:rsidRDefault="004601A2" w:rsidP="004601A2">
                  <w:pPr>
                    <w:pStyle w:val="rvps14"/>
                  </w:pPr>
                  <w:proofErr w:type="spellStart"/>
                  <w:r w:rsidRPr="00EF1540">
                    <w:t>місц</w:t>
                  </w:r>
                  <w:proofErr w:type="spellEnd"/>
                </w:p>
              </w:tc>
              <w:tc>
                <w:tcPr>
                  <w:tcW w:w="198" w:type="dxa"/>
                  <w:tcBorders>
                    <w:top w:val="nil"/>
                    <w:left w:val="nil"/>
                    <w:bottom w:val="nil"/>
                    <w:right w:val="nil"/>
                  </w:tcBorders>
                  <w:hideMark/>
                </w:tcPr>
                <w:p w:rsidR="004601A2" w:rsidRPr="00EF1540" w:rsidRDefault="004601A2" w:rsidP="004601A2">
                  <w:pPr>
                    <w:pStyle w:val="rvps12"/>
                  </w:pPr>
                  <w:r w:rsidRPr="00EF1540">
                    <w:t>-</w:t>
                  </w:r>
                </w:p>
              </w:tc>
              <w:tc>
                <w:tcPr>
                  <w:tcW w:w="5143" w:type="dxa"/>
                  <w:gridSpan w:val="2"/>
                  <w:tcBorders>
                    <w:top w:val="nil"/>
                    <w:left w:val="nil"/>
                    <w:bottom w:val="nil"/>
                    <w:right w:val="nil"/>
                  </w:tcBorders>
                  <w:hideMark/>
                </w:tcPr>
                <w:p w:rsidR="004601A2" w:rsidRPr="00EF1540" w:rsidRDefault="004601A2" w:rsidP="004601A2">
                  <w:pPr>
                    <w:pStyle w:val="rvps14"/>
                    <w:jc w:val="both"/>
                  </w:pPr>
                  <w:r w:rsidRPr="00EF1540">
                    <w:t>місцезнаходження електроустановок замовника (міська, сільська місцевість);</w:t>
                  </w:r>
                </w:p>
              </w:tc>
            </w:tr>
            <w:tr w:rsidR="00EF1540" w:rsidRPr="00EF1540" w:rsidTr="00ED5210">
              <w:tblPrEx>
                <w:tblCellMar>
                  <w:top w:w="15" w:type="dxa"/>
                  <w:left w:w="15" w:type="dxa"/>
                  <w:bottom w:w="15" w:type="dxa"/>
                  <w:right w:w="15" w:type="dxa"/>
                </w:tblCellMar>
              </w:tblPrEx>
              <w:tc>
                <w:tcPr>
                  <w:tcW w:w="420" w:type="dxa"/>
                  <w:tcBorders>
                    <w:top w:val="nil"/>
                    <w:left w:val="nil"/>
                    <w:bottom w:val="nil"/>
                    <w:right w:val="nil"/>
                  </w:tcBorders>
                  <w:hideMark/>
                </w:tcPr>
                <w:p w:rsidR="004601A2" w:rsidRPr="00EF1540" w:rsidRDefault="004601A2" w:rsidP="004601A2">
                  <w:pPr>
                    <w:pStyle w:val="rvps14"/>
                  </w:pPr>
                </w:p>
              </w:tc>
              <w:tc>
                <w:tcPr>
                  <w:tcW w:w="1587" w:type="dxa"/>
                  <w:tcBorders>
                    <w:top w:val="nil"/>
                    <w:left w:val="nil"/>
                    <w:bottom w:val="nil"/>
                    <w:right w:val="nil"/>
                  </w:tcBorders>
                  <w:hideMark/>
                </w:tcPr>
                <w:p w:rsidR="004601A2" w:rsidRPr="00EF1540" w:rsidRDefault="004601A2" w:rsidP="004601A2">
                  <w:pPr>
                    <w:pStyle w:val="rvps14"/>
                  </w:pPr>
                  <w:proofErr w:type="spellStart"/>
                  <w:r w:rsidRPr="00EF1540">
                    <w:t>св</w:t>
                  </w:r>
                  <w:proofErr w:type="spellEnd"/>
                </w:p>
              </w:tc>
              <w:tc>
                <w:tcPr>
                  <w:tcW w:w="198" w:type="dxa"/>
                  <w:tcBorders>
                    <w:top w:val="nil"/>
                    <w:left w:val="nil"/>
                    <w:bottom w:val="nil"/>
                    <w:right w:val="nil"/>
                  </w:tcBorders>
                  <w:hideMark/>
                </w:tcPr>
                <w:p w:rsidR="004601A2" w:rsidRPr="00EF1540" w:rsidRDefault="004601A2" w:rsidP="004601A2">
                  <w:pPr>
                    <w:pStyle w:val="rvps12"/>
                    <w:spacing w:before="0" w:beforeAutospacing="0" w:after="0" w:afterAutospacing="0"/>
                  </w:pPr>
                  <w:r w:rsidRPr="00EF1540">
                    <w:t>-</w:t>
                  </w:r>
                </w:p>
              </w:tc>
              <w:tc>
                <w:tcPr>
                  <w:tcW w:w="5143" w:type="dxa"/>
                  <w:gridSpan w:val="2"/>
                  <w:tcBorders>
                    <w:top w:val="nil"/>
                    <w:left w:val="nil"/>
                    <w:bottom w:val="nil"/>
                    <w:right w:val="nil"/>
                  </w:tcBorders>
                  <w:hideMark/>
                </w:tcPr>
                <w:p w:rsidR="004601A2" w:rsidRPr="00EF1540" w:rsidRDefault="004601A2" w:rsidP="004601A2">
                  <w:pPr>
                    <w:pStyle w:val="rvps14"/>
                    <w:spacing w:before="0" w:beforeAutospacing="0" w:after="0" w:afterAutospacing="0"/>
                    <w:jc w:val="both"/>
                  </w:pPr>
                  <w:r w:rsidRPr="00EF1540">
                    <w:t xml:space="preserve">індекс типу електроустановки, що приєднується (с- електроустановка, призначена для споживання електричної енергії; в- </w:t>
                  </w:r>
                  <w:r w:rsidRPr="00EF1540">
                    <w:lastRenderedPageBreak/>
                    <w:t>електроустановка, призначена для виробництва електричної енергії)</w:t>
                  </w:r>
                  <w:r w:rsidR="0020226D" w:rsidRPr="00EF1540">
                    <w:t>;</w:t>
                  </w:r>
                </w:p>
              </w:tc>
            </w:tr>
            <w:tr w:rsidR="00EF1540" w:rsidRPr="00EF1540" w:rsidTr="00ED5210">
              <w:tblPrEx>
                <w:tblCellMar>
                  <w:top w:w="15" w:type="dxa"/>
                  <w:left w:w="15" w:type="dxa"/>
                  <w:bottom w:w="15" w:type="dxa"/>
                  <w:right w:w="15" w:type="dxa"/>
                </w:tblCellMar>
              </w:tblPrEx>
              <w:tc>
                <w:tcPr>
                  <w:tcW w:w="420" w:type="dxa"/>
                  <w:tcBorders>
                    <w:top w:val="nil"/>
                    <w:left w:val="nil"/>
                    <w:bottom w:val="nil"/>
                    <w:right w:val="nil"/>
                  </w:tcBorders>
                </w:tcPr>
                <w:p w:rsidR="0020226D" w:rsidRPr="00EF1540" w:rsidRDefault="0020226D" w:rsidP="004601A2">
                  <w:pPr>
                    <w:pStyle w:val="rvps14"/>
                  </w:pPr>
                </w:p>
              </w:tc>
              <w:tc>
                <w:tcPr>
                  <w:tcW w:w="1587" w:type="dxa"/>
                  <w:tcBorders>
                    <w:top w:val="nil"/>
                    <w:left w:val="nil"/>
                    <w:bottom w:val="nil"/>
                    <w:right w:val="nil"/>
                  </w:tcBorders>
                </w:tcPr>
                <w:p w:rsidR="0020226D" w:rsidRPr="00EF1540" w:rsidRDefault="0020226D" w:rsidP="004601A2">
                  <w:pPr>
                    <w:pStyle w:val="rvps14"/>
                  </w:pPr>
                  <w:r w:rsidRPr="00EF1540">
                    <w:rPr>
                      <w:noProof/>
                    </w:rPr>
                    <w:drawing>
                      <wp:inline distT="0" distB="0" distL="0" distR="0">
                        <wp:extent cx="523875" cy="219075"/>
                        <wp:effectExtent l="0" t="0" r="9525" b="9525"/>
                        <wp:docPr id="14" name="Рисунок 14" descr="https://zakon.rada.gov.ua/laws/file/imgs/98/p480243n270-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zakon.rada.gov.ua/laws/file/imgs/98/p480243n270-22.gif"/>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23875" cy="219075"/>
                                </a:xfrm>
                                <a:prstGeom prst="rect">
                                  <a:avLst/>
                                </a:prstGeom>
                                <a:noFill/>
                                <a:ln>
                                  <a:noFill/>
                                </a:ln>
                              </pic:spPr>
                            </pic:pic>
                          </a:graphicData>
                        </a:graphic>
                      </wp:inline>
                    </w:drawing>
                  </w:r>
                </w:p>
              </w:tc>
              <w:tc>
                <w:tcPr>
                  <w:tcW w:w="198" w:type="dxa"/>
                  <w:tcBorders>
                    <w:top w:val="nil"/>
                    <w:left w:val="nil"/>
                    <w:bottom w:val="nil"/>
                    <w:right w:val="nil"/>
                  </w:tcBorders>
                </w:tcPr>
                <w:p w:rsidR="0020226D" w:rsidRPr="00EF1540" w:rsidRDefault="0020226D" w:rsidP="004601A2">
                  <w:pPr>
                    <w:pStyle w:val="rvps12"/>
                    <w:spacing w:before="0" w:beforeAutospacing="0" w:after="0" w:afterAutospacing="0"/>
                  </w:pPr>
                </w:p>
              </w:tc>
              <w:tc>
                <w:tcPr>
                  <w:tcW w:w="5143" w:type="dxa"/>
                  <w:gridSpan w:val="2"/>
                  <w:tcBorders>
                    <w:top w:val="nil"/>
                    <w:left w:val="nil"/>
                    <w:bottom w:val="nil"/>
                    <w:right w:val="nil"/>
                  </w:tcBorders>
                </w:tcPr>
                <w:p w:rsidR="0020226D" w:rsidRPr="00EF1540" w:rsidRDefault="0020226D" w:rsidP="004601A2">
                  <w:pPr>
                    <w:pStyle w:val="rvps14"/>
                    <w:spacing w:before="0" w:beforeAutospacing="0" w:after="0" w:afterAutospacing="0"/>
                    <w:jc w:val="both"/>
                  </w:pPr>
                  <w:r w:rsidRPr="00EF1540">
                    <w:t xml:space="preserve">ставка плати за створення електричних мереж лінійної частини приєднання визначається за формулою </w:t>
                  </w:r>
                  <w:r w:rsidRPr="00EF1540">
                    <w:rPr>
                      <w:b/>
                    </w:rPr>
                    <w:t>1</w:t>
                  </w:r>
                  <w:r w:rsidR="00D426BB" w:rsidRPr="00EF1540">
                    <w:rPr>
                      <w:b/>
                    </w:rPr>
                    <w:t>0</w:t>
                  </w:r>
                  <w:r w:rsidRPr="00EF1540">
                    <w:t xml:space="preserve"> цієї Методики, встановлюється НКРЕКП та диференціюється за такими індексами:</w:t>
                  </w:r>
                </w:p>
              </w:tc>
            </w:tr>
            <w:tr w:rsidR="00EF1540" w:rsidRPr="00EF1540" w:rsidTr="00ED5210">
              <w:tblPrEx>
                <w:tblCellMar>
                  <w:top w:w="15" w:type="dxa"/>
                  <w:left w:w="15" w:type="dxa"/>
                  <w:bottom w:w="15" w:type="dxa"/>
                  <w:right w:w="15" w:type="dxa"/>
                </w:tblCellMar>
              </w:tblPrEx>
              <w:tc>
                <w:tcPr>
                  <w:tcW w:w="420" w:type="dxa"/>
                  <w:tcBorders>
                    <w:top w:val="nil"/>
                    <w:left w:val="nil"/>
                    <w:bottom w:val="nil"/>
                    <w:right w:val="nil"/>
                  </w:tcBorders>
                </w:tcPr>
                <w:p w:rsidR="0020226D" w:rsidRPr="00EF1540" w:rsidRDefault="0020226D" w:rsidP="004601A2">
                  <w:pPr>
                    <w:pStyle w:val="rvps14"/>
                  </w:pPr>
                </w:p>
              </w:tc>
              <w:tc>
                <w:tcPr>
                  <w:tcW w:w="1587" w:type="dxa"/>
                  <w:tcBorders>
                    <w:top w:val="nil"/>
                    <w:left w:val="nil"/>
                    <w:bottom w:val="nil"/>
                    <w:right w:val="nil"/>
                  </w:tcBorders>
                </w:tcPr>
                <w:p w:rsidR="0020226D" w:rsidRPr="00EF1540" w:rsidRDefault="0020226D" w:rsidP="004601A2">
                  <w:pPr>
                    <w:pStyle w:val="rvps14"/>
                    <w:rPr>
                      <w:noProof/>
                    </w:rPr>
                  </w:pPr>
                </w:p>
              </w:tc>
              <w:tc>
                <w:tcPr>
                  <w:tcW w:w="198" w:type="dxa"/>
                  <w:tcBorders>
                    <w:top w:val="nil"/>
                    <w:left w:val="nil"/>
                    <w:bottom w:val="nil"/>
                    <w:right w:val="nil"/>
                  </w:tcBorders>
                </w:tcPr>
                <w:p w:rsidR="0020226D" w:rsidRPr="00EF1540" w:rsidRDefault="0020226D" w:rsidP="004601A2">
                  <w:pPr>
                    <w:pStyle w:val="rvps12"/>
                    <w:spacing w:before="0" w:beforeAutospacing="0" w:after="0" w:afterAutospacing="0"/>
                  </w:pPr>
                </w:p>
              </w:tc>
              <w:tc>
                <w:tcPr>
                  <w:tcW w:w="5143" w:type="dxa"/>
                  <w:gridSpan w:val="2"/>
                  <w:tcBorders>
                    <w:top w:val="nil"/>
                    <w:left w:val="nil"/>
                    <w:bottom w:val="nil"/>
                    <w:right w:val="nil"/>
                  </w:tcBorders>
                </w:tcPr>
                <w:p w:rsidR="0020226D" w:rsidRPr="00EF1540" w:rsidRDefault="0020226D" w:rsidP="004601A2">
                  <w:pPr>
                    <w:pStyle w:val="rvps14"/>
                    <w:spacing w:before="0" w:beforeAutospacing="0" w:after="0" w:afterAutospacing="0"/>
                    <w:jc w:val="both"/>
                  </w:pPr>
                  <w:r w:rsidRPr="00EF1540">
                    <w:t>….</w:t>
                  </w:r>
                </w:p>
              </w:tc>
            </w:tr>
          </w:tbl>
          <w:p w:rsidR="004601A2" w:rsidRPr="00EF1540" w:rsidRDefault="004601A2" w:rsidP="004601A2">
            <w:pPr>
              <w:shd w:val="clear" w:color="auto" w:fill="FFFFFF"/>
              <w:spacing w:after="150"/>
              <w:ind w:firstLine="450"/>
              <w:jc w:val="both"/>
              <w:rPr>
                <w:rFonts w:ascii="Times New Roman" w:eastAsia="Times New Roman" w:hAnsi="Times New Roman" w:cs="Times New Roman"/>
                <w:sz w:val="24"/>
                <w:szCs w:val="24"/>
                <w:lang w:eastAsia="uk-UA"/>
              </w:rPr>
            </w:pPr>
          </w:p>
        </w:tc>
      </w:tr>
      <w:tr w:rsidR="00EF1540" w:rsidRPr="00EF1540" w:rsidTr="00D426BB">
        <w:trPr>
          <w:trHeight w:val="708"/>
        </w:trPr>
        <w:tc>
          <w:tcPr>
            <w:tcW w:w="8731" w:type="dxa"/>
          </w:tcPr>
          <w:p w:rsidR="004601A2" w:rsidRPr="00EF1540" w:rsidRDefault="004601A2" w:rsidP="004601A2">
            <w:pPr>
              <w:pStyle w:val="rvps2"/>
              <w:ind w:firstLine="741"/>
              <w:jc w:val="both"/>
            </w:pPr>
            <w:r w:rsidRPr="00EF1540">
              <w:lastRenderedPageBreak/>
              <w:t xml:space="preserve">5.2. Ставка плати за нестандартне приєднання потужності </w:t>
            </w:r>
            <m:oMath>
              <m:sSubSup>
                <m:sSubSupPr>
                  <m:ctrlPr>
                    <w:rPr>
                      <w:rFonts w:ascii="Cambria Math" w:eastAsiaTheme="minorHAnsi" w:hAnsi="Cambria Math" w:cstheme="minorBidi"/>
                      <w:b/>
                      <w:lang w:eastAsia="en-US"/>
                    </w:rPr>
                  </m:ctrlPr>
                </m:sSubSupPr>
                <m:e>
                  <m:r>
                    <m:rPr>
                      <m:sty m:val="bi"/>
                    </m:rPr>
                    <w:rPr>
                      <w:rFonts w:ascii="Cambria Math" w:hAnsi="Cambria Math"/>
                    </w:rPr>
                    <m:t>С</m:t>
                  </m:r>
                </m:e>
                <m:sub>
                  <m:r>
                    <m:rPr>
                      <m:sty m:val="bi"/>
                    </m:rPr>
                    <w:rPr>
                      <w:rFonts w:ascii="Cambria Math" w:hAnsi="Cambria Math"/>
                    </w:rPr>
                    <m:t>нст</m:t>
                  </m:r>
                </m:sub>
                <m:sup>
                  <m:r>
                    <m:rPr>
                      <m:sty m:val="bi"/>
                    </m:rPr>
                    <w:rPr>
                      <w:rFonts w:ascii="Cambria Math" w:hAnsi="Cambria Math"/>
                    </w:rPr>
                    <m:t>к,н,зтт,місц,с</m:t>
                  </m:r>
                </m:sup>
              </m:sSubSup>
            </m:oMath>
            <w:r w:rsidRPr="00EF1540">
              <w:t xml:space="preserve"> для електроустановок, призначених для споживання електричної енергії, встановлюються НКРЕКП на розрахунковий період та розраховуються за формулою</w:t>
            </w:r>
          </w:p>
          <w:tbl>
            <w:tblPr>
              <w:tblW w:w="5000" w:type="pct"/>
              <w:tblCellMar>
                <w:top w:w="60" w:type="dxa"/>
                <w:left w:w="60" w:type="dxa"/>
                <w:bottom w:w="60" w:type="dxa"/>
                <w:right w:w="60" w:type="dxa"/>
              </w:tblCellMar>
              <w:tblLook w:val="04A0" w:firstRow="1" w:lastRow="0" w:firstColumn="1" w:lastColumn="0" w:noHBand="0" w:noVBand="1"/>
            </w:tblPr>
            <w:tblGrid>
              <w:gridCol w:w="450"/>
              <w:gridCol w:w="1515"/>
              <w:gridCol w:w="255"/>
              <w:gridCol w:w="5568"/>
              <w:gridCol w:w="400"/>
            </w:tblGrid>
            <w:tr w:rsidR="00EF1540" w:rsidRPr="00EF1540" w:rsidTr="0072208A">
              <w:tc>
                <w:tcPr>
                  <w:tcW w:w="12270" w:type="dxa"/>
                  <w:gridSpan w:val="4"/>
                  <w:hideMark/>
                </w:tcPr>
                <w:p w:rsidR="004601A2" w:rsidRPr="00EF1540" w:rsidRDefault="004601A2" w:rsidP="004601A2">
                  <w:pPr>
                    <w:pStyle w:val="rvps12"/>
                  </w:pPr>
                  <w:bookmarkStart w:id="47" w:name="n272"/>
                  <w:bookmarkEnd w:id="47"/>
                  <w:r w:rsidRPr="00EF1540">
                    <w:rPr>
                      <w:noProof/>
                    </w:rPr>
                    <w:drawing>
                      <wp:inline distT="0" distB="0" distL="0" distR="0" wp14:anchorId="6F9E02F7" wp14:editId="1BE4B2D9">
                        <wp:extent cx="4616450" cy="266700"/>
                        <wp:effectExtent l="0" t="0" r="0" b="0"/>
                        <wp:docPr id="59" name="Рисунок 59" descr="https://zakon.rada.gov.ua/laws/file/imgs/98/p480243n272-23.gif">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zakon.rada.gov.ua/laws/file/imgs/98/p480243n272-23.gif">
                                  <a:hlinkClick r:id="rId77"/>
                                </pic:cNvPr>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4616450" cy="266700"/>
                                </a:xfrm>
                                <a:prstGeom prst="rect">
                                  <a:avLst/>
                                </a:prstGeom>
                                <a:noFill/>
                                <a:ln>
                                  <a:noFill/>
                                </a:ln>
                              </pic:spPr>
                            </pic:pic>
                          </a:graphicData>
                        </a:graphic>
                      </wp:inline>
                    </w:drawing>
                  </w:r>
                </w:p>
              </w:tc>
              <w:tc>
                <w:tcPr>
                  <w:tcW w:w="405" w:type="dxa"/>
                  <w:vAlign w:val="center"/>
                  <w:hideMark/>
                </w:tcPr>
                <w:p w:rsidR="004601A2" w:rsidRPr="00EF1540" w:rsidRDefault="004601A2" w:rsidP="004601A2">
                  <w:pPr>
                    <w:pStyle w:val="rvps11"/>
                  </w:pPr>
                  <w:r w:rsidRPr="00EF1540">
                    <w:t>(7)</w:t>
                  </w:r>
                </w:p>
              </w:tc>
            </w:tr>
            <w:tr w:rsidR="00EF1540" w:rsidRPr="00EF1540" w:rsidTr="0072208A">
              <w:tblPrEx>
                <w:tblCellMar>
                  <w:top w:w="15" w:type="dxa"/>
                  <w:left w:w="15" w:type="dxa"/>
                  <w:bottom w:w="15" w:type="dxa"/>
                  <w:right w:w="15" w:type="dxa"/>
                </w:tblCellMar>
              </w:tblPrEx>
              <w:tc>
                <w:tcPr>
                  <w:tcW w:w="450" w:type="dxa"/>
                  <w:hideMark/>
                </w:tcPr>
                <w:p w:rsidR="004601A2" w:rsidRPr="00EF1540" w:rsidRDefault="004601A2" w:rsidP="004601A2">
                  <w:pPr>
                    <w:pStyle w:val="rvps14"/>
                  </w:pPr>
                  <w:bookmarkStart w:id="48" w:name="n273"/>
                  <w:bookmarkEnd w:id="48"/>
                  <w:r w:rsidRPr="00EF1540">
                    <w:t>де</w:t>
                  </w:r>
                </w:p>
              </w:tc>
              <w:tc>
                <w:tcPr>
                  <w:tcW w:w="1515" w:type="dxa"/>
                  <w:hideMark/>
                </w:tcPr>
                <w:p w:rsidR="004601A2" w:rsidRPr="00EF1540" w:rsidRDefault="004601A2" w:rsidP="004601A2">
                  <w:pPr>
                    <w:pStyle w:val="rvps14"/>
                  </w:pPr>
                  <w:r w:rsidRPr="00EF1540">
                    <w:rPr>
                      <w:noProof/>
                    </w:rPr>
                    <w:drawing>
                      <wp:inline distT="0" distB="0" distL="0" distR="0" wp14:anchorId="2FADDEB6" wp14:editId="3C45C894">
                        <wp:extent cx="711200" cy="209550"/>
                        <wp:effectExtent l="0" t="0" r="0" b="0"/>
                        <wp:docPr id="58" name="Рисунок 58" descr="https://zakon.rada.gov.ua/laws/file/imgs/98/p480243n273-24.gif">
                          <a:hlinkClick xmlns:a="http://schemas.openxmlformats.org/drawingml/2006/main" r:id="rId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zakon.rada.gov.ua/laws/file/imgs/98/p480243n273-24.gif">
                                  <a:hlinkClick r:id="rId79"/>
                                </pic:cNvPr>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711200" cy="209550"/>
                                </a:xfrm>
                                <a:prstGeom prst="rect">
                                  <a:avLst/>
                                </a:prstGeom>
                                <a:noFill/>
                                <a:ln>
                                  <a:noFill/>
                                </a:ln>
                              </pic:spPr>
                            </pic:pic>
                          </a:graphicData>
                        </a:graphic>
                      </wp:inline>
                    </w:drawing>
                  </w:r>
                </w:p>
              </w:tc>
              <w:tc>
                <w:tcPr>
                  <w:tcW w:w="255" w:type="dxa"/>
                  <w:hideMark/>
                </w:tcPr>
                <w:p w:rsidR="004601A2" w:rsidRPr="00EF1540" w:rsidRDefault="004601A2" w:rsidP="004601A2">
                  <w:pPr>
                    <w:pStyle w:val="rvps12"/>
                  </w:pPr>
                  <w:r w:rsidRPr="00EF1540">
                    <w:t>-</w:t>
                  </w:r>
                </w:p>
              </w:tc>
              <w:tc>
                <w:tcPr>
                  <w:tcW w:w="7080" w:type="dxa"/>
                  <w:gridSpan w:val="2"/>
                  <w:hideMark/>
                </w:tcPr>
                <w:p w:rsidR="004601A2" w:rsidRPr="00EF1540" w:rsidRDefault="004601A2" w:rsidP="004601A2">
                  <w:pPr>
                    <w:pStyle w:val="rvps14"/>
                  </w:pPr>
                  <w:r w:rsidRPr="00EF1540">
                    <w:t xml:space="preserve">питома вартість приєднання 1 кВт потужності електроустановок замовника, яка </w:t>
                  </w:r>
                  <w:bookmarkStart w:id="49" w:name="_Hlk161077227"/>
                  <w:r w:rsidRPr="00EF1540">
                    <w:t>розраховується за формулою</w:t>
                  </w:r>
                  <w:bookmarkEnd w:id="49"/>
                </w:p>
              </w:tc>
            </w:tr>
          </w:tbl>
          <w:p w:rsidR="004601A2" w:rsidRPr="00EF1540" w:rsidRDefault="004601A2" w:rsidP="004601A2">
            <w:pPr>
              <w:rPr>
                <w:vanish/>
              </w:rPr>
            </w:pPr>
            <w:bookmarkStart w:id="50" w:name="n274"/>
            <w:bookmarkEnd w:id="50"/>
          </w:p>
          <w:tbl>
            <w:tblPr>
              <w:tblW w:w="5000" w:type="pct"/>
              <w:tblCellMar>
                <w:top w:w="15" w:type="dxa"/>
                <w:left w:w="15" w:type="dxa"/>
                <w:bottom w:w="15" w:type="dxa"/>
                <w:right w:w="15" w:type="dxa"/>
              </w:tblCellMar>
              <w:tblLook w:val="04A0" w:firstRow="1" w:lastRow="0" w:firstColumn="1" w:lastColumn="0" w:noHBand="0" w:noVBand="1"/>
            </w:tblPr>
            <w:tblGrid>
              <w:gridCol w:w="628"/>
              <w:gridCol w:w="1548"/>
              <w:gridCol w:w="296"/>
              <w:gridCol w:w="5373"/>
              <w:gridCol w:w="343"/>
            </w:tblGrid>
            <w:tr w:rsidR="00EF1540" w:rsidRPr="00EF1540" w:rsidTr="0072208A">
              <w:tc>
                <w:tcPr>
                  <w:tcW w:w="7300" w:type="dxa"/>
                  <w:gridSpan w:val="4"/>
                  <w:hideMark/>
                </w:tcPr>
                <w:p w:rsidR="004601A2" w:rsidRPr="00EF1540" w:rsidRDefault="004601A2" w:rsidP="004601A2">
                  <w:pPr>
                    <w:pStyle w:val="rvps12"/>
                  </w:pPr>
                  <w:r w:rsidRPr="00EF1540">
                    <w:rPr>
                      <w:noProof/>
                    </w:rPr>
                    <w:drawing>
                      <wp:inline distT="0" distB="0" distL="0" distR="0" wp14:anchorId="5C2CB526" wp14:editId="3A2E5569">
                        <wp:extent cx="4178300" cy="495300"/>
                        <wp:effectExtent l="0" t="0" r="0" b="0"/>
                        <wp:docPr id="57" name="Рисунок 57" descr="https://zakon.rada.gov.ua/laws/file/imgs/98/p480243n274-25.gif">
                          <a:hlinkClick xmlns:a="http://schemas.openxmlformats.org/drawingml/2006/main" r:id="rId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zakon.rada.gov.ua/laws/file/imgs/98/p480243n274-25.gif">
                                  <a:hlinkClick r:id="rId81"/>
                                </pic:cNvPr>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4178300" cy="495300"/>
                                </a:xfrm>
                                <a:prstGeom prst="rect">
                                  <a:avLst/>
                                </a:prstGeom>
                                <a:noFill/>
                                <a:ln>
                                  <a:noFill/>
                                </a:ln>
                              </pic:spPr>
                            </pic:pic>
                          </a:graphicData>
                        </a:graphic>
                      </wp:inline>
                    </w:drawing>
                  </w:r>
                </w:p>
              </w:tc>
              <w:tc>
                <w:tcPr>
                  <w:tcW w:w="319" w:type="dxa"/>
                  <w:vAlign w:val="center"/>
                  <w:hideMark/>
                </w:tcPr>
                <w:p w:rsidR="004601A2" w:rsidRPr="00EF1540" w:rsidRDefault="004601A2" w:rsidP="004601A2">
                  <w:pPr>
                    <w:pStyle w:val="rvps11"/>
                  </w:pPr>
                  <w:r w:rsidRPr="00EF1540">
                    <w:t>(8)</w:t>
                  </w:r>
                </w:p>
              </w:tc>
            </w:tr>
            <w:tr w:rsidR="00EF1540" w:rsidRPr="00EF1540" w:rsidTr="0072208A">
              <w:tc>
                <w:tcPr>
                  <w:tcW w:w="585" w:type="dxa"/>
                  <w:hideMark/>
                </w:tcPr>
                <w:p w:rsidR="004601A2" w:rsidRPr="00EF1540" w:rsidRDefault="004601A2" w:rsidP="004601A2">
                  <w:pPr>
                    <w:pStyle w:val="rvps14"/>
                  </w:pPr>
                  <w:bookmarkStart w:id="51" w:name="n275"/>
                  <w:bookmarkEnd w:id="51"/>
                  <w:r w:rsidRPr="00EF1540">
                    <w:t>де</w:t>
                  </w:r>
                </w:p>
              </w:tc>
              <w:tc>
                <w:tcPr>
                  <w:tcW w:w="1440" w:type="dxa"/>
                  <w:hideMark/>
                </w:tcPr>
                <w:p w:rsidR="004601A2" w:rsidRPr="00EF1540" w:rsidRDefault="004601A2" w:rsidP="004601A2">
                  <w:pPr>
                    <w:pStyle w:val="rvps14"/>
                  </w:pPr>
                  <w:r w:rsidRPr="00EF1540">
                    <w:rPr>
                      <w:noProof/>
                    </w:rPr>
                    <w:drawing>
                      <wp:inline distT="0" distB="0" distL="0" distR="0" wp14:anchorId="1E8F787C" wp14:editId="010DF0A3">
                        <wp:extent cx="895350" cy="260350"/>
                        <wp:effectExtent l="0" t="0" r="0" b="6350"/>
                        <wp:docPr id="56" name="Рисунок 56" descr="https://zakon.rada.gov.ua/laws/file/imgs/98/p480243n275v1-26.gif">
                          <a:hlinkClick xmlns:a="http://schemas.openxmlformats.org/drawingml/2006/main" r:id="rId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zakon.rada.gov.ua/laws/file/imgs/98/p480243n275v1-26.gif">
                                  <a:hlinkClick r:id="rId83"/>
                                </pic:cNvPr>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895350" cy="260350"/>
                                </a:xfrm>
                                <a:prstGeom prst="rect">
                                  <a:avLst/>
                                </a:prstGeom>
                                <a:noFill/>
                                <a:ln>
                                  <a:noFill/>
                                </a:ln>
                              </pic:spPr>
                            </pic:pic>
                          </a:graphicData>
                        </a:graphic>
                      </wp:inline>
                    </w:drawing>
                  </w:r>
                </w:p>
              </w:tc>
              <w:tc>
                <w:tcPr>
                  <w:tcW w:w="275" w:type="dxa"/>
                  <w:hideMark/>
                </w:tcPr>
                <w:p w:rsidR="004601A2" w:rsidRPr="00EF1540" w:rsidRDefault="004601A2" w:rsidP="004601A2">
                  <w:pPr>
                    <w:pStyle w:val="rvps12"/>
                  </w:pPr>
                  <w:r w:rsidRPr="00EF1540">
                    <w:t>-</w:t>
                  </w:r>
                </w:p>
              </w:tc>
              <w:tc>
                <w:tcPr>
                  <w:tcW w:w="5319" w:type="dxa"/>
                  <w:gridSpan w:val="2"/>
                  <w:hideMark/>
                </w:tcPr>
                <w:p w:rsidR="004601A2" w:rsidRPr="00EF1540" w:rsidRDefault="004601A2" w:rsidP="004601A2">
                  <w:pPr>
                    <w:pStyle w:val="rvps14"/>
                    <w:jc w:val="both"/>
                  </w:pPr>
                  <w:r w:rsidRPr="00EF1540">
                    <w:t xml:space="preserve">сума фактичних капітальних витрат (без ПДВ), понесених під час надання послуги за i-те нестандартне приєднання (за об'єктами замовників, приєднання яких завершено у базовому періоді), (значення за рядками графи 80 </w:t>
                  </w:r>
                  <w:hyperlink r:id="rId85" w:anchor="n146" w:history="1">
                    <w:r w:rsidRPr="00EF1540">
                      <w:rPr>
                        <w:rStyle w:val="a4"/>
                        <w:color w:val="auto"/>
                        <w:u w:val="none"/>
                      </w:rPr>
                      <w:t>додатка 1</w:t>
                    </w:r>
                  </w:hyperlink>
                  <w:r w:rsidRPr="00EF1540">
                    <w:t xml:space="preserve"> до цієї Методики), тис. грн (без ПДВ);</w:t>
                  </w:r>
                </w:p>
              </w:tc>
            </w:tr>
            <w:tr w:rsidR="00EF1540" w:rsidRPr="00EF1540" w:rsidTr="0072208A">
              <w:tc>
                <w:tcPr>
                  <w:tcW w:w="7619" w:type="dxa"/>
                  <w:gridSpan w:val="5"/>
                  <w:hideMark/>
                </w:tcPr>
                <w:p w:rsidR="004601A2" w:rsidRPr="00EF1540" w:rsidRDefault="004601A2" w:rsidP="004601A2">
                  <w:pPr>
                    <w:pStyle w:val="rvps2"/>
                  </w:pPr>
                </w:p>
              </w:tc>
            </w:tr>
            <w:tr w:rsidR="00EF1540" w:rsidRPr="00EF1540" w:rsidTr="0072208A">
              <w:tc>
                <w:tcPr>
                  <w:tcW w:w="585" w:type="dxa"/>
                  <w:hideMark/>
                </w:tcPr>
                <w:p w:rsidR="004601A2" w:rsidRPr="00EF1540" w:rsidRDefault="004601A2" w:rsidP="004601A2">
                  <w:pPr>
                    <w:pStyle w:val="rvps14"/>
                  </w:pPr>
                </w:p>
              </w:tc>
              <w:tc>
                <w:tcPr>
                  <w:tcW w:w="1440" w:type="dxa"/>
                  <w:hideMark/>
                </w:tcPr>
                <w:p w:rsidR="004601A2" w:rsidRPr="00EF1540" w:rsidRDefault="004601A2" w:rsidP="004601A2">
                  <w:pPr>
                    <w:pStyle w:val="rvps14"/>
                  </w:pPr>
                  <w:proofErr w:type="spellStart"/>
                  <w:r w:rsidRPr="00EF1540">
                    <w:rPr>
                      <w:rStyle w:val="rvts9"/>
                    </w:rPr>
                    <w:t>Р</w:t>
                  </w:r>
                  <w:r w:rsidRPr="00EF1540">
                    <w:rPr>
                      <w:rStyle w:val="rvts40"/>
                    </w:rPr>
                    <w:t>і</w:t>
                  </w:r>
                  <w:proofErr w:type="spellEnd"/>
                </w:p>
              </w:tc>
              <w:tc>
                <w:tcPr>
                  <w:tcW w:w="275" w:type="dxa"/>
                  <w:hideMark/>
                </w:tcPr>
                <w:p w:rsidR="004601A2" w:rsidRPr="00EF1540" w:rsidRDefault="004601A2" w:rsidP="004601A2">
                  <w:pPr>
                    <w:pStyle w:val="rvps12"/>
                  </w:pPr>
                  <w:r w:rsidRPr="00EF1540">
                    <w:t>-</w:t>
                  </w:r>
                </w:p>
              </w:tc>
              <w:tc>
                <w:tcPr>
                  <w:tcW w:w="5319" w:type="dxa"/>
                  <w:gridSpan w:val="2"/>
                  <w:hideMark/>
                </w:tcPr>
                <w:p w:rsidR="004601A2" w:rsidRPr="00EF1540" w:rsidRDefault="004601A2" w:rsidP="004601A2">
                  <w:pPr>
                    <w:pStyle w:val="rvps14"/>
                    <w:jc w:val="both"/>
                  </w:pPr>
                  <w:r w:rsidRPr="00EF1540">
                    <w:t xml:space="preserve">величина замовленої до приєднання потужності i-того нестандартного приєднання за об'єктами замовників, приєднання яких завершено у базовому періоді (значення відповідних рядків графи 12 </w:t>
                  </w:r>
                  <w:hyperlink r:id="rId86" w:anchor="n146" w:history="1">
                    <w:r w:rsidRPr="00EF1540">
                      <w:rPr>
                        <w:rStyle w:val="a4"/>
                        <w:color w:val="auto"/>
                        <w:u w:val="none"/>
                      </w:rPr>
                      <w:t>додатка 1</w:t>
                    </w:r>
                  </w:hyperlink>
                  <w:r w:rsidRPr="00EF1540">
                    <w:t xml:space="preserve"> до цієї Методики), кВт;</w:t>
                  </w:r>
                </w:p>
              </w:tc>
            </w:tr>
            <w:tr w:rsidR="00EF1540" w:rsidRPr="00EF1540" w:rsidTr="0072208A">
              <w:tc>
                <w:tcPr>
                  <w:tcW w:w="7619" w:type="dxa"/>
                  <w:gridSpan w:val="5"/>
                  <w:hideMark/>
                </w:tcPr>
                <w:p w:rsidR="004601A2" w:rsidRPr="00EF1540" w:rsidRDefault="004601A2" w:rsidP="004601A2">
                  <w:pPr>
                    <w:pStyle w:val="rvps2"/>
                  </w:pPr>
                </w:p>
              </w:tc>
            </w:tr>
            <w:tr w:rsidR="00EF1540" w:rsidRPr="00EF1540" w:rsidTr="0072208A">
              <w:tc>
                <w:tcPr>
                  <w:tcW w:w="585" w:type="dxa"/>
                  <w:hideMark/>
                </w:tcPr>
                <w:p w:rsidR="004601A2" w:rsidRPr="00EF1540" w:rsidRDefault="004601A2" w:rsidP="004601A2">
                  <w:pPr>
                    <w:pStyle w:val="rvps14"/>
                  </w:pPr>
                </w:p>
              </w:tc>
              <w:tc>
                <w:tcPr>
                  <w:tcW w:w="1440" w:type="dxa"/>
                  <w:hideMark/>
                </w:tcPr>
                <w:p w:rsidR="004601A2" w:rsidRPr="00EF1540" w:rsidRDefault="004601A2" w:rsidP="004601A2">
                  <w:pPr>
                    <w:pStyle w:val="rvps14"/>
                  </w:pPr>
                  <w:proofErr w:type="spellStart"/>
                  <w:r w:rsidRPr="00EF1540">
                    <w:rPr>
                      <w:rStyle w:val="rvts9"/>
                    </w:rPr>
                    <w:t>К</w:t>
                  </w:r>
                  <w:r w:rsidRPr="00EF1540">
                    <w:rPr>
                      <w:rStyle w:val="rvts40"/>
                    </w:rPr>
                    <w:t>к</w:t>
                  </w:r>
                  <w:proofErr w:type="spellEnd"/>
                </w:p>
              </w:tc>
              <w:tc>
                <w:tcPr>
                  <w:tcW w:w="275" w:type="dxa"/>
                  <w:hideMark/>
                </w:tcPr>
                <w:p w:rsidR="004601A2" w:rsidRPr="00EF1540" w:rsidRDefault="004601A2" w:rsidP="004601A2">
                  <w:pPr>
                    <w:pStyle w:val="rvps12"/>
                  </w:pPr>
                  <w:r w:rsidRPr="00EF1540">
                    <w:t>-</w:t>
                  </w:r>
                </w:p>
              </w:tc>
              <w:tc>
                <w:tcPr>
                  <w:tcW w:w="5319" w:type="dxa"/>
                  <w:gridSpan w:val="2"/>
                  <w:hideMark/>
                </w:tcPr>
                <w:p w:rsidR="004601A2" w:rsidRPr="00EF1540" w:rsidRDefault="004601A2" w:rsidP="004601A2">
                  <w:pPr>
                    <w:pStyle w:val="rvps14"/>
                    <w:jc w:val="both"/>
                  </w:pPr>
                  <w:r w:rsidRPr="00EF1540">
                    <w:t>коефіцієнт категорії надійності електропостачання (</w:t>
                  </w:r>
                  <w:hyperlink r:id="rId87" w:anchor="n152" w:history="1">
                    <w:r w:rsidRPr="00EF1540">
                      <w:rPr>
                        <w:rStyle w:val="a4"/>
                        <w:color w:val="auto"/>
                        <w:u w:val="none"/>
                      </w:rPr>
                      <w:t>додаток 3</w:t>
                    </w:r>
                  </w:hyperlink>
                  <w:r w:rsidRPr="00EF1540">
                    <w:t xml:space="preserve"> до цієї Методики);</w:t>
                  </w:r>
                </w:p>
              </w:tc>
            </w:tr>
            <w:tr w:rsidR="00EF1540" w:rsidRPr="00EF1540" w:rsidTr="0072208A">
              <w:tc>
                <w:tcPr>
                  <w:tcW w:w="7619" w:type="dxa"/>
                  <w:gridSpan w:val="5"/>
                  <w:hideMark/>
                </w:tcPr>
                <w:p w:rsidR="004601A2" w:rsidRPr="00EF1540" w:rsidRDefault="004601A2" w:rsidP="004601A2">
                  <w:pPr>
                    <w:pStyle w:val="rvps2"/>
                  </w:pPr>
                </w:p>
              </w:tc>
            </w:tr>
            <w:tr w:rsidR="00EF1540" w:rsidRPr="00EF1540" w:rsidTr="0072208A">
              <w:tc>
                <w:tcPr>
                  <w:tcW w:w="585" w:type="dxa"/>
                  <w:hideMark/>
                </w:tcPr>
                <w:p w:rsidR="004601A2" w:rsidRPr="00EF1540" w:rsidRDefault="004601A2" w:rsidP="004601A2">
                  <w:pPr>
                    <w:pStyle w:val="rvps14"/>
                  </w:pPr>
                </w:p>
              </w:tc>
              <w:tc>
                <w:tcPr>
                  <w:tcW w:w="1440" w:type="dxa"/>
                  <w:hideMark/>
                </w:tcPr>
                <w:p w:rsidR="004601A2" w:rsidRPr="00EF1540" w:rsidRDefault="004601A2" w:rsidP="004601A2">
                  <w:pPr>
                    <w:pStyle w:val="rvps14"/>
                  </w:pPr>
                  <w:r w:rsidRPr="00EF1540">
                    <w:rPr>
                      <w:noProof/>
                    </w:rPr>
                    <w:drawing>
                      <wp:inline distT="0" distB="0" distL="0" distR="0" wp14:anchorId="0ED54A8D" wp14:editId="2799B295">
                        <wp:extent cx="228600" cy="203200"/>
                        <wp:effectExtent l="0" t="0" r="0" b="6350"/>
                        <wp:docPr id="55" name="Рисунок 55" descr="https://zakon.rada.gov.ua/laws/file/imgs/98/p480243n275v1-27.gif">
                          <a:hlinkClick xmlns:a="http://schemas.openxmlformats.org/drawingml/2006/main" r:id="rId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zakon.rada.gov.ua/laws/file/imgs/98/p480243n275v1-27.gif">
                                  <a:hlinkClick r:id="rId88"/>
                                </pic:cNvPr>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228600" cy="203200"/>
                                </a:xfrm>
                                <a:prstGeom prst="rect">
                                  <a:avLst/>
                                </a:prstGeom>
                                <a:noFill/>
                                <a:ln>
                                  <a:noFill/>
                                </a:ln>
                              </pic:spPr>
                            </pic:pic>
                          </a:graphicData>
                        </a:graphic>
                      </wp:inline>
                    </w:drawing>
                  </w:r>
                </w:p>
              </w:tc>
              <w:tc>
                <w:tcPr>
                  <w:tcW w:w="275" w:type="dxa"/>
                  <w:hideMark/>
                </w:tcPr>
                <w:p w:rsidR="004601A2" w:rsidRPr="00EF1540" w:rsidRDefault="004601A2" w:rsidP="004601A2">
                  <w:pPr>
                    <w:pStyle w:val="rvps12"/>
                  </w:pPr>
                  <w:r w:rsidRPr="00EF1540">
                    <w:t>-</w:t>
                  </w:r>
                </w:p>
              </w:tc>
              <w:tc>
                <w:tcPr>
                  <w:tcW w:w="5319" w:type="dxa"/>
                  <w:gridSpan w:val="2"/>
                  <w:hideMark/>
                </w:tcPr>
                <w:p w:rsidR="004601A2" w:rsidRPr="00EF1540" w:rsidRDefault="004601A2" w:rsidP="004601A2">
                  <w:pPr>
                    <w:pStyle w:val="rvps14"/>
                    <w:jc w:val="both"/>
                  </w:pPr>
                  <w:r w:rsidRPr="00EF1540">
                    <w:t xml:space="preserve">коефіцієнт категорії надійності електропостачання i-того нестандартного приєднання за об'єктами </w:t>
                  </w:r>
                  <w:r w:rsidRPr="00EF1540">
                    <w:lastRenderedPageBreak/>
                    <w:t>замовників, приєднання яких завершено у базовому періоді (</w:t>
                  </w:r>
                  <w:hyperlink r:id="rId90" w:anchor="n152" w:history="1">
                    <w:r w:rsidRPr="00EF1540">
                      <w:rPr>
                        <w:rStyle w:val="a4"/>
                        <w:color w:val="auto"/>
                        <w:u w:val="none"/>
                      </w:rPr>
                      <w:t>додаток 3</w:t>
                    </w:r>
                  </w:hyperlink>
                  <w:r w:rsidRPr="00EF1540">
                    <w:t xml:space="preserve"> до цієї Методики);</w:t>
                  </w:r>
                </w:p>
              </w:tc>
            </w:tr>
            <w:tr w:rsidR="00EF1540" w:rsidRPr="00EF1540" w:rsidTr="0072208A">
              <w:tc>
                <w:tcPr>
                  <w:tcW w:w="7619" w:type="dxa"/>
                  <w:gridSpan w:val="5"/>
                </w:tcPr>
                <w:p w:rsidR="004601A2" w:rsidRPr="00EF1540" w:rsidRDefault="004601A2" w:rsidP="004601A2">
                  <w:pPr>
                    <w:pStyle w:val="rvps2"/>
                  </w:pPr>
                </w:p>
              </w:tc>
            </w:tr>
            <w:tr w:rsidR="00EF1540" w:rsidRPr="00EF1540" w:rsidTr="0072208A">
              <w:tc>
                <w:tcPr>
                  <w:tcW w:w="585" w:type="dxa"/>
                  <w:hideMark/>
                </w:tcPr>
                <w:p w:rsidR="004601A2" w:rsidRPr="00EF1540" w:rsidRDefault="004601A2" w:rsidP="004601A2">
                  <w:pPr>
                    <w:pStyle w:val="rvps14"/>
                  </w:pPr>
                </w:p>
              </w:tc>
              <w:tc>
                <w:tcPr>
                  <w:tcW w:w="1440" w:type="dxa"/>
                  <w:hideMark/>
                </w:tcPr>
                <w:p w:rsidR="004601A2" w:rsidRPr="00EF1540" w:rsidRDefault="004601A2" w:rsidP="004601A2">
                  <w:pPr>
                    <w:pStyle w:val="rvps14"/>
                  </w:pPr>
                  <w:proofErr w:type="spellStart"/>
                  <w:r w:rsidRPr="00EF1540">
                    <w:rPr>
                      <w:rStyle w:val="rvts9"/>
                    </w:rPr>
                    <w:t>К</w:t>
                  </w:r>
                  <w:r w:rsidRPr="00EF1540">
                    <w:rPr>
                      <w:rStyle w:val="rvts40"/>
                    </w:rPr>
                    <w:t>н</w:t>
                  </w:r>
                  <w:proofErr w:type="spellEnd"/>
                </w:p>
              </w:tc>
              <w:tc>
                <w:tcPr>
                  <w:tcW w:w="275" w:type="dxa"/>
                  <w:hideMark/>
                </w:tcPr>
                <w:p w:rsidR="004601A2" w:rsidRPr="00EF1540" w:rsidRDefault="004601A2" w:rsidP="004601A2">
                  <w:pPr>
                    <w:pStyle w:val="rvps12"/>
                  </w:pPr>
                  <w:r w:rsidRPr="00EF1540">
                    <w:t>-</w:t>
                  </w:r>
                </w:p>
              </w:tc>
              <w:tc>
                <w:tcPr>
                  <w:tcW w:w="5319" w:type="dxa"/>
                  <w:gridSpan w:val="2"/>
                  <w:hideMark/>
                </w:tcPr>
                <w:p w:rsidR="004601A2" w:rsidRPr="00EF1540" w:rsidRDefault="004601A2" w:rsidP="004601A2">
                  <w:pPr>
                    <w:pStyle w:val="rvps14"/>
                    <w:jc w:val="both"/>
                  </w:pPr>
                  <w:r w:rsidRPr="00EF1540">
                    <w:t>коефіцієнт ступеня напруги в точці приєднання (110(154)/35/20(10)6/0,4(0,23) кВ) (</w:t>
                  </w:r>
                  <w:hyperlink r:id="rId91" w:anchor="n155" w:history="1">
                    <w:r w:rsidRPr="00EF1540">
                      <w:rPr>
                        <w:rStyle w:val="a4"/>
                        <w:color w:val="auto"/>
                        <w:u w:val="none"/>
                      </w:rPr>
                      <w:t>додаток 4</w:t>
                    </w:r>
                  </w:hyperlink>
                  <w:r w:rsidRPr="00EF1540">
                    <w:t xml:space="preserve"> до цієї Методики);</w:t>
                  </w:r>
                </w:p>
              </w:tc>
            </w:tr>
            <w:tr w:rsidR="00EF1540" w:rsidRPr="00EF1540" w:rsidTr="0072208A">
              <w:tc>
                <w:tcPr>
                  <w:tcW w:w="7619" w:type="dxa"/>
                  <w:gridSpan w:val="5"/>
                  <w:hideMark/>
                </w:tcPr>
                <w:p w:rsidR="004601A2" w:rsidRPr="00EF1540" w:rsidRDefault="004601A2" w:rsidP="004601A2">
                  <w:pPr>
                    <w:pStyle w:val="rvps2"/>
                  </w:pPr>
                </w:p>
              </w:tc>
            </w:tr>
            <w:tr w:rsidR="00EF1540" w:rsidRPr="00EF1540" w:rsidTr="0072208A">
              <w:tc>
                <w:tcPr>
                  <w:tcW w:w="585" w:type="dxa"/>
                  <w:hideMark/>
                </w:tcPr>
                <w:p w:rsidR="004601A2" w:rsidRPr="00EF1540" w:rsidRDefault="004601A2" w:rsidP="004601A2">
                  <w:pPr>
                    <w:pStyle w:val="rvps14"/>
                  </w:pPr>
                </w:p>
              </w:tc>
              <w:tc>
                <w:tcPr>
                  <w:tcW w:w="1440" w:type="dxa"/>
                  <w:hideMark/>
                </w:tcPr>
                <w:p w:rsidR="004601A2" w:rsidRPr="00EF1540" w:rsidRDefault="004601A2" w:rsidP="004601A2">
                  <w:pPr>
                    <w:pStyle w:val="rvps14"/>
                  </w:pPr>
                  <w:r w:rsidRPr="00EF1540">
                    <w:rPr>
                      <w:noProof/>
                    </w:rPr>
                    <w:drawing>
                      <wp:inline distT="0" distB="0" distL="0" distR="0" wp14:anchorId="4E64B550" wp14:editId="088CA295">
                        <wp:extent cx="266700" cy="209550"/>
                        <wp:effectExtent l="0" t="0" r="0" b="0"/>
                        <wp:docPr id="54" name="Рисунок 54" descr="https://zakon.rada.gov.ua/laws/file/imgs/98/p480243n275v1-28.gif">
                          <a:hlinkClick xmlns:a="http://schemas.openxmlformats.org/drawingml/2006/main" r:id="rId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zakon.rada.gov.ua/laws/file/imgs/98/p480243n275v1-28.gif">
                                  <a:hlinkClick r:id="rId92"/>
                                </pic:cNvPr>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266700" cy="209550"/>
                                </a:xfrm>
                                <a:prstGeom prst="rect">
                                  <a:avLst/>
                                </a:prstGeom>
                                <a:noFill/>
                                <a:ln>
                                  <a:noFill/>
                                </a:ln>
                              </pic:spPr>
                            </pic:pic>
                          </a:graphicData>
                        </a:graphic>
                      </wp:inline>
                    </w:drawing>
                  </w:r>
                </w:p>
              </w:tc>
              <w:tc>
                <w:tcPr>
                  <w:tcW w:w="275" w:type="dxa"/>
                  <w:hideMark/>
                </w:tcPr>
                <w:p w:rsidR="004601A2" w:rsidRPr="00EF1540" w:rsidRDefault="004601A2" w:rsidP="004601A2">
                  <w:pPr>
                    <w:pStyle w:val="rvps12"/>
                  </w:pPr>
                  <w:r w:rsidRPr="00EF1540">
                    <w:t>-</w:t>
                  </w:r>
                </w:p>
              </w:tc>
              <w:tc>
                <w:tcPr>
                  <w:tcW w:w="5319" w:type="dxa"/>
                  <w:gridSpan w:val="2"/>
                  <w:hideMark/>
                </w:tcPr>
                <w:p w:rsidR="004601A2" w:rsidRPr="00EF1540" w:rsidRDefault="004601A2" w:rsidP="004601A2">
                  <w:pPr>
                    <w:pStyle w:val="rvps14"/>
                    <w:jc w:val="both"/>
                  </w:pPr>
                  <w:r w:rsidRPr="00EF1540">
                    <w:t>коефіцієнт ступеня напруги в точці i-того нестандартного приєднання (за об'єктами замовників, приєднання яких завершено у базовому періоді) (110(154)/35/20(10)6/0,4(0,23) кВ) (</w:t>
                  </w:r>
                  <w:hyperlink r:id="rId94" w:anchor="n155" w:history="1">
                    <w:r w:rsidRPr="00EF1540">
                      <w:rPr>
                        <w:rStyle w:val="a4"/>
                        <w:color w:val="auto"/>
                        <w:u w:val="none"/>
                      </w:rPr>
                      <w:t>додаток 4</w:t>
                    </w:r>
                  </w:hyperlink>
                  <w:r w:rsidRPr="00EF1540">
                    <w:t xml:space="preserve"> до цієї Методики);</w:t>
                  </w:r>
                </w:p>
              </w:tc>
            </w:tr>
            <w:tr w:rsidR="00EF1540" w:rsidRPr="00EF1540" w:rsidTr="0072208A">
              <w:tc>
                <w:tcPr>
                  <w:tcW w:w="7619" w:type="dxa"/>
                  <w:gridSpan w:val="5"/>
                  <w:hideMark/>
                </w:tcPr>
                <w:p w:rsidR="004601A2" w:rsidRPr="00EF1540" w:rsidRDefault="004601A2" w:rsidP="004601A2">
                  <w:pPr>
                    <w:pStyle w:val="rvps2"/>
                    <w:jc w:val="both"/>
                  </w:pPr>
                </w:p>
              </w:tc>
            </w:tr>
            <w:tr w:rsidR="00EF1540" w:rsidRPr="00EF1540" w:rsidTr="0072208A">
              <w:tc>
                <w:tcPr>
                  <w:tcW w:w="585" w:type="dxa"/>
                  <w:hideMark/>
                </w:tcPr>
                <w:p w:rsidR="004601A2" w:rsidRPr="00EF1540" w:rsidRDefault="004601A2" w:rsidP="004601A2">
                  <w:pPr>
                    <w:pStyle w:val="rvps14"/>
                  </w:pPr>
                </w:p>
              </w:tc>
              <w:tc>
                <w:tcPr>
                  <w:tcW w:w="1440" w:type="dxa"/>
                  <w:hideMark/>
                </w:tcPr>
                <w:p w:rsidR="004601A2" w:rsidRPr="00EF1540" w:rsidRDefault="004601A2" w:rsidP="004601A2">
                  <w:pPr>
                    <w:pStyle w:val="rvps14"/>
                  </w:pPr>
                  <w:r w:rsidRPr="00EF1540">
                    <w:rPr>
                      <w:noProof/>
                    </w:rPr>
                    <w:drawing>
                      <wp:inline distT="0" distB="0" distL="0" distR="0" wp14:anchorId="1645E820" wp14:editId="12E6DDBB">
                        <wp:extent cx="387350" cy="203200"/>
                        <wp:effectExtent l="0" t="0" r="0" b="6350"/>
                        <wp:docPr id="53" name="Рисунок 53" descr="https://zakon.rada.gov.ua/laws/file/imgs/98/p480243n275v1-29.gif">
                          <a:hlinkClick xmlns:a="http://schemas.openxmlformats.org/drawingml/2006/main" r:id="rId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zakon.rada.gov.ua/laws/file/imgs/98/p480243n275v1-29.gif">
                                  <a:hlinkClick r:id="rId95"/>
                                </pic:cNvPr>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387350" cy="203200"/>
                                </a:xfrm>
                                <a:prstGeom prst="rect">
                                  <a:avLst/>
                                </a:prstGeom>
                                <a:noFill/>
                                <a:ln>
                                  <a:noFill/>
                                </a:ln>
                              </pic:spPr>
                            </pic:pic>
                          </a:graphicData>
                        </a:graphic>
                      </wp:inline>
                    </w:drawing>
                  </w:r>
                </w:p>
              </w:tc>
              <w:tc>
                <w:tcPr>
                  <w:tcW w:w="275" w:type="dxa"/>
                  <w:hideMark/>
                </w:tcPr>
                <w:p w:rsidR="004601A2" w:rsidRPr="00EF1540" w:rsidRDefault="004601A2" w:rsidP="004601A2">
                  <w:pPr>
                    <w:pStyle w:val="rvps12"/>
                  </w:pPr>
                  <w:r w:rsidRPr="00EF1540">
                    <w:t>-</w:t>
                  </w:r>
                </w:p>
              </w:tc>
              <w:tc>
                <w:tcPr>
                  <w:tcW w:w="5319" w:type="dxa"/>
                  <w:gridSpan w:val="2"/>
                  <w:hideMark/>
                </w:tcPr>
                <w:p w:rsidR="004601A2" w:rsidRPr="00EF1540" w:rsidRDefault="004601A2" w:rsidP="004601A2">
                  <w:pPr>
                    <w:pStyle w:val="rvps14"/>
                    <w:jc w:val="both"/>
                  </w:pPr>
                  <w:r w:rsidRPr="00EF1540">
                    <w:t xml:space="preserve">коефіцієнт, що враховує місцезнаходження електроустановок замовника (міська або сільська місцевість), визначається згідно з </w:t>
                  </w:r>
                  <w:hyperlink r:id="rId97" w:anchor="n162" w:history="1">
                    <w:r w:rsidRPr="00EF1540">
                      <w:rPr>
                        <w:rStyle w:val="a4"/>
                        <w:color w:val="auto"/>
                        <w:u w:val="none"/>
                      </w:rPr>
                      <w:t>додатком 6</w:t>
                    </w:r>
                  </w:hyperlink>
                  <w:r w:rsidRPr="00EF1540">
                    <w:t xml:space="preserve"> до цієї Методики;</w:t>
                  </w:r>
                </w:p>
              </w:tc>
            </w:tr>
            <w:tr w:rsidR="00EF1540" w:rsidRPr="00EF1540" w:rsidTr="0072208A">
              <w:tc>
                <w:tcPr>
                  <w:tcW w:w="7619" w:type="dxa"/>
                  <w:gridSpan w:val="5"/>
                  <w:hideMark/>
                </w:tcPr>
                <w:p w:rsidR="004601A2" w:rsidRPr="00EF1540" w:rsidRDefault="004601A2" w:rsidP="004601A2">
                  <w:pPr>
                    <w:pStyle w:val="rvps2"/>
                  </w:pPr>
                </w:p>
              </w:tc>
            </w:tr>
            <w:tr w:rsidR="00EF1540" w:rsidRPr="00EF1540" w:rsidTr="0072208A">
              <w:tc>
                <w:tcPr>
                  <w:tcW w:w="585" w:type="dxa"/>
                  <w:hideMark/>
                </w:tcPr>
                <w:p w:rsidR="004601A2" w:rsidRPr="00EF1540" w:rsidRDefault="004601A2" w:rsidP="004601A2">
                  <w:pPr>
                    <w:pStyle w:val="rvps14"/>
                  </w:pPr>
                </w:p>
              </w:tc>
              <w:tc>
                <w:tcPr>
                  <w:tcW w:w="1440" w:type="dxa"/>
                  <w:hideMark/>
                </w:tcPr>
                <w:p w:rsidR="004601A2" w:rsidRPr="00EF1540" w:rsidRDefault="004601A2" w:rsidP="004601A2">
                  <w:pPr>
                    <w:pStyle w:val="rvps14"/>
                  </w:pPr>
                  <w:r w:rsidRPr="00EF1540">
                    <w:rPr>
                      <w:noProof/>
                    </w:rPr>
                    <w:drawing>
                      <wp:inline distT="0" distB="0" distL="0" distR="0" wp14:anchorId="3DD51B10" wp14:editId="337BFD45">
                        <wp:extent cx="317500" cy="209550"/>
                        <wp:effectExtent l="0" t="0" r="6350" b="0"/>
                        <wp:docPr id="52" name="Рисунок 52" descr="https://zakon.rada.gov.ua/laws/file/imgs/98/p480243n275v1-30.gif">
                          <a:hlinkClick xmlns:a="http://schemas.openxmlformats.org/drawingml/2006/main" r:id="rId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zakon.rada.gov.ua/laws/file/imgs/98/p480243n275v1-30.gif">
                                  <a:hlinkClick r:id="rId98"/>
                                </pic:cNvPr>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317500" cy="209550"/>
                                </a:xfrm>
                                <a:prstGeom prst="rect">
                                  <a:avLst/>
                                </a:prstGeom>
                                <a:noFill/>
                                <a:ln>
                                  <a:noFill/>
                                </a:ln>
                              </pic:spPr>
                            </pic:pic>
                          </a:graphicData>
                        </a:graphic>
                      </wp:inline>
                    </w:drawing>
                  </w:r>
                </w:p>
              </w:tc>
              <w:tc>
                <w:tcPr>
                  <w:tcW w:w="275" w:type="dxa"/>
                  <w:hideMark/>
                </w:tcPr>
                <w:p w:rsidR="004601A2" w:rsidRPr="00EF1540" w:rsidRDefault="004601A2" w:rsidP="004601A2">
                  <w:pPr>
                    <w:pStyle w:val="rvps12"/>
                  </w:pPr>
                  <w:r w:rsidRPr="00EF1540">
                    <w:t>-</w:t>
                  </w:r>
                </w:p>
              </w:tc>
              <w:tc>
                <w:tcPr>
                  <w:tcW w:w="5319" w:type="dxa"/>
                  <w:gridSpan w:val="2"/>
                  <w:hideMark/>
                </w:tcPr>
                <w:p w:rsidR="004601A2" w:rsidRPr="00EF1540" w:rsidRDefault="004601A2" w:rsidP="004601A2">
                  <w:pPr>
                    <w:pStyle w:val="rvps14"/>
                    <w:jc w:val="both"/>
                  </w:pPr>
                  <w:r w:rsidRPr="00EF1540">
                    <w:t>коефіцієнт прогнозного індексу зміни цін виробників промислової продукції на розрахунковий період у відношенні до базового періоду. Розмір індексу затверджується відповідною постановою Кабінету Міністрів України про схвалення Прогнозу економічного і соціального розвитку України на розрахунковий період (мінімальний);</w:t>
                  </w:r>
                </w:p>
              </w:tc>
            </w:tr>
            <w:tr w:rsidR="00EF1540" w:rsidRPr="00EF1540" w:rsidTr="0072208A">
              <w:tc>
                <w:tcPr>
                  <w:tcW w:w="585" w:type="dxa"/>
                  <w:hideMark/>
                </w:tcPr>
                <w:p w:rsidR="004601A2" w:rsidRPr="00EF1540" w:rsidRDefault="004601A2" w:rsidP="004601A2">
                  <w:pPr>
                    <w:pStyle w:val="rvps14"/>
                  </w:pPr>
                </w:p>
              </w:tc>
              <w:tc>
                <w:tcPr>
                  <w:tcW w:w="1440" w:type="dxa"/>
                  <w:hideMark/>
                </w:tcPr>
                <w:p w:rsidR="004601A2" w:rsidRPr="00EF1540" w:rsidRDefault="004601A2" w:rsidP="004601A2">
                  <w:pPr>
                    <w:pStyle w:val="rvps14"/>
                  </w:pPr>
                  <w:r w:rsidRPr="00EF1540">
                    <w:rPr>
                      <w:noProof/>
                    </w:rPr>
                    <w:drawing>
                      <wp:inline distT="0" distB="0" distL="0" distR="0" wp14:anchorId="36B00C58" wp14:editId="1AD6625D">
                        <wp:extent cx="349250" cy="228600"/>
                        <wp:effectExtent l="0" t="0" r="0" b="0"/>
                        <wp:docPr id="51" name="Рисунок 51" descr="https://zakon.rada.gov.ua/laws/file/imgs/98/p480243n275v1-31.gif">
                          <a:hlinkClick xmlns:a="http://schemas.openxmlformats.org/drawingml/2006/main" r:id="rId1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zakon.rada.gov.ua/laws/file/imgs/98/p480243n275v1-31.gif">
                                  <a:hlinkClick r:id="rId100"/>
                                </pic:cNvPr>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349250" cy="228600"/>
                                </a:xfrm>
                                <a:prstGeom prst="rect">
                                  <a:avLst/>
                                </a:prstGeom>
                                <a:noFill/>
                                <a:ln>
                                  <a:noFill/>
                                </a:ln>
                              </pic:spPr>
                            </pic:pic>
                          </a:graphicData>
                        </a:graphic>
                      </wp:inline>
                    </w:drawing>
                  </w:r>
                </w:p>
              </w:tc>
              <w:tc>
                <w:tcPr>
                  <w:tcW w:w="275" w:type="dxa"/>
                  <w:hideMark/>
                </w:tcPr>
                <w:p w:rsidR="004601A2" w:rsidRPr="00EF1540" w:rsidRDefault="004601A2" w:rsidP="004601A2">
                  <w:pPr>
                    <w:pStyle w:val="rvps12"/>
                  </w:pPr>
                  <w:r w:rsidRPr="00EF1540">
                    <w:t>-</w:t>
                  </w:r>
                </w:p>
              </w:tc>
              <w:tc>
                <w:tcPr>
                  <w:tcW w:w="5319" w:type="dxa"/>
                  <w:gridSpan w:val="2"/>
                  <w:hideMark/>
                </w:tcPr>
                <w:p w:rsidR="004601A2" w:rsidRPr="00EF1540" w:rsidRDefault="004601A2" w:rsidP="004601A2">
                  <w:pPr>
                    <w:pStyle w:val="rvps14"/>
                    <w:jc w:val="both"/>
                  </w:pPr>
                  <w:r w:rsidRPr="00EF1540">
                    <w:t xml:space="preserve">коефіцієнт завантаження трансформаторних підстанцій у межах територіальної одиниці і основної мережі напругою 35-110(154) кВ оператора системи розподілу, який розраховується за </w:t>
                  </w:r>
                  <w:hyperlink r:id="rId102" w:anchor="n282" w:history="1">
                    <w:r w:rsidRPr="00EF1540">
                      <w:rPr>
                        <w:rStyle w:val="a4"/>
                        <w:color w:val="auto"/>
                        <w:u w:val="none"/>
                      </w:rPr>
                      <w:t>формулою 11</w:t>
                    </w:r>
                  </w:hyperlink>
                  <w:r w:rsidRPr="00EF1540">
                    <w:t xml:space="preserve"> цієї Методики;</w:t>
                  </w:r>
                </w:p>
              </w:tc>
            </w:tr>
            <w:tr w:rsidR="00EF1540" w:rsidRPr="00EF1540" w:rsidTr="0072208A">
              <w:tc>
                <w:tcPr>
                  <w:tcW w:w="585" w:type="dxa"/>
                  <w:hideMark/>
                </w:tcPr>
                <w:p w:rsidR="004601A2" w:rsidRPr="00EF1540" w:rsidRDefault="004601A2" w:rsidP="004601A2">
                  <w:pPr>
                    <w:pStyle w:val="rvps14"/>
                  </w:pPr>
                </w:p>
              </w:tc>
              <w:tc>
                <w:tcPr>
                  <w:tcW w:w="1440" w:type="dxa"/>
                  <w:hideMark/>
                </w:tcPr>
                <w:p w:rsidR="004601A2" w:rsidRPr="00EF1540" w:rsidRDefault="004601A2" w:rsidP="004601A2">
                  <w:pPr>
                    <w:pStyle w:val="rvps14"/>
                  </w:pPr>
                  <w:r w:rsidRPr="00EF1540">
                    <w:rPr>
                      <w:noProof/>
                    </w:rPr>
                    <w:drawing>
                      <wp:inline distT="0" distB="0" distL="0" distR="0" wp14:anchorId="2D884DD2" wp14:editId="611E486E">
                        <wp:extent cx="349250" cy="222250"/>
                        <wp:effectExtent l="0" t="0" r="0" b="6350"/>
                        <wp:docPr id="50" name="Рисунок 50" descr="https://zakon.rada.gov.ua/laws/file/imgs/98/p480243n275v1-32.gif">
                          <a:hlinkClick xmlns:a="http://schemas.openxmlformats.org/drawingml/2006/main" r:id="rId1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zakon.rada.gov.ua/laws/file/imgs/98/p480243n275v1-32.gif">
                                  <a:hlinkClick r:id="rId103"/>
                                </pic:cNvPr>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349250" cy="222250"/>
                                </a:xfrm>
                                <a:prstGeom prst="rect">
                                  <a:avLst/>
                                </a:prstGeom>
                                <a:noFill/>
                                <a:ln>
                                  <a:noFill/>
                                </a:ln>
                              </pic:spPr>
                            </pic:pic>
                          </a:graphicData>
                        </a:graphic>
                      </wp:inline>
                    </w:drawing>
                  </w:r>
                </w:p>
              </w:tc>
              <w:tc>
                <w:tcPr>
                  <w:tcW w:w="275" w:type="dxa"/>
                  <w:hideMark/>
                </w:tcPr>
                <w:p w:rsidR="004601A2" w:rsidRPr="00EF1540" w:rsidRDefault="004601A2" w:rsidP="004601A2">
                  <w:pPr>
                    <w:pStyle w:val="rvps12"/>
                  </w:pPr>
                  <w:r w:rsidRPr="00EF1540">
                    <w:t>-</w:t>
                  </w:r>
                </w:p>
              </w:tc>
              <w:tc>
                <w:tcPr>
                  <w:tcW w:w="5319" w:type="dxa"/>
                  <w:gridSpan w:val="2"/>
                  <w:hideMark/>
                </w:tcPr>
                <w:p w:rsidR="004601A2" w:rsidRPr="00EF1540" w:rsidRDefault="004601A2" w:rsidP="004601A2">
                  <w:pPr>
                    <w:pStyle w:val="rvps14"/>
                    <w:jc w:val="both"/>
                  </w:pPr>
                  <w:r w:rsidRPr="00EF1540">
                    <w:t>коефіцієнт завантаження трансформаторних підстанцій i-того нестандартного приєднання (за об'єктами замовників, приєднання яких завершено у базовому періоді) з урахуванням типу електроустановки (споживання або виробництво електричної енергії);</w:t>
                  </w:r>
                </w:p>
              </w:tc>
            </w:tr>
            <w:tr w:rsidR="00EF1540" w:rsidRPr="00EF1540" w:rsidTr="0072208A">
              <w:tc>
                <w:tcPr>
                  <w:tcW w:w="585" w:type="dxa"/>
                  <w:hideMark/>
                </w:tcPr>
                <w:p w:rsidR="004601A2" w:rsidRPr="00EF1540" w:rsidRDefault="004601A2" w:rsidP="004601A2">
                  <w:pPr>
                    <w:pStyle w:val="rvps14"/>
                  </w:pPr>
                </w:p>
              </w:tc>
              <w:tc>
                <w:tcPr>
                  <w:tcW w:w="1440" w:type="dxa"/>
                  <w:hideMark/>
                </w:tcPr>
                <w:p w:rsidR="004601A2" w:rsidRPr="00EF1540" w:rsidRDefault="004601A2" w:rsidP="004601A2">
                  <w:pPr>
                    <w:pStyle w:val="rvps14"/>
                  </w:pPr>
                  <w:r w:rsidRPr="00EF1540">
                    <w:rPr>
                      <w:noProof/>
                    </w:rPr>
                    <w:drawing>
                      <wp:inline distT="0" distB="0" distL="0" distR="0" wp14:anchorId="61CD8750" wp14:editId="24CD02B9">
                        <wp:extent cx="533400" cy="209550"/>
                        <wp:effectExtent l="0" t="0" r="0" b="0"/>
                        <wp:docPr id="49" name="Рисунок 49" descr="https://zakon.rada.gov.ua/laws/file/imgs/98/p480243n275v1-33.gif">
                          <a:hlinkClick xmlns:a="http://schemas.openxmlformats.org/drawingml/2006/main" r:id="rId1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zakon.rada.gov.ua/laws/file/imgs/98/p480243n275v1-33.gif">
                                  <a:hlinkClick r:id="rId105"/>
                                </pic:cNvPr>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533400" cy="209550"/>
                                </a:xfrm>
                                <a:prstGeom prst="rect">
                                  <a:avLst/>
                                </a:prstGeom>
                                <a:noFill/>
                                <a:ln>
                                  <a:noFill/>
                                </a:ln>
                              </pic:spPr>
                            </pic:pic>
                          </a:graphicData>
                        </a:graphic>
                      </wp:inline>
                    </w:drawing>
                  </w:r>
                </w:p>
              </w:tc>
              <w:tc>
                <w:tcPr>
                  <w:tcW w:w="275" w:type="dxa"/>
                  <w:hideMark/>
                </w:tcPr>
                <w:p w:rsidR="004601A2" w:rsidRPr="00EF1540" w:rsidRDefault="004601A2" w:rsidP="004601A2">
                  <w:pPr>
                    <w:pStyle w:val="rvps12"/>
                  </w:pPr>
                  <w:r w:rsidRPr="00EF1540">
                    <w:t>-</w:t>
                  </w:r>
                </w:p>
              </w:tc>
              <w:tc>
                <w:tcPr>
                  <w:tcW w:w="5319" w:type="dxa"/>
                  <w:gridSpan w:val="2"/>
                  <w:hideMark/>
                </w:tcPr>
                <w:p w:rsidR="004601A2" w:rsidRPr="00EF1540" w:rsidRDefault="004601A2" w:rsidP="004601A2">
                  <w:pPr>
                    <w:pStyle w:val="rvps14"/>
                    <w:jc w:val="both"/>
                  </w:pPr>
                  <w:r w:rsidRPr="00EF1540">
                    <w:t>коефіцієнт оптимізації коштів щодо витрат, пов'язаних з наданням послуг з нестандартних приєднань електроустановок замовників до електричних мереж за базовий період, який розраховується за формулою</w:t>
                  </w:r>
                </w:p>
              </w:tc>
            </w:tr>
          </w:tbl>
          <w:p w:rsidR="004601A2" w:rsidRPr="00EF1540" w:rsidRDefault="004601A2" w:rsidP="004601A2">
            <w:pPr>
              <w:rPr>
                <w:vanish/>
              </w:rPr>
            </w:pPr>
            <w:bookmarkStart w:id="52" w:name="n276"/>
            <w:bookmarkEnd w:id="52"/>
          </w:p>
          <w:tbl>
            <w:tblPr>
              <w:tblW w:w="5000" w:type="pct"/>
              <w:tblCellMar>
                <w:top w:w="60" w:type="dxa"/>
                <w:left w:w="60" w:type="dxa"/>
                <w:bottom w:w="60" w:type="dxa"/>
                <w:right w:w="60" w:type="dxa"/>
              </w:tblCellMar>
              <w:tblLook w:val="04A0" w:firstRow="1" w:lastRow="0" w:firstColumn="1" w:lastColumn="0" w:noHBand="0" w:noVBand="1"/>
            </w:tblPr>
            <w:tblGrid>
              <w:gridCol w:w="416"/>
              <w:gridCol w:w="1440"/>
              <w:gridCol w:w="175"/>
              <w:gridCol w:w="5671"/>
              <w:gridCol w:w="486"/>
            </w:tblGrid>
            <w:tr w:rsidR="00EF1540" w:rsidRPr="00EF1540" w:rsidTr="0072208A">
              <w:tc>
                <w:tcPr>
                  <w:tcW w:w="12105" w:type="dxa"/>
                  <w:gridSpan w:val="4"/>
                  <w:hideMark/>
                </w:tcPr>
                <w:p w:rsidR="004601A2" w:rsidRPr="00EF1540" w:rsidRDefault="004601A2" w:rsidP="004601A2">
                  <w:pPr>
                    <w:pStyle w:val="rvps12"/>
                    <w:jc w:val="center"/>
                  </w:pPr>
                  <w:r w:rsidRPr="00EF1540">
                    <w:rPr>
                      <w:noProof/>
                    </w:rPr>
                    <w:lastRenderedPageBreak/>
                    <w:drawing>
                      <wp:inline distT="0" distB="0" distL="0" distR="0" wp14:anchorId="67EE33F1" wp14:editId="384BA25B">
                        <wp:extent cx="1816100" cy="552450"/>
                        <wp:effectExtent l="0" t="0" r="0" b="0"/>
                        <wp:docPr id="48" name="Рисунок 48" descr="https://zakon.rada.gov.ua/laws/file/imgs/98/p480243n276-34.gif">
                          <a:hlinkClick xmlns:a="http://schemas.openxmlformats.org/drawingml/2006/main" r:id="rId1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zakon.rada.gov.ua/laws/file/imgs/98/p480243n276-34.gif">
                                  <a:hlinkClick r:id="rId107"/>
                                </pic:cNvPr>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1816100" cy="552450"/>
                                </a:xfrm>
                                <a:prstGeom prst="rect">
                                  <a:avLst/>
                                </a:prstGeom>
                                <a:noFill/>
                                <a:ln>
                                  <a:noFill/>
                                </a:ln>
                              </pic:spPr>
                            </pic:pic>
                          </a:graphicData>
                        </a:graphic>
                      </wp:inline>
                    </w:drawing>
                  </w:r>
                </w:p>
              </w:tc>
              <w:tc>
                <w:tcPr>
                  <w:tcW w:w="570" w:type="dxa"/>
                  <w:vAlign w:val="center"/>
                  <w:hideMark/>
                </w:tcPr>
                <w:p w:rsidR="004601A2" w:rsidRPr="00EF1540" w:rsidRDefault="004601A2" w:rsidP="004601A2">
                  <w:pPr>
                    <w:pStyle w:val="rvps11"/>
                  </w:pPr>
                  <w:r w:rsidRPr="00EF1540">
                    <w:t>(9)</w:t>
                  </w:r>
                </w:p>
              </w:tc>
            </w:tr>
            <w:tr w:rsidR="00EF1540" w:rsidRPr="00EF1540" w:rsidTr="0072208A">
              <w:tblPrEx>
                <w:tblCellMar>
                  <w:top w:w="15" w:type="dxa"/>
                  <w:left w:w="15" w:type="dxa"/>
                  <w:bottom w:w="15" w:type="dxa"/>
                  <w:right w:w="15" w:type="dxa"/>
                </w:tblCellMar>
              </w:tblPrEx>
              <w:tc>
                <w:tcPr>
                  <w:tcW w:w="465" w:type="dxa"/>
                  <w:hideMark/>
                </w:tcPr>
                <w:p w:rsidR="004601A2" w:rsidRPr="00EF1540" w:rsidRDefault="004601A2" w:rsidP="004601A2">
                  <w:pPr>
                    <w:pStyle w:val="rvps14"/>
                  </w:pPr>
                  <w:bookmarkStart w:id="53" w:name="n277"/>
                  <w:bookmarkEnd w:id="53"/>
                  <w:r w:rsidRPr="00EF1540">
                    <w:t>де</w:t>
                  </w:r>
                </w:p>
              </w:tc>
              <w:tc>
                <w:tcPr>
                  <w:tcW w:w="1230" w:type="dxa"/>
                  <w:hideMark/>
                </w:tcPr>
                <w:p w:rsidR="004601A2" w:rsidRPr="00EF1540" w:rsidRDefault="004601A2" w:rsidP="004601A2">
                  <w:pPr>
                    <w:pStyle w:val="rvps14"/>
                  </w:pPr>
                  <w:r w:rsidRPr="00EF1540">
                    <w:rPr>
                      <w:noProof/>
                    </w:rPr>
                    <w:drawing>
                      <wp:inline distT="0" distB="0" distL="0" distR="0" wp14:anchorId="48A055EC" wp14:editId="4A0D28E8">
                        <wp:extent cx="869950" cy="285750"/>
                        <wp:effectExtent l="0" t="0" r="6350" b="0"/>
                        <wp:docPr id="47" name="Рисунок 47" descr="https://zakon.rada.gov.ua/laws/file/imgs/98/p480243n277v1-35.gif">
                          <a:hlinkClick xmlns:a="http://schemas.openxmlformats.org/drawingml/2006/main" r:id="rId1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zakon.rada.gov.ua/laws/file/imgs/98/p480243n277v1-35.gif">
                                  <a:hlinkClick r:id="rId109"/>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869950" cy="285750"/>
                                </a:xfrm>
                                <a:prstGeom prst="rect">
                                  <a:avLst/>
                                </a:prstGeom>
                                <a:noFill/>
                                <a:ln>
                                  <a:noFill/>
                                </a:ln>
                              </pic:spPr>
                            </pic:pic>
                          </a:graphicData>
                        </a:graphic>
                      </wp:inline>
                    </w:drawing>
                  </w:r>
                </w:p>
              </w:tc>
              <w:tc>
                <w:tcPr>
                  <w:tcW w:w="180" w:type="dxa"/>
                  <w:hideMark/>
                </w:tcPr>
                <w:p w:rsidR="004601A2" w:rsidRPr="00EF1540" w:rsidRDefault="004601A2" w:rsidP="004601A2">
                  <w:pPr>
                    <w:pStyle w:val="rvps12"/>
                  </w:pPr>
                  <w:r w:rsidRPr="00EF1540">
                    <w:t>-</w:t>
                  </w:r>
                </w:p>
              </w:tc>
              <w:tc>
                <w:tcPr>
                  <w:tcW w:w="7890" w:type="dxa"/>
                  <w:gridSpan w:val="2"/>
                  <w:hideMark/>
                </w:tcPr>
                <w:p w:rsidR="004601A2" w:rsidRPr="00EF1540" w:rsidRDefault="004601A2" w:rsidP="004601A2">
                  <w:pPr>
                    <w:pStyle w:val="rvps14"/>
                    <w:jc w:val="both"/>
                  </w:pPr>
                  <w:r w:rsidRPr="00EF1540">
                    <w:t xml:space="preserve">сума фактичних капітальних витрат (без ПДВ), понесених під час надання послуги за j-те нестандартне приєднання (за об'єктами замовників, приєднання яких завершено у базовому періоді), тис. грн (без ПДВ) (з урахуванням результатів аналізу), по яких проводився аналіз відповідно до </w:t>
                  </w:r>
                  <w:hyperlink r:id="rId111" w:anchor="n353" w:history="1">
                    <w:r w:rsidRPr="00EF1540">
                      <w:rPr>
                        <w:rStyle w:val="a4"/>
                        <w:color w:val="auto"/>
                        <w:u w:val="none"/>
                      </w:rPr>
                      <w:t>пункту 4.5</w:t>
                    </w:r>
                  </w:hyperlink>
                  <w:r w:rsidRPr="00EF1540">
                    <w:t xml:space="preserve"> глави 4 цієї Методики;</w:t>
                  </w:r>
                </w:p>
              </w:tc>
            </w:tr>
            <w:tr w:rsidR="00EF1540" w:rsidRPr="00EF1540" w:rsidTr="0072208A">
              <w:tblPrEx>
                <w:tblCellMar>
                  <w:top w:w="15" w:type="dxa"/>
                  <w:left w:w="15" w:type="dxa"/>
                  <w:bottom w:w="15" w:type="dxa"/>
                  <w:right w:w="15" w:type="dxa"/>
                </w:tblCellMar>
              </w:tblPrEx>
              <w:tc>
                <w:tcPr>
                  <w:tcW w:w="465" w:type="dxa"/>
                  <w:hideMark/>
                </w:tcPr>
                <w:p w:rsidR="004601A2" w:rsidRPr="00EF1540" w:rsidRDefault="004601A2" w:rsidP="004601A2">
                  <w:pPr>
                    <w:pStyle w:val="rvps14"/>
                  </w:pPr>
                </w:p>
              </w:tc>
              <w:tc>
                <w:tcPr>
                  <w:tcW w:w="1230" w:type="dxa"/>
                  <w:hideMark/>
                </w:tcPr>
                <w:p w:rsidR="004601A2" w:rsidRPr="00EF1540" w:rsidRDefault="004601A2" w:rsidP="004601A2">
                  <w:pPr>
                    <w:pStyle w:val="rvps14"/>
                  </w:pPr>
                  <w:r w:rsidRPr="00EF1540">
                    <w:rPr>
                      <w:noProof/>
                    </w:rPr>
                    <w:drawing>
                      <wp:inline distT="0" distB="0" distL="0" distR="0" wp14:anchorId="75E734E1" wp14:editId="41E48B75">
                        <wp:extent cx="889000" cy="298450"/>
                        <wp:effectExtent l="0" t="0" r="6350" b="6350"/>
                        <wp:docPr id="46" name="Рисунок 46" descr="https://zakon.rada.gov.ua/laws/file/imgs/98/p480243n277v1-36.gif">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zakon.rada.gov.ua/laws/file/imgs/98/p480243n277v1-36.gif">
                                  <a:hlinkClick r:id="rId112"/>
                                </pic:cNvPr>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889000" cy="298450"/>
                                </a:xfrm>
                                <a:prstGeom prst="rect">
                                  <a:avLst/>
                                </a:prstGeom>
                                <a:noFill/>
                                <a:ln>
                                  <a:noFill/>
                                </a:ln>
                              </pic:spPr>
                            </pic:pic>
                          </a:graphicData>
                        </a:graphic>
                      </wp:inline>
                    </w:drawing>
                  </w:r>
                </w:p>
              </w:tc>
              <w:tc>
                <w:tcPr>
                  <w:tcW w:w="180" w:type="dxa"/>
                  <w:hideMark/>
                </w:tcPr>
                <w:p w:rsidR="004601A2" w:rsidRPr="00EF1540" w:rsidRDefault="004601A2" w:rsidP="004601A2">
                  <w:pPr>
                    <w:pStyle w:val="rvps12"/>
                  </w:pPr>
                  <w:r w:rsidRPr="00EF1540">
                    <w:t>-</w:t>
                  </w:r>
                </w:p>
              </w:tc>
              <w:tc>
                <w:tcPr>
                  <w:tcW w:w="7890" w:type="dxa"/>
                  <w:gridSpan w:val="2"/>
                  <w:hideMark/>
                </w:tcPr>
                <w:p w:rsidR="004601A2" w:rsidRPr="00EF1540" w:rsidRDefault="004601A2" w:rsidP="004601A2">
                  <w:pPr>
                    <w:pStyle w:val="rvps14"/>
                    <w:jc w:val="both"/>
                  </w:pPr>
                  <w:r w:rsidRPr="00EF1540">
                    <w:t xml:space="preserve">сума фактичних капітальних витрат (без ПДВ), понесених під час надання послуги за j-те нестандартне приєднання (за об'єктами замовників, приєднання яких завершено у базовому періоді), тис. грн (без ПДВ) (значення за рядками графи 80 </w:t>
                  </w:r>
                  <w:hyperlink r:id="rId114" w:anchor="n146" w:history="1">
                    <w:r w:rsidRPr="00EF1540">
                      <w:rPr>
                        <w:rStyle w:val="a4"/>
                        <w:color w:val="auto"/>
                        <w:u w:val="none"/>
                      </w:rPr>
                      <w:t>додатка 1</w:t>
                    </w:r>
                  </w:hyperlink>
                  <w:r w:rsidRPr="00EF1540">
                    <w:t xml:space="preserve"> до цієї Методики), по яких проводився аналіз відповідно до </w:t>
                  </w:r>
                  <w:hyperlink r:id="rId115" w:anchor="n353" w:history="1">
                    <w:r w:rsidRPr="00EF1540">
                      <w:rPr>
                        <w:rStyle w:val="a4"/>
                        <w:color w:val="auto"/>
                        <w:u w:val="none"/>
                      </w:rPr>
                      <w:t>пункту 4.5</w:t>
                    </w:r>
                  </w:hyperlink>
                  <w:r w:rsidRPr="00EF1540">
                    <w:t xml:space="preserve"> глави 4 цієї Методики.</w:t>
                  </w:r>
                </w:p>
              </w:tc>
            </w:tr>
          </w:tbl>
          <w:p w:rsidR="004601A2" w:rsidRPr="00EF1540" w:rsidRDefault="004601A2" w:rsidP="004601A2">
            <w:pPr>
              <w:pStyle w:val="rvps2"/>
              <w:shd w:val="clear" w:color="auto" w:fill="FFFFFF"/>
              <w:spacing w:before="0" w:beforeAutospacing="0" w:after="150" w:afterAutospacing="0"/>
              <w:ind w:firstLine="450"/>
              <w:jc w:val="both"/>
            </w:pPr>
          </w:p>
        </w:tc>
        <w:tc>
          <w:tcPr>
            <w:tcW w:w="7146" w:type="dxa"/>
          </w:tcPr>
          <w:p w:rsidR="004601A2" w:rsidRPr="00EF1540" w:rsidRDefault="004601A2" w:rsidP="004601A2">
            <w:pPr>
              <w:pStyle w:val="rvps2"/>
              <w:ind w:firstLine="741"/>
              <w:jc w:val="both"/>
            </w:pPr>
            <w:bookmarkStart w:id="54" w:name="_Hlk161077664"/>
            <w:r w:rsidRPr="00EF1540">
              <w:lastRenderedPageBreak/>
              <w:t xml:space="preserve">5.2. Ставка плати за нестандартне приєднання потужності </w:t>
            </w:r>
            <m:oMath>
              <m:sSubSup>
                <m:sSubSupPr>
                  <m:ctrlPr>
                    <w:rPr>
                      <w:rFonts w:ascii="Cambria Math" w:eastAsiaTheme="minorHAnsi" w:hAnsi="Cambria Math" w:cstheme="minorBidi"/>
                      <w:b/>
                      <w:lang w:eastAsia="en-US"/>
                    </w:rPr>
                  </m:ctrlPr>
                </m:sSubSupPr>
                <m:e>
                  <m:r>
                    <m:rPr>
                      <m:sty m:val="bi"/>
                    </m:rPr>
                    <w:rPr>
                      <w:rFonts w:ascii="Cambria Math" w:hAnsi="Cambria Math"/>
                    </w:rPr>
                    <m:t>С</m:t>
                  </m:r>
                </m:e>
                <m:sub>
                  <m:r>
                    <m:rPr>
                      <m:sty m:val="bi"/>
                    </m:rPr>
                    <w:rPr>
                      <w:rFonts w:ascii="Cambria Math" w:hAnsi="Cambria Math"/>
                    </w:rPr>
                    <m:t>нст</m:t>
                  </m:r>
                </m:sub>
                <m:sup>
                  <m:r>
                    <m:rPr>
                      <m:sty m:val="bi"/>
                    </m:rPr>
                    <w:rPr>
                      <w:rFonts w:ascii="Cambria Math" w:hAnsi="Cambria Math"/>
                    </w:rPr>
                    <m:t>к,н,зтт,місц,с</m:t>
                  </m:r>
                </m:sup>
              </m:sSubSup>
            </m:oMath>
            <w:r w:rsidRPr="00EF1540">
              <w:t xml:space="preserve"> для електроустановок, призначених для споживання електричної енергії, встановлюються НКРЕКП на розрахунковий період та розраховуються за формулою</w:t>
            </w:r>
          </w:p>
          <w:bookmarkStart w:id="55" w:name="_Hlk161077422"/>
          <w:bookmarkEnd w:id="54"/>
          <w:p w:rsidR="004601A2" w:rsidRPr="00EF1540" w:rsidRDefault="00647D68" w:rsidP="004601A2">
            <w:pPr>
              <w:pStyle w:val="rvps2"/>
              <w:ind w:right="-106" w:firstLine="741"/>
              <w:jc w:val="both"/>
              <w:rPr>
                <w:b/>
              </w:rPr>
            </w:pPr>
            <m:oMathPara>
              <m:oMath>
                <m:sSubSup>
                  <m:sSubSupPr>
                    <m:ctrlPr>
                      <w:rPr>
                        <w:rFonts w:ascii="Cambria Math" w:eastAsiaTheme="minorHAnsi" w:hAnsi="Cambria Math" w:cstheme="minorBidi"/>
                        <w:b/>
                        <w:lang w:eastAsia="en-US"/>
                      </w:rPr>
                    </m:ctrlPr>
                  </m:sSubSupPr>
                  <m:e>
                    <m:r>
                      <m:rPr>
                        <m:sty m:val="bi"/>
                      </m:rPr>
                      <w:rPr>
                        <w:rFonts w:ascii="Cambria Math" w:hAnsi="Cambria Math"/>
                      </w:rPr>
                      <m:t>С</m:t>
                    </m:r>
                  </m:e>
                  <m:sub>
                    <m:r>
                      <m:rPr>
                        <m:sty m:val="bi"/>
                      </m:rPr>
                      <w:rPr>
                        <w:rFonts w:ascii="Cambria Math" w:hAnsi="Cambria Math"/>
                      </w:rPr>
                      <m:t>нст</m:t>
                    </m:r>
                  </m:sub>
                  <m:sup>
                    <m:r>
                      <m:rPr>
                        <m:sty m:val="bi"/>
                      </m:rPr>
                      <w:rPr>
                        <w:rFonts w:ascii="Cambria Math" w:hAnsi="Cambria Math"/>
                      </w:rPr>
                      <m:t>к,н,зтт,місц,с</m:t>
                    </m:r>
                  </m:sup>
                </m:sSubSup>
                <m:r>
                  <m:rPr>
                    <m:sty m:val="bi"/>
                  </m:rPr>
                  <w:rPr>
                    <w:rFonts w:ascii="Cambria Math" w:hAnsi="Cambria Math"/>
                  </w:rPr>
                  <m:t>=</m:t>
                </m:r>
                <m:sSub>
                  <m:sSubPr>
                    <m:ctrlPr>
                      <w:rPr>
                        <w:rFonts w:ascii="Cambria Math" w:eastAsiaTheme="minorHAnsi" w:hAnsi="Cambria Math" w:cstheme="minorBidi"/>
                        <w:b/>
                        <w:i/>
                        <w:lang w:eastAsia="en-US"/>
                      </w:rPr>
                    </m:ctrlPr>
                  </m:sSubPr>
                  <m:e>
                    <m:r>
                      <m:rPr>
                        <m:sty m:val="bi"/>
                      </m:rPr>
                      <w:rPr>
                        <w:rFonts w:ascii="Cambria Math" w:eastAsiaTheme="minorHAnsi" w:hAnsi="Cambria Math" w:cstheme="minorBidi"/>
                        <w:lang w:eastAsia="en-US"/>
                      </w:rPr>
                      <m:t>П</m:t>
                    </m:r>
                  </m:e>
                  <m:sub>
                    <m:sSub>
                      <m:sSubPr>
                        <m:ctrlPr>
                          <w:rPr>
                            <w:rFonts w:ascii="Cambria Math" w:eastAsiaTheme="minorHAnsi" w:hAnsi="Cambria Math" w:cstheme="minorBidi"/>
                            <w:b/>
                            <w:i/>
                            <w:lang w:eastAsia="en-US"/>
                          </w:rPr>
                        </m:ctrlPr>
                      </m:sSubPr>
                      <m:e>
                        <m:r>
                          <m:rPr>
                            <m:sty m:val="bi"/>
                          </m:rPr>
                          <w:rPr>
                            <w:rFonts w:ascii="Cambria Math" w:eastAsiaTheme="minorHAnsi" w:hAnsi="Cambria Math" w:cstheme="minorBidi"/>
                            <w:lang w:eastAsia="en-US"/>
                          </w:rPr>
                          <m:t>базова</m:t>
                        </m:r>
                      </m:e>
                      <m:sub>
                        <m:r>
                          <m:rPr>
                            <m:sty m:val="bi"/>
                          </m:rPr>
                          <w:rPr>
                            <w:rFonts w:ascii="Cambria Math" w:eastAsiaTheme="minorHAnsi" w:hAnsi="Cambria Math" w:cstheme="minorBidi"/>
                            <w:lang w:eastAsia="en-US"/>
                          </w:rPr>
                          <m:t>нст</m:t>
                        </m:r>
                      </m:sub>
                    </m:sSub>
                  </m:sub>
                </m:sSub>
                <m:r>
                  <m:rPr>
                    <m:sty m:val="bi"/>
                  </m:rPr>
                  <w:rPr>
                    <w:rFonts w:ascii="Cambria Math" w:hAnsi="Cambria Math"/>
                  </w:rPr>
                  <m:t>×</m:t>
                </m:r>
                <m:sSub>
                  <m:sSubPr>
                    <m:ctrlPr>
                      <w:rPr>
                        <w:rFonts w:ascii="Cambria Math" w:eastAsiaTheme="minorHAnsi" w:hAnsi="Cambria Math" w:cstheme="minorBidi"/>
                        <w:b/>
                        <w:i/>
                        <w:lang w:eastAsia="en-US"/>
                      </w:rPr>
                    </m:ctrlPr>
                  </m:sSubPr>
                  <m:e>
                    <m:r>
                      <m:rPr>
                        <m:sty m:val="bi"/>
                      </m:rPr>
                      <w:rPr>
                        <w:rFonts w:ascii="Cambria Math" w:hAnsi="Cambria Math"/>
                      </w:rPr>
                      <m:t>К</m:t>
                    </m:r>
                  </m:e>
                  <m:sub>
                    <m:r>
                      <m:rPr>
                        <m:sty m:val="bi"/>
                      </m:rPr>
                      <w:rPr>
                        <w:rFonts w:ascii="Cambria Math" w:hAnsi="Cambria Math"/>
                      </w:rPr>
                      <m:t>к</m:t>
                    </m:r>
                  </m:sub>
                </m:sSub>
                <m:r>
                  <m:rPr>
                    <m:sty m:val="bi"/>
                  </m:rPr>
                  <w:rPr>
                    <w:rFonts w:ascii="Cambria Math" w:hAnsi="Cambria Math"/>
                  </w:rPr>
                  <m:t>×</m:t>
                </m:r>
                <m:sSub>
                  <m:sSubPr>
                    <m:ctrlPr>
                      <w:rPr>
                        <w:rFonts w:ascii="Cambria Math" w:eastAsiaTheme="minorHAnsi" w:hAnsi="Cambria Math" w:cstheme="minorBidi"/>
                        <w:b/>
                        <w:i/>
                        <w:lang w:eastAsia="en-US"/>
                      </w:rPr>
                    </m:ctrlPr>
                  </m:sSubPr>
                  <m:e>
                    <m:r>
                      <m:rPr>
                        <m:sty m:val="bi"/>
                      </m:rPr>
                      <w:rPr>
                        <w:rFonts w:ascii="Cambria Math" w:hAnsi="Cambria Math"/>
                      </w:rPr>
                      <m:t>К</m:t>
                    </m:r>
                  </m:e>
                  <m:sub>
                    <m:r>
                      <m:rPr>
                        <m:sty m:val="bi"/>
                      </m:rPr>
                      <w:rPr>
                        <w:rFonts w:ascii="Cambria Math" w:hAnsi="Cambria Math"/>
                      </w:rPr>
                      <m:t>н</m:t>
                    </m:r>
                  </m:sub>
                </m:sSub>
                <m:r>
                  <m:rPr>
                    <m:sty m:val="bi"/>
                  </m:rPr>
                  <w:rPr>
                    <w:rFonts w:ascii="Cambria Math" w:hAnsi="Cambria Math"/>
                  </w:rPr>
                  <m:t>×</m:t>
                </m:r>
                <m:sSub>
                  <m:sSubPr>
                    <m:ctrlPr>
                      <w:rPr>
                        <w:rFonts w:ascii="Cambria Math" w:eastAsiaTheme="minorHAnsi" w:hAnsi="Cambria Math" w:cstheme="minorBidi"/>
                        <w:b/>
                        <w:i/>
                        <w:lang w:eastAsia="en-US"/>
                      </w:rPr>
                    </m:ctrlPr>
                  </m:sSubPr>
                  <m:e>
                    <m:r>
                      <m:rPr>
                        <m:sty m:val="bi"/>
                      </m:rPr>
                      <w:rPr>
                        <w:rFonts w:ascii="Cambria Math" w:hAnsi="Cambria Math"/>
                      </w:rPr>
                      <m:t>К</m:t>
                    </m:r>
                  </m:e>
                  <m:sub>
                    <m:r>
                      <m:rPr>
                        <m:sty m:val="bi"/>
                      </m:rPr>
                      <w:rPr>
                        <w:rFonts w:ascii="Cambria Math" w:hAnsi="Cambria Math"/>
                      </w:rPr>
                      <m:t>місц</m:t>
                    </m:r>
                  </m:sub>
                </m:sSub>
                <m:r>
                  <m:rPr>
                    <m:sty m:val="bi"/>
                  </m:rPr>
                  <w:rPr>
                    <w:rFonts w:ascii="Cambria Math" w:hAnsi="Cambria Math"/>
                  </w:rPr>
                  <m:t>×</m:t>
                </m:r>
                <m:sSubSup>
                  <m:sSubSupPr>
                    <m:ctrlPr>
                      <w:rPr>
                        <w:rFonts w:ascii="Cambria Math" w:hAnsi="Cambria Math"/>
                        <w:b/>
                        <w:i/>
                      </w:rPr>
                    </m:ctrlPr>
                  </m:sSubSupPr>
                  <m:e>
                    <m:r>
                      <m:rPr>
                        <m:sty m:val="bi"/>
                      </m:rPr>
                      <w:rPr>
                        <w:rFonts w:ascii="Cambria Math" w:hAnsi="Cambria Math"/>
                      </w:rPr>
                      <m:t>К</m:t>
                    </m:r>
                  </m:e>
                  <m:sub>
                    <m:r>
                      <m:rPr>
                        <m:sty m:val="bi"/>
                      </m:rPr>
                      <w:rPr>
                        <w:rFonts w:ascii="Cambria Math" w:hAnsi="Cambria Math"/>
                      </w:rPr>
                      <m:t>зтт</m:t>
                    </m:r>
                  </m:sub>
                  <m:sup>
                    <m:r>
                      <m:rPr>
                        <m:sty m:val="bi"/>
                      </m:rPr>
                      <w:rPr>
                        <w:rFonts w:ascii="Cambria Math" w:hAnsi="Cambria Math"/>
                      </w:rPr>
                      <m:t>і</m:t>
                    </m:r>
                  </m:sup>
                </m:sSubSup>
                <m:r>
                  <m:rPr>
                    <m:sty m:val="bi"/>
                  </m:rPr>
                  <w:rPr>
                    <w:rFonts w:ascii="Cambria Math" w:hAnsi="Cambria Math"/>
                  </w:rPr>
                  <m:t>×</m:t>
                </m:r>
                <m:sSub>
                  <m:sSubPr>
                    <m:ctrlPr>
                      <w:rPr>
                        <w:rFonts w:ascii="Cambria Math" w:eastAsiaTheme="minorHAnsi" w:hAnsi="Cambria Math" w:cstheme="minorBidi"/>
                        <w:b/>
                        <w:i/>
                        <w:lang w:eastAsia="en-US"/>
                      </w:rPr>
                    </m:ctrlPr>
                  </m:sSubPr>
                  <m:e>
                    <m:r>
                      <m:rPr>
                        <m:sty m:val="bi"/>
                      </m:rPr>
                      <w:rPr>
                        <w:rFonts w:ascii="Cambria Math" w:hAnsi="Cambria Math"/>
                      </w:rPr>
                      <m:t>К</m:t>
                    </m:r>
                  </m:e>
                  <m:sub>
                    <m:r>
                      <m:rPr>
                        <m:sty m:val="bi"/>
                      </m:rPr>
                      <w:rPr>
                        <w:rFonts w:ascii="Cambria Math" w:hAnsi="Cambria Math"/>
                      </w:rPr>
                      <m:t>інд</m:t>
                    </m:r>
                  </m:sub>
                </m:sSub>
                <m:r>
                  <m:rPr>
                    <m:sty m:val="bi"/>
                  </m:rPr>
                  <w:rPr>
                    <w:rFonts w:ascii="Cambria Math" w:hAnsi="Cambria Math"/>
                  </w:rPr>
                  <m:t>, тис грн/кВт</m:t>
                </m:r>
              </m:oMath>
            </m:oMathPara>
          </w:p>
          <w:bookmarkEnd w:id="55"/>
          <w:p w:rsidR="004601A2" w:rsidRPr="00EF1540" w:rsidRDefault="004601A2" w:rsidP="004601A2">
            <w:pPr>
              <w:pStyle w:val="rvps2"/>
              <w:ind w:right="-106" w:firstLine="741"/>
              <w:jc w:val="right"/>
            </w:pPr>
            <w:r w:rsidRPr="00EF1540">
              <w:t>(7)</w:t>
            </w:r>
          </w:p>
          <w:tbl>
            <w:tblPr>
              <w:tblW w:w="5000" w:type="pct"/>
              <w:tblCellMar>
                <w:top w:w="15" w:type="dxa"/>
                <w:left w:w="15" w:type="dxa"/>
                <w:bottom w:w="15" w:type="dxa"/>
                <w:right w:w="15" w:type="dxa"/>
              </w:tblCellMar>
              <w:tblLook w:val="04A0" w:firstRow="1" w:lastRow="0" w:firstColumn="1" w:lastColumn="0" w:noHBand="0" w:noVBand="1"/>
            </w:tblPr>
            <w:tblGrid>
              <w:gridCol w:w="341"/>
              <w:gridCol w:w="1334"/>
              <w:gridCol w:w="169"/>
              <w:gridCol w:w="5413"/>
            </w:tblGrid>
            <w:tr w:rsidR="00EF1540" w:rsidRPr="00EF1540" w:rsidTr="008322AA">
              <w:tc>
                <w:tcPr>
                  <w:tcW w:w="349" w:type="dxa"/>
                  <w:hideMark/>
                </w:tcPr>
                <w:p w:rsidR="004601A2" w:rsidRPr="00EF1540" w:rsidRDefault="004601A2" w:rsidP="004601A2">
                  <w:pPr>
                    <w:pStyle w:val="rvps14"/>
                  </w:pPr>
                  <w:r w:rsidRPr="00EF1540">
                    <w:t>де</w:t>
                  </w:r>
                </w:p>
              </w:tc>
              <w:tc>
                <w:tcPr>
                  <w:tcW w:w="1353" w:type="dxa"/>
                  <w:hideMark/>
                </w:tcPr>
                <w:p w:rsidR="004601A2" w:rsidRPr="00EF1540" w:rsidRDefault="004601A2" w:rsidP="004601A2">
                  <w:pPr>
                    <w:pStyle w:val="rvps14"/>
                  </w:pPr>
                  <w:r w:rsidRPr="00EF1540">
                    <w:rPr>
                      <w:noProof/>
                    </w:rPr>
                    <w:drawing>
                      <wp:inline distT="0" distB="0" distL="0" distR="0" wp14:anchorId="77C6DABF" wp14:editId="22C2CA06">
                        <wp:extent cx="711200" cy="209550"/>
                        <wp:effectExtent l="0" t="0" r="0" b="0"/>
                        <wp:docPr id="61" name="Рисунок 61" descr="https://zakon.rada.gov.ua/laws/file/imgs/98/p480243n273-24.gif">
                          <a:hlinkClick xmlns:a="http://schemas.openxmlformats.org/drawingml/2006/main" r:id="rId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zakon.rada.gov.ua/laws/file/imgs/98/p480243n273-24.gif">
                                  <a:hlinkClick r:id="rId79"/>
                                </pic:cNvPr>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711200" cy="209550"/>
                                </a:xfrm>
                                <a:prstGeom prst="rect">
                                  <a:avLst/>
                                </a:prstGeom>
                                <a:noFill/>
                                <a:ln>
                                  <a:noFill/>
                                </a:ln>
                              </pic:spPr>
                            </pic:pic>
                          </a:graphicData>
                        </a:graphic>
                      </wp:inline>
                    </w:drawing>
                  </w:r>
                </w:p>
              </w:tc>
              <w:tc>
                <w:tcPr>
                  <w:tcW w:w="175" w:type="dxa"/>
                  <w:hideMark/>
                </w:tcPr>
                <w:p w:rsidR="004601A2" w:rsidRPr="00EF1540" w:rsidRDefault="004601A2" w:rsidP="004601A2">
                  <w:pPr>
                    <w:pStyle w:val="rvps12"/>
                  </w:pPr>
                  <w:r w:rsidRPr="00EF1540">
                    <w:t>-</w:t>
                  </w:r>
                </w:p>
              </w:tc>
              <w:tc>
                <w:tcPr>
                  <w:tcW w:w="5772" w:type="dxa"/>
                  <w:hideMark/>
                </w:tcPr>
                <w:p w:rsidR="004601A2" w:rsidRPr="00EF1540" w:rsidRDefault="004601A2" w:rsidP="004601A2">
                  <w:pPr>
                    <w:pStyle w:val="rvps14"/>
                    <w:jc w:val="both"/>
                  </w:pPr>
                  <w:bookmarkStart w:id="56" w:name="_Hlk161077754"/>
                  <w:r w:rsidRPr="00EF1540">
                    <w:t xml:space="preserve">питома вартість приєднання 1 кВт потужності електроустановок замовника, </w:t>
                  </w:r>
                  <w:bookmarkStart w:id="57" w:name="_Hlk161077258"/>
                  <w:r w:rsidRPr="00EF1540">
                    <w:rPr>
                      <w:b/>
                    </w:rPr>
                    <w:t xml:space="preserve">яка встановлюється </w:t>
                  </w:r>
                  <w:r w:rsidRPr="00EF1540">
                    <w:rPr>
                      <w:rStyle w:val="rvts0"/>
                      <w:b/>
                    </w:rPr>
                    <w:t>на рівні 3,48 тис. грн/кВт станом на 01 січня 2025 року;</w:t>
                  </w:r>
                  <w:r w:rsidRPr="00EF1540">
                    <w:rPr>
                      <w:rStyle w:val="rvts0"/>
                    </w:rPr>
                    <w:t xml:space="preserve"> </w:t>
                  </w:r>
                  <w:bookmarkEnd w:id="56"/>
                  <w:bookmarkEnd w:id="57"/>
                </w:p>
              </w:tc>
            </w:tr>
          </w:tbl>
          <w:p w:rsidR="004601A2" w:rsidRPr="00EF1540" w:rsidRDefault="004601A2" w:rsidP="004601A2">
            <w:pPr>
              <w:rPr>
                <w:vanish/>
              </w:rPr>
            </w:pPr>
          </w:p>
          <w:tbl>
            <w:tblPr>
              <w:tblW w:w="5000" w:type="pct"/>
              <w:tblCellMar>
                <w:top w:w="15" w:type="dxa"/>
                <w:left w:w="15" w:type="dxa"/>
                <w:bottom w:w="15" w:type="dxa"/>
                <w:right w:w="15" w:type="dxa"/>
              </w:tblCellMar>
              <w:tblLook w:val="04A0" w:firstRow="1" w:lastRow="0" w:firstColumn="1" w:lastColumn="0" w:noHBand="0" w:noVBand="1"/>
            </w:tblPr>
            <w:tblGrid>
              <w:gridCol w:w="530"/>
              <w:gridCol w:w="1035"/>
              <w:gridCol w:w="138"/>
              <w:gridCol w:w="5554"/>
            </w:tblGrid>
            <w:tr w:rsidR="00EF1540" w:rsidRPr="00EF1540" w:rsidTr="008322AA">
              <w:tc>
                <w:tcPr>
                  <w:tcW w:w="7649" w:type="dxa"/>
                  <w:gridSpan w:val="4"/>
                  <w:hideMark/>
                </w:tcPr>
                <w:p w:rsidR="004601A2" w:rsidRPr="00EF1540" w:rsidRDefault="004601A2" w:rsidP="004601A2">
                  <w:pPr>
                    <w:pStyle w:val="rvps2"/>
                  </w:pPr>
                </w:p>
              </w:tc>
            </w:tr>
            <w:tr w:rsidR="00EF1540" w:rsidRPr="00EF1540" w:rsidTr="00060732">
              <w:tc>
                <w:tcPr>
                  <w:tcW w:w="587" w:type="dxa"/>
                  <w:hideMark/>
                </w:tcPr>
                <w:p w:rsidR="004601A2" w:rsidRPr="00EF1540" w:rsidRDefault="004601A2" w:rsidP="004601A2">
                  <w:pPr>
                    <w:pStyle w:val="rvps14"/>
                  </w:pPr>
                </w:p>
              </w:tc>
              <w:tc>
                <w:tcPr>
                  <w:tcW w:w="1081" w:type="dxa"/>
                  <w:hideMark/>
                </w:tcPr>
                <w:p w:rsidR="004601A2" w:rsidRPr="00EF1540" w:rsidRDefault="004601A2" w:rsidP="004601A2">
                  <w:pPr>
                    <w:pStyle w:val="rvps14"/>
                  </w:pPr>
                  <w:bookmarkStart w:id="58" w:name="_Hlk161077768"/>
                  <w:proofErr w:type="spellStart"/>
                  <w:r w:rsidRPr="00EF1540">
                    <w:rPr>
                      <w:rStyle w:val="rvts9"/>
                    </w:rPr>
                    <w:t>К</w:t>
                  </w:r>
                  <w:r w:rsidRPr="00EF1540">
                    <w:rPr>
                      <w:rStyle w:val="rvts40"/>
                    </w:rPr>
                    <w:t>к</w:t>
                  </w:r>
                  <w:bookmarkEnd w:id="58"/>
                  <w:proofErr w:type="spellEnd"/>
                </w:p>
              </w:tc>
              <w:tc>
                <w:tcPr>
                  <w:tcW w:w="141" w:type="dxa"/>
                  <w:hideMark/>
                </w:tcPr>
                <w:p w:rsidR="004601A2" w:rsidRPr="00EF1540" w:rsidRDefault="004601A2" w:rsidP="004601A2">
                  <w:pPr>
                    <w:pStyle w:val="rvps12"/>
                  </w:pPr>
                  <w:r w:rsidRPr="00EF1540">
                    <w:t>-</w:t>
                  </w:r>
                </w:p>
              </w:tc>
              <w:tc>
                <w:tcPr>
                  <w:tcW w:w="5840" w:type="dxa"/>
                  <w:hideMark/>
                </w:tcPr>
                <w:p w:rsidR="004601A2" w:rsidRPr="00EF1540" w:rsidRDefault="004601A2" w:rsidP="004601A2">
                  <w:pPr>
                    <w:pStyle w:val="rvps14"/>
                    <w:jc w:val="both"/>
                  </w:pPr>
                  <w:bookmarkStart w:id="59" w:name="_Hlk161077878"/>
                  <w:r w:rsidRPr="00EF1540">
                    <w:t>коефіцієнт категорії надійності електропостачання (</w:t>
                  </w:r>
                  <w:hyperlink r:id="rId116" w:anchor="n152" w:history="1">
                    <w:r w:rsidRPr="00EF1540">
                      <w:rPr>
                        <w:rStyle w:val="a4"/>
                        <w:color w:val="auto"/>
                        <w:u w:val="none"/>
                      </w:rPr>
                      <w:t>додаток 3</w:t>
                    </w:r>
                  </w:hyperlink>
                  <w:r w:rsidRPr="00EF1540">
                    <w:t xml:space="preserve"> до цієї Методики);</w:t>
                  </w:r>
                  <w:bookmarkEnd w:id="59"/>
                </w:p>
              </w:tc>
            </w:tr>
            <w:tr w:rsidR="00EF1540" w:rsidRPr="00EF1540" w:rsidTr="00060732">
              <w:tc>
                <w:tcPr>
                  <w:tcW w:w="587" w:type="dxa"/>
                  <w:hideMark/>
                </w:tcPr>
                <w:p w:rsidR="004601A2" w:rsidRPr="00EF1540" w:rsidRDefault="004601A2" w:rsidP="004601A2">
                  <w:pPr>
                    <w:pStyle w:val="rvps14"/>
                  </w:pPr>
                </w:p>
              </w:tc>
              <w:tc>
                <w:tcPr>
                  <w:tcW w:w="1081" w:type="dxa"/>
                  <w:hideMark/>
                </w:tcPr>
                <w:p w:rsidR="004601A2" w:rsidRPr="00EF1540" w:rsidRDefault="004601A2" w:rsidP="004601A2">
                  <w:pPr>
                    <w:pStyle w:val="rvps14"/>
                  </w:pPr>
                  <w:bookmarkStart w:id="60" w:name="_Hlk161077778"/>
                  <w:proofErr w:type="spellStart"/>
                  <w:r w:rsidRPr="00EF1540">
                    <w:rPr>
                      <w:rStyle w:val="rvts9"/>
                    </w:rPr>
                    <w:t>К</w:t>
                  </w:r>
                  <w:r w:rsidRPr="00EF1540">
                    <w:rPr>
                      <w:rStyle w:val="rvts40"/>
                    </w:rPr>
                    <w:t>н</w:t>
                  </w:r>
                  <w:bookmarkEnd w:id="60"/>
                  <w:proofErr w:type="spellEnd"/>
                </w:p>
              </w:tc>
              <w:tc>
                <w:tcPr>
                  <w:tcW w:w="141" w:type="dxa"/>
                  <w:hideMark/>
                </w:tcPr>
                <w:p w:rsidR="004601A2" w:rsidRPr="00EF1540" w:rsidRDefault="004601A2" w:rsidP="004601A2">
                  <w:pPr>
                    <w:pStyle w:val="rvps12"/>
                  </w:pPr>
                  <w:r w:rsidRPr="00EF1540">
                    <w:t>-</w:t>
                  </w:r>
                </w:p>
              </w:tc>
              <w:tc>
                <w:tcPr>
                  <w:tcW w:w="5840" w:type="dxa"/>
                  <w:hideMark/>
                </w:tcPr>
                <w:p w:rsidR="004601A2" w:rsidRPr="00EF1540" w:rsidRDefault="004601A2" w:rsidP="004601A2">
                  <w:pPr>
                    <w:pStyle w:val="rvps14"/>
                    <w:jc w:val="both"/>
                  </w:pPr>
                  <w:bookmarkStart w:id="61" w:name="_Hlk161077884"/>
                  <w:r w:rsidRPr="00EF1540">
                    <w:t>коефіцієнт ступеня напруги в точці приєднання (110(154)/35/20(10)6/0,4(0,23) кВ) (</w:t>
                  </w:r>
                  <w:hyperlink r:id="rId117" w:anchor="n155" w:history="1">
                    <w:r w:rsidRPr="00EF1540">
                      <w:rPr>
                        <w:rStyle w:val="a4"/>
                        <w:color w:val="auto"/>
                        <w:u w:val="none"/>
                      </w:rPr>
                      <w:t>додаток 4</w:t>
                    </w:r>
                  </w:hyperlink>
                  <w:r w:rsidRPr="00EF1540">
                    <w:t xml:space="preserve"> до цієї Методики);</w:t>
                  </w:r>
                  <w:bookmarkEnd w:id="61"/>
                </w:p>
              </w:tc>
            </w:tr>
            <w:tr w:rsidR="00EF1540" w:rsidRPr="00EF1540" w:rsidTr="00060732">
              <w:tc>
                <w:tcPr>
                  <w:tcW w:w="587" w:type="dxa"/>
                </w:tcPr>
                <w:p w:rsidR="004601A2" w:rsidRPr="00EF1540" w:rsidRDefault="004601A2" w:rsidP="004601A2">
                  <w:pPr>
                    <w:pStyle w:val="rvps14"/>
                  </w:pPr>
                </w:p>
              </w:tc>
              <w:tc>
                <w:tcPr>
                  <w:tcW w:w="1081" w:type="dxa"/>
                </w:tcPr>
                <w:p w:rsidR="004601A2" w:rsidRPr="00EF1540" w:rsidRDefault="004601A2" w:rsidP="004601A2">
                  <w:pPr>
                    <w:pStyle w:val="rvps14"/>
                    <w:rPr>
                      <w:noProof/>
                    </w:rPr>
                  </w:pPr>
                  <w:r w:rsidRPr="00EF1540">
                    <w:rPr>
                      <w:noProof/>
                    </w:rPr>
                    <w:drawing>
                      <wp:inline distT="0" distB="0" distL="0" distR="0" wp14:anchorId="25CD0CBE" wp14:editId="466E9037">
                        <wp:extent cx="387350" cy="203200"/>
                        <wp:effectExtent l="0" t="0" r="0" b="6350"/>
                        <wp:docPr id="71" name="Рисунок 71" descr="https://zakon.rada.gov.ua/laws/file/imgs/98/p480243n275v1-29.gif">
                          <a:hlinkClick xmlns:a="http://schemas.openxmlformats.org/drawingml/2006/main" r:id="rId9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zakon.rada.gov.ua/laws/file/imgs/98/p480243n275v1-29.gif">
                                  <a:hlinkClick r:id="rId95"/>
                                </pic:cNvPr>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387350" cy="203200"/>
                                </a:xfrm>
                                <a:prstGeom prst="rect">
                                  <a:avLst/>
                                </a:prstGeom>
                                <a:noFill/>
                                <a:ln>
                                  <a:noFill/>
                                </a:ln>
                              </pic:spPr>
                            </pic:pic>
                          </a:graphicData>
                        </a:graphic>
                      </wp:inline>
                    </w:drawing>
                  </w:r>
                </w:p>
              </w:tc>
              <w:tc>
                <w:tcPr>
                  <w:tcW w:w="141" w:type="dxa"/>
                </w:tcPr>
                <w:p w:rsidR="004601A2" w:rsidRPr="00EF1540" w:rsidRDefault="004601A2" w:rsidP="004601A2">
                  <w:pPr>
                    <w:pStyle w:val="rvps12"/>
                  </w:pPr>
                  <w:r w:rsidRPr="00EF1540">
                    <w:t>-</w:t>
                  </w:r>
                </w:p>
              </w:tc>
              <w:tc>
                <w:tcPr>
                  <w:tcW w:w="5840" w:type="dxa"/>
                </w:tcPr>
                <w:p w:rsidR="004601A2" w:rsidRPr="00EF1540" w:rsidRDefault="004601A2" w:rsidP="004601A2">
                  <w:pPr>
                    <w:pStyle w:val="rvps14"/>
                    <w:jc w:val="both"/>
                  </w:pPr>
                  <w:bookmarkStart w:id="62" w:name="_Hlk161077892"/>
                  <w:r w:rsidRPr="00EF1540">
                    <w:t xml:space="preserve">коефіцієнт, що враховує місцезнаходження електроустановок замовника (міська або сільська місцевість), визначається згідно з </w:t>
                  </w:r>
                  <w:hyperlink r:id="rId118" w:anchor="n162" w:history="1">
                    <w:r w:rsidRPr="00EF1540">
                      <w:rPr>
                        <w:rStyle w:val="a4"/>
                        <w:color w:val="auto"/>
                        <w:u w:val="none"/>
                      </w:rPr>
                      <w:t>додатком 6</w:t>
                    </w:r>
                  </w:hyperlink>
                  <w:r w:rsidRPr="00EF1540">
                    <w:t xml:space="preserve"> до цієї Методики;</w:t>
                  </w:r>
                  <w:bookmarkEnd w:id="62"/>
                </w:p>
              </w:tc>
            </w:tr>
            <w:tr w:rsidR="00EF1540" w:rsidRPr="00EF1540" w:rsidTr="00060732">
              <w:tc>
                <w:tcPr>
                  <w:tcW w:w="587" w:type="dxa"/>
                </w:tcPr>
                <w:p w:rsidR="004601A2" w:rsidRPr="00EF1540" w:rsidRDefault="004601A2" w:rsidP="004601A2">
                  <w:pPr>
                    <w:pStyle w:val="rvps14"/>
                  </w:pPr>
                </w:p>
              </w:tc>
              <w:tc>
                <w:tcPr>
                  <w:tcW w:w="1081" w:type="dxa"/>
                </w:tcPr>
                <w:p w:rsidR="004601A2" w:rsidRPr="00EF1540" w:rsidRDefault="004601A2" w:rsidP="004601A2">
                  <w:pPr>
                    <w:pStyle w:val="rvps14"/>
                    <w:rPr>
                      <w:noProof/>
                    </w:rPr>
                  </w:pPr>
                  <w:r w:rsidRPr="00EF1540">
                    <w:rPr>
                      <w:noProof/>
                    </w:rPr>
                    <w:drawing>
                      <wp:inline distT="0" distB="0" distL="0" distR="0" wp14:anchorId="1A9F7ADB" wp14:editId="7338D41C">
                        <wp:extent cx="349250" cy="228600"/>
                        <wp:effectExtent l="0" t="0" r="0" b="0"/>
                        <wp:docPr id="68" name="Рисунок 68" descr="https://zakon.rada.gov.ua/laws/file/imgs/98/p480243n275v1-31.gif">
                          <a:hlinkClick xmlns:a="http://schemas.openxmlformats.org/drawingml/2006/main" r:id="rId1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zakon.rada.gov.ua/laws/file/imgs/98/p480243n275v1-31.gif">
                                  <a:hlinkClick r:id="rId100"/>
                                </pic:cNvPr>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349250" cy="228600"/>
                                </a:xfrm>
                                <a:prstGeom prst="rect">
                                  <a:avLst/>
                                </a:prstGeom>
                                <a:noFill/>
                                <a:ln>
                                  <a:noFill/>
                                </a:ln>
                              </pic:spPr>
                            </pic:pic>
                          </a:graphicData>
                        </a:graphic>
                      </wp:inline>
                    </w:drawing>
                  </w:r>
                </w:p>
              </w:tc>
              <w:tc>
                <w:tcPr>
                  <w:tcW w:w="141" w:type="dxa"/>
                </w:tcPr>
                <w:p w:rsidR="004601A2" w:rsidRPr="00EF1540" w:rsidRDefault="004601A2" w:rsidP="004601A2">
                  <w:pPr>
                    <w:pStyle w:val="rvps12"/>
                  </w:pPr>
                  <w:r w:rsidRPr="00EF1540">
                    <w:t>-</w:t>
                  </w:r>
                </w:p>
              </w:tc>
              <w:tc>
                <w:tcPr>
                  <w:tcW w:w="5840" w:type="dxa"/>
                </w:tcPr>
                <w:p w:rsidR="004601A2" w:rsidRPr="00EF1540" w:rsidRDefault="004601A2" w:rsidP="004601A2">
                  <w:pPr>
                    <w:pStyle w:val="rvps14"/>
                    <w:jc w:val="both"/>
                  </w:pPr>
                  <w:bookmarkStart w:id="63" w:name="_Hlk161077900"/>
                  <w:r w:rsidRPr="00EF1540">
                    <w:t xml:space="preserve">коефіцієнт завантаження трансформаторних підстанцій у межах територіальної одиниці і основної мережі напругою 35-110(154) кВ оператора системи розподілу, який розраховується за </w:t>
                  </w:r>
                  <w:hyperlink r:id="rId119" w:anchor="n282" w:history="1">
                    <w:r w:rsidRPr="00EF1540">
                      <w:rPr>
                        <w:rStyle w:val="a4"/>
                        <w:color w:val="auto"/>
                        <w:u w:val="none"/>
                      </w:rPr>
                      <w:t xml:space="preserve">формулою </w:t>
                    </w:r>
                    <w:r w:rsidR="00926FD5" w:rsidRPr="00EF1540">
                      <w:rPr>
                        <w:rStyle w:val="a4"/>
                        <w:b/>
                        <w:color w:val="auto"/>
                        <w:u w:val="none"/>
                      </w:rPr>
                      <w:t>8</w:t>
                    </w:r>
                  </w:hyperlink>
                  <w:r w:rsidRPr="00EF1540">
                    <w:t xml:space="preserve"> цієї Методики;</w:t>
                  </w:r>
                  <w:bookmarkEnd w:id="63"/>
                </w:p>
              </w:tc>
            </w:tr>
            <w:tr w:rsidR="00EF1540" w:rsidRPr="00EF1540" w:rsidTr="00060732">
              <w:tc>
                <w:tcPr>
                  <w:tcW w:w="587" w:type="dxa"/>
                  <w:hideMark/>
                </w:tcPr>
                <w:p w:rsidR="004601A2" w:rsidRPr="00EF1540" w:rsidRDefault="004601A2" w:rsidP="004601A2">
                  <w:pPr>
                    <w:pStyle w:val="rvps14"/>
                  </w:pPr>
                </w:p>
              </w:tc>
              <w:tc>
                <w:tcPr>
                  <w:tcW w:w="1081" w:type="dxa"/>
                  <w:hideMark/>
                </w:tcPr>
                <w:p w:rsidR="004601A2" w:rsidRPr="00EF1540" w:rsidRDefault="004601A2" w:rsidP="004601A2">
                  <w:pPr>
                    <w:pStyle w:val="rvps14"/>
                  </w:pPr>
                  <w:r w:rsidRPr="00EF1540">
                    <w:rPr>
                      <w:noProof/>
                    </w:rPr>
                    <w:drawing>
                      <wp:inline distT="0" distB="0" distL="0" distR="0" wp14:anchorId="662E2AFC" wp14:editId="1433E648">
                        <wp:extent cx="317500" cy="209550"/>
                        <wp:effectExtent l="0" t="0" r="6350" b="0"/>
                        <wp:docPr id="67" name="Рисунок 67" descr="https://zakon.rada.gov.ua/laws/file/imgs/98/p480243n275v1-30.gif">
                          <a:hlinkClick xmlns:a="http://schemas.openxmlformats.org/drawingml/2006/main" r:id="rId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zakon.rada.gov.ua/laws/file/imgs/98/p480243n275v1-30.gif">
                                  <a:hlinkClick r:id="rId98"/>
                                </pic:cNvPr>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317500" cy="209550"/>
                                </a:xfrm>
                                <a:prstGeom prst="rect">
                                  <a:avLst/>
                                </a:prstGeom>
                                <a:noFill/>
                                <a:ln>
                                  <a:noFill/>
                                </a:ln>
                              </pic:spPr>
                            </pic:pic>
                          </a:graphicData>
                        </a:graphic>
                      </wp:inline>
                    </w:drawing>
                  </w:r>
                </w:p>
              </w:tc>
              <w:tc>
                <w:tcPr>
                  <w:tcW w:w="141" w:type="dxa"/>
                  <w:hideMark/>
                </w:tcPr>
                <w:p w:rsidR="004601A2" w:rsidRPr="00EF1540" w:rsidRDefault="004601A2" w:rsidP="004601A2">
                  <w:pPr>
                    <w:pStyle w:val="rvps12"/>
                  </w:pPr>
                  <w:r w:rsidRPr="00EF1540">
                    <w:t>-</w:t>
                  </w:r>
                </w:p>
              </w:tc>
              <w:tc>
                <w:tcPr>
                  <w:tcW w:w="5840" w:type="dxa"/>
                  <w:hideMark/>
                </w:tcPr>
                <w:p w:rsidR="004601A2" w:rsidRPr="00EF1540" w:rsidRDefault="004601A2" w:rsidP="004601A2">
                  <w:pPr>
                    <w:pStyle w:val="rvps14"/>
                    <w:jc w:val="both"/>
                  </w:pPr>
                  <w:bookmarkStart w:id="64" w:name="_Hlk161077934"/>
                  <w:r w:rsidRPr="00EF1540">
                    <w:t xml:space="preserve">коефіцієнт прогнозного індексу зміни цін виробників промислової продукції на розрахунковий період у відношенні до базового періоду. Розмір індексу затверджується відповідною постановою Кабінету Міністрів України про схвалення Прогнозу економічного і соціального розвитку України на розрахунковий період (мінімальний). </w:t>
                  </w:r>
                  <w:bookmarkEnd w:id="64"/>
                  <w:r w:rsidR="001B16A7" w:rsidRPr="001B16A7">
                    <w:rPr>
                      <w:b/>
                    </w:rPr>
                    <w:t>У разі відсутності затвердженого відповідною постановою Кабінету Міністрів України прогнозного індексу цін виробників промислової продукції, його застосовується індекс, врахований у Державному бюджеті України на відповідний рік.</w:t>
                  </w:r>
                </w:p>
              </w:tc>
            </w:tr>
          </w:tbl>
          <w:p w:rsidR="004601A2" w:rsidRPr="00EF1540" w:rsidRDefault="004601A2" w:rsidP="004601A2">
            <w:pPr>
              <w:rPr>
                <w:vanish/>
              </w:rPr>
            </w:pPr>
          </w:p>
          <w:p w:rsidR="004601A2" w:rsidRPr="00EF1540" w:rsidRDefault="004601A2" w:rsidP="004601A2">
            <w:pPr>
              <w:shd w:val="clear" w:color="auto" w:fill="FFFFFF"/>
              <w:spacing w:after="150"/>
              <w:ind w:firstLine="450"/>
              <w:jc w:val="both"/>
              <w:rPr>
                <w:rFonts w:ascii="Times New Roman" w:eastAsia="Times New Roman" w:hAnsi="Times New Roman" w:cs="Times New Roman"/>
                <w:sz w:val="24"/>
                <w:szCs w:val="24"/>
                <w:lang w:eastAsia="uk-UA"/>
              </w:rPr>
            </w:pPr>
          </w:p>
        </w:tc>
      </w:tr>
      <w:tr w:rsidR="00EF1540" w:rsidRPr="00EF1540" w:rsidTr="00D426BB">
        <w:trPr>
          <w:trHeight w:val="708"/>
        </w:trPr>
        <w:tc>
          <w:tcPr>
            <w:tcW w:w="8731" w:type="dxa"/>
          </w:tcPr>
          <w:p w:rsidR="00D426BB" w:rsidRPr="00D426BB" w:rsidRDefault="00D426BB" w:rsidP="00D426BB">
            <w:pPr>
              <w:ind w:firstLine="322"/>
              <w:jc w:val="both"/>
              <w:rPr>
                <w:rFonts w:ascii="Times New Roman" w:eastAsia="Times New Roman" w:hAnsi="Times New Roman" w:cs="Times New Roman"/>
                <w:sz w:val="24"/>
                <w:szCs w:val="24"/>
                <w:lang/>
              </w:rPr>
            </w:pPr>
            <w:r w:rsidRPr="00D426BB">
              <w:rPr>
                <w:rFonts w:ascii="Times New Roman" w:eastAsia="Times New Roman" w:hAnsi="Times New Roman" w:cs="Times New Roman"/>
                <w:sz w:val="24"/>
                <w:szCs w:val="24"/>
                <w:lang/>
              </w:rPr>
              <w:lastRenderedPageBreak/>
              <w:t xml:space="preserve">5.3. Ставка плати за нестандартне приєднання потужності </w:t>
            </w:r>
            <w:proofErr w:type="spellStart"/>
            <w:r w:rsidRPr="00EF1540">
              <w:rPr>
                <w:rFonts w:ascii="Times New Roman" w:eastAsia="Times New Roman" w:hAnsi="Times New Roman" w:cs="Times New Roman"/>
                <w:sz w:val="24"/>
                <w:szCs w:val="24"/>
                <w:lang/>
              </w:rPr>
              <w:t>Снстк.н.зтт.місц.в</w:t>
            </w:r>
            <w:proofErr w:type="spellEnd"/>
            <w:r w:rsidRPr="00D426BB">
              <w:rPr>
                <w:rFonts w:ascii="Times New Roman" w:eastAsia="Times New Roman" w:hAnsi="Times New Roman" w:cs="Times New Roman"/>
                <w:sz w:val="24"/>
                <w:szCs w:val="24"/>
                <w:lang/>
              </w:rPr>
              <w:t xml:space="preserve"> для електроустановок, призначених для виробництва електричної енергії, встановлюються НКРЕКП на розрахунковий період та розраховуються за формулою</w:t>
            </w:r>
          </w:p>
          <w:tbl>
            <w:tblPr>
              <w:tblW w:w="5000" w:type="pct"/>
              <w:tblCellMar>
                <w:top w:w="60" w:type="dxa"/>
                <w:left w:w="60" w:type="dxa"/>
                <w:bottom w:w="60" w:type="dxa"/>
                <w:right w:w="60" w:type="dxa"/>
              </w:tblCellMar>
              <w:tblLook w:val="04A0" w:firstRow="1" w:lastRow="0" w:firstColumn="1" w:lastColumn="0" w:noHBand="0" w:noVBand="1"/>
            </w:tblPr>
            <w:tblGrid>
              <w:gridCol w:w="7346"/>
              <w:gridCol w:w="842"/>
            </w:tblGrid>
            <w:tr w:rsidR="00EF1540" w:rsidRPr="00D426BB" w:rsidTr="00D426BB">
              <w:tc>
                <w:tcPr>
                  <w:tcW w:w="8640" w:type="dxa"/>
                  <w:hideMark/>
                </w:tcPr>
                <w:p w:rsidR="00D426BB" w:rsidRPr="00D426BB" w:rsidRDefault="00D426BB" w:rsidP="00D426BB">
                  <w:pPr>
                    <w:spacing w:after="0" w:line="240" w:lineRule="auto"/>
                    <w:ind w:firstLine="322"/>
                    <w:jc w:val="both"/>
                    <w:rPr>
                      <w:rFonts w:ascii="Times New Roman" w:eastAsia="Times New Roman" w:hAnsi="Times New Roman" w:cs="Times New Roman"/>
                      <w:sz w:val="24"/>
                      <w:szCs w:val="24"/>
                      <w:lang/>
                    </w:rPr>
                  </w:pPr>
                  <w:bookmarkStart w:id="65" w:name="n279"/>
                  <w:bookmarkEnd w:id="65"/>
                  <w:r w:rsidRPr="00EF1540">
                    <w:rPr>
                      <w:rFonts w:ascii="Times New Roman" w:eastAsia="Times New Roman" w:hAnsi="Times New Roman" w:cs="Times New Roman"/>
                      <w:noProof/>
                      <w:sz w:val="24"/>
                      <w:szCs w:val="24"/>
                      <w:lang/>
                    </w:rPr>
                    <w:drawing>
                      <wp:inline distT="0" distB="0" distL="0" distR="0">
                        <wp:extent cx="4130965" cy="360708"/>
                        <wp:effectExtent l="0" t="0" r="3175" b="1270"/>
                        <wp:docPr id="33" name="Рисунок 33" descr="https://zakon.rada.gov.ua/laws/file/imgs/98/p480243n279-37.gif">
                          <a:hlinkClick xmlns:a="http://schemas.openxmlformats.org/drawingml/2006/main" r:id="rId1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akon.rada.gov.ua/laws/file/imgs/98/p480243n279-37.gif">
                                  <a:hlinkClick r:id="rId120"/>
                                </pic:cNvPr>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4217758" cy="368287"/>
                                </a:xfrm>
                                <a:prstGeom prst="rect">
                                  <a:avLst/>
                                </a:prstGeom>
                                <a:noFill/>
                                <a:ln>
                                  <a:noFill/>
                                </a:ln>
                              </pic:spPr>
                            </pic:pic>
                          </a:graphicData>
                        </a:graphic>
                      </wp:inline>
                    </w:drawing>
                  </w:r>
                </w:p>
              </w:tc>
              <w:tc>
                <w:tcPr>
                  <w:tcW w:w="480" w:type="dxa"/>
                  <w:vAlign w:val="center"/>
                  <w:hideMark/>
                </w:tcPr>
                <w:p w:rsidR="00D426BB" w:rsidRPr="00D426BB" w:rsidRDefault="00D426BB" w:rsidP="00D426BB">
                  <w:pPr>
                    <w:spacing w:after="0" w:line="240" w:lineRule="auto"/>
                    <w:ind w:firstLine="322"/>
                    <w:jc w:val="both"/>
                    <w:rPr>
                      <w:rFonts w:ascii="Times New Roman" w:eastAsia="Times New Roman" w:hAnsi="Times New Roman" w:cs="Times New Roman"/>
                      <w:sz w:val="24"/>
                      <w:szCs w:val="24"/>
                      <w:lang/>
                    </w:rPr>
                  </w:pPr>
                  <w:r w:rsidRPr="00D426BB">
                    <w:rPr>
                      <w:rFonts w:ascii="Times New Roman" w:eastAsia="Times New Roman" w:hAnsi="Times New Roman" w:cs="Times New Roman"/>
                      <w:sz w:val="24"/>
                      <w:szCs w:val="24"/>
                      <w:lang/>
                    </w:rPr>
                    <w:t>(10)</w:t>
                  </w:r>
                </w:p>
              </w:tc>
            </w:tr>
          </w:tbl>
          <w:p w:rsidR="00D426BB" w:rsidRPr="00EF1540" w:rsidRDefault="00D426BB" w:rsidP="00D426BB">
            <w:pPr>
              <w:ind w:firstLine="322"/>
              <w:jc w:val="both"/>
              <w:rPr>
                <w:rFonts w:ascii="Times New Roman" w:eastAsia="Times New Roman" w:hAnsi="Times New Roman" w:cs="Times New Roman"/>
                <w:sz w:val="24"/>
                <w:szCs w:val="24"/>
                <w:lang/>
              </w:rPr>
            </w:pPr>
            <w:bookmarkStart w:id="66" w:name="n280"/>
            <w:bookmarkEnd w:id="66"/>
            <w:r w:rsidRPr="00D426BB">
              <w:rPr>
                <w:rFonts w:ascii="Times New Roman" w:eastAsia="Times New Roman" w:hAnsi="Times New Roman" w:cs="Times New Roman"/>
                <w:sz w:val="24"/>
                <w:szCs w:val="24"/>
                <w:lang/>
              </w:rPr>
              <w:t xml:space="preserve">Якщо величина виразу (1 - </w:t>
            </w:r>
            <w:proofErr w:type="spellStart"/>
            <w:r w:rsidRPr="00EF1540">
              <w:rPr>
                <w:rFonts w:ascii="Times New Roman" w:eastAsia="Times New Roman" w:hAnsi="Times New Roman" w:cs="Times New Roman"/>
                <w:sz w:val="24"/>
                <w:szCs w:val="24"/>
                <w:lang/>
              </w:rPr>
              <w:t>КіЗТТ</w:t>
            </w:r>
            <w:proofErr w:type="spellEnd"/>
            <w:r w:rsidRPr="00D426BB">
              <w:rPr>
                <w:rFonts w:ascii="Times New Roman" w:eastAsia="Times New Roman" w:hAnsi="Times New Roman" w:cs="Times New Roman"/>
                <w:sz w:val="24"/>
                <w:szCs w:val="24"/>
                <w:lang/>
              </w:rPr>
              <w:t>) становить менше 0,25 (у тому числі з від'ємним значенням), вона приймається рівною 0,25.</w:t>
            </w:r>
          </w:p>
        </w:tc>
        <w:tc>
          <w:tcPr>
            <w:tcW w:w="7146" w:type="dxa"/>
          </w:tcPr>
          <w:p w:rsidR="00D426BB" w:rsidRPr="00D426BB" w:rsidRDefault="00D426BB" w:rsidP="00D426BB">
            <w:pPr>
              <w:ind w:firstLine="322"/>
              <w:jc w:val="both"/>
              <w:rPr>
                <w:rFonts w:ascii="Times New Roman" w:eastAsia="Times New Roman" w:hAnsi="Times New Roman" w:cs="Times New Roman"/>
                <w:sz w:val="24"/>
                <w:szCs w:val="24"/>
                <w:lang/>
              </w:rPr>
            </w:pPr>
            <w:r w:rsidRPr="00D426BB">
              <w:rPr>
                <w:rFonts w:ascii="Times New Roman" w:eastAsia="Times New Roman" w:hAnsi="Times New Roman" w:cs="Times New Roman"/>
                <w:sz w:val="24"/>
                <w:szCs w:val="24"/>
                <w:lang/>
              </w:rPr>
              <w:t xml:space="preserve">5.3. Ставка плати за нестандартне приєднання потужності </w:t>
            </w:r>
            <w:proofErr w:type="spellStart"/>
            <w:r w:rsidRPr="00EF1540">
              <w:rPr>
                <w:rFonts w:ascii="Times New Roman" w:eastAsia="Times New Roman" w:hAnsi="Times New Roman" w:cs="Times New Roman"/>
                <w:sz w:val="24"/>
                <w:szCs w:val="24"/>
                <w:lang/>
              </w:rPr>
              <w:t>Снстк.н.зтт.місц.в</w:t>
            </w:r>
            <w:proofErr w:type="spellEnd"/>
            <w:r w:rsidRPr="00D426BB">
              <w:rPr>
                <w:rFonts w:ascii="Times New Roman" w:eastAsia="Times New Roman" w:hAnsi="Times New Roman" w:cs="Times New Roman"/>
                <w:sz w:val="24"/>
                <w:szCs w:val="24"/>
                <w:lang/>
              </w:rPr>
              <w:t xml:space="preserve"> для електроустановок, призначених для виробництва електричної енергії, встановлюються НКРЕКП на розрахунковий період та розраховуються за формулою</w:t>
            </w:r>
          </w:p>
          <w:tbl>
            <w:tblPr>
              <w:tblW w:w="4381" w:type="pct"/>
              <w:tblCellMar>
                <w:top w:w="60" w:type="dxa"/>
                <w:left w:w="60" w:type="dxa"/>
                <w:bottom w:w="60" w:type="dxa"/>
                <w:right w:w="60" w:type="dxa"/>
              </w:tblCellMar>
              <w:tblLook w:val="04A0" w:firstRow="1" w:lastRow="0" w:firstColumn="1" w:lastColumn="0" w:noHBand="0" w:noVBand="1"/>
            </w:tblPr>
            <w:tblGrid>
              <w:gridCol w:w="6038"/>
              <w:gridCol w:w="722"/>
            </w:tblGrid>
            <w:tr w:rsidR="00EF1540" w:rsidRPr="00D426BB" w:rsidTr="00D426BB">
              <w:tc>
                <w:tcPr>
                  <w:tcW w:w="6618" w:type="dxa"/>
                  <w:hideMark/>
                </w:tcPr>
                <w:p w:rsidR="00D426BB" w:rsidRPr="00D426BB" w:rsidRDefault="00D426BB" w:rsidP="00D426BB">
                  <w:pPr>
                    <w:spacing w:after="0" w:line="240" w:lineRule="auto"/>
                    <w:ind w:firstLine="322"/>
                    <w:jc w:val="both"/>
                    <w:rPr>
                      <w:rFonts w:ascii="Times New Roman" w:eastAsia="Times New Roman" w:hAnsi="Times New Roman" w:cs="Times New Roman"/>
                      <w:sz w:val="24"/>
                      <w:szCs w:val="24"/>
                      <w:lang/>
                    </w:rPr>
                  </w:pPr>
                  <w:r w:rsidRPr="00EF1540">
                    <w:rPr>
                      <w:rFonts w:ascii="Times New Roman" w:eastAsia="Times New Roman" w:hAnsi="Times New Roman" w:cs="Times New Roman"/>
                      <w:noProof/>
                      <w:sz w:val="24"/>
                      <w:szCs w:val="24"/>
                      <w:lang/>
                    </w:rPr>
                    <w:drawing>
                      <wp:inline distT="0" distB="0" distL="0" distR="0" wp14:anchorId="49E53A72" wp14:editId="7A000452">
                        <wp:extent cx="3552825" cy="310226"/>
                        <wp:effectExtent l="0" t="0" r="0" b="0"/>
                        <wp:docPr id="39" name="Рисунок 39" descr="https://zakon.rada.gov.ua/laws/file/imgs/98/p480243n279-37.gif">
                          <a:hlinkClick xmlns:a="http://schemas.openxmlformats.org/drawingml/2006/main" r:id="rId1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akon.rada.gov.ua/laws/file/imgs/98/p480243n279-37.gif">
                                  <a:hlinkClick r:id="rId120"/>
                                </pic:cNvPr>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3586189" cy="313139"/>
                                </a:xfrm>
                                <a:prstGeom prst="rect">
                                  <a:avLst/>
                                </a:prstGeom>
                                <a:noFill/>
                                <a:ln>
                                  <a:noFill/>
                                </a:ln>
                              </pic:spPr>
                            </pic:pic>
                          </a:graphicData>
                        </a:graphic>
                      </wp:inline>
                    </w:drawing>
                  </w:r>
                </w:p>
              </w:tc>
              <w:tc>
                <w:tcPr>
                  <w:tcW w:w="842" w:type="dxa"/>
                  <w:vAlign w:val="center"/>
                  <w:hideMark/>
                </w:tcPr>
                <w:p w:rsidR="00D426BB" w:rsidRPr="00D426BB" w:rsidRDefault="00D426BB" w:rsidP="00D426BB">
                  <w:pPr>
                    <w:spacing w:after="0" w:line="240" w:lineRule="auto"/>
                    <w:ind w:firstLine="322"/>
                    <w:jc w:val="both"/>
                    <w:rPr>
                      <w:rFonts w:ascii="Times New Roman" w:eastAsia="Times New Roman" w:hAnsi="Times New Roman" w:cs="Times New Roman"/>
                      <w:sz w:val="24"/>
                      <w:szCs w:val="24"/>
                      <w:lang/>
                    </w:rPr>
                  </w:pPr>
                  <w:r w:rsidRPr="00D426BB">
                    <w:rPr>
                      <w:rFonts w:ascii="Times New Roman" w:eastAsia="Times New Roman" w:hAnsi="Times New Roman" w:cs="Times New Roman"/>
                      <w:sz w:val="24"/>
                      <w:szCs w:val="24"/>
                      <w:lang/>
                    </w:rPr>
                    <w:t>(</w:t>
                  </w:r>
                  <w:r w:rsidRPr="00EF1540">
                    <w:rPr>
                      <w:rFonts w:ascii="Times New Roman" w:eastAsia="Times New Roman" w:hAnsi="Times New Roman" w:cs="Times New Roman"/>
                      <w:b/>
                      <w:sz w:val="24"/>
                      <w:szCs w:val="24"/>
                      <w:lang/>
                    </w:rPr>
                    <w:t>7</w:t>
                  </w:r>
                  <w:r w:rsidRPr="00D426BB">
                    <w:rPr>
                      <w:rFonts w:ascii="Times New Roman" w:eastAsia="Times New Roman" w:hAnsi="Times New Roman" w:cs="Times New Roman"/>
                      <w:sz w:val="24"/>
                      <w:szCs w:val="24"/>
                      <w:lang/>
                    </w:rPr>
                    <w:t>)</w:t>
                  </w:r>
                </w:p>
              </w:tc>
            </w:tr>
          </w:tbl>
          <w:p w:rsidR="00D426BB" w:rsidRPr="00EF1540" w:rsidRDefault="00D426BB" w:rsidP="004601A2">
            <w:pPr>
              <w:shd w:val="clear" w:color="auto" w:fill="FFFFFF"/>
              <w:spacing w:after="150"/>
              <w:ind w:firstLine="450"/>
              <w:jc w:val="both"/>
              <w:rPr>
                <w:rFonts w:ascii="Times New Roman" w:eastAsia="Times New Roman" w:hAnsi="Times New Roman" w:cs="Times New Roman"/>
                <w:sz w:val="24"/>
                <w:szCs w:val="24"/>
                <w:lang w:eastAsia="uk-UA"/>
              </w:rPr>
            </w:pPr>
            <w:r w:rsidRPr="00D426BB">
              <w:rPr>
                <w:rFonts w:ascii="Times New Roman" w:eastAsia="Times New Roman" w:hAnsi="Times New Roman" w:cs="Times New Roman"/>
                <w:sz w:val="24"/>
                <w:szCs w:val="24"/>
                <w:lang/>
              </w:rPr>
              <w:t xml:space="preserve">Якщо величина виразу (1 - </w:t>
            </w:r>
            <w:proofErr w:type="spellStart"/>
            <w:r w:rsidRPr="00EF1540">
              <w:rPr>
                <w:rFonts w:ascii="Times New Roman" w:eastAsia="Times New Roman" w:hAnsi="Times New Roman" w:cs="Times New Roman"/>
                <w:sz w:val="24"/>
                <w:szCs w:val="24"/>
                <w:lang/>
              </w:rPr>
              <w:t>КіЗТТ</w:t>
            </w:r>
            <w:proofErr w:type="spellEnd"/>
            <w:r w:rsidRPr="00D426BB">
              <w:rPr>
                <w:rFonts w:ascii="Times New Roman" w:eastAsia="Times New Roman" w:hAnsi="Times New Roman" w:cs="Times New Roman"/>
                <w:sz w:val="24"/>
                <w:szCs w:val="24"/>
                <w:lang/>
              </w:rPr>
              <w:t>) становить менше 0,25 (у тому числі з від'ємним значенням), вона приймається рівною 0,25.</w:t>
            </w:r>
          </w:p>
        </w:tc>
      </w:tr>
      <w:tr w:rsidR="00EF1540" w:rsidRPr="00EF1540" w:rsidTr="00D426BB">
        <w:trPr>
          <w:trHeight w:val="708"/>
        </w:trPr>
        <w:tc>
          <w:tcPr>
            <w:tcW w:w="8731" w:type="dxa"/>
          </w:tcPr>
          <w:p w:rsidR="004601A2" w:rsidRPr="00EF1540" w:rsidRDefault="004601A2" w:rsidP="004601A2">
            <w:pPr>
              <w:pStyle w:val="rvps2"/>
              <w:shd w:val="clear" w:color="auto" w:fill="FFFFFF"/>
              <w:spacing w:before="0" w:beforeAutospacing="0" w:after="150" w:afterAutospacing="0"/>
              <w:ind w:firstLine="450"/>
              <w:jc w:val="both"/>
            </w:pPr>
            <w:r w:rsidRPr="00EF1540">
              <w:t>5.4 Коефіцієнт завантаження трансформаторних підстанцій у межах територіальної одиниці i </w:t>
            </w:r>
            <w:proofErr w:type="spellStart"/>
            <w:r w:rsidRPr="00EF1540">
              <w:rPr>
                <w:rStyle w:val="rvts9"/>
                <w:b/>
                <w:bCs/>
              </w:rPr>
              <w:t>К</w:t>
            </w:r>
            <w:r w:rsidRPr="00EF1540">
              <w:rPr>
                <w:rStyle w:val="rvts37"/>
                <w:b/>
                <w:bCs/>
                <w:vertAlign w:val="superscript"/>
              </w:rPr>
              <w:t>і</w:t>
            </w:r>
            <w:r w:rsidRPr="00EF1540">
              <w:rPr>
                <w:rStyle w:val="rvts40"/>
                <w:b/>
                <w:bCs/>
                <w:vertAlign w:val="subscript"/>
              </w:rPr>
              <w:t>ЗТТ</w:t>
            </w:r>
            <w:proofErr w:type="spellEnd"/>
            <w:r w:rsidRPr="00EF1540">
              <w:t> основної мережі напругою 35 - 110(154) кВ оператора системи розподілу визначається з урахуванням вихідних даних згідно з </w:t>
            </w:r>
            <w:hyperlink r:id="rId122" w:anchor="n165" w:history="1">
              <w:r w:rsidRPr="00EF1540">
                <w:rPr>
                  <w:rStyle w:val="a4"/>
                  <w:color w:val="auto"/>
                  <w:u w:val="none"/>
                </w:rPr>
                <w:t>додатком 7</w:t>
              </w:r>
            </w:hyperlink>
            <w:r w:rsidRPr="00EF1540">
              <w:t> до цієї Методики за формулою</w:t>
            </w:r>
            <w:bookmarkStart w:id="67" w:name="n358"/>
            <w:bookmarkEnd w:id="67"/>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8188"/>
            </w:tblGrid>
            <w:tr w:rsidR="00EF1540" w:rsidRPr="00EF1540" w:rsidTr="00840040">
              <w:tc>
                <w:tcPr>
                  <w:tcW w:w="8640" w:type="dxa"/>
                  <w:tcBorders>
                    <w:top w:val="nil"/>
                    <w:left w:val="nil"/>
                    <w:bottom w:val="nil"/>
                    <w:right w:val="nil"/>
                  </w:tcBorders>
                  <w:hideMark/>
                </w:tcPr>
                <w:p w:rsidR="004601A2" w:rsidRPr="00EF1540" w:rsidRDefault="004601A2" w:rsidP="004601A2">
                  <w:pPr>
                    <w:pStyle w:val="rvps12"/>
                    <w:spacing w:before="150" w:beforeAutospacing="0" w:after="150" w:afterAutospacing="0"/>
                    <w:jc w:val="center"/>
                  </w:pPr>
                  <w:bookmarkStart w:id="68" w:name="n282"/>
                  <w:bookmarkEnd w:id="68"/>
                  <w:r w:rsidRPr="00EF1540">
                    <w:rPr>
                      <w:noProof/>
                    </w:rPr>
                    <w:drawing>
                      <wp:inline distT="0" distB="0" distL="0" distR="0" wp14:anchorId="26161EBE" wp14:editId="39A6168C">
                        <wp:extent cx="2695575" cy="476250"/>
                        <wp:effectExtent l="0" t="0" r="9525" b="0"/>
                        <wp:docPr id="4" name="Рисунок 4" descr="https://zakon.rada.gov.ua/laws/file/imgs/98/p480243n282-38.gif">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on.rada.gov.ua/laws/file/imgs/98/p480243n282-38.gif">
                                  <a:hlinkClick r:id="rId123"/>
                                </pic:cNvPr>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2695575" cy="476250"/>
                                </a:xfrm>
                                <a:prstGeom prst="rect">
                                  <a:avLst/>
                                </a:prstGeom>
                                <a:noFill/>
                                <a:ln>
                                  <a:noFill/>
                                </a:ln>
                              </pic:spPr>
                            </pic:pic>
                          </a:graphicData>
                        </a:graphic>
                      </wp:inline>
                    </w:drawing>
                  </w:r>
                  <w:r w:rsidR="00D426BB" w:rsidRPr="00EF1540">
                    <w:t xml:space="preserve">     (11)</w:t>
                  </w:r>
                </w:p>
                <w:tbl>
                  <w:tblPr>
                    <w:tblW w:w="5000" w:type="pct"/>
                    <w:tblCellMar>
                      <w:top w:w="15" w:type="dxa"/>
                      <w:left w:w="15" w:type="dxa"/>
                      <w:bottom w:w="15" w:type="dxa"/>
                      <w:right w:w="15" w:type="dxa"/>
                    </w:tblCellMar>
                    <w:tblLook w:val="04A0" w:firstRow="1" w:lastRow="0" w:firstColumn="1" w:lastColumn="0" w:noHBand="0" w:noVBand="1"/>
                  </w:tblPr>
                  <w:tblGrid>
                    <w:gridCol w:w="419"/>
                    <w:gridCol w:w="121"/>
                    <w:gridCol w:w="1758"/>
                    <w:gridCol w:w="110"/>
                    <w:gridCol w:w="264"/>
                    <w:gridCol w:w="4876"/>
                    <w:gridCol w:w="520"/>
                  </w:tblGrid>
                  <w:tr w:rsidR="00EF1540" w:rsidRPr="00EF1540" w:rsidTr="004C7927">
                    <w:tc>
                      <w:tcPr>
                        <w:tcW w:w="419" w:type="dxa"/>
                        <w:hideMark/>
                      </w:tcPr>
                      <w:p w:rsidR="004C7927" w:rsidRPr="00EF1540" w:rsidRDefault="004C7927" w:rsidP="004C7927">
                        <w:pPr>
                          <w:pStyle w:val="rvps14"/>
                        </w:pPr>
                        <w:r w:rsidRPr="00EF1540">
                          <w:t>де</w:t>
                        </w:r>
                      </w:p>
                    </w:tc>
                    <w:tc>
                      <w:tcPr>
                        <w:tcW w:w="1879" w:type="dxa"/>
                        <w:gridSpan w:val="2"/>
                        <w:hideMark/>
                      </w:tcPr>
                      <w:p w:rsidR="004C7927" w:rsidRPr="00EF1540" w:rsidRDefault="004C7927" w:rsidP="004C7927">
                        <w:pPr>
                          <w:pStyle w:val="rvps14"/>
                        </w:pPr>
                        <w:r w:rsidRPr="00EF1540">
                          <w:t>1,2</w:t>
                        </w:r>
                      </w:p>
                    </w:tc>
                    <w:tc>
                      <w:tcPr>
                        <w:tcW w:w="110" w:type="dxa"/>
                        <w:hideMark/>
                      </w:tcPr>
                      <w:p w:rsidR="004C7927" w:rsidRPr="00EF1540" w:rsidRDefault="004C7927" w:rsidP="004C7927">
                        <w:pPr>
                          <w:pStyle w:val="rvps12"/>
                        </w:pPr>
                        <w:r w:rsidRPr="00EF1540">
                          <w:t>-</w:t>
                        </w:r>
                      </w:p>
                    </w:tc>
                    <w:tc>
                      <w:tcPr>
                        <w:tcW w:w="5681" w:type="dxa"/>
                        <w:gridSpan w:val="3"/>
                        <w:hideMark/>
                      </w:tcPr>
                      <w:p w:rsidR="004C7927" w:rsidRPr="00EF1540" w:rsidRDefault="004C7927" w:rsidP="004C7927">
                        <w:pPr>
                          <w:pStyle w:val="rvps14"/>
                          <w:jc w:val="both"/>
                        </w:pPr>
                        <w:r w:rsidRPr="00EF1540">
                          <w:t>коефіцієнт, що враховує нерівномірність добового графіка навантажень трансформаторних підстанцій;</w:t>
                        </w:r>
                      </w:p>
                    </w:tc>
                  </w:tr>
                  <w:tr w:rsidR="00EF1540" w:rsidRPr="00EF1540" w:rsidTr="004C7927">
                    <w:tc>
                      <w:tcPr>
                        <w:tcW w:w="419" w:type="dxa"/>
                        <w:hideMark/>
                      </w:tcPr>
                      <w:p w:rsidR="004C7927" w:rsidRPr="00EF1540" w:rsidRDefault="004C7927" w:rsidP="004C7927">
                        <w:pPr>
                          <w:pStyle w:val="rvps14"/>
                        </w:pPr>
                      </w:p>
                    </w:tc>
                    <w:tc>
                      <w:tcPr>
                        <w:tcW w:w="1879" w:type="dxa"/>
                        <w:gridSpan w:val="2"/>
                        <w:hideMark/>
                      </w:tcPr>
                      <w:p w:rsidR="004C7927" w:rsidRPr="00EF1540" w:rsidRDefault="004C7927" w:rsidP="004C7927">
                        <w:pPr>
                          <w:pStyle w:val="rvps14"/>
                        </w:pPr>
                        <w:r w:rsidRPr="00EF1540">
                          <w:rPr>
                            <w:rStyle w:val="rvts9"/>
                          </w:rPr>
                          <w:t>W</w:t>
                        </w:r>
                        <w:r w:rsidRPr="00EF1540">
                          <w:rPr>
                            <w:rStyle w:val="rvts37"/>
                          </w:rPr>
                          <w:t>i</w:t>
                        </w:r>
                        <w:r w:rsidRPr="00EF1540">
                          <w:rPr>
                            <w:rStyle w:val="rvts40"/>
                          </w:rPr>
                          <w:t>тр.35-110(154)кВ</w:t>
                        </w:r>
                      </w:p>
                    </w:tc>
                    <w:tc>
                      <w:tcPr>
                        <w:tcW w:w="110" w:type="dxa"/>
                        <w:hideMark/>
                      </w:tcPr>
                      <w:p w:rsidR="004C7927" w:rsidRPr="00EF1540" w:rsidRDefault="004C7927" w:rsidP="004C7927">
                        <w:pPr>
                          <w:pStyle w:val="rvps12"/>
                        </w:pPr>
                        <w:r w:rsidRPr="00EF1540">
                          <w:t>-</w:t>
                        </w:r>
                      </w:p>
                    </w:tc>
                    <w:tc>
                      <w:tcPr>
                        <w:tcW w:w="5681" w:type="dxa"/>
                        <w:gridSpan w:val="3"/>
                        <w:hideMark/>
                      </w:tcPr>
                      <w:p w:rsidR="004C7927" w:rsidRPr="00EF1540" w:rsidRDefault="004C7927" w:rsidP="004C7927">
                        <w:pPr>
                          <w:pStyle w:val="rvps14"/>
                          <w:jc w:val="both"/>
                        </w:pPr>
                        <w:r w:rsidRPr="00EF1540">
                          <w:t xml:space="preserve">максимальний за останні три роки сумарний місячний обсяг трансформації електричної енергії на напругу </w:t>
                        </w:r>
                        <w:r w:rsidRPr="00EF1540">
                          <w:lastRenderedPageBreak/>
                          <w:t xml:space="preserve">6(10)20 кВ для трансформаторних підстанцій у межах територіальної одиниці і основної мережі оператора системи розподілу напругою 35-110 (154) кВ, </w:t>
                        </w:r>
                        <w:proofErr w:type="spellStart"/>
                        <w:r w:rsidRPr="00EF1540">
                          <w:t>МВт•год</w:t>
                        </w:r>
                        <w:proofErr w:type="spellEnd"/>
                        <w:r w:rsidRPr="00EF1540">
                          <w:t>. Для трансформаторних підстанцій j напругою 110(154)/35/20(10)6 кВ за сумарний місячний обсяг трансформації електричної енергії приймається вся трансформована електрична енергія на напрузі 6(10)20 кВ для трансформаторних підстанцій 110(154)/10 (20)6 кВ та на напрузі 35 кВ та 10(20)6кВ для трансформаторних підстанцій 110(154)/35/10(20)6 кВ як за підстанцією напругою 110(154)/35/20(10)6 кВ, так і трансформована електрична енергія за трансформаторними підстанціями 35/20(10)6 кВ, що за схемою нормального режиму живляться від підстанції j напругою 110(154)/35/20(10)6 кВ, та розраховується за формулою</w:t>
                        </w:r>
                      </w:p>
                    </w:tc>
                  </w:tr>
                  <w:tr w:rsidR="00EF1540" w:rsidRPr="00EF1540" w:rsidTr="004C7927">
                    <w:tblPrEx>
                      <w:tblCellMar>
                        <w:top w:w="60" w:type="dxa"/>
                        <w:left w:w="60" w:type="dxa"/>
                        <w:bottom w:w="60" w:type="dxa"/>
                        <w:right w:w="60" w:type="dxa"/>
                      </w:tblCellMar>
                    </w:tblPrEx>
                    <w:tc>
                      <w:tcPr>
                        <w:tcW w:w="7569" w:type="dxa"/>
                        <w:gridSpan w:val="6"/>
                        <w:hideMark/>
                      </w:tcPr>
                      <w:p w:rsidR="004C7927" w:rsidRPr="00EF1540" w:rsidRDefault="004C7927" w:rsidP="004C7927">
                        <w:pPr>
                          <w:pStyle w:val="rvps12"/>
                          <w:jc w:val="center"/>
                        </w:pPr>
                        <w:bookmarkStart w:id="69" w:name="n359"/>
                        <w:bookmarkStart w:id="70" w:name="n284"/>
                        <w:bookmarkEnd w:id="69"/>
                        <w:bookmarkEnd w:id="70"/>
                        <w:r w:rsidRPr="00EF1540">
                          <w:rPr>
                            <w:noProof/>
                          </w:rPr>
                          <w:lastRenderedPageBreak/>
                          <w:drawing>
                            <wp:inline distT="0" distB="0" distL="0" distR="0">
                              <wp:extent cx="4219575" cy="578127"/>
                              <wp:effectExtent l="0" t="0" r="0" b="0"/>
                              <wp:docPr id="64" name="Рисунок 64" descr="https://zakon.rada.gov.ua/laws/file/imgs/98/p480243n284-39.gif">
                                <a:hlinkClick xmlns:a="http://schemas.openxmlformats.org/drawingml/2006/main" r:id="rId1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on.rada.gov.ua/laws/file/imgs/98/p480243n284-39.gif">
                                        <a:hlinkClick r:id="rId125"/>
                                      </pic:cNvPr>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4263228" cy="584108"/>
                                      </a:xfrm>
                                      <a:prstGeom prst="rect">
                                        <a:avLst/>
                                      </a:prstGeom>
                                      <a:noFill/>
                                      <a:ln>
                                        <a:noFill/>
                                      </a:ln>
                                    </pic:spPr>
                                  </pic:pic>
                                </a:graphicData>
                              </a:graphic>
                            </wp:inline>
                          </w:drawing>
                        </w:r>
                      </w:p>
                    </w:tc>
                    <w:tc>
                      <w:tcPr>
                        <w:tcW w:w="520" w:type="dxa"/>
                        <w:vAlign w:val="center"/>
                        <w:hideMark/>
                      </w:tcPr>
                      <w:p w:rsidR="004C7927" w:rsidRPr="00EF1540" w:rsidRDefault="004C7927" w:rsidP="004C7927">
                        <w:pPr>
                          <w:pStyle w:val="rvps11"/>
                        </w:pPr>
                        <w:r w:rsidRPr="00EF1540">
                          <w:t>(12)</w:t>
                        </w:r>
                      </w:p>
                    </w:tc>
                  </w:tr>
                  <w:tr w:rsidR="00EF1540" w:rsidRPr="00EF1540" w:rsidTr="004C7927">
                    <w:tc>
                      <w:tcPr>
                        <w:tcW w:w="540" w:type="dxa"/>
                        <w:gridSpan w:val="2"/>
                        <w:hideMark/>
                      </w:tcPr>
                      <w:p w:rsidR="004C7927" w:rsidRPr="00EF1540" w:rsidRDefault="004C7927" w:rsidP="004C7927">
                        <w:pPr>
                          <w:pStyle w:val="rvps14"/>
                        </w:pPr>
                        <w:bookmarkStart w:id="71" w:name="n285"/>
                        <w:bookmarkEnd w:id="71"/>
                        <w:r w:rsidRPr="00EF1540">
                          <w:t>де</w:t>
                        </w:r>
                      </w:p>
                    </w:tc>
                    <w:tc>
                      <w:tcPr>
                        <w:tcW w:w="1868" w:type="dxa"/>
                        <w:gridSpan w:val="2"/>
                        <w:hideMark/>
                      </w:tcPr>
                      <w:p w:rsidR="004C7927" w:rsidRPr="00EF1540" w:rsidRDefault="004C7927" w:rsidP="004C7927">
                        <w:pPr>
                          <w:pStyle w:val="rvps14"/>
                        </w:pPr>
                        <w:r w:rsidRPr="00EF1540">
                          <w:rPr>
                            <w:noProof/>
                          </w:rPr>
                          <w:drawing>
                            <wp:inline distT="0" distB="0" distL="0" distR="0">
                              <wp:extent cx="1076325" cy="636879"/>
                              <wp:effectExtent l="0" t="0" r="0" b="0"/>
                              <wp:docPr id="63" name="Рисунок 63" descr="https://zakon.rada.gov.ua/laws/file/imgs/98/p480243n285v1-40.gif">
                                <a:hlinkClick xmlns:a="http://schemas.openxmlformats.org/drawingml/2006/main" r:id="rId1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zakon.rada.gov.ua/laws/file/imgs/98/p480243n285v1-40.gif">
                                        <a:hlinkClick r:id="rId127"/>
                                      </pic:cNvPr>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1083032" cy="640848"/>
                                      </a:xfrm>
                                      <a:prstGeom prst="rect">
                                        <a:avLst/>
                                      </a:prstGeom>
                                      <a:noFill/>
                                      <a:ln>
                                        <a:noFill/>
                                      </a:ln>
                                    </pic:spPr>
                                  </pic:pic>
                                </a:graphicData>
                              </a:graphic>
                            </wp:inline>
                          </w:drawing>
                        </w:r>
                      </w:p>
                    </w:tc>
                    <w:tc>
                      <w:tcPr>
                        <w:tcW w:w="264" w:type="dxa"/>
                        <w:hideMark/>
                      </w:tcPr>
                      <w:p w:rsidR="004C7927" w:rsidRPr="00EF1540" w:rsidRDefault="004C7927" w:rsidP="004C7927">
                        <w:pPr>
                          <w:pStyle w:val="rvps12"/>
                        </w:pPr>
                        <w:r w:rsidRPr="00EF1540">
                          <w:t>-</w:t>
                        </w:r>
                      </w:p>
                    </w:tc>
                    <w:tc>
                      <w:tcPr>
                        <w:tcW w:w="5417" w:type="dxa"/>
                        <w:gridSpan w:val="2"/>
                        <w:hideMark/>
                      </w:tcPr>
                      <w:p w:rsidR="004C7927" w:rsidRPr="00EF1540" w:rsidRDefault="004C7927" w:rsidP="004C7927">
                        <w:pPr>
                          <w:pStyle w:val="rvps14"/>
                          <w:jc w:val="both"/>
                        </w:pPr>
                        <w:r w:rsidRPr="00EF1540">
                          <w:t xml:space="preserve">місячний обсяг трансформації електричної енергії для трансформаторних підстанцій відповідної напруги в межах територіальної одиниці i, </w:t>
                        </w:r>
                        <w:proofErr w:type="spellStart"/>
                        <w:r w:rsidRPr="00EF1540">
                          <w:t>МВт•год</w:t>
                        </w:r>
                        <w:proofErr w:type="spellEnd"/>
                        <w:r w:rsidRPr="00EF1540">
                          <w:t>;</w:t>
                        </w:r>
                      </w:p>
                    </w:tc>
                  </w:tr>
                  <w:tr w:rsidR="00EF1540" w:rsidRPr="00EF1540" w:rsidTr="004C7927">
                    <w:tc>
                      <w:tcPr>
                        <w:tcW w:w="540" w:type="dxa"/>
                        <w:gridSpan w:val="2"/>
                        <w:hideMark/>
                      </w:tcPr>
                      <w:p w:rsidR="004C7927" w:rsidRPr="00EF1540" w:rsidRDefault="004C7927" w:rsidP="004C7927">
                        <w:pPr>
                          <w:pStyle w:val="rvps14"/>
                        </w:pPr>
                      </w:p>
                    </w:tc>
                    <w:tc>
                      <w:tcPr>
                        <w:tcW w:w="1868" w:type="dxa"/>
                        <w:gridSpan w:val="2"/>
                        <w:hideMark/>
                      </w:tcPr>
                      <w:p w:rsidR="004C7927" w:rsidRPr="00EF1540" w:rsidRDefault="004C7927" w:rsidP="004C7927">
                        <w:pPr>
                          <w:pStyle w:val="rvps14"/>
                        </w:pPr>
                        <w:r w:rsidRPr="00EF1540">
                          <w:rPr>
                            <w:noProof/>
                          </w:rPr>
                          <w:drawing>
                            <wp:inline distT="0" distB="0" distL="0" distR="0">
                              <wp:extent cx="1047750" cy="305250"/>
                              <wp:effectExtent l="0" t="0" r="0" b="0"/>
                              <wp:docPr id="62" name="Рисунок 62" descr="https://zakon.rada.gov.ua/laws/file/imgs/98/p480243n285v1-41.gif">
                                <a:hlinkClick xmlns:a="http://schemas.openxmlformats.org/drawingml/2006/main" r:id="rId1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rada.gov.ua/laws/file/imgs/98/p480243n285v1-41.gif">
                                        <a:hlinkClick r:id="rId129"/>
                                      </pic:cNvPr>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1055199" cy="307420"/>
                                      </a:xfrm>
                                      <a:prstGeom prst="rect">
                                        <a:avLst/>
                                      </a:prstGeom>
                                      <a:noFill/>
                                      <a:ln>
                                        <a:noFill/>
                                      </a:ln>
                                    </pic:spPr>
                                  </pic:pic>
                                </a:graphicData>
                              </a:graphic>
                            </wp:inline>
                          </w:drawing>
                        </w:r>
                      </w:p>
                    </w:tc>
                    <w:tc>
                      <w:tcPr>
                        <w:tcW w:w="264" w:type="dxa"/>
                        <w:hideMark/>
                      </w:tcPr>
                      <w:p w:rsidR="004C7927" w:rsidRPr="00EF1540" w:rsidRDefault="004C7927" w:rsidP="004C7927">
                        <w:pPr>
                          <w:pStyle w:val="rvps12"/>
                        </w:pPr>
                        <w:r w:rsidRPr="00EF1540">
                          <w:t>-</w:t>
                        </w:r>
                      </w:p>
                    </w:tc>
                    <w:tc>
                      <w:tcPr>
                        <w:tcW w:w="5417" w:type="dxa"/>
                        <w:gridSpan w:val="2"/>
                        <w:hideMark/>
                      </w:tcPr>
                      <w:p w:rsidR="004C7927" w:rsidRPr="00EF1540" w:rsidRDefault="004C7927" w:rsidP="004C7927">
                        <w:pPr>
                          <w:pStyle w:val="rvps14"/>
                          <w:jc w:val="both"/>
                        </w:pPr>
                        <w:r w:rsidRPr="00EF1540">
                          <w:t>сумарний місячний обсяг трансформації електричної енергії за трансформаторними підстанціями 35/20(10)6 кВ, що за схемою нормального режиму живляться від підстанції напругою 110(154)/35/20(10)6 кВ та належать до і-</w:t>
                        </w:r>
                        <w:proofErr w:type="spellStart"/>
                        <w:r w:rsidRPr="00EF1540">
                          <w:t>их</w:t>
                        </w:r>
                        <w:proofErr w:type="spellEnd"/>
                        <w:r w:rsidRPr="00EF1540">
                          <w:t xml:space="preserve"> територіальних одиниць, </w:t>
                        </w:r>
                        <w:proofErr w:type="spellStart"/>
                        <w:r w:rsidRPr="00EF1540">
                          <w:t>МВт•год</w:t>
                        </w:r>
                        <w:proofErr w:type="spellEnd"/>
                        <w:r w:rsidRPr="00EF1540">
                          <w:t>;</w:t>
                        </w:r>
                      </w:p>
                    </w:tc>
                  </w:tr>
                  <w:tr w:rsidR="00EF1540" w:rsidRPr="00EF1540" w:rsidTr="004C7927">
                    <w:tc>
                      <w:tcPr>
                        <w:tcW w:w="540" w:type="dxa"/>
                        <w:gridSpan w:val="2"/>
                        <w:hideMark/>
                      </w:tcPr>
                      <w:p w:rsidR="004C7927" w:rsidRPr="00EF1540" w:rsidRDefault="004C7927" w:rsidP="004C7927">
                        <w:pPr>
                          <w:pStyle w:val="rvps14"/>
                        </w:pPr>
                      </w:p>
                    </w:tc>
                    <w:tc>
                      <w:tcPr>
                        <w:tcW w:w="1868" w:type="dxa"/>
                        <w:gridSpan w:val="2"/>
                        <w:hideMark/>
                      </w:tcPr>
                      <w:p w:rsidR="004C7927" w:rsidRPr="00EF1540" w:rsidRDefault="004C7927" w:rsidP="004C7927">
                        <w:pPr>
                          <w:pStyle w:val="rvps14"/>
                        </w:pPr>
                        <w:r w:rsidRPr="00EF1540">
                          <w:t>N</w:t>
                        </w:r>
                      </w:p>
                    </w:tc>
                    <w:tc>
                      <w:tcPr>
                        <w:tcW w:w="264" w:type="dxa"/>
                        <w:hideMark/>
                      </w:tcPr>
                      <w:p w:rsidR="004C7927" w:rsidRPr="00EF1540" w:rsidRDefault="004C7927" w:rsidP="004C7927">
                        <w:pPr>
                          <w:pStyle w:val="rvps12"/>
                        </w:pPr>
                        <w:r w:rsidRPr="00EF1540">
                          <w:t>-</w:t>
                        </w:r>
                      </w:p>
                    </w:tc>
                    <w:tc>
                      <w:tcPr>
                        <w:tcW w:w="5417" w:type="dxa"/>
                        <w:gridSpan w:val="2"/>
                        <w:hideMark/>
                      </w:tcPr>
                      <w:p w:rsidR="004C7927" w:rsidRPr="00EF1540" w:rsidRDefault="004C7927" w:rsidP="004C7927">
                        <w:pPr>
                          <w:pStyle w:val="rvps14"/>
                          <w:jc w:val="both"/>
                        </w:pPr>
                        <w:r w:rsidRPr="00EF1540">
                          <w:t>кількість годин у місяці максимального місячного обсягу електричної енергії для трансформаторних підстанцій у межах територіальної одиниці i основної мережі оператора системи розподілу напругою 35 - 110(154) кВ;</w:t>
                        </w:r>
                      </w:p>
                    </w:tc>
                  </w:tr>
                  <w:tr w:rsidR="00EF1540" w:rsidRPr="00EF1540" w:rsidTr="004C7927">
                    <w:tc>
                      <w:tcPr>
                        <w:tcW w:w="540" w:type="dxa"/>
                        <w:gridSpan w:val="2"/>
                        <w:hideMark/>
                      </w:tcPr>
                      <w:p w:rsidR="004C7927" w:rsidRPr="00EF1540" w:rsidRDefault="004C7927" w:rsidP="004C7927">
                        <w:pPr>
                          <w:pStyle w:val="rvps14"/>
                        </w:pPr>
                      </w:p>
                    </w:tc>
                    <w:tc>
                      <w:tcPr>
                        <w:tcW w:w="1868" w:type="dxa"/>
                        <w:gridSpan w:val="2"/>
                        <w:hideMark/>
                      </w:tcPr>
                      <w:p w:rsidR="004C7927" w:rsidRPr="00EF1540" w:rsidRDefault="004C7927" w:rsidP="004C7927">
                        <w:pPr>
                          <w:pStyle w:val="rvps14"/>
                        </w:pPr>
                        <w:r w:rsidRPr="00EF1540">
                          <w:t>0,7</w:t>
                        </w:r>
                      </w:p>
                    </w:tc>
                    <w:tc>
                      <w:tcPr>
                        <w:tcW w:w="264" w:type="dxa"/>
                        <w:hideMark/>
                      </w:tcPr>
                      <w:p w:rsidR="004C7927" w:rsidRPr="00EF1540" w:rsidRDefault="004C7927" w:rsidP="004C7927">
                        <w:pPr>
                          <w:pStyle w:val="rvps12"/>
                        </w:pPr>
                        <w:r w:rsidRPr="00EF1540">
                          <w:t>-</w:t>
                        </w:r>
                      </w:p>
                    </w:tc>
                    <w:tc>
                      <w:tcPr>
                        <w:tcW w:w="5417" w:type="dxa"/>
                        <w:gridSpan w:val="2"/>
                        <w:hideMark/>
                      </w:tcPr>
                      <w:p w:rsidR="004C7927" w:rsidRPr="00EF1540" w:rsidRDefault="004C7927" w:rsidP="004C7927">
                        <w:pPr>
                          <w:pStyle w:val="rvps14"/>
                          <w:jc w:val="both"/>
                        </w:pPr>
                        <w:r w:rsidRPr="00EF1540">
                          <w:t xml:space="preserve">коефіцієнт резервування потужності, що враховує вимоги щодо безперебійного забезпечення електричною енергією користувачів системи </w:t>
                        </w:r>
                        <w:r w:rsidRPr="00EF1540">
                          <w:lastRenderedPageBreak/>
                          <w:t>розподілу, електроустановки яких приєднані до трансформаторних підстанцій основної мережі оператора системи розподілу напругою 35 - 110(154) кВ, та нерівномірність навантаження трансформаторних підстанцій основної мережі оператора системи розподілу напругою 35 - 110(154) кВ у межах територіальної одиниці i;</w:t>
                        </w:r>
                      </w:p>
                    </w:tc>
                  </w:tr>
                  <w:tr w:rsidR="00EF1540" w:rsidRPr="00EF1540" w:rsidTr="004C7927">
                    <w:tc>
                      <w:tcPr>
                        <w:tcW w:w="540" w:type="dxa"/>
                        <w:gridSpan w:val="2"/>
                        <w:hideMark/>
                      </w:tcPr>
                      <w:p w:rsidR="004C7927" w:rsidRPr="00EF1540" w:rsidRDefault="004C7927" w:rsidP="004C7927">
                        <w:pPr>
                          <w:pStyle w:val="rvps14"/>
                        </w:pPr>
                      </w:p>
                    </w:tc>
                    <w:tc>
                      <w:tcPr>
                        <w:tcW w:w="1868" w:type="dxa"/>
                        <w:gridSpan w:val="2"/>
                        <w:hideMark/>
                      </w:tcPr>
                      <w:p w:rsidR="004C7927" w:rsidRPr="00EF1540" w:rsidRDefault="004C7927" w:rsidP="004C7927">
                        <w:pPr>
                          <w:pStyle w:val="rvps14"/>
                        </w:pPr>
                        <w:proofErr w:type="spellStart"/>
                        <w:r w:rsidRPr="00EF1540">
                          <w:t>cos</w:t>
                        </w:r>
                        <w:proofErr w:type="spellEnd"/>
                        <w:r w:rsidRPr="00EF1540">
                          <w:t xml:space="preserve"> (f) = 0,97</w:t>
                        </w:r>
                      </w:p>
                    </w:tc>
                    <w:tc>
                      <w:tcPr>
                        <w:tcW w:w="264" w:type="dxa"/>
                        <w:hideMark/>
                      </w:tcPr>
                      <w:p w:rsidR="004C7927" w:rsidRPr="00EF1540" w:rsidRDefault="004C7927" w:rsidP="004C7927">
                        <w:pPr>
                          <w:pStyle w:val="rvps12"/>
                        </w:pPr>
                        <w:r w:rsidRPr="00EF1540">
                          <w:t>-</w:t>
                        </w:r>
                      </w:p>
                    </w:tc>
                    <w:tc>
                      <w:tcPr>
                        <w:tcW w:w="5417" w:type="dxa"/>
                        <w:gridSpan w:val="2"/>
                        <w:hideMark/>
                      </w:tcPr>
                      <w:p w:rsidR="004C7927" w:rsidRPr="00EF1540" w:rsidRDefault="004C7927" w:rsidP="004C7927">
                        <w:pPr>
                          <w:pStyle w:val="rvps14"/>
                        </w:pPr>
                        <w:r w:rsidRPr="00EF1540">
                          <w:t>коефіцієнт потужності;</w:t>
                        </w:r>
                      </w:p>
                    </w:tc>
                  </w:tr>
                </w:tbl>
                <w:p w:rsidR="004C7927" w:rsidRPr="00EF1540" w:rsidRDefault="004C7927" w:rsidP="004601A2">
                  <w:pPr>
                    <w:pStyle w:val="rvps12"/>
                    <w:spacing w:before="150" w:beforeAutospacing="0" w:after="150" w:afterAutospacing="0"/>
                    <w:jc w:val="center"/>
                  </w:pPr>
                </w:p>
                <w:p w:rsidR="004C7927" w:rsidRPr="00EF1540" w:rsidRDefault="004C7927" w:rsidP="004601A2">
                  <w:pPr>
                    <w:pStyle w:val="rvps12"/>
                    <w:spacing w:before="150" w:beforeAutospacing="0" w:after="150" w:afterAutospacing="0"/>
                    <w:jc w:val="center"/>
                  </w:pPr>
                </w:p>
                <w:p w:rsidR="004C7927" w:rsidRPr="00EF1540" w:rsidRDefault="004C7927" w:rsidP="004601A2">
                  <w:pPr>
                    <w:pStyle w:val="rvps12"/>
                    <w:spacing w:before="150" w:beforeAutospacing="0" w:after="150" w:afterAutospacing="0"/>
                    <w:jc w:val="center"/>
                  </w:pPr>
                </w:p>
                <w:p w:rsidR="004C7927" w:rsidRPr="00EF1540" w:rsidRDefault="004C7927" w:rsidP="004601A2">
                  <w:pPr>
                    <w:pStyle w:val="rvps12"/>
                    <w:spacing w:before="150" w:beforeAutospacing="0" w:after="150" w:afterAutospacing="0"/>
                    <w:jc w:val="center"/>
                  </w:pPr>
                </w:p>
                <w:p w:rsidR="004C7927" w:rsidRPr="00EF1540" w:rsidRDefault="004C7927" w:rsidP="004601A2">
                  <w:pPr>
                    <w:pStyle w:val="rvps12"/>
                    <w:spacing w:before="150" w:beforeAutospacing="0" w:after="150" w:afterAutospacing="0"/>
                    <w:jc w:val="center"/>
                  </w:pPr>
                </w:p>
                <w:p w:rsidR="004C7927" w:rsidRPr="00EF1540" w:rsidRDefault="004C7927" w:rsidP="004601A2">
                  <w:pPr>
                    <w:pStyle w:val="rvps12"/>
                    <w:spacing w:before="150" w:beforeAutospacing="0" w:after="150" w:afterAutospacing="0"/>
                    <w:jc w:val="center"/>
                  </w:pPr>
                </w:p>
                <w:tbl>
                  <w:tblPr>
                    <w:tblW w:w="5000" w:type="pct"/>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159"/>
                    <w:gridCol w:w="110"/>
                    <w:gridCol w:w="5799"/>
                  </w:tblGrid>
                  <w:tr w:rsidR="00EF1540" w:rsidRPr="00EF1540" w:rsidTr="00840040">
                    <w:tc>
                      <w:tcPr>
                        <w:tcW w:w="2295" w:type="dxa"/>
                        <w:tcBorders>
                          <w:top w:val="nil"/>
                          <w:left w:val="nil"/>
                          <w:bottom w:val="nil"/>
                          <w:right w:val="nil"/>
                        </w:tcBorders>
                        <w:shd w:val="clear" w:color="auto" w:fill="FFFFFF"/>
                        <w:hideMark/>
                      </w:tcPr>
                      <w:p w:rsidR="004601A2" w:rsidRPr="00EF1540" w:rsidRDefault="00647D68" w:rsidP="004601A2">
                        <w:pPr>
                          <w:spacing w:before="150" w:after="150" w:line="240" w:lineRule="auto"/>
                          <w:jc w:val="both"/>
                          <w:rPr>
                            <w:rFonts w:ascii="Times New Roman" w:eastAsia="Times New Roman" w:hAnsi="Times New Roman" w:cs="Times New Roman"/>
                            <w:sz w:val="24"/>
                            <w:szCs w:val="24"/>
                            <w:lang/>
                          </w:rPr>
                        </w:pPr>
                        <w:hyperlink r:id="rId131" w:history="1">
                          <w:r w:rsidR="004601A2" w:rsidRPr="00EF1540">
                            <w:rPr>
                              <w:rFonts w:ascii="Times New Roman" w:eastAsia="Times New Roman" w:hAnsi="Times New Roman" w:cs="Times New Roman"/>
                              <w:sz w:val="24"/>
                              <w:szCs w:val="24"/>
                              <w:lang/>
                            </w:rPr>
                            <w:br/>
                          </w:r>
                          <w:r w:rsidR="004601A2" w:rsidRPr="00EF1540">
                            <w:rPr>
                              <w:rFonts w:ascii="Times New Roman" w:eastAsia="Times New Roman" w:hAnsi="Times New Roman" w:cs="Times New Roman"/>
                              <w:noProof/>
                              <w:sz w:val="24"/>
                              <w:szCs w:val="24"/>
                              <w:lang/>
                            </w:rPr>
                            <w:drawing>
                              <wp:inline distT="0" distB="0" distL="0" distR="0" wp14:anchorId="33BBC330" wp14:editId="453BE978">
                                <wp:extent cx="1257300" cy="247650"/>
                                <wp:effectExtent l="0" t="0" r="0" b="0"/>
                                <wp:docPr id="5" name="Рисунок 5" descr="https://zakon.rada.gov.ua/laws/file/imgs/98/p480243n285v1-42.gif">
                                  <a:hlinkClick xmlns:a="http://schemas.openxmlformats.org/drawingml/2006/main" r:id="rId1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zakon.rada.gov.ua/laws/file/imgs/98/p480243n285v1-42.gif">
                                          <a:hlinkClick r:id="rId131"/>
                                        </pic:cNvPr>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1257300" cy="247650"/>
                                        </a:xfrm>
                                        <a:prstGeom prst="rect">
                                          <a:avLst/>
                                        </a:prstGeom>
                                        <a:noFill/>
                                        <a:ln>
                                          <a:noFill/>
                                        </a:ln>
                                      </pic:spPr>
                                    </pic:pic>
                                  </a:graphicData>
                                </a:graphic>
                              </wp:inline>
                            </w:drawing>
                          </w:r>
                        </w:hyperlink>
                      </w:p>
                    </w:tc>
                    <w:tc>
                      <w:tcPr>
                        <w:tcW w:w="15" w:type="dxa"/>
                        <w:tcBorders>
                          <w:top w:val="nil"/>
                          <w:left w:val="nil"/>
                          <w:bottom w:val="nil"/>
                          <w:right w:val="nil"/>
                        </w:tcBorders>
                        <w:shd w:val="clear" w:color="auto" w:fill="FFFFFF"/>
                        <w:hideMark/>
                      </w:tcPr>
                      <w:p w:rsidR="004601A2" w:rsidRPr="00EF1540" w:rsidRDefault="004601A2" w:rsidP="004601A2">
                        <w:pPr>
                          <w:spacing w:before="150" w:after="150" w:line="240" w:lineRule="auto"/>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w:t>
                        </w:r>
                      </w:p>
                    </w:tc>
                    <w:tc>
                      <w:tcPr>
                        <w:tcW w:w="9315" w:type="dxa"/>
                        <w:tcBorders>
                          <w:top w:val="nil"/>
                          <w:left w:val="nil"/>
                          <w:bottom w:val="nil"/>
                          <w:right w:val="nil"/>
                        </w:tcBorders>
                        <w:shd w:val="clear" w:color="auto" w:fill="FFFFFF"/>
                        <w:hideMark/>
                      </w:tcPr>
                      <w:p w:rsidR="004601A2" w:rsidRPr="00EF1540" w:rsidRDefault="004601A2" w:rsidP="004601A2">
                        <w:pPr>
                          <w:spacing w:before="150" w:after="150" w:line="240" w:lineRule="auto"/>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загальна номінальна потужність усіх трансформаторів для трансформаторних підстанцій у межах територіальної одиниці i, безпосередньо приєднаних до електричних мереж високої напруги, без урахування трансформаторів, що задіяні в повторній трансформації (на кінець базового періоду), МВА.</w:t>
                        </w:r>
                      </w:p>
                    </w:tc>
                  </w:tr>
                </w:tbl>
                <w:p w:rsidR="004601A2" w:rsidRPr="00EF1540" w:rsidRDefault="004601A2" w:rsidP="004601A2">
                  <w:pPr>
                    <w:pStyle w:val="rvps12"/>
                    <w:spacing w:before="150" w:beforeAutospacing="0" w:after="150" w:afterAutospacing="0"/>
                    <w:jc w:val="both"/>
                  </w:pPr>
                </w:p>
              </w:tc>
            </w:tr>
          </w:tbl>
          <w:p w:rsidR="004C7927" w:rsidRPr="00EF1540" w:rsidRDefault="004C7927" w:rsidP="004C7927">
            <w:pPr>
              <w:tabs>
                <w:tab w:val="left" w:pos="1260"/>
              </w:tabs>
              <w:ind w:firstLine="607"/>
              <w:jc w:val="both"/>
              <w:rPr>
                <w:rFonts w:ascii="Times New Roman" w:hAnsi="Times New Roman" w:cs="Times New Roman"/>
                <w:sz w:val="24"/>
                <w:szCs w:val="24"/>
              </w:rPr>
            </w:pPr>
            <w:r w:rsidRPr="00EF1540">
              <w:rPr>
                <w:rFonts w:ascii="Times New Roman" w:hAnsi="Times New Roman" w:cs="Times New Roman"/>
                <w:sz w:val="24"/>
                <w:szCs w:val="24"/>
              </w:rPr>
              <w:lastRenderedPageBreak/>
              <w:t xml:space="preserve">Якщо розрахований за </w:t>
            </w:r>
            <w:hyperlink r:id="rId133" w:anchor="n276" w:history="1">
              <w:r w:rsidRPr="00EF1540">
                <w:rPr>
                  <w:rStyle w:val="a4"/>
                  <w:rFonts w:ascii="Times New Roman" w:hAnsi="Times New Roman" w:cs="Times New Roman"/>
                  <w:color w:val="auto"/>
                  <w:sz w:val="24"/>
                  <w:szCs w:val="24"/>
                  <w:u w:val="none"/>
                </w:rPr>
                <w:t>формулою 9</w:t>
              </w:r>
            </w:hyperlink>
            <w:r w:rsidRPr="00EF1540">
              <w:rPr>
                <w:rFonts w:ascii="Times New Roman" w:hAnsi="Times New Roman" w:cs="Times New Roman"/>
                <w:sz w:val="24"/>
                <w:szCs w:val="24"/>
              </w:rPr>
              <w:t xml:space="preserve"> цієї Методики коефіцієнт завантаження трансформаторної підстанції у межах територіальної одиниці i основної мережі напругою 35 - 110(154) кВ оператора системи розподілу становить більше 1, такий коефіцієнт завантаження трансформаторної підстанції приймається рівним 1.</w:t>
            </w:r>
          </w:p>
          <w:p w:rsidR="004C7927" w:rsidRPr="00EF1540" w:rsidRDefault="004C7927" w:rsidP="004C7927">
            <w:pPr>
              <w:pStyle w:val="rvps2"/>
              <w:spacing w:before="0" w:beforeAutospacing="0" w:after="0" w:afterAutospacing="0"/>
              <w:ind w:firstLine="607"/>
              <w:jc w:val="both"/>
            </w:pPr>
            <w:bookmarkStart w:id="72" w:name="n287"/>
            <w:bookmarkEnd w:id="72"/>
            <w:r w:rsidRPr="00EF1540">
              <w:t xml:space="preserve">Для оператора системи розподілу, у якого відсутні у власності або користуванні трансформаторні підстанції основної мережі напругою 35 - 110(154) кВ, </w:t>
            </w:r>
            <w:proofErr w:type="spellStart"/>
            <w:r w:rsidR="003E4A67" w:rsidRPr="00EF1540">
              <w:rPr>
                <w:rStyle w:val="rvts9"/>
                <w:b/>
                <w:bCs/>
              </w:rPr>
              <w:t>К</w:t>
            </w:r>
            <w:r w:rsidR="003E4A67" w:rsidRPr="00EF1540">
              <w:rPr>
                <w:rStyle w:val="rvts37"/>
                <w:b/>
                <w:bCs/>
                <w:vertAlign w:val="superscript"/>
              </w:rPr>
              <w:t>і</w:t>
            </w:r>
            <w:r w:rsidR="003E4A67" w:rsidRPr="00EF1540">
              <w:rPr>
                <w:rStyle w:val="rvts40"/>
                <w:b/>
                <w:bCs/>
                <w:vertAlign w:val="subscript"/>
              </w:rPr>
              <w:t>ЗТТ</w:t>
            </w:r>
            <w:proofErr w:type="spellEnd"/>
            <w:r w:rsidRPr="00EF1540">
              <w:t xml:space="preserve"> у межах відповідної територіальної одиниці такого оператора системи розподілу приймаються рівними відповідним коефіцієнтам завантаження трансформаторних підстанцій у межах територіальної одиниці основної мережі напругою 35 - 110(154) кВ суміжного оператора системи розподілу, до електричних мереж якого приєднані електричні мережі оператора </w:t>
            </w:r>
            <w:r w:rsidRPr="00EF1540">
              <w:lastRenderedPageBreak/>
              <w:t>системи розподілу, у якого відсутні у власності або користуванні трансформаторні підстанції основної мережі напругою 35 - 110(154) кВ.</w:t>
            </w:r>
          </w:p>
          <w:p w:rsidR="004C7927" w:rsidRPr="00EF1540" w:rsidRDefault="004C7927" w:rsidP="004C7927">
            <w:pPr>
              <w:tabs>
                <w:tab w:val="left" w:pos="1260"/>
              </w:tabs>
              <w:rPr>
                <w:rFonts w:ascii="Times New Roman" w:eastAsia="Times New Roman" w:hAnsi="Times New Roman" w:cs="Times New Roman"/>
                <w:sz w:val="24"/>
                <w:szCs w:val="24"/>
                <w:lang/>
              </w:rPr>
            </w:pPr>
          </w:p>
        </w:tc>
        <w:tc>
          <w:tcPr>
            <w:tcW w:w="7146" w:type="dxa"/>
          </w:tcPr>
          <w:p w:rsidR="004C7927" w:rsidRPr="00EF1540" w:rsidRDefault="004C7927" w:rsidP="004C7927">
            <w:pPr>
              <w:pStyle w:val="rvps2"/>
              <w:shd w:val="clear" w:color="auto" w:fill="FFFFFF"/>
              <w:spacing w:before="0" w:beforeAutospacing="0" w:after="150" w:afterAutospacing="0"/>
              <w:ind w:firstLine="450"/>
              <w:jc w:val="both"/>
            </w:pPr>
            <w:r w:rsidRPr="00EF1540">
              <w:lastRenderedPageBreak/>
              <w:t>5.4 Коефіцієнт завантаження трансформаторних підстанцій у межах територіальної одиниці i </w:t>
            </w:r>
            <w:proofErr w:type="spellStart"/>
            <w:r w:rsidRPr="00EF1540">
              <w:rPr>
                <w:rStyle w:val="rvts9"/>
                <w:b/>
                <w:bCs/>
              </w:rPr>
              <w:t>К</w:t>
            </w:r>
            <w:r w:rsidRPr="00EF1540">
              <w:rPr>
                <w:rStyle w:val="rvts37"/>
                <w:b/>
                <w:bCs/>
                <w:vertAlign w:val="superscript"/>
              </w:rPr>
              <w:t>і</w:t>
            </w:r>
            <w:r w:rsidRPr="00EF1540">
              <w:rPr>
                <w:rStyle w:val="rvts40"/>
                <w:b/>
                <w:bCs/>
                <w:vertAlign w:val="subscript"/>
              </w:rPr>
              <w:t>ЗТТ</w:t>
            </w:r>
            <w:proofErr w:type="spellEnd"/>
            <w:r w:rsidRPr="00EF1540">
              <w:t> основної мережі напругою 35 - 110(154) кВ оператора системи розподілу визначається з урахуванням вихідних даних згідно з </w:t>
            </w:r>
            <w:hyperlink r:id="rId134" w:anchor="n165" w:history="1">
              <w:r w:rsidRPr="00EF1540">
                <w:rPr>
                  <w:rStyle w:val="a4"/>
                  <w:color w:val="auto"/>
                  <w:u w:val="none"/>
                </w:rPr>
                <w:t>додатком 7</w:t>
              </w:r>
            </w:hyperlink>
            <w:r w:rsidRPr="00EF1540">
              <w:t> до цієї Методики за формулою</w:t>
            </w:r>
          </w:p>
          <w:p w:rsidR="004C7927" w:rsidRPr="00EF1540" w:rsidRDefault="004C7927" w:rsidP="004C7927">
            <w:pPr>
              <w:pStyle w:val="rvps12"/>
              <w:spacing w:before="150" w:beforeAutospacing="0" w:after="150" w:afterAutospacing="0"/>
              <w:jc w:val="center"/>
            </w:pPr>
            <w:r w:rsidRPr="00EF1540">
              <w:rPr>
                <w:noProof/>
              </w:rPr>
              <w:drawing>
                <wp:inline distT="0" distB="0" distL="0" distR="0" wp14:anchorId="1FE7389E" wp14:editId="0473CDB5">
                  <wp:extent cx="2695575" cy="476250"/>
                  <wp:effectExtent l="0" t="0" r="9525" b="0"/>
                  <wp:docPr id="60" name="Рисунок 60" descr="https://zakon.rada.gov.ua/laws/file/imgs/98/p480243n282-38.gif">
                    <a:hlinkClick xmlns:a="http://schemas.openxmlformats.org/drawingml/2006/main" r:id="rId1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on.rada.gov.ua/laws/file/imgs/98/p480243n282-38.gif">
                            <a:hlinkClick r:id="rId123"/>
                          </pic:cNvPr>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2695575" cy="476250"/>
                          </a:xfrm>
                          <a:prstGeom prst="rect">
                            <a:avLst/>
                          </a:prstGeom>
                          <a:noFill/>
                          <a:ln>
                            <a:noFill/>
                          </a:ln>
                        </pic:spPr>
                      </pic:pic>
                    </a:graphicData>
                  </a:graphic>
                </wp:inline>
              </w:drawing>
            </w:r>
            <w:r w:rsidRPr="00EF1540">
              <w:t xml:space="preserve">     (</w:t>
            </w:r>
            <w:r w:rsidRPr="00EF1540">
              <w:rPr>
                <w:b/>
              </w:rPr>
              <w:t>8</w:t>
            </w:r>
            <w:r w:rsidRPr="00EF1540">
              <w:t>)</w:t>
            </w:r>
          </w:p>
          <w:p w:rsidR="004601A2" w:rsidRPr="00EF1540" w:rsidRDefault="004601A2" w:rsidP="004601A2">
            <w:pPr>
              <w:shd w:val="clear" w:color="auto" w:fill="FFFFFF"/>
              <w:spacing w:after="150"/>
              <w:ind w:firstLine="450"/>
              <w:jc w:val="both"/>
              <w:rPr>
                <w:rFonts w:ascii="Times New Roman" w:eastAsia="Times New Roman" w:hAnsi="Times New Roman" w:cs="Times New Roman"/>
                <w:sz w:val="24"/>
                <w:szCs w:val="24"/>
                <w:lang w:eastAsia="uk-UA"/>
              </w:rPr>
            </w:pPr>
          </w:p>
          <w:tbl>
            <w:tblPr>
              <w:tblW w:w="5000" w:type="pct"/>
              <w:tblCellMar>
                <w:top w:w="15" w:type="dxa"/>
                <w:left w:w="15" w:type="dxa"/>
                <w:bottom w:w="15" w:type="dxa"/>
                <w:right w:w="15" w:type="dxa"/>
              </w:tblCellMar>
              <w:tblLook w:val="04A0" w:firstRow="1" w:lastRow="0" w:firstColumn="1" w:lastColumn="0" w:noHBand="0" w:noVBand="1"/>
            </w:tblPr>
            <w:tblGrid>
              <w:gridCol w:w="419"/>
              <w:gridCol w:w="121"/>
              <w:gridCol w:w="1758"/>
              <w:gridCol w:w="110"/>
              <w:gridCol w:w="264"/>
              <w:gridCol w:w="4093"/>
              <w:gridCol w:w="492"/>
            </w:tblGrid>
            <w:tr w:rsidR="00EF1540" w:rsidRPr="00EF1540" w:rsidTr="001B4926">
              <w:tc>
                <w:tcPr>
                  <w:tcW w:w="419" w:type="dxa"/>
                  <w:hideMark/>
                </w:tcPr>
                <w:p w:rsidR="004C7927" w:rsidRPr="00EF1540" w:rsidRDefault="004C7927" w:rsidP="004C7927">
                  <w:pPr>
                    <w:pStyle w:val="rvps14"/>
                  </w:pPr>
                  <w:r w:rsidRPr="00EF1540">
                    <w:t>де</w:t>
                  </w:r>
                </w:p>
              </w:tc>
              <w:tc>
                <w:tcPr>
                  <w:tcW w:w="1879" w:type="dxa"/>
                  <w:gridSpan w:val="2"/>
                  <w:hideMark/>
                </w:tcPr>
                <w:p w:rsidR="004C7927" w:rsidRPr="00EF1540" w:rsidRDefault="004C7927" w:rsidP="004C7927">
                  <w:pPr>
                    <w:pStyle w:val="rvps14"/>
                  </w:pPr>
                  <w:r w:rsidRPr="00EF1540">
                    <w:t>1,2</w:t>
                  </w:r>
                </w:p>
              </w:tc>
              <w:tc>
                <w:tcPr>
                  <w:tcW w:w="110" w:type="dxa"/>
                  <w:hideMark/>
                </w:tcPr>
                <w:p w:rsidR="004C7927" w:rsidRPr="00EF1540" w:rsidRDefault="004C7927" w:rsidP="004C7927">
                  <w:pPr>
                    <w:pStyle w:val="rvps12"/>
                  </w:pPr>
                  <w:r w:rsidRPr="00EF1540">
                    <w:t>-</w:t>
                  </w:r>
                </w:p>
              </w:tc>
              <w:tc>
                <w:tcPr>
                  <w:tcW w:w="5681" w:type="dxa"/>
                  <w:gridSpan w:val="3"/>
                  <w:hideMark/>
                </w:tcPr>
                <w:p w:rsidR="004C7927" w:rsidRPr="00EF1540" w:rsidRDefault="004C7927" w:rsidP="004C7927">
                  <w:pPr>
                    <w:pStyle w:val="rvps14"/>
                    <w:jc w:val="both"/>
                  </w:pPr>
                  <w:r w:rsidRPr="00EF1540">
                    <w:t>коефіцієнт, що враховує нерівномірність добового графіка навантажень трансформаторних підстанцій;</w:t>
                  </w:r>
                </w:p>
              </w:tc>
            </w:tr>
            <w:tr w:rsidR="00EF1540" w:rsidRPr="00EF1540" w:rsidTr="001B4926">
              <w:tc>
                <w:tcPr>
                  <w:tcW w:w="419" w:type="dxa"/>
                  <w:hideMark/>
                </w:tcPr>
                <w:p w:rsidR="004C7927" w:rsidRPr="00EF1540" w:rsidRDefault="004C7927" w:rsidP="004C7927">
                  <w:pPr>
                    <w:pStyle w:val="rvps14"/>
                  </w:pPr>
                </w:p>
              </w:tc>
              <w:tc>
                <w:tcPr>
                  <w:tcW w:w="1879" w:type="dxa"/>
                  <w:gridSpan w:val="2"/>
                  <w:hideMark/>
                </w:tcPr>
                <w:p w:rsidR="004C7927" w:rsidRPr="00EF1540" w:rsidRDefault="004C7927" w:rsidP="004C7927">
                  <w:pPr>
                    <w:pStyle w:val="rvps14"/>
                  </w:pPr>
                  <w:r w:rsidRPr="00EF1540">
                    <w:rPr>
                      <w:rStyle w:val="rvts9"/>
                    </w:rPr>
                    <w:t>W</w:t>
                  </w:r>
                  <w:r w:rsidRPr="00EF1540">
                    <w:rPr>
                      <w:rStyle w:val="rvts37"/>
                    </w:rPr>
                    <w:t>i</w:t>
                  </w:r>
                  <w:r w:rsidRPr="00EF1540">
                    <w:rPr>
                      <w:rStyle w:val="rvts40"/>
                    </w:rPr>
                    <w:t>тр.35-110(154)кВ</w:t>
                  </w:r>
                </w:p>
              </w:tc>
              <w:tc>
                <w:tcPr>
                  <w:tcW w:w="110" w:type="dxa"/>
                  <w:hideMark/>
                </w:tcPr>
                <w:p w:rsidR="004C7927" w:rsidRPr="00EF1540" w:rsidRDefault="004C7927" w:rsidP="004C7927">
                  <w:pPr>
                    <w:pStyle w:val="rvps12"/>
                  </w:pPr>
                  <w:r w:rsidRPr="00EF1540">
                    <w:t>-</w:t>
                  </w:r>
                </w:p>
              </w:tc>
              <w:tc>
                <w:tcPr>
                  <w:tcW w:w="5681" w:type="dxa"/>
                  <w:gridSpan w:val="3"/>
                  <w:hideMark/>
                </w:tcPr>
                <w:p w:rsidR="004C7927" w:rsidRPr="00EF1540" w:rsidRDefault="004C7927" w:rsidP="004C7927">
                  <w:pPr>
                    <w:pStyle w:val="rvps14"/>
                    <w:jc w:val="both"/>
                  </w:pPr>
                  <w:r w:rsidRPr="00EF1540">
                    <w:t xml:space="preserve">максимальний за останні три роки сумарний місячний обсяг трансформації електричної енергії на напругу 6(10)20 кВ для трансформаторних підстанцій у межах територіальної одиниці і основної мережі оператора системи розподілу напругою 35-110 (154) кВ, </w:t>
                  </w:r>
                  <w:proofErr w:type="spellStart"/>
                  <w:r w:rsidRPr="00EF1540">
                    <w:t>МВт•год</w:t>
                  </w:r>
                  <w:proofErr w:type="spellEnd"/>
                  <w:r w:rsidRPr="00EF1540">
                    <w:t>. Для трансформаторних підстанцій j напругою 110(154)/35/20(10)6 кВ за сумарний місячний обсяг трансформації електричної енергії приймається вся трансформована електрична енергія на напрузі 6(10)20 кВ для трансформаторних підстанцій 110(154)/10 (20)6 кВ та на напрузі 35 кВ та 10(20)6кВ для трансформаторних підстанцій 110(154)/35/10(20)6 кВ як за підстанцією напругою 110(154)/35/20(10)6 кВ, так і трансформована електрична енергія за трансформаторними підстанціями 35/20(10)6 кВ, що за схемою нормального режиму живляться від підстанції j напругою 110(154)/35/20(10)6 кВ, та розраховується за формулою</w:t>
                  </w:r>
                </w:p>
              </w:tc>
            </w:tr>
            <w:tr w:rsidR="00EF1540" w:rsidRPr="00EF1540" w:rsidTr="001B4926">
              <w:tblPrEx>
                <w:tblCellMar>
                  <w:top w:w="60" w:type="dxa"/>
                  <w:left w:w="60" w:type="dxa"/>
                  <w:bottom w:w="60" w:type="dxa"/>
                  <w:right w:w="60" w:type="dxa"/>
                </w:tblCellMar>
              </w:tblPrEx>
              <w:tc>
                <w:tcPr>
                  <w:tcW w:w="7569" w:type="dxa"/>
                  <w:gridSpan w:val="6"/>
                  <w:hideMark/>
                </w:tcPr>
                <w:p w:rsidR="004C7927" w:rsidRPr="00EF1540" w:rsidRDefault="004C7927" w:rsidP="004C7927">
                  <w:pPr>
                    <w:pStyle w:val="rvps12"/>
                    <w:jc w:val="center"/>
                  </w:pPr>
                  <w:r w:rsidRPr="00EF1540">
                    <w:rPr>
                      <w:noProof/>
                    </w:rPr>
                    <w:drawing>
                      <wp:inline distT="0" distB="0" distL="0" distR="0" wp14:anchorId="1B3D4F53" wp14:editId="1A18E0F9">
                        <wp:extent cx="4219575" cy="578127"/>
                        <wp:effectExtent l="0" t="0" r="0" b="0"/>
                        <wp:docPr id="65" name="Рисунок 65" descr="https://zakon.rada.gov.ua/laws/file/imgs/98/p480243n284-39.gif">
                          <a:hlinkClick xmlns:a="http://schemas.openxmlformats.org/drawingml/2006/main" r:id="rId1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on.rada.gov.ua/laws/file/imgs/98/p480243n284-39.gif">
                                  <a:hlinkClick r:id="rId125"/>
                                </pic:cNvPr>
                                <pic:cNvPicPr>
                                  <a:picLocks noChangeAspect="1" noChangeArrowheads="1"/>
                                </pic:cNvPicPr>
                              </pic:nvPicPr>
                              <pic:blipFill>
                                <a:blip r:embed="rId126">
                                  <a:extLst>
                                    <a:ext uri="{28A0092B-C50C-407E-A947-70E740481C1C}">
                                      <a14:useLocalDpi xmlns:a14="http://schemas.microsoft.com/office/drawing/2010/main" val="0"/>
                                    </a:ext>
                                  </a:extLst>
                                </a:blip>
                                <a:srcRect/>
                                <a:stretch>
                                  <a:fillRect/>
                                </a:stretch>
                              </pic:blipFill>
                              <pic:spPr bwMode="auto">
                                <a:xfrm>
                                  <a:off x="0" y="0"/>
                                  <a:ext cx="4263228" cy="584108"/>
                                </a:xfrm>
                                <a:prstGeom prst="rect">
                                  <a:avLst/>
                                </a:prstGeom>
                                <a:noFill/>
                                <a:ln>
                                  <a:noFill/>
                                </a:ln>
                              </pic:spPr>
                            </pic:pic>
                          </a:graphicData>
                        </a:graphic>
                      </wp:inline>
                    </w:drawing>
                  </w:r>
                </w:p>
              </w:tc>
              <w:tc>
                <w:tcPr>
                  <w:tcW w:w="520" w:type="dxa"/>
                  <w:vAlign w:val="center"/>
                  <w:hideMark/>
                </w:tcPr>
                <w:p w:rsidR="004C7927" w:rsidRPr="00EF1540" w:rsidRDefault="004C7927" w:rsidP="004C7927">
                  <w:pPr>
                    <w:pStyle w:val="rvps11"/>
                  </w:pPr>
                  <w:r w:rsidRPr="00EF1540">
                    <w:t>(</w:t>
                  </w:r>
                  <w:r w:rsidRPr="00EF1540">
                    <w:rPr>
                      <w:b/>
                    </w:rPr>
                    <w:t>9</w:t>
                  </w:r>
                  <w:r w:rsidRPr="00EF1540">
                    <w:t>)</w:t>
                  </w:r>
                </w:p>
              </w:tc>
            </w:tr>
            <w:tr w:rsidR="00EF1540" w:rsidRPr="00EF1540" w:rsidTr="001B4926">
              <w:tc>
                <w:tcPr>
                  <w:tcW w:w="540" w:type="dxa"/>
                  <w:gridSpan w:val="2"/>
                  <w:hideMark/>
                </w:tcPr>
                <w:p w:rsidR="004C7927" w:rsidRPr="00EF1540" w:rsidRDefault="004C7927" w:rsidP="004C7927">
                  <w:pPr>
                    <w:pStyle w:val="rvps14"/>
                  </w:pPr>
                  <w:r w:rsidRPr="00EF1540">
                    <w:t>де</w:t>
                  </w:r>
                </w:p>
              </w:tc>
              <w:tc>
                <w:tcPr>
                  <w:tcW w:w="1868" w:type="dxa"/>
                  <w:gridSpan w:val="2"/>
                  <w:hideMark/>
                </w:tcPr>
                <w:p w:rsidR="004C7927" w:rsidRPr="00EF1540" w:rsidRDefault="004C7927" w:rsidP="004C7927">
                  <w:pPr>
                    <w:pStyle w:val="rvps14"/>
                  </w:pPr>
                  <w:r w:rsidRPr="00EF1540">
                    <w:rPr>
                      <w:noProof/>
                    </w:rPr>
                    <w:drawing>
                      <wp:inline distT="0" distB="0" distL="0" distR="0" wp14:anchorId="477B5E50" wp14:editId="62DE0332">
                        <wp:extent cx="1076325" cy="636879"/>
                        <wp:effectExtent l="0" t="0" r="0" b="0"/>
                        <wp:docPr id="66" name="Рисунок 66" descr="https://zakon.rada.gov.ua/laws/file/imgs/98/p480243n285v1-40.gif">
                          <a:hlinkClick xmlns:a="http://schemas.openxmlformats.org/drawingml/2006/main" r:id="rId1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zakon.rada.gov.ua/laws/file/imgs/98/p480243n285v1-40.gif">
                                  <a:hlinkClick r:id="rId127"/>
                                </pic:cNvPr>
                                <pic:cNvPicPr>
                                  <a:picLocks noChangeAspect="1" noChangeArrowheads="1"/>
                                </pic:cNvPicPr>
                              </pic:nvPicPr>
                              <pic:blipFill>
                                <a:blip r:embed="rId128">
                                  <a:extLst>
                                    <a:ext uri="{28A0092B-C50C-407E-A947-70E740481C1C}">
                                      <a14:useLocalDpi xmlns:a14="http://schemas.microsoft.com/office/drawing/2010/main" val="0"/>
                                    </a:ext>
                                  </a:extLst>
                                </a:blip>
                                <a:srcRect/>
                                <a:stretch>
                                  <a:fillRect/>
                                </a:stretch>
                              </pic:blipFill>
                              <pic:spPr bwMode="auto">
                                <a:xfrm>
                                  <a:off x="0" y="0"/>
                                  <a:ext cx="1083032" cy="640848"/>
                                </a:xfrm>
                                <a:prstGeom prst="rect">
                                  <a:avLst/>
                                </a:prstGeom>
                                <a:noFill/>
                                <a:ln>
                                  <a:noFill/>
                                </a:ln>
                              </pic:spPr>
                            </pic:pic>
                          </a:graphicData>
                        </a:graphic>
                      </wp:inline>
                    </w:drawing>
                  </w:r>
                </w:p>
              </w:tc>
              <w:tc>
                <w:tcPr>
                  <w:tcW w:w="264" w:type="dxa"/>
                  <w:hideMark/>
                </w:tcPr>
                <w:p w:rsidR="004C7927" w:rsidRPr="00EF1540" w:rsidRDefault="004C7927" w:rsidP="004C7927">
                  <w:pPr>
                    <w:pStyle w:val="rvps12"/>
                  </w:pPr>
                  <w:r w:rsidRPr="00EF1540">
                    <w:t>-</w:t>
                  </w:r>
                </w:p>
              </w:tc>
              <w:tc>
                <w:tcPr>
                  <w:tcW w:w="5417" w:type="dxa"/>
                  <w:gridSpan w:val="2"/>
                  <w:hideMark/>
                </w:tcPr>
                <w:p w:rsidR="004C7927" w:rsidRPr="00EF1540" w:rsidRDefault="004C7927" w:rsidP="004C7927">
                  <w:pPr>
                    <w:pStyle w:val="rvps14"/>
                    <w:jc w:val="both"/>
                  </w:pPr>
                  <w:r w:rsidRPr="00EF1540">
                    <w:t xml:space="preserve">місячний обсяг трансформації електричної енергії для трансформаторних підстанцій відповідної напруги в межах територіальної одиниці i, </w:t>
                  </w:r>
                  <w:proofErr w:type="spellStart"/>
                  <w:r w:rsidRPr="00EF1540">
                    <w:t>МВт•год</w:t>
                  </w:r>
                  <w:proofErr w:type="spellEnd"/>
                  <w:r w:rsidRPr="00EF1540">
                    <w:t>;</w:t>
                  </w:r>
                </w:p>
              </w:tc>
            </w:tr>
            <w:tr w:rsidR="00EF1540" w:rsidRPr="00EF1540" w:rsidTr="001B4926">
              <w:tc>
                <w:tcPr>
                  <w:tcW w:w="540" w:type="dxa"/>
                  <w:gridSpan w:val="2"/>
                  <w:hideMark/>
                </w:tcPr>
                <w:p w:rsidR="004C7927" w:rsidRPr="00EF1540" w:rsidRDefault="004C7927" w:rsidP="004C7927">
                  <w:pPr>
                    <w:pStyle w:val="rvps14"/>
                  </w:pPr>
                </w:p>
              </w:tc>
              <w:tc>
                <w:tcPr>
                  <w:tcW w:w="1868" w:type="dxa"/>
                  <w:gridSpan w:val="2"/>
                  <w:hideMark/>
                </w:tcPr>
                <w:p w:rsidR="004C7927" w:rsidRPr="00EF1540" w:rsidRDefault="004C7927" w:rsidP="004C7927">
                  <w:pPr>
                    <w:pStyle w:val="rvps14"/>
                  </w:pPr>
                  <w:r w:rsidRPr="00EF1540">
                    <w:rPr>
                      <w:noProof/>
                    </w:rPr>
                    <w:drawing>
                      <wp:inline distT="0" distB="0" distL="0" distR="0" wp14:anchorId="7A2D70B9" wp14:editId="3C4A6810">
                        <wp:extent cx="1047750" cy="305250"/>
                        <wp:effectExtent l="0" t="0" r="0" b="0"/>
                        <wp:docPr id="69" name="Рисунок 69" descr="https://zakon.rada.gov.ua/laws/file/imgs/98/p480243n285v1-41.gif">
                          <a:hlinkClick xmlns:a="http://schemas.openxmlformats.org/drawingml/2006/main" r:id="rId1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rada.gov.ua/laws/file/imgs/98/p480243n285v1-41.gif">
                                  <a:hlinkClick r:id="rId129"/>
                                </pic:cNvPr>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1055199" cy="307420"/>
                                </a:xfrm>
                                <a:prstGeom prst="rect">
                                  <a:avLst/>
                                </a:prstGeom>
                                <a:noFill/>
                                <a:ln>
                                  <a:noFill/>
                                </a:ln>
                              </pic:spPr>
                            </pic:pic>
                          </a:graphicData>
                        </a:graphic>
                      </wp:inline>
                    </w:drawing>
                  </w:r>
                </w:p>
              </w:tc>
              <w:tc>
                <w:tcPr>
                  <w:tcW w:w="264" w:type="dxa"/>
                  <w:hideMark/>
                </w:tcPr>
                <w:p w:rsidR="004C7927" w:rsidRPr="00EF1540" w:rsidRDefault="004C7927" w:rsidP="004C7927">
                  <w:pPr>
                    <w:pStyle w:val="rvps12"/>
                  </w:pPr>
                  <w:r w:rsidRPr="00EF1540">
                    <w:t>-</w:t>
                  </w:r>
                </w:p>
              </w:tc>
              <w:tc>
                <w:tcPr>
                  <w:tcW w:w="5417" w:type="dxa"/>
                  <w:gridSpan w:val="2"/>
                  <w:hideMark/>
                </w:tcPr>
                <w:p w:rsidR="004C7927" w:rsidRPr="00EF1540" w:rsidRDefault="004C7927" w:rsidP="004C7927">
                  <w:pPr>
                    <w:pStyle w:val="rvps14"/>
                    <w:jc w:val="both"/>
                  </w:pPr>
                  <w:r w:rsidRPr="00EF1540">
                    <w:t>сумарний місячний обсяг трансформації електричної енергії за трансформаторними підстанціями 35/20(10)6 кВ, що за схемою нормального режиму живляться від підстанції напругою 110(154)/35/20(10)6 кВ та належать до і-</w:t>
                  </w:r>
                  <w:proofErr w:type="spellStart"/>
                  <w:r w:rsidRPr="00EF1540">
                    <w:t>их</w:t>
                  </w:r>
                  <w:proofErr w:type="spellEnd"/>
                  <w:r w:rsidRPr="00EF1540">
                    <w:t xml:space="preserve"> територіальних одиниць, </w:t>
                  </w:r>
                  <w:proofErr w:type="spellStart"/>
                  <w:r w:rsidRPr="00EF1540">
                    <w:t>МВт•год</w:t>
                  </w:r>
                  <w:proofErr w:type="spellEnd"/>
                  <w:r w:rsidRPr="00EF1540">
                    <w:t>;</w:t>
                  </w:r>
                </w:p>
              </w:tc>
            </w:tr>
            <w:tr w:rsidR="00EF1540" w:rsidRPr="00EF1540" w:rsidTr="001B4926">
              <w:tc>
                <w:tcPr>
                  <w:tcW w:w="540" w:type="dxa"/>
                  <w:gridSpan w:val="2"/>
                  <w:hideMark/>
                </w:tcPr>
                <w:p w:rsidR="004C7927" w:rsidRPr="00EF1540" w:rsidRDefault="004C7927" w:rsidP="004C7927">
                  <w:pPr>
                    <w:pStyle w:val="rvps14"/>
                  </w:pPr>
                </w:p>
              </w:tc>
              <w:tc>
                <w:tcPr>
                  <w:tcW w:w="1868" w:type="dxa"/>
                  <w:gridSpan w:val="2"/>
                  <w:hideMark/>
                </w:tcPr>
                <w:p w:rsidR="004C7927" w:rsidRPr="00EF1540" w:rsidRDefault="004C7927" w:rsidP="004C7927">
                  <w:pPr>
                    <w:pStyle w:val="rvps14"/>
                  </w:pPr>
                  <w:r w:rsidRPr="00EF1540">
                    <w:t>N</w:t>
                  </w:r>
                </w:p>
              </w:tc>
              <w:tc>
                <w:tcPr>
                  <w:tcW w:w="264" w:type="dxa"/>
                  <w:hideMark/>
                </w:tcPr>
                <w:p w:rsidR="004C7927" w:rsidRPr="00EF1540" w:rsidRDefault="004C7927" w:rsidP="004C7927">
                  <w:pPr>
                    <w:pStyle w:val="rvps12"/>
                  </w:pPr>
                  <w:r w:rsidRPr="00EF1540">
                    <w:t>-</w:t>
                  </w:r>
                </w:p>
              </w:tc>
              <w:tc>
                <w:tcPr>
                  <w:tcW w:w="5417" w:type="dxa"/>
                  <w:gridSpan w:val="2"/>
                  <w:hideMark/>
                </w:tcPr>
                <w:p w:rsidR="004C7927" w:rsidRPr="00EF1540" w:rsidRDefault="004C7927" w:rsidP="004C7927">
                  <w:pPr>
                    <w:pStyle w:val="rvps14"/>
                    <w:jc w:val="both"/>
                  </w:pPr>
                  <w:r w:rsidRPr="00EF1540">
                    <w:t>кількість годин у місяці максимального місячного обсягу електричної енергії для трансформаторних підстанцій у межах територіальної одиниці i основної мережі оператора системи розподілу напругою 35 - 110(154) кВ;</w:t>
                  </w:r>
                </w:p>
              </w:tc>
            </w:tr>
            <w:tr w:rsidR="00EF1540" w:rsidRPr="00EF1540" w:rsidTr="001B4926">
              <w:tc>
                <w:tcPr>
                  <w:tcW w:w="540" w:type="dxa"/>
                  <w:gridSpan w:val="2"/>
                  <w:hideMark/>
                </w:tcPr>
                <w:p w:rsidR="004C7927" w:rsidRPr="00EF1540" w:rsidRDefault="004C7927" w:rsidP="004C7927">
                  <w:pPr>
                    <w:pStyle w:val="rvps14"/>
                  </w:pPr>
                </w:p>
              </w:tc>
              <w:tc>
                <w:tcPr>
                  <w:tcW w:w="1868" w:type="dxa"/>
                  <w:gridSpan w:val="2"/>
                  <w:hideMark/>
                </w:tcPr>
                <w:p w:rsidR="004C7927" w:rsidRPr="00EF1540" w:rsidRDefault="004C7927" w:rsidP="004C7927">
                  <w:pPr>
                    <w:pStyle w:val="rvps14"/>
                  </w:pPr>
                  <w:r w:rsidRPr="00EF1540">
                    <w:t>0,7</w:t>
                  </w:r>
                </w:p>
              </w:tc>
              <w:tc>
                <w:tcPr>
                  <w:tcW w:w="264" w:type="dxa"/>
                  <w:hideMark/>
                </w:tcPr>
                <w:p w:rsidR="004C7927" w:rsidRPr="00EF1540" w:rsidRDefault="004C7927" w:rsidP="004C7927">
                  <w:pPr>
                    <w:pStyle w:val="rvps12"/>
                  </w:pPr>
                  <w:r w:rsidRPr="00EF1540">
                    <w:t>-</w:t>
                  </w:r>
                </w:p>
              </w:tc>
              <w:tc>
                <w:tcPr>
                  <w:tcW w:w="5417" w:type="dxa"/>
                  <w:gridSpan w:val="2"/>
                  <w:hideMark/>
                </w:tcPr>
                <w:p w:rsidR="004C7927" w:rsidRPr="00EF1540" w:rsidRDefault="004C7927" w:rsidP="004C7927">
                  <w:pPr>
                    <w:pStyle w:val="rvps14"/>
                    <w:jc w:val="both"/>
                  </w:pPr>
                  <w:r w:rsidRPr="00EF1540">
                    <w:t>коефіцієнт резервування потужності, що враховує вимоги щодо безперебійного забезпечення електричною енергією користувачів системи розподілу, електроустановки яких приєднані до трансформаторних підстанцій основної мережі оператора системи розподілу напругою 35 - 110(154) кВ, та нерівномірність навантаження трансформаторних підстанцій основної мережі оператора системи розподілу напругою 35 - 110(154) кВ у межах територіальної одиниці i;</w:t>
                  </w:r>
                </w:p>
              </w:tc>
            </w:tr>
            <w:tr w:rsidR="00EF1540" w:rsidRPr="00EF1540" w:rsidTr="001B4926">
              <w:tc>
                <w:tcPr>
                  <w:tcW w:w="540" w:type="dxa"/>
                  <w:gridSpan w:val="2"/>
                  <w:hideMark/>
                </w:tcPr>
                <w:p w:rsidR="004C7927" w:rsidRPr="00EF1540" w:rsidRDefault="004C7927" w:rsidP="004C7927">
                  <w:pPr>
                    <w:pStyle w:val="rvps14"/>
                  </w:pPr>
                </w:p>
              </w:tc>
              <w:tc>
                <w:tcPr>
                  <w:tcW w:w="1868" w:type="dxa"/>
                  <w:gridSpan w:val="2"/>
                  <w:hideMark/>
                </w:tcPr>
                <w:p w:rsidR="004C7927" w:rsidRPr="00EF1540" w:rsidRDefault="004C7927" w:rsidP="004C7927">
                  <w:pPr>
                    <w:pStyle w:val="rvps14"/>
                  </w:pPr>
                  <w:proofErr w:type="spellStart"/>
                  <w:r w:rsidRPr="00EF1540">
                    <w:t>cos</w:t>
                  </w:r>
                  <w:proofErr w:type="spellEnd"/>
                  <w:r w:rsidRPr="00EF1540">
                    <w:t xml:space="preserve"> (f) = 0,97</w:t>
                  </w:r>
                </w:p>
              </w:tc>
              <w:tc>
                <w:tcPr>
                  <w:tcW w:w="264" w:type="dxa"/>
                  <w:hideMark/>
                </w:tcPr>
                <w:p w:rsidR="004C7927" w:rsidRPr="00EF1540" w:rsidRDefault="004C7927" w:rsidP="004C7927">
                  <w:pPr>
                    <w:pStyle w:val="rvps12"/>
                  </w:pPr>
                  <w:r w:rsidRPr="00EF1540">
                    <w:t>-</w:t>
                  </w:r>
                </w:p>
              </w:tc>
              <w:tc>
                <w:tcPr>
                  <w:tcW w:w="5417" w:type="dxa"/>
                  <w:gridSpan w:val="2"/>
                  <w:hideMark/>
                </w:tcPr>
                <w:p w:rsidR="004C7927" w:rsidRPr="00EF1540" w:rsidRDefault="004C7927" w:rsidP="004C7927">
                  <w:pPr>
                    <w:pStyle w:val="rvps14"/>
                  </w:pPr>
                  <w:r w:rsidRPr="00EF1540">
                    <w:t>коефіцієнт потужності;</w:t>
                  </w:r>
                </w:p>
              </w:tc>
            </w:tr>
          </w:tbl>
          <w:p w:rsidR="004C7927" w:rsidRPr="00EF1540" w:rsidRDefault="004C7927" w:rsidP="004601A2">
            <w:pPr>
              <w:shd w:val="clear" w:color="auto" w:fill="FFFFFF"/>
              <w:spacing w:after="150"/>
              <w:ind w:firstLine="450"/>
              <w:jc w:val="both"/>
              <w:rPr>
                <w:rFonts w:ascii="Times New Roman" w:eastAsia="Times New Roman" w:hAnsi="Times New Roman" w:cs="Times New Roman"/>
                <w:sz w:val="24"/>
                <w:szCs w:val="24"/>
                <w:lang w:eastAsia="uk-UA"/>
              </w:rPr>
            </w:pPr>
          </w:p>
          <w:tbl>
            <w:tblPr>
              <w:tblW w:w="5000" w:type="pct"/>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128"/>
              <w:gridCol w:w="110"/>
              <w:gridCol w:w="5019"/>
            </w:tblGrid>
            <w:tr w:rsidR="00EF1540" w:rsidRPr="00EF1540" w:rsidTr="00ED5210">
              <w:tc>
                <w:tcPr>
                  <w:tcW w:w="2295" w:type="dxa"/>
                  <w:tcBorders>
                    <w:top w:val="nil"/>
                    <w:left w:val="nil"/>
                    <w:bottom w:val="nil"/>
                    <w:right w:val="nil"/>
                  </w:tcBorders>
                  <w:shd w:val="clear" w:color="auto" w:fill="FFFFFF"/>
                  <w:hideMark/>
                </w:tcPr>
                <w:p w:rsidR="004601A2" w:rsidRPr="00EF1540" w:rsidRDefault="00647D68" w:rsidP="004601A2">
                  <w:pPr>
                    <w:spacing w:before="150" w:after="150" w:line="240" w:lineRule="auto"/>
                    <w:jc w:val="both"/>
                    <w:rPr>
                      <w:rFonts w:ascii="Times New Roman" w:eastAsia="Times New Roman" w:hAnsi="Times New Roman" w:cs="Times New Roman"/>
                      <w:sz w:val="24"/>
                      <w:szCs w:val="24"/>
                      <w:lang/>
                    </w:rPr>
                  </w:pPr>
                  <w:hyperlink r:id="rId135" w:history="1">
                    <w:r w:rsidR="004601A2" w:rsidRPr="00EF1540">
                      <w:rPr>
                        <w:rFonts w:ascii="Times New Roman" w:eastAsia="Times New Roman" w:hAnsi="Times New Roman" w:cs="Times New Roman"/>
                        <w:sz w:val="24"/>
                        <w:szCs w:val="24"/>
                        <w:lang/>
                      </w:rPr>
                      <w:br/>
                    </w:r>
                    <w:r w:rsidR="004601A2" w:rsidRPr="00EF1540">
                      <w:rPr>
                        <w:rFonts w:ascii="Times New Roman" w:eastAsia="Times New Roman" w:hAnsi="Times New Roman" w:cs="Times New Roman"/>
                        <w:noProof/>
                        <w:sz w:val="24"/>
                        <w:szCs w:val="24"/>
                        <w:lang/>
                      </w:rPr>
                      <w:drawing>
                        <wp:inline distT="0" distB="0" distL="0" distR="0" wp14:anchorId="2678830D" wp14:editId="7848571F">
                          <wp:extent cx="1257300" cy="247650"/>
                          <wp:effectExtent l="0" t="0" r="0" b="0"/>
                          <wp:docPr id="1" name="Рисунок 1" descr="https://zakon.rada.gov.ua/laws/file/imgs/98/p480243n285v1-42.gif">
                            <a:hlinkClick xmlns:a="http://schemas.openxmlformats.org/drawingml/2006/main" r:id="rId1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zakon.rada.gov.ua/laws/file/imgs/98/p480243n285v1-42.gif">
                                    <a:hlinkClick r:id="rId135"/>
                                  </pic:cNvPr>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1257300" cy="247650"/>
                                  </a:xfrm>
                                  <a:prstGeom prst="rect">
                                    <a:avLst/>
                                  </a:prstGeom>
                                  <a:noFill/>
                                  <a:ln>
                                    <a:noFill/>
                                  </a:ln>
                                </pic:spPr>
                              </pic:pic>
                            </a:graphicData>
                          </a:graphic>
                        </wp:inline>
                      </w:drawing>
                    </w:r>
                  </w:hyperlink>
                </w:p>
              </w:tc>
              <w:tc>
                <w:tcPr>
                  <w:tcW w:w="15" w:type="dxa"/>
                  <w:tcBorders>
                    <w:top w:val="nil"/>
                    <w:left w:val="nil"/>
                    <w:bottom w:val="nil"/>
                    <w:right w:val="nil"/>
                  </w:tcBorders>
                  <w:shd w:val="clear" w:color="auto" w:fill="FFFFFF"/>
                  <w:hideMark/>
                </w:tcPr>
                <w:p w:rsidR="004601A2" w:rsidRPr="00EF1540" w:rsidRDefault="004601A2" w:rsidP="004601A2">
                  <w:pPr>
                    <w:spacing w:before="150" w:after="150" w:line="240" w:lineRule="auto"/>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w:t>
                  </w:r>
                </w:p>
              </w:tc>
              <w:tc>
                <w:tcPr>
                  <w:tcW w:w="9315" w:type="dxa"/>
                  <w:tcBorders>
                    <w:top w:val="nil"/>
                    <w:left w:val="nil"/>
                    <w:bottom w:val="nil"/>
                    <w:right w:val="nil"/>
                  </w:tcBorders>
                  <w:shd w:val="clear" w:color="auto" w:fill="FFFFFF"/>
                  <w:hideMark/>
                </w:tcPr>
                <w:p w:rsidR="004601A2" w:rsidRPr="00EF1540" w:rsidRDefault="004601A2" w:rsidP="004601A2">
                  <w:pPr>
                    <w:spacing w:before="150" w:after="150" w:line="240" w:lineRule="auto"/>
                    <w:jc w:val="both"/>
                    <w:rPr>
                      <w:rFonts w:ascii="Times New Roman" w:eastAsia="Times New Roman" w:hAnsi="Times New Roman" w:cs="Times New Roman"/>
                      <w:sz w:val="24"/>
                      <w:szCs w:val="24"/>
                      <w:lang/>
                    </w:rPr>
                  </w:pPr>
                  <w:r w:rsidRPr="00EF1540">
                    <w:rPr>
                      <w:rFonts w:ascii="Times New Roman" w:eastAsia="Times New Roman" w:hAnsi="Times New Roman" w:cs="Times New Roman"/>
                      <w:sz w:val="24"/>
                      <w:szCs w:val="24"/>
                      <w:lang/>
                    </w:rPr>
                    <w:t xml:space="preserve">загальна номінальна потужність усіх трансформаторів для трансформаторних підстанцій у межах територіальної одиниці i, безпосередньо приєднаних до електричних мереж </w:t>
                  </w:r>
                  <w:bookmarkStart w:id="73" w:name="_Hlk161407639"/>
                  <w:r w:rsidRPr="00EF1540">
                    <w:rPr>
                      <w:rFonts w:ascii="Times New Roman" w:eastAsia="Times New Roman" w:hAnsi="Times New Roman" w:cs="Times New Roman"/>
                      <w:b/>
                      <w:sz w:val="24"/>
                      <w:szCs w:val="24"/>
                      <w:lang/>
                    </w:rPr>
                    <w:t>напругою 35 - 110(154) кВ</w:t>
                  </w:r>
                  <w:bookmarkEnd w:id="73"/>
                  <w:r w:rsidRPr="00EF1540">
                    <w:rPr>
                      <w:rFonts w:ascii="Times New Roman" w:eastAsia="Times New Roman" w:hAnsi="Times New Roman" w:cs="Times New Roman"/>
                      <w:sz w:val="24"/>
                      <w:szCs w:val="24"/>
                      <w:lang/>
                    </w:rPr>
                    <w:t>, без урахування трансформаторів, що задіяні в повторній трансформації (на кінець базового періоду), МВА.</w:t>
                  </w:r>
                </w:p>
              </w:tc>
            </w:tr>
          </w:tbl>
          <w:p w:rsidR="004C7927" w:rsidRPr="00EF1540" w:rsidRDefault="004C7927" w:rsidP="004C7927">
            <w:pPr>
              <w:tabs>
                <w:tab w:val="left" w:pos="1260"/>
              </w:tabs>
              <w:ind w:firstLine="607"/>
              <w:jc w:val="both"/>
              <w:rPr>
                <w:rFonts w:ascii="Times New Roman" w:hAnsi="Times New Roman" w:cs="Times New Roman"/>
                <w:sz w:val="24"/>
                <w:szCs w:val="24"/>
              </w:rPr>
            </w:pPr>
            <w:r w:rsidRPr="00EF1540">
              <w:rPr>
                <w:rFonts w:ascii="Times New Roman" w:hAnsi="Times New Roman" w:cs="Times New Roman"/>
                <w:sz w:val="24"/>
                <w:szCs w:val="24"/>
              </w:rPr>
              <w:t xml:space="preserve">Якщо розрахований за </w:t>
            </w:r>
            <w:hyperlink r:id="rId136" w:anchor="n276" w:history="1">
              <w:r w:rsidRPr="00EF1540">
                <w:rPr>
                  <w:rStyle w:val="a4"/>
                  <w:rFonts w:ascii="Times New Roman" w:hAnsi="Times New Roman" w:cs="Times New Roman"/>
                  <w:color w:val="auto"/>
                  <w:sz w:val="24"/>
                  <w:szCs w:val="24"/>
                  <w:u w:val="none"/>
                </w:rPr>
                <w:t xml:space="preserve">формулою </w:t>
              </w:r>
              <w:r w:rsidRPr="00EF1540">
                <w:rPr>
                  <w:rStyle w:val="a4"/>
                  <w:rFonts w:ascii="Times New Roman" w:hAnsi="Times New Roman" w:cs="Times New Roman"/>
                  <w:b/>
                  <w:color w:val="auto"/>
                  <w:sz w:val="24"/>
                  <w:szCs w:val="24"/>
                  <w:u w:val="none"/>
                </w:rPr>
                <w:t>8</w:t>
              </w:r>
            </w:hyperlink>
            <w:r w:rsidRPr="00EF1540">
              <w:rPr>
                <w:rFonts w:ascii="Times New Roman" w:hAnsi="Times New Roman" w:cs="Times New Roman"/>
                <w:sz w:val="24"/>
                <w:szCs w:val="24"/>
              </w:rPr>
              <w:t xml:space="preserve"> цієї Методики коефіцієнт завантаження трансформаторної підстанції у межах територіальної одиниці i основної мережі напругою 35 - 110(154) кВ оператора системи розподілу становить більше 1, такий коефіцієнт завантаження трансформаторної підстанції приймається рівним 1.</w:t>
            </w:r>
          </w:p>
          <w:p w:rsidR="004601A2" w:rsidRPr="00EF1540" w:rsidRDefault="004C7927" w:rsidP="004C7927">
            <w:pPr>
              <w:pStyle w:val="rvps2"/>
              <w:spacing w:before="0" w:beforeAutospacing="0" w:after="0" w:afterAutospacing="0"/>
              <w:ind w:firstLine="607"/>
              <w:jc w:val="both"/>
            </w:pPr>
            <w:r w:rsidRPr="00EF1540">
              <w:t xml:space="preserve">Для оператора системи розподілу, у якого відсутні у власності або користуванні трансформаторні підстанції основної мережі </w:t>
            </w:r>
            <w:r w:rsidRPr="00EF1540">
              <w:lastRenderedPageBreak/>
              <w:t xml:space="preserve">напругою 35 - 110(154) кВ, </w:t>
            </w:r>
            <w:proofErr w:type="spellStart"/>
            <w:r w:rsidR="003E4A67" w:rsidRPr="00EF1540">
              <w:rPr>
                <w:rStyle w:val="rvts9"/>
                <w:b/>
                <w:bCs/>
              </w:rPr>
              <w:t>К</w:t>
            </w:r>
            <w:r w:rsidR="003E4A67" w:rsidRPr="00EF1540">
              <w:rPr>
                <w:rStyle w:val="rvts37"/>
                <w:b/>
                <w:bCs/>
                <w:vertAlign w:val="superscript"/>
              </w:rPr>
              <w:t>і</w:t>
            </w:r>
            <w:r w:rsidR="003E4A67" w:rsidRPr="00EF1540">
              <w:rPr>
                <w:rStyle w:val="rvts40"/>
                <w:b/>
                <w:bCs/>
                <w:vertAlign w:val="subscript"/>
              </w:rPr>
              <w:t>ЗТТ</w:t>
            </w:r>
            <w:proofErr w:type="spellEnd"/>
            <w:r w:rsidRPr="00EF1540">
              <w:t xml:space="preserve"> у межах відповідної територіальної одиниці такого оператора системи розподілу приймаються рівними відповідним коефіцієнтам завантаження трансформаторних підстанцій у межах територіальної одиниці основної мережі напругою 35 - 110(154) кВ суміжного оператора системи розподілу, до електричних мереж якого приєднані електричні мережі оператора системи розподілу, у якого відсутні у власності або користуванні трансформаторні підстанції основної мережі напругою 35 - 110(154) кВ.</w:t>
            </w:r>
          </w:p>
        </w:tc>
      </w:tr>
      <w:tr w:rsidR="001B16A7" w:rsidRPr="00EF1540" w:rsidTr="00D426BB">
        <w:trPr>
          <w:trHeight w:val="708"/>
        </w:trPr>
        <w:tc>
          <w:tcPr>
            <w:tcW w:w="8731" w:type="dxa"/>
          </w:tcPr>
          <w:p w:rsidR="001B16A7" w:rsidRPr="001B16A7" w:rsidRDefault="001B16A7" w:rsidP="001B16A7">
            <w:pPr>
              <w:spacing w:before="100" w:beforeAutospacing="1" w:after="100" w:afterAutospacing="1"/>
              <w:jc w:val="both"/>
              <w:rPr>
                <w:rFonts w:ascii="Times New Roman" w:eastAsia="Times New Roman" w:hAnsi="Times New Roman" w:cs="Times New Roman"/>
                <w:sz w:val="24"/>
                <w:szCs w:val="24"/>
                <w:lang/>
              </w:rPr>
            </w:pPr>
            <w:r w:rsidRPr="001B16A7">
              <w:rPr>
                <w:rFonts w:ascii="Times New Roman" w:eastAsia="Times New Roman" w:hAnsi="Times New Roman" w:cs="Times New Roman"/>
                <w:sz w:val="24"/>
                <w:szCs w:val="24"/>
                <w:lang/>
              </w:rPr>
              <w:lastRenderedPageBreak/>
              <w:t xml:space="preserve">5.5. Ставка плати за створення електричних мереж лінійної частини приєднання </w:t>
            </w:r>
            <w:proofErr w:type="spellStart"/>
            <w:r w:rsidRPr="001B16A7">
              <w:rPr>
                <w:rFonts w:ascii="Times New Roman" w:eastAsia="Times New Roman" w:hAnsi="Times New Roman" w:cs="Times New Roman"/>
                <w:sz w:val="24"/>
                <w:szCs w:val="24"/>
                <w:lang/>
              </w:rPr>
              <w:t>С</w:t>
            </w:r>
            <w:r w:rsidRPr="001B16A7">
              <w:rPr>
                <w:rFonts w:ascii="Times New Roman" w:eastAsia="Times New Roman" w:hAnsi="Times New Roman" w:cs="Times New Roman"/>
                <w:sz w:val="24"/>
                <w:szCs w:val="24"/>
                <w:vertAlign w:val="subscript"/>
                <w:lang/>
              </w:rPr>
              <w:t>лін</w:t>
            </w:r>
            <w:r w:rsidRPr="001B16A7">
              <w:rPr>
                <w:rFonts w:ascii="Times New Roman" w:eastAsia="Times New Roman" w:hAnsi="Times New Roman" w:cs="Times New Roman"/>
                <w:sz w:val="24"/>
                <w:szCs w:val="24"/>
                <w:vertAlign w:val="superscript"/>
                <w:lang/>
              </w:rPr>
              <w:t>л.н.зем</w:t>
            </w:r>
            <w:proofErr w:type="spellEnd"/>
            <w:r w:rsidRPr="001B16A7">
              <w:rPr>
                <w:rFonts w:ascii="Times New Roman" w:eastAsia="Times New Roman" w:hAnsi="Times New Roman" w:cs="Times New Roman"/>
                <w:sz w:val="24"/>
                <w:szCs w:val="24"/>
                <w:lang/>
              </w:rPr>
              <w:t xml:space="preserve"> визначається з урахуванням укрупнених показників вартості за формулою</w:t>
            </w:r>
          </w:p>
          <w:tbl>
            <w:tblPr>
              <w:tblW w:w="5000" w:type="pct"/>
              <w:tblCellMar>
                <w:top w:w="15" w:type="dxa"/>
                <w:left w:w="15" w:type="dxa"/>
                <w:bottom w:w="15" w:type="dxa"/>
                <w:right w:w="15" w:type="dxa"/>
              </w:tblCellMar>
              <w:tblLook w:val="04A0" w:firstRow="1" w:lastRow="0" w:firstColumn="1" w:lastColumn="0" w:noHBand="0" w:noVBand="1"/>
            </w:tblPr>
            <w:tblGrid>
              <w:gridCol w:w="7666"/>
              <w:gridCol w:w="522"/>
            </w:tblGrid>
            <w:tr w:rsidR="001B16A7" w:rsidRPr="001B16A7" w:rsidTr="001B16A7">
              <w:tc>
                <w:tcPr>
                  <w:tcW w:w="12195" w:type="dxa"/>
                  <w:hideMark/>
                </w:tcPr>
                <w:p w:rsidR="001B16A7" w:rsidRPr="001B16A7" w:rsidRDefault="001B16A7" w:rsidP="001B16A7">
                  <w:pPr>
                    <w:spacing w:before="100" w:beforeAutospacing="1" w:after="100" w:afterAutospacing="1" w:line="240" w:lineRule="auto"/>
                    <w:rPr>
                      <w:rFonts w:ascii="Times New Roman" w:eastAsia="Times New Roman" w:hAnsi="Times New Roman" w:cs="Times New Roman"/>
                      <w:sz w:val="24"/>
                      <w:szCs w:val="24"/>
                      <w:lang/>
                    </w:rPr>
                  </w:pPr>
                  <w:bookmarkStart w:id="74" w:name="n289"/>
                  <w:bookmarkEnd w:id="74"/>
                  <w:r w:rsidRPr="001B16A7">
                    <w:rPr>
                      <w:rFonts w:ascii="Times New Roman" w:eastAsia="Times New Roman" w:hAnsi="Times New Roman" w:cs="Times New Roman"/>
                      <w:noProof/>
                      <w:color w:val="0000FF"/>
                      <w:sz w:val="24"/>
                      <w:szCs w:val="24"/>
                      <w:lang/>
                    </w:rPr>
                    <w:drawing>
                      <wp:inline distT="0" distB="0" distL="0" distR="0">
                        <wp:extent cx="2933700" cy="495300"/>
                        <wp:effectExtent l="0" t="0" r="0" b="0"/>
                        <wp:docPr id="70" name="Рисунок 70" descr="https://zakon.rada.gov.ua/laws/file/imgs/98/p480243n289-43.gif">
                          <a:hlinkClick xmlns:a="http://schemas.openxmlformats.org/drawingml/2006/main" r:id="rId1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zakon.rada.gov.ua/laws/file/imgs/98/p480243n289-43.gif">
                                  <a:hlinkClick r:id="rId137"/>
                                </pic:cNvPr>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2933700" cy="495300"/>
                                </a:xfrm>
                                <a:prstGeom prst="rect">
                                  <a:avLst/>
                                </a:prstGeom>
                                <a:noFill/>
                                <a:ln>
                                  <a:noFill/>
                                </a:ln>
                              </pic:spPr>
                            </pic:pic>
                          </a:graphicData>
                        </a:graphic>
                      </wp:inline>
                    </w:drawing>
                  </w:r>
                </w:p>
              </w:tc>
              <w:tc>
                <w:tcPr>
                  <w:tcW w:w="660" w:type="dxa"/>
                  <w:vAlign w:val="center"/>
                  <w:hideMark/>
                </w:tcPr>
                <w:p w:rsidR="001B16A7" w:rsidRPr="001B16A7" w:rsidRDefault="001B16A7" w:rsidP="001B16A7">
                  <w:pPr>
                    <w:spacing w:before="100" w:beforeAutospacing="1" w:after="100" w:afterAutospacing="1" w:line="240" w:lineRule="auto"/>
                    <w:rPr>
                      <w:rFonts w:ascii="Times New Roman" w:eastAsia="Times New Roman" w:hAnsi="Times New Roman" w:cs="Times New Roman"/>
                      <w:sz w:val="24"/>
                      <w:szCs w:val="24"/>
                      <w:lang/>
                    </w:rPr>
                  </w:pPr>
                  <w:r w:rsidRPr="001B16A7">
                    <w:rPr>
                      <w:rFonts w:ascii="Times New Roman" w:eastAsia="Times New Roman" w:hAnsi="Times New Roman" w:cs="Times New Roman"/>
                      <w:sz w:val="24"/>
                      <w:szCs w:val="24"/>
                      <w:lang/>
                    </w:rPr>
                    <w:t>(13)</w:t>
                  </w:r>
                </w:p>
              </w:tc>
            </w:tr>
          </w:tbl>
          <w:p w:rsidR="001B16A7" w:rsidRPr="001B16A7" w:rsidRDefault="001B16A7" w:rsidP="004601A2">
            <w:pPr>
              <w:pStyle w:val="rvps2"/>
              <w:ind w:firstLine="599"/>
              <w:jc w:val="both"/>
            </w:pPr>
          </w:p>
        </w:tc>
        <w:tc>
          <w:tcPr>
            <w:tcW w:w="7146" w:type="dxa"/>
          </w:tcPr>
          <w:p w:rsidR="001B16A7" w:rsidRPr="001B16A7" w:rsidRDefault="001B16A7" w:rsidP="001B16A7">
            <w:pPr>
              <w:spacing w:before="100" w:beforeAutospacing="1" w:after="100" w:afterAutospacing="1"/>
              <w:jc w:val="both"/>
              <w:rPr>
                <w:rFonts w:ascii="Times New Roman" w:eastAsia="Times New Roman" w:hAnsi="Times New Roman" w:cs="Times New Roman"/>
                <w:sz w:val="24"/>
                <w:szCs w:val="24"/>
                <w:lang/>
              </w:rPr>
            </w:pPr>
            <w:r w:rsidRPr="001B16A7">
              <w:rPr>
                <w:rFonts w:ascii="Times New Roman" w:eastAsia="Times New Roman" w:hAnsi="Times New Roman" w:cs="Times New Roman"/>
                <w:sz w:val="24"/>
                <w:szCs w:val="24"/>
                <w:lang/>
              </w:rPr>
              <w:t xml:space="preserve">5.5. Ставка плати за створення електричних мереж лінійної частини приєднання </w:t>
            </w:r>
            <w:proofErr w:type="spellStart"/>
            <w:r w:rsidRPr="001B16A7">
              <w:rPr>
                <w:rFonts w:ascii="Times New Roman" w:eastAsia="Times New Roman" w:hAnsi="Times New Roman" w:cs="Times New Roman"/>
                <w:sz w:val="24"/>
                <w:szCs w:val="24"/>
                <w:lang/>
              </w:rPr>
              <w:t>С</w:t>
            </w:r>
            <w:r w:rsidRPr="001B16A7">
              <w:rPr>
                <w:rFonts w:ascii="Times New Roman" w:eastAsia="Times New Roman" w:hAnsi="Times New Roman" w:cs="Times New Roman"/>
                <w:sz w:val="24"/>
                <w:szCs w:val="24"/>
                <w:vertAlign w:val="subscript"/>
                <w:lang/>
              </w:rPr>
              <w:t>лін</w:t>
            </w:r>
            <w:r w:rsidRPr="001B16A7">
              <w:rPr>
                <w:rFonts w:ascii="Times New Roman" w:eastAsia="Times New Roman" w:hAnsi="Times New Roman" w:cs="Times New Roman"/>
                <w:sz w:val="24"/>
                <w:szCs w:val="24"/>
                <w:vertAlign w:val="superscript"/>
                <w:lang/>
              </w:rPr>
              <w:t>л.н.зем</w:t>
            </w:r>
            <w:proofErr w:type="spellEnd"/>
            <w:r w:rsidRPr="001B16A7">
              <w:rPr>
                <w:rFonts w:ascii="Times New Roman" w:eastAsia="Times New Roman" w:hAnsi="Times New Roman" w:cs="Times New Roman"/>
                <w:sz w:val="24"/>
                <w:szCs w:val="24"/>
                <w:lang/>
              </w:rPr>
              <w:t xml:space="preserve"> визначається з урахуванням укрупнених показників вартості за формулою</w:t>
            </w:r>
          </w:p>
          <w:tbl>
            <w:tblPr>
              <w:tblW w:w="5000" w:type="pct"/>
              <w:tblCellMar>
                <w:top w:w="15" w:type="dxa"/>
                <w:left w:w="15" w:type="dxa"/>
                <w:bottom w:w="15" w:type="dxa"/>
                <w:right w:w="15" w:type="dxa"/>
              </w:tblCellMar>
              <w:tblLook w:val="04A0" w:firstRow="1" w:lastRow="0" w:firstColumn="1" w:lastColumn="0" w:noHBand="0" w:noVBand="1"/>
            </w:tblPr>
            <w:tblGrid>
              <w:gridCol w:w="6763"/>
              <w:gridCol w:w="494"/>
            </w:tblGrid>
            <w:tr w:rsidR="001B16A7" w:rsidRPr="001B16A7" w:rsidTr="00A37180">
              <w:tc>
                <w:tcPr>
                  <w:tcW w:w="12195" w:type="dxa"/>
                  <w:hideMark/>
                </w:tcPr>
                <w:p w:rsidR="001B16A7" w:rsidRPr="001B16A7" w:rsidRDefault="001B16A7" w:rsidP="001B16A7">
                  <w:pPr>
                    <w:spacing w:before="100" w:beforeAutospacing="1" w:after="100" w:afterAutospacing="1" w:line="240" w:lineRule="auto"/>
                    <w:rPr>
                      <w:rFonts w:ascii="Times New Roman" w:eastAsia="Times New Roman" w:hAnsi="Times New Roman" w:cs="Times New Roman"/>
                      <w:sz w:val="24"/>
                      <w:szCs w:val="24"/>
                      <w:lang/>
                    </w:rPr>
                  </w:pPr>
                  <w:r w:rsidRPr="001B16A7">
                    <w:rPr>
                      <w:rFonts w:ascii="Times New Roman" w:eastAsia="Times New Roman" w:hAnsi="Times New Roman" w:cs="Times New Roman"/>
                      <w:noProof/>
                      <w:color w:val="0000FF"/>
                      <w:sz w:val="24"/>
                      <w:szCs w:val="24"/>
                      <w:lang/>
                    </w:rPr>
                    <w:drawing>
                      <wp:inline distT="0" distB="0" distL="0" distR="0" wp14:anchorId="7F435C0D" wp14:editId="562F4FDD">
                        <wp:extent cx="2933700" cy="495300"/>
                        <wp:effectExtent l="0" t="0" r="0" b="0"/>
                        <wp:docPr id="72" name="Рисунок 72" descr="https://zakon.rada.gov.ua/laws/file/imgs/98/p480243n289-43.gif">
                          <a:hlinkClick xmlns:a="http://schemas.openxmlformats.org/drawingml/2006/main" r:id="rId1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zakon.rada.gov.ua/laws/file/imgs/98/p480243n289-43.gif">
                                  <a:hlinkClick r:id="rId137"/>
                                </pic:cNvPr>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2933700" cy="495300"/>
                                </a:xfrm>
                                <a:prstGeom prst="rect">
                                  <a:avLst/>
                                </a:prstGeom>
                                <a:noFill/>
                                <a:ln>
                                  <a:noFill/>
                                </a:ln>
                              </pic:spPr>
                            </pic:pic>
                          </a:graphicData>
                        </a:graphic>
                      </wp:inline>
                    </w:drawing>
                  </w:r>
                </w:p>
              </w:tc>
              <w:tc>
                <w:tcPr>
                  <w:tcW w:w="660" w:type="dxa"/>
                  <w:vAlign w:val="center"/>
                  <w:hideMark/>
                </w:tcPr>
                <w:p w:rsidR="001B16A7" w:rsidRPr="001B16A7" w:rsidRDefault="001B16A7" w:rsidP="001B16A7">
                  <w:pPr>
                    <w:spacing w:before="100" w:beforeAutospacing="1" w:after="100" w:afterAutospacing="1" w:line="240" w:lineRule="auto"/>
                    <w:rPr>
                      <w:rFonts w:ascii="Times New Roman" w:eastAsia="Times New Roman" w:hAnsi="Times New Roman" w:cs="Times New Roman"/>
                      <w:sz w:val="24"/>
                      <w:szCs w:val="24"/>
                      <w:lang/>
                    </w:rPr>
                  </w:pPr>
                  <w:r w:rsidRPr="001B16A7">
                    <w:rPr>
                      <w:rFonts w:ascii="Times New Roman" w:eastAsia="Times New Roman" w:hAnsi="Times New Roman" w:cs="Times New Roman"/>
                      <w:sz w:val="24"/>
                      <w:szCs w:val="24"/>
                      <w:lang/>
                    </w:rPr>
                    <w:t>(</w:t>
                  </w:r>
                  <w:r w:rsidRPr="001B16A7">
                    <w:rPr>
                      <w:rFonts w:ascii="Times New Roman" w:eastAsia="Times New Roman" w:hAnsi="Times New Roman" w:cs="Times New Roman"/>
                      <w:b/>
                      <w:sz w:val="24"/>
                      <w:szCs w:val="24"/>
                      <w:lang/>
                    </w:rPr>
                    <w:t>11</w:t>
                  </w:r>
                  <w:r w:rsidRPr="001B16A7">
                    <w:rPr>
                      <w:rFonts w:ascii="Times New Roman" w:eastAsia="Times New Roman" w:hAnsi="Times New Roman" w:cs="Times New Roman"/>
                      <w:sz w:val="24"/>
                      <w:szCs w:val="24"/>
                      <w:lang/>
                    </w:rPr>
                    <w:t>)</w:t>
                  </w:r>
                </w:p>
              </w:tc>
            </w:tr>
          </w:tbl>
          <w:p w:rsidR="001B16A7" w:rsidRPr="001B16A7" w:rsidRDefault="001B16A7" w:rsidP="004601A2">
            <w:pPr>
              <w:pStyle w:val="rvps2"/>
              <w:ind w:firstLine="599"/>
              <w:jc w:val="both"/>
            </w:pPr>
          </w:p>
        </w:tc>
      </w:tr>
      <w:tr w:rsidR="00EF1540" w:rsidRPr="00EF1540" w:rsidTr="00D426BB">
        <w:trPr>
          <w:trHeight w:val="708"/>
        </w:trPr>
        <w:tc>
          <w:tcPr>
            <w:tcW w:w="8731" w:type="dxa"/>
          </w:tcPr>
          <w:p w:rsidR="004601A2" w:rsidRPr="00EF1540" w:rsidRDefault="004601A2" w:rsidP="004601A2">
            <w:pPr>
              <w:pStyle w:val="rvps2"/>
              <w:ind w:firstLine="599"/>
              <w:jc w:val="both"/>
            </w:pPr>
            <w:r w:rsidRPr="00EF1540">
              <w:t xml:space="preserve">5.6. Різниця між обсягом надходження коштів від надання послуг з нестандартних приєднань та фактичними витратами на приєднання </w:t>
            </w:r>
            <w:proofErr w:type="spellStart"/>
            <w:r w:rsidRPr="00EF1540">
              <w:rPr>
                <w:rStyle w:val="rvts80"/>
              </w:rPr>
              <w:t>Δ</w:t>
            </w:r>
            <w:r w:rsidRPr="00EF1540">
              <w:rPr>
                <w:rStyle w:val="rvts40"/>
              </w:rPr>
              <w:t>Внст</w:t>
            </w:r>
            <w:proofErr w:type="spellEnd"/>
            <w:r w:rsidRPr="00EF1540">
              <w:t xml:space="preserve"> визначається за формулою:</w:t>
            </w:r>
          </w:p>
          <w:tbl>
            <w:tblPr>
              <w:tblW w:w="5000" w:type="pct"/>
              <w:tblCellSpacing w:w="0" w:type="dxa"/>
              <w:tblCellMar>
                <w:left w:w="0" w:type="dxa"/>
                <w:right w:w="0" w:type="dxa"/>
              </w:tblCellMar>
              <w:tblLook w:val="04A0" w:firstRow="1" w:lastRow="0" w:firstColumn="1" w:lastColumn="0" w:noHBand="0" w:noVBand="1"/>
            </w:tblPr>
            <w:tblGrid>
              <w:gridCol w:w="420"/>
              <w:gridCol w:w="1360"/>
              <w:gridCol w:w="165"/>
              <w:gridCol w:w="5769"/>
              <w:gridCol w:w="474"/>
            </w:tblGrid>
            <w:tr w:rsidR="00EF1540" w:rsidRPr="00EF1540" w:rsidTr="00BF07B9">
              <w:trPr>
                <w:tblCellSpacing w:w="0" w:type="dxa"/>
              </w:trPr>
              <w:tc>
                <w:tcPr>
                  <w:tcW w:w="12120" w:type="dxa"/>
                  <w:gridSpan w:val="4"/>
                  <w:hideMark/>
                </w:tcPr>
                <w:p w:rsidR="004601A2" w:rsidRPr="00EF1540" w:rsidRDefault="004601A2" w:rsidP="004601A2">
                  <w:pPr>
                    <w:pStyle w:val="rvps12"/>
                  </w:pPr>
                  <w:bookmarkStart w:id="75" w:name="n293"/>
                  <w:bookmarkEnd w:id="75"/>
                  <w:r w:rsidRPr="00EF1540">
                    <w:rPr>
                      <w:noProof/>
                    </w:rPr>
                    <w:drawing>
                      <wp:inline distT="0" distB="0" distL="0" distR="0" wp14:anchorId="0A433275" wp14:editId="4EF35F16">
                        <wp:extent cx="3765550" cy="381000"/>
                        <wp:effectExtent l="0" t="0" r="6350" b="0"/>
                        <wp:docPr id="32" name="Рисунок 32" descr="https://zakon.rada.gov.ua/laws/file/imgs/98/p480243n293-45.gif">
                          <a:hlinkClick xmlns:a="http://schemas.openxmlformats.org/drawingml/2006/main" r:id="rId1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98/p480243n293-45.gif">
                                  <a:hlinkClick r:id="rId139"/>
                                </pic:cNvPr>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3765550" cy="381000"/>
                                </a:xfrm>
                                <a:prstGeom prst="rect">
                                  <a:avLst/>
                                </a:prstGeom>
                                <a:noFill/>
                                <a:ln>
                                  <a:noFill/>
                                </a:ln>
                              </pic:spPr>
                            </pic:pic>
                          </a:graphicData>
                        </a:graphic>
                      </wp:inline>
                    </w:drawing>
                  </w:r>
                </w:p>
              </w:tc>
              <w:tc>
                <w:tcPr>
                  <w:tcW w:w="690" w:type="dxa"/>
                  <w:vAlign w:val="center"/>
                  <w:hideMark/>
                </w:tcPr>
                <w:p w:rsidR="004601A2" w:rsidRPr="00EF1540" w:rsidRDefault="004601A2" w:rsidP="004601A2">
                  <w:pPr>
                    <w:pStyle w:val="rvps11"/>
                  </w:pPr>
                  <w:r w:rsidRPr="00EF1540">
                    <w:t>(14)</w:t>
                  </w:r>
                </w:p>
              </w:tc>
            </w:tr>
            <w:tr w:rsidR="00EF1540" w:rsidRPr="00EF1540" w:rsidTr="00BF07B9">
              <w:tblPrEx>
                <w:tblCellSpacing w:w="0" w:type="nil"/>
                <w:tblCellMar>
                  <w:top w:w="15" w:type="dxa"/>
                  <w:left w:w="15" w:type="dxa"/>
                  <w:bottom w:w="15" w:type="dxa"/>
                  <w:right w:w="15" w:type="dxa"/>
                </w:tblCellMar>
              </w:tblPrEx>
              <w:tc>
                <w:tcPr>
                  <w:tcW w:w="420" w:type="dxa"/>
                  <w:hideMark/>
                </w:tcPr>
                <w:p w:rsidR="004601A2" w:rsidRPr="00EF1540" w:rsidRDefault="004601A2" w:rsidP="004601A2">
                  <w:pPr>
                    <w:pStyle w:val="rvps14"/>
                  </w:pPr>
                  <w:bookmarkStart w:id="76" w:name="n294"/>
                  <w:bookmarkEnd w:id="76"/>
                  <w:r w:rsidRPr="00EF1540">
                    <w:t>де</w:t>
                  </w:r>
                </w:p>
              </w:tc>
              <w:tc>
                <w:tcPr>
                  <w:tcW w:w="600" w:type="dxa"/>
                  <w:hideMark/>
                </w:tcPr>
                <w:p w:rsidR="004601A2" w:rsidRPr="00EF1540" w:rsidRDefault="004601A2" w:rsidP="004601A2">
                  <w:pPr>
                    <w:pStyle w:val="rvps14"/>
                  </w:pPr>
                  <w:r w:rsidRPr="00EF1540">
                    <w:rPr>
                      <w:noProof/>
                    </w:rPr>
                    <w:drawing>
                      <wp:inline distT="0" distB="0" distL="0" distR="0" wp14:anchorId="6993ABC0" wp14:editId="6130E001">
                        <wp:extent cx="527050" cy="209550"/>
                        <wp:effectExtent l="0" t="0" r="6350" b="0"/>
                        <wp:docPr id="31" name="Рисунок 31" descr="https://zakon.rada.gov.ua/laws/file/imgs/98/p480243n294v1-46.gif">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zakon.rada.gov.ua/laws/file/imgs/98/p480243n294v1-46.gif">
                                  <a:hlinkClick r:id="rId141"/>
                                </pic:cNvPr>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527050" cy="209550"/>
                                </a:xfrm>
                                <a:prstGeom prst="rect">
                                  <a:avLst/>
                                </a:prstGeom>
                                <a:noFill/>
                                <a:ln>
                                  <a:noFill/>
                                </a:ln>
                              </pic:spPr>
                            </pic:pic>
                          </a:graphicData>
                        </a:graphic>
                      </wp:inline>
                    </w:drawing>
                  </w:r>
                </w:p>
              </w:tc>
              <w:tc>
                <w:tcPr>
                  <w:tcW w:w="165" w:type="dxa"/>
                  <w:hideMark/>
                </w:tcPr>
                <w:p w:rsidR="004601A2" w:rsidRPr="00EF1540" w:rsidRDefault="004601A2" w:rsidP="004601A2">
                  <w:pPr>
                    <w:pStyle w:val="rvps12"/>
                  </w:pPr>
                  <w:r w:rsidRPr="00EF1540">
                    <w:t>-</w:t>
                  </w:r>
                </w:p>
              </w:tc>
              <w:tc>
                <w:tcPr>
                  <w:tcW w:w="7965" w:type="dxa"/>
                  <w:gridSpan w:val="2"/>
                  <w:hideMark/>
                </w:tcPr>
                <w:p w:rsidR="004601A2" w:rsidRPr="00EF1540" w:rsidRDefault="004601A2" w:rsidP="00335B22">
                  <w:pPr>
                    <w:pStyle w:val="rvps14"/>
                    <w:jc w:val="both"/>
                  </w:pPr>
                  <w:r w:rsidRPr="00EF1540">
                    <w:t xml:space="preserve">сума коштів, що надійшли як плата за нестандартне приєднання (за об'єктами замовників, приєднання яких завершено у базовому періоді), (сумарне значення за рядками графи 25 </w:t>
                  </w:r>
                  <w:hyperlink r:id="rId143" w:anchor="n146" w:history="1">
                    <w:r w:rsidRPr="00EF1540">
                      <w:rPr>
                        <w:rStyle w:val="a4"/>
                        <w:color w:val="auto"/>
                        <w:u w:val="none"/>
                      </w:rPr>
                      <w:t>додатка 1</w:t>
                    </w:r>
                  </w:hyperlink>
                  <w:r w:rsidRPr="00EF1540">
                    <w:t xml:space="preserve"> до цієї Методики), тис. грн (без ПДВ);</w:t>
                  </w:r>
                </w:p>
              </w:tc>
            </w:tr>
            <w:tr w:rsidR="00EF1540" w:rsidRPr="00EF1540" w:rsidTr="00BF07B9">
              <w:tblPrEx>
                <w:tblCellSpacing w:w="0" w:type="nil"/>
                <w:tblCellMar>
                  <w:top w:w="15" w:type="dxa"/>
                  <w:left w:w="15" w:type="dxa"/>
                  <w:bottom w:w="15" w:type="dxa"/>
                  <w:right w:w="15" w:type="dxa"/>
                </w:tblCellMar>
              </w:tblPrEx>
              <w:tc>
                <w:tcPr>
                  <w:tcW w:w="9150" w:type="dxa"/>
                  <w:gridSpan w:val="5"/>
                  <w:hideMark/>
                </w:tcPr>
                <w:p w:rsidR="004601A2" w:rsidRPr="00EF1540" w:rsidRDefault="004601A2" w:rsidP="004601A2">
                  <w:pPr>
                    <w:pStyle w:val="rvps2"/>
                  </w:pPr>
                </w:p>
              </w:tc>
            </w:tr>
            <w:tr w:rsidR="00EF1540" w:rsidRPr="00EF1540" w:rsidTr="00BF07B9">
              <w:tblPrEx>
                <w:tblCellSpacing w:w="0" w:type="nil"/>
                <w:tblCellMar>
                  <w:top w:w="15" w:type="dxa"/>
                  <w:left w:w="15" w:type="dxa"/>
                  <w:bottom w:w="15" w:type="dxa"/>
                  <w:right w:w="15" w:type="dxa"/>
                </w:tblCellMar>
              </w:tblPrEx>
              <w:tc>
                <w:tcPr>
                  <w:tcW w:w="420" w:type="dxa"/>
                  <w:hideMark/>
                </w:tcPr>
                <w:p w:rsidR="004601A2" w:rsidRPr="00EF1540" w:rsidRDefault="004601A2" w:rsidP="004601A2">
                  <w:pPr>
                    <w:pStyle w:val="rvps14"/>
                  </w:pPr>
                </w:p>
              </w:tc>
              <w:tc>
                <w:tcPr>
                  <w:tcW w:w="600" w:type="dxa"/>
                  <w:hideMark/>
                </w:tcPr>
                <w:p w:rsidR="004601A2" w:rsidRPr="00EF1540" w:rsidRDefault="004601A2" w:rsidP="004601A2">
                  <w:pPr>
                    <w:pStyle w:val="rvps14"/>
                  </w:pPr>
                  <w:r w:rsidRPr="00EF1540">
                    <w:rPr>
                      <w:noProof/>
                    </w:rPr>
                    <w:drawing>
                      <wp:inline distT="0" distB="0" distL="0" distR="0" wp14:anchorId="2B0E7ED9" wp14:editId="662527AB">
                        <wp:extent cx="844550" cy="241300"/>
                        <wp:effectExtent l="0" t="0" r="0" b="6350"/>
                        <wp:docPr id="30" name="Рисунок 30" descr="https://zakon.rada.gov.ua/laws/file/imgs/98/p480243n294v1-47.gif">
                          <a:hlinkClick xmlns:a="http://schemas.openxmlformats.org/drawingml/2006/main" r:id="rId1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akon.rada.gov.ua/laws/file/imgs/98/p480243n294v1-47.gif">
                                  <a:hlinkClick r:id="rId144"/>
                                </pic:cNvPr>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844550" cy="241300"/>
                                </a:xfrm>
                                <a:prstGeom prst="rect">
                                  <a:avLst/>
                                </a:prstGeom>
                                <a:noFill/>
                                <a:ln>
                                  <a:noFill/>
                                </a:ln>
                              </pic:spPr>
                            </pic:pic>
                          </a:graphicData>
                        </a:graphic>
                      </wp:inline>
                    </w:drawing>
                  </w:r>
                </w:p>
              </w:tc>
              <w:tc>
                <w:tcPr>
                  <w:tcW w:w="165" w:type="dxa"/>
                  <w:hideMark/>
                </w:tcPr>
                <w:p w:rsidR="004601A2" w:rsidRPr="00EF1540" w:rsidRDefault="004601A2" w:rsidP="004601A2">
                  <w:pPr>
                    <w:pStyle w:val="rvps12"/>
                  </w:pPr>
                  <w:r w:rsidRPr="00EF1540">
                    <w:t>-</w:t>
                  </w:r>
                </w:p>
              </w:tc>
              <w:tc>
                <w:tcPr>
                  <w:tcW w:w="7965" w:type="dxa"/>
                  <w:gridSpan w:val="2"/>
                  <w:hideMark/>
                </w:tcPr>
                <w:p w:rsidR="004601A2" w:rsidRPr="00EF1540" w:rsidRDefault="004601A2" w:rsidP="00335B22">
                  <w:pPr>
                    <w:pStyle w:val="rvps14"/>
                    <w:jc w:val="both"/>
                  </w:pPr>
                  <w:r w:rsidRPr="00EF1540">
                    <w:t xml:space="preserve">сума фактичних капітальних витрат, понесених під час надання послуг з нестандартних приєднань (за об'єктами замовників, приєднання яких завершено у базовому періоді) та підтверджених актами виконаних робіт, (сумарне значення за рядками графи 80 </w:t>
                  </w:r>
                  <w:hyperlink r:id="rId146" w:anchor="n146" w:history="1">
                    <w:r w:rsidRPr="00EF1540">
                      <w:rPr>
                        <w:rStyle w:val="a4"/>
                        <w:color w:val="auto"/>
                        <w:u w:val="none"/>
                      </w:rPr>
                      <w:t>додатка 1</w:t>
                    </w:r>
                  </w:hyperlink>
                  <w:r w:rsidRPr="00EF1540">
                    <w:t xml:space="preserve"> до цієї Методики), тис. грн (без ПДВ).</w:t>
                  </w:r>
                </w:p>
              </w:tc>
            </w:tr>
          </w:tbl>
          <w:p w:rsidR="004601A2" w:rsidRPr="00EF1540" w:rsidRDefault="004601A2" w:rsidP="004601A2">
            <w:pPr>
              <w:pStyle w:val="rvps2"/>
              <w:shd w:val="clear" w:color="auto" w:fill="FFFFFF"/>
              <w:spacing w:before="0" w:beforeAutospacing="0" w:after="0" w:afterAutospacing="0"/>
              <w:ind w:firstLine="448"/>
              <w:jc w:val="both"/>
            </w:pPr>
          </w:p>
          <w:p w:rsidR="004601A2" w:rsidRPr="00EF1540" w:rsidRDefault="004601A2" w:rsidP="004601A2">
            <w:pPr>
              <w:pStyle w:val="rvps2"/>
              <w:shd w:val="clear" w:color="auto" w:fill="FFFFFF"/>
              <w:spacing w:before="0" w:beforeAutospacing="0" w:after="0" w:afterAutospacing="0"/>
              <w:ind w:firstLine="448"/>
              <w:jc w:val="both"/>
            </w:pPr>
          </w:p>
          <w:p w:rsidR="004601A2" w:rsidRPr="00EF1540" w:rsidRDefault="004601A2" w:rsidP="004601A2">
            <w:pPr>
              <w:pStyle w:val="rvps2"/>
              <w:shd w:val="clear" w:color="auto" w:fill="FFFFFF"/>
              <w:spacing w:before="0" w:beforeAutospacing="0" w:after="0" w:afterAutospacing="0"/>
              <w:ind w:firstLine="448"/>
              <w:jc w:val="both"/>
            </w:pPr>
          </w:p>
          <w:p w:rsidR="004601A2" w:rsidRPr="00EF1540" w:rsidRDefault="004601A2" w:rsidP="004601A2">
            <w:pPr>
              <w:pStyle w:val="rvps2"/>
              <w:shd w:val="clear" w:color="auto" w:fill="FFFFFF"/>
              <w:spacing w:before="0" w:beforeAutospacing="0" w:after="0" w:afterAutospacing="0"/>
              <w:ind w:firstLine="448"/>
              <w:jc w:val="both"/>
            </w:pPr>
          </w:p>
          <w:p w:rsidR="004601A2" w:rsidRPr="00EF1540" w:rsidRDefault="004601A2" w:rsidP="004601A2">
            <w:pPr>
              <w:pStyle w:val="rvps2"/>
              <w:shd w:val="clear" w:color="auto" w:fill="FFFFFF"/>
              <w:spacing w:before="0" w:beforeAutospacing="0" w:after="0" w:afterAutospacing="0"/>
              <w:ind w:firstLine="448"/>
              <w:jc w:val="both"/>
            </w:pPr>
          </w:p>
        </w:tc>
        <w:tc>
          <w:tcPr>
            <w:tcW w:w="7146" w:type="dxa"/>
          </w:tcPr>
          <w:p w:rsidR="004601A2" w:rsidRPr="00EF1540" w:rsidRDefault="004601A2" w:rsidP="004601A2">
            <w:pPr>
              <w:pStyle w:val="rvps2"/>
              <w:ind w:firstLine="599"/>
              <w:jc w:val="both"/>
            </w:pPr>
            <w:r w:rsidRPr="00EF1540">
              <w:lastRenderedPageBreak/>
              <w:t xml:space="preserve">5.6. Різниця між обсягом надходження коштів від надання послуг з нестандартних приєднань та фактичними витратами на приєднання </w:t>
            </w:r>
            <w:proofErr w:type="spellStart"/>
            <w:r w:rsidRPr="00EF1540">
              <w:rPr>
                <w:rStyle w:val="rvts80"/>
              </w:rPr>
              <w:t>Δ</w:t>
            </w:r>
            <w:r w:rsidRPr="00EF1540">
              <w:rPr>
                <w:rStyle w:val="rvts40"/>
              </w:rPr>
              <w:t>Внст</w:t>
            </w:r>
            <w:proofErr w:type="spellEnd"/>
            <w:r w:rsidRPr="00EF1540">
              <w:t xml:space="preserve"> визначається за формулою:</w:t>
            </w:r>
          </w:p>
          <w:p w:rsidR="004601A2" w:rsidRPr="00EF1540" w:rsidRDefault="00647D68" w:rsidP="004601A2">
            <w:pPr>
              <w:pStyle w:val="rvps2"/>
              <w:ind w:firstLine="599"/>
              <w:jc w:val="both"/>
            </w:pPr>
            <m:oMath>
              <m:sSub>
                <m:sSubPr>
                  <m:ctrlPr>
                    <w:rPr>
                      <w:rFonts w:ascii="Cambria Math" w:hAnsi="Cambria Math"/>
                      <w:b/>
                    </w:rPr>
                  </m:ctrlPr>
                </m:sSubPr>
                <m:e>
                  <m:r>
                    <m:rPr>
                      <m:sty m:val="bi"/>
                    </m:rPr>
                    <w:rPr>
                      <w:rFonts w:ascii="Cambria Math" w:hAnsi="Cambria Math"/>
                    </w:rPr>
                    <m:t>∆</m:t>
                  </m:r>
                </m:e>
                <m:sub>
                  <m:sSub>
                    <m:sSubPr>
                      <m:ctrlPr>
                        <w:rPr>
                          <w:rFonts w:ascii="Cambria Math" w:hAnsi="Cambria Math"/>
                          <w:b/>
                          <w:i/>
                        </w:rPr>
                      </m:ctrlPr>
                    </m:sSubPr>
                    <m:e>
                      <m:r>
                        <m:rPr>
                          <m:sty m:val="bi"/>
                        </m:rPr>
                        <w:rPr>
                          <w:rFonts w:ascii="Cambria Math" w:hAnsi="Cambria Math"/>
                        </w:rPr>
                        <m:t>В</m:t>
                      </m:r>
                    </m:e>
                    <m:sub>
                      <m:r>
                        <m:rPr>
                          <m:sty m:val="bi"/>
                        </m:rPr>
                        <w:rPr>
                          <w:rFonts w:ascii="Cambria Math" w:hAnsi="Cambria Math"/>
                        </w:rPr>
                        <m:t>нст</m:t>
                      </m:r>
                    </m:sub>
                  </m:sSub>
                </m:sub>
              </m:sSub>
              <m:r>
                <m:rPr>
                  <m:sty m:val="bi"/>
                </m:rPr>
                <w:rPr>
                  <w:rFonts w:ascii="Cambria Math" w:hAnsi="Cambria Math"/>
                </w:rPr>
                <m:t>=</m:t>
              </m:r>
              <m:nary>
                <m:naryPr>
                  <m:chr m:val="∑"/>
                  <m:limLoc m:val="subSup"/>
                  <m:supHide m:val="1"/>
                  <m:ctrlPr>
                    <w:rPr>
                      <w:rFonts w:ascii="Cambria Math" w:hAnsi="Cambria Math"/>
                      <w:b/>
                      <w:i/>
                    </w:rPr>
                  </m:ctrlPr>
                </m:naryPr>
                <m:sub>
                  <m:r>
                    <m:rPr>
                      <m:sty m:val="bi"/>
                    </m:rPr>
                    <w:rPr>
                      <w:rFonts w:ascii="Cambria Math" w:hAnsi="Cambria Math"/>
                    </w:rPr>
                    <m:t>і</m:t>
                  </m:r>
                </m:sub>
                <m:sup/>
                <m:e>
                  <m:sSubSup>
                    <m:sSubSupPr>
                      <m:ctrlPr>
                        <w:rPr>
                          <w:rFonts w:ascii="Cambria Math" w:hAnsi="Cambria Math"/>
                          <w:b/>
                          <w:i/>
                        </w:rPr>
                      </m:ctrlPr>
                    </m:sSubSupPr>
                    <m:e>
                      <m:r>
                        <m:rPr>
                          <m:sty m:val="bi"/>
                        </m:rPr>
                        <w:rPr>
                          <w:rFonts w:ascii="Cambria Math" w:hAnsi="Cambria Math"/>
                        </w:rPr>
                        <m:t>П</m:t>
                      </m:r>
                    </m:e>
                    <m:sub>
                      <m:r>
                        <m:rPr>
                          <m:sty m:val="bi"/>
                        </m:rPr>
                        <w:rPr>
                          <w:rFonts w:ascii="Cambria Math" w:hAnsi="Cambria Math"/>
                        </w:rPr>
                        <m:t>і</m:t>
                      </m:r>
                    </m:sub>
                    <m:sup>
                      <m:r>
                        <m:rPr>
                          <m:sty m:val="bi"/>
                        </m:rPr>
                        <w:rPr>
                          <w:rFonts w:ascii="Cambria Math" w:hAnsi="Cambria Math"/>
                        </w:rPr>
                        <m:t>нст</m:t>
                      </m:r>
                    </m:sup>
                  </m:sSubSup>
                </m:e>
              </m:nary>
              <m:r>
                <m:rPr>
                  <m:sty m:val="bi"/>
                </m:rPr>
                <w:rPr>
                  <w:rFonts w:ascii="Cambria Math" w:hAnsi="Cambria Math"/>
                </w:rPr>
                <m:t>-</m:t>
              </m:r>
              <m:nary>
                <m:naryPr>
                  <m:chr m:val="∑"/>
                  <m:limLoc m:val="subSup"/>
                  <m:supHide m:val="1"/>
                  <m:ctrlPr>
                    <w:rPr>
                      <w:rFonts w:ascii="Cambria Math" w:hAnsi="Cambria Math"/>
                      <w:b/>
                      <w:i/>
                    </w:rPr>
                  </m:ctrlPr>
                </m:naryPr>
                <m:sub>
                  <m:r>
                    <m:rPr>
                      <m:sty m:val="bi"/>
                    </m:rPr>
                    <w:rPr>
                      <w:rFonts w:ascii="Cambria Math" w:hAnsi="Cambria Math"/>
                    </w:rPr>
                    <m:t>і</m:t>
                  </m:r>
                </m:sub>
                <m:sup/>
                <m:e>
                  <m:sSubSup>
                    <m:sSubSupPr>
                      <m:ctrlPr>
                        <w:rPr>
                          <w:rFonts w:ascii="Cambria Math" w:hAnsi="Cambria Math"/>
                          <w:b/>
                          <w:i/>
                        </w:rPr>
                      </m:ctrlPr>
                    </m:sSubSupPr>
                    <m:e>
                      <m:r>
                        <m:rPr>
                          <m:sty m:val="bi"/>
                        </m:rPr>
                        <w:rPr>
                          <w:rFonts w:ascii="Cambria Math" w:hAnsi="Cambria Math"/>
                        </w:rPr>
                        <m:t>В</m:t>
                      </m:r>
                    </m:e>
                    <m:sub>
                      <m:sSub>
                        <m:sSubPr>
                          <m:ctrlPr>
                            <w:rPr>
                              <w:rFonts w:ascii="Cambria Math" w:hAnsi="Cambria Math"/>
                              <w:b/>
                              <w:i/>
                            </w:rPr>
                          </m:ctrlPr>
                        </m:sSubPr>
                        <m:e>
                          <m:r>
                            <m:rPr>
                              <m:sty m:val="bi"/>
                            </m:rPr>
                            <w:rPr>
                              <w:rFonts w:ascii="Cambria Math" w:hAnsi="Cambria Math"/>
                            </w:rPr>
                            <m:t>факт.кап</m:t>
                          </m:r>
                        </m:e>
                        <m:sub>
                          <m:r>
                            <m:rPr>
                              <m:sty m:val="bi"/>
                            </m:rPr>
                            <w:rPr>
                              <w:rFonts w:ascii="Cambria Math" w:hAnsi="Cambria Math"/>
                            </w:rPr>
                            <m:t>і</m:t>
                          </m:r>
                        </m:sub>
                      </m:sSub>
                    </m:sub>
                    <m:sup>
                      <m:r>
                        <m:rPr>
                          <m:sty m:val="bi"/>
                        </m:rPr>
                        <w:rPr>
                          <w:rFonts w:ascii="Cambria Math" w:hAnsi="Cambria Math"/>
                        </w:rPr>
                        <m:t>нст</m:t>
                      </m:r>
                    </m:sup>
                  </m:sSubSup>
                </m:e>
              </m:nary>
              <m:r>
                <m:rPr>
                  <m:sty m:val="bi"/>
                </m:rPr>
                <w:rPr>
                  <w:rFonts w:ascii="Cambria Math" w:hAnsi="Cambria Math"/>
                </w:rPr>
                <m:t>×(</m:t>
              </m:r>
              <m:sSubSup>
                <m:sSubSupPr>
                  <m:ctrlPr>
                    <w:rPr>
                      <w:rFonts w:ascii="Cambria Math" w:hAnsi="Cambria Math"/>
                      <w:b/>
                      <w:i/>
                    </w:rPr>
                  </m:ctrlPr>
                </m:sSubSupPr>
                <m:e>
                  <m:r>
                    <m:rPr>
                      <m:sty m:val="bi"/>
                    </m:rPr>
                    <w:rPr>
                      <w:rFonts w:ascii="Cambria Math" w:hAnsi="Cambria Math"/>
                    </w:rPr>
                    <m:t>К</m:t>
                  </m:r>
                </m:e>
                <m:sub>
                  <m:sSub>
                    <m:sSubPr>
                      <m:ctrlPr>
                        <w:rPr>
                          <w:rFonts w:ascii="Cambria Math" w:hAnsi="Cambria Math"/>
                          <w:b/>
                          <w:i/>
                        </w:rPr>
                      </m:ctrlPr>
                    </m:sSubPr>
                    <m:e>
                      <m:r>
                        <m:rPr>
                          <m:sty m:val="bi"/>
                        </m:rPr>
                        <w:rPr>
                          <w:rFonts w:ascii="Cambria Math" w:hAnsi="Cambria Math"/>
                        </w:rPr>
                        <m:t>опт</m:t>
                      </m:r>
                    </m:e>
                    <m:sub>
                      <m:r>
                        <m:rPr>
                          <m:sty m:val="bi"/>
                        </m:rPr>
                        <w:rPr>
                          <w:rFonts w:ascii="Cambria Math" w:hAnsi="Cambria Math"/>
                        </w:rPr>
                        <m:t>нст</m:t>
                      </m:r>
                    </m:sub>
                  </m:sSub>
                </m:sub>
                <m:sup/>
              </m:sSubSup>
              <m:sSub>
                <m:sSubPr>
                  <m:ctrlPr>
                    <w:rPr>
                      <w:rFonts w:ascii="Cambria Math" w:hAnsi="Cambria Math"/>
                    </w:rPr>
                  </m:ctrlPr>
                </m:sSubPr>
                <m:e>
                  <m:r>
                    <m:rPr>
                      <m:sty m:val="p"/>
                    </m:rPr>
                    <w:rPr>
                      <w:rFonts w:ascii="Cambria Math" w:hAnsi="Cambria Math"/>
                    </w:rPr>
                    <m:t xml:space="preserve"> - К</m:t>
                  </m:r>
                </m:e>
                <m:sub>
                  <m:r>
                    <m:rPr>
                      <m:sty m:val="p"/>
                    </m:rPr>
                    <w:rPr>
                      <w:rFonts w:ascii="Cambria Math" w:hAnsi="Cambria Math"/>
                    </w:rPr>
                    <m:t>ДД</m:t>
                  </m:r>
                </m:sub>
              </m:sSub>
              <m:r>
                <m:rPr>
                  <m:sty m:val="bi"/>
                </m:rPr>
                <w:rPr>
                  <w:rFonts w:ascii="Cambria Math" w:hAnsi="Cambria Math"/>
                </w:rPr>
                <m:t>), тис грн</m:t>
              </m:r>
            </m:oMath>
            <w:r w:rsidR="004601A2" w:rsidRPr="00EF1540">
              <w:rPr>
                <w:b/>
              </w:rPr>
              <w:t xml:space="preserve"> </w:t>
            </w:r>
            <w:r w:rsidR="004601A2" w:rsidRPr="00EF1540">
              <w:t>(</w:t>
            </w:r>
            <w:r w:rsidR="004601A2" w:rsidRPr="00EF1540">
              <w:rPr>
                <w:b/>
              </w:rPr>
              <w:t>1</w:t>
            </w:r>
            <w:r w:rsidR="006E27EA" w:rsidRPr="00EF1540">
              <w:rPr>
                <w:b/>
              </w:rPr>
              <w:t>1</w:t>
            </w:r>
            <w:r w:rsidR="004601A2" w:rsidRPr="00EF1540">
              <w:t>)</w:t>
            </w:r>
          </w:p>
          <w:tbl>
            <w:tblPr>
              <w:tblW w:w="5000" w:type="pct"/>
              <w:tblCellMar>
                <w:top w:w="15" w:type="dxa"/>
                <w:left w:w="15" w:type="dxa"/>
                <w:bottom w:w="15" w:type="dxa"/>
                <w:right w:w="15" w:type="dxa"/>
              </w:tblCellMar>
              <w:tblLook w:val="04A0" w:firstRow="1" w:lastRow="0" w:firstColumn="1" w:lastColumn="0" w:noHBand="0" w:noVBand="1"/>
            </w:tblPr>
            <w:tblGrid>
              <w:gridCol w:w="318"/>
              <w:gridCol w:w="1440"/>
              <w:gridCol w:w="130"/>
              <w:gridCol w:w="5369"/>
            </w:tblGrid>
            <w:tr w:rsidR="00EF1540" w:rsidRPr="00EF1540" w:rsidTr="00F27E65">
              <w:tc>
                <w:tcPr>
                  <w:tcW w:w="328" w:type="dxa"/>
                  <w:hideMark/>
                </w:tcPr>
                <w:p w:rsidR="004601A2" w:rsidRPr="00EF1540" w:rsidRDefault="004601A2" w:rsidP="004601A2">
                  <w:pPr>
                    <w:pStyle w:val="rvps14"/>
                  </w:pPr>
                  <w:r w:rsidRPr="00EF1540">
                    <w:t>де</w:t>
                  </w:r>
                </w:p>
              </w:tc>
              <w:tc>
                <w:tcPr>
                  <w:tcW w:w="1360" w:type="dxa"/>
                  <w:hideMark/>
                </w:tcPr>
                <w:p w:rsidR="004601A2" w:rsidRPr="00EF1540" w:rsidRDefault="004601A2" w:rsidP="004601A2">
                  <w:pPr>
                    <w:pStyle w:val="rvps14"/>
                  </w:pPr>
                  <w:r w:rsidRPr="00EF1540">
                    <w:rPr>
                      <w:noProof/>
                    </w:rPr>
                    <w:drawing>
                      <wp:inline distT="0" distB="0" distL="0" distR="0" wp14:anchorId="3A6FA6FC" wp14:editId="6865DF8C">
                        <wp:extent cx="527050" cy="209550"/>
                        <wp:effectExtent l="0" t="0" r="6350" b="0"/>
                        <wp:docPr id="34" name="Рисунок 34" descr="https://zakon.rada.gov.ua/laws/file/imgs/98/p480243n294v1-46.gif">
                          <a:hlinkClick xmlns:a="http://schemas.openxmlformats.org/drawingml/2006/main" r:id="rId1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zakon.rada.gov.ua/laws/file/imgs/98/p480243n294v1-46.gif">
                                  <a:hlinkClick r:id="rId141"/>
                                </pic:cNvPr>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0" y="0"/>
                                  <a:ext cx="527050" cy="209550"/>
                                </a:xfrm>
                                <a:prstGeom prst="rect">
                                  <a:avLst/>
                                </a:prstGeom>
                                <a:noFill/>
                                <a:ln>
                                  <a:noFill/>
                                </a:ln>
                              </pic:spPr>
                            </pic:pic>
                          </a:graphicData>
                        </a:graphic>
                      </wp:inline>
                    </w:drawing>
                  </w:r>
                </w:p>
              </w:tc>
              <w:tc>
                <w:tcPr>
                  <w:tcW w:w="133" w:type="dxa"/>
                  <w:hideMark/>
                </w:tcPr>
                <w:p w:rsidR="004601A2" w:rsidRPr="00EF1540" w:rsidRDefault="004601A2" w:rsidP="004601A2">
                  <w:pPr>
                    <w:pStyle w:val="rvps12"/>
                  </w:pPr>
                  <w:r w:rsidRPr="00EF1540">
                    <w:t>-</w:t>
                  </w:r>
                </w:p>
              </w:tc>
              <w:tc>
                <w:tcPr>
                  <w:tcW w:w="5828" w:type="dxa"/>
                  <w:hideMark/>
                </w:tcPr>
                <w:p w:rsidR="004601A2" w:rsidRPr="00EF1540" w:rsidRDefault="004601A2" w:rsidP="004601A2">
                  <w:pPr>
                    <w:pStyle w:val="rvps14"/>
                    <w:jc w:val="both"/>
                  </w:pPr>
                  <w:bookmarkStart w:id="77" w:name="_Hlk161127013"/>
                  <w:r w:rsidRPr="00EF1540">
                    <w:t xml:space="preserve">сума коштів, що надійшли як плата за нестандартне приєднання (за об'єктами замовників, приєднання яких завершено у базовому періоді), (сумарне значення за рядками графи </w:t>
                  </w:r>
                  <w:r w:rsidRPr="00EF1540">
                    <w:rPr>
                      <w:b/>
                    </w:rPr>
                    <w:t>27</w:t>
                  </w:r>
                  <w:r w:rsidRPr="00EF1540">
                    <w:t xml:space="preserve"> </w:t>
                  </w:r>
                  <w:hyperlink r:id="rId147" w:anchor="n146" w:history="1">
                    <w:r w:rsidRPr="00EF1540">
                      <w:rPr>
                        <w:rStyle w:val="a4"/>
                        <w:color w:val="auto"/>
                        <w:u w:val="none"/>
                      </w:rPr>
                      <w:t>додатка 1</w:t>
                    </w:r>
                  </w:hyperlink>
                  <w:r w:rsidRPr="00EF1540">
                    <w:t xml:space="preserve"> до цієї Методики), тис. грн (без ПДВ);</w:t>
                  </w:r>
                  <w:bookmarkEnd w:id="77"/>
                </w:p>
              </w:tc>
            </w:tr>
            <w:tr w:rsidR="00EF1540" w:rsidRPr="00EF1540" w:rsidTr="00F27E65">
              <w:tc>
                <w:tcPr>
                  <w:tcW w:w="328" w:type="dxa"/>
                  <w:hideMark/>
                </w:tcPr>
                <w:p w:rsidR="004601A2" w:rsidRPr="00EF1540" w:rsidRDefault="004601A2" w:rsidP="004601A2">
                  <w:pPr>
                    <w:pStyle w:val="rvps14"/>
                  </w:pPr>
                </w:p>
              </w:tc>
              <w:tc>
                <w:tcPr>
                  <w:tcW w:w="1360" w:type="dxa"/>
                  <w:hideMark/>
                </w:tcPr>
                <w:p w:rsidR="004601A2" w:rsidRPr="00EF1540" w:rsidRDefault="004601A2" w:rsidP="004601A2">
                  <w:pPr>
                    <w:pStyle w:val="rvps14"/>
                  </w:pPr>
                  <w:r w:rsidRPr="00EF1540">
                    <w:rPr>
                      <w:noProof/>
                    </w:rPr>
                    <w:drawing>
                      <wp:inline distT="0" distB="0" distL="0" distR="0" wp14:anchorId="273DDB12" wp14:editId="0B0A19E2">
                        <wp:extent cx="844550" cy="241300"/>
                        <wp:effectExtent l="0" t="0" r="0" b="6350"/>
                        <wp:docPr id="35" name="Рисунок 35" descr="https://zakon.rada.gov.ua/laws/file/imgs/98/p480243n294v1-47.gif">
                          <a:hlinkClick xmlns:a="http://schemas.openxmlformats.org/drawingml/2006/main" r:id="rId1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akon.rada.gov.ua/laws/file/imgs/98/p480243n294v1-47.gif">
                                  <a:hlinkClick r:id="rId144"/>
                                </pic:cNvPr>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844550" cy="241300"/>
                                </a:xfrm>
                                <a:prstGeom prst="rect">
                                  <a:avLst/>
                                </a:prstGeom>
                                <a:noFill/>
                                <a:ln>
                                  <a:noFill/>
                                </a:ln>
                              </pic:spPr>
                            </pic:pic>
                          </a:graphicData>
                        </a:graphic>
                      </wp:inline>
                    </w:drawing>
                  </w:r>
                </w:p>
              </w:tc>
              <w:tc>
                <w:tcPr>
                  <w:tcW w:w="133" w:type="dxa"/>
                  <w:hideMark/>
                </w:tcPr>
                <w:p w:rsidR="004601A2" w:rsidRPr="00EF1540" w:rsidRDefault="004601A2" w:rsidP="004601A2">
                  <w:pPr>
                    <w:pStyle w:val="rvps12"/>
                  </w:pPr>
                  <w:r w:rsidRPr="00EF1540">
                    <w:t>-</w:t>
                  </w:r>
                </w:p>
              </w:tc>
              <w:tc>
                <w:tcPr>
                  <w:tcW w:w="5828" w:type="dxa"/>
                  <w:hideMark/>
                </w:tcPr>
                <w:p w:rsidR="004601A2" w:rsidRPr="00EF1540" w:rsidRDefault="004601A2" w:rsidP="004601A2">
                  <w:pPr>
                    <w:pStyle w:val="rvps14"/>
                    <w:jc w:val="both"/>
                  </w:pPr>
                  <w:bookmarkStart w:id="78" w:name="_Hlk161127073"/>
                  <w:r w:rsidRPr="00EF1540">
                    <w:t xml:space="preserve">сума фактичних капітальних витрат, понесених під час надання послуг з нестандартних приєднань (за об'єктами замовників, приєднання яких завершено у базовому періоді) та підтверджених актами виконаних робіт, (сумарне значення за рядками графи </w:t>
                  </w:r>
                  <w:r w:rsidRPr="00EF1540">
                    <w:rPr>
                      <w:b/>
                    </w:rPr>
                    <w:t>101</w:t>
                  </w:r>
                  <w:r w:rsidRPr="00EF1540">
                    <w:t xml:space="preserve"> </w:t>
                  </w:r>
                  <w:hyperlink r:id="rId148" w:anchor="n146" w:history="1">
                    <w:r w:rsidRPr="00EF1540">
                      <w:rPr>
                        <w:rStyle w:val="a4"/>
                        <w:color w:val="auto"/>
                        <w:u w:val="none"/>
                      </w:rPr>
                      <w:t>додатка 1</w:t>
                    </w:r>
                  </w:hyperlink>
                  <w:r w:rsidRPr="00EF1540">
                    <w:t xml:space="preserve"> до цієї Методики), тис. грн (без ПДВ).</w:t>
                  </w:r>
                  <w:bookmarkEnd w:id="78"/>
                </w:p>
              </w:tc>
            </w:tr>
            <w:tr w:rsidR="00EF1540" w:rsidRPr="00EF1540" w:rsidTr="00F27E65">
              <w:tc>
                <w:tcPr>
                  <w:tcW w:w="328" w:type="dxa"/>
                </w:tcPr>
                <w:p w:rsidR="004601A2" w:rsidRPr="00EF1540" w:rsidRDefault="004601A2" w:rsidP="004601A2">
                  <w:pPr>
                    <w:pStyle w:val="rvps14"/>
                  </w:pPr>
                </w:p>
              </w:tc>
              <w:tc>
                <w:tcPr>
                  <w:tcW w:w="1360" w:type="dxa"/>
                </w:tcPr>
                <w:p w:rsidR="004601A2" w:rsidRPr="00EF1540" w:rsidRDefault="004601A2" w:rsidP="004601A2">
                  <w:pPr>
                    <w:pStyle w:val="rvps14"/>
                    <w:rPr>
                      <w:b/>
                    </w:rPr>
                  </w:pPr>
                  <w:r w:rsidRPr="00EF1540">
                    <w:rPr>
                      <w:b/>
                      <w:noProof/>
                    </w:rPr>
                    <w:drawing>
                      <wp:inline distT="0" distB="0" distL="0" distR="0" wp14:anchorId="1D8FAC80" wp14:editId="2BD96339">
                        <wp:extent cx="533400" cy="209550"/>
                        <wp:effectExtent l="0" t="0" r="0" b="0"/>
                        <wp:docPr id="15" name="Рисунок 15" descr="https://zakon.rada.gov.ua/laws/file/imgs/98/p480243n275v1-33.gif">
                          <a:hlinkClick xmlns:a="http://schemas.openxmlformats.org/drawingml/2006/main" r:id="rId1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zakon.rada.gov.ua/laws/file/imgs/98/p480243n275v1-33.gif">
                                  <a:hlinkClick r:id="rId105"/>
                                </pic:cNvPr>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533400" cy="209550"/>
                                </a:xfrm>
                                <a:prstGeom prst="rect">
                                  <a:avLst/>
                                </a:prstGeom>
                                <a:noFill/>
                                <a:ln>
                                  <a:noFill/>
                                </a:ln>
                              </pic:spPr>
                            </pic:pic>
                          </a:graphicData>
                        </a:graphic>
                      </wp:inline>
                    </w:drawing>
                  </w:r>
                </w:p>
              </w:tc>
              <w:tc>
                <w:tcPr>
                  <w:tcW w:w="133" w:type="dxa"/>
                </w:tcPr>
                <w:p w:rsidR="004601A2" w:rsidRPr="00EF1540" w:rsidRDefault="004601A2" w:rsidP="004601A2">
                  <w:pPr>
                    <w:pStyle w:val="rvps12"/>
                    <w:rPr>
                      <w:b/>
                    </w:rPr>
                  </w:pPr>
                  <w:r w:rsidRPr="00EF1540">
                    <w:rPr>
                      <w:b/>
                    </w:rPr>
                    <w:t>-</w:t>
                  </w:r>
                </w:p>
              </w:tc>
              <w:tc>
                <w:tcPr>
                  <w:tcW w:w="5828" w:type="dxa"/>
                </w:tcPr>
                <w:p w:rsidR="004601A2" w:rsidRPr="00EF1540" w:rsidRDefault="001B16A7" w:rsidP="004601A2">
                  <w:pPr>
                    <w:pStyle w:val="rvps14"/>
                    <w:jc w:val="both"/>
                    <w:rPr>
                      <w:b/>
                    </w:rPr>
                  </w:pPr>
                  <w:r w:rsidRPr="001B16A7">
                    <w:rPr>
                      <w:b/>
                    </w:rPr>
                    <w:t xml:space="preserve">коефіцієнт оптимізації коштів щодо витрат, пов'язаних з наданням послуг з нестандартних приєднань електроустановок замовників до </w:t>
                  </w:r>
                  <w:r w:rsidRPr="001B16A7">
                    <w:rPr>
                      <w:b/>
                    </w:rPr>
                    <w:lastRenderedPageBreak/>
                    <w:t>електричних мереж за базовий період, який розраховується за формулою</w:t>
                  </w:r>
                </w:p>
              </w:tc>
            </w:tr>
            <w:tr w:rsidR="00EF1540" w:rsidRPr="00EF1540" w:rsidTr="00C752C3">
              <w:tc>
                <w:tcPr>
                  <w:tcW w:w="328" w:type="dxa"/>
                </w:tcPr>
                <w:p w:rsidR="004601A2" w:rsidRPr="00EF1540" w:rsidRDefault="004601A2" w:rsidP="004601A2">
                  <w:pPr>
                    <w:pStyle w:val="rvps14"/>
                  </w:pPr>
                </w:p>
              </w:tc>
              <w:tc>
                <w:tcPr>
                  <w:tcW w:w="7321" w:type="dxa"/>
                  <w:gridSpan w:val="3"/>
                </w:tcPr>
                <w:p w:rsidR="004601A2" w:rsidRPr="00EF1540" w:rsidRDefault="004601A2" w:rsidP="004601A2">
                  <w:pPr>
                    <w:pStyle w:val="rvps14"/>
                    <w:jc w:val="center"/>
                  </w:pPr>
                  <w:r w:rsidRPr="00EF1540">
                    <w:rPr>
                      <w:noProof/>
                    </w:rPr>
                    <w:drawing>
                      <wp:inline distT="0" distB="0" distL="0" distR="0" wp14:anchorId="4DC04870" wp14:editId="64A7DC82">
                        <wp:extent cx="1816100" cy="552450"/>
                        <wp:effectExtent l="0" t="0" r="0" b="0"/>
                        <wp:docPr id="16" name="Рисунок 16" descr="https://zakon.rada.gov.ua/laws/file/imgs/98/p480243n276-34.gif">
                          <a:hlinkClick xmlns:a="http://schemas.openxmlformats.org/drawingml/2006/main" r:id="rId1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zakon.rada.gov.ua/laws/file/imgs/98/p480243n276-34.gif">
                                  <a:hlinkClick r:id="rId107"/>
                                </pic:cNvPr>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1816100" cy="552450"/>
                                </a:xfrm>
                                <a:prstGeom prst="rect">
                                  <a:avLst/>
                                </a:prstGeom>
                                <a:noFill/>
                                <a:ln>
                                  <a:noFill/>
                                </a:ln>
                              </pic:spPr>
                            </pic:pic>
                          </a:graphicData>
                        </a:graphic>
                      </wp:inline>
                    </w:drawing>
                  </w:r>
                </w:p>
              </w:tc>
            </w:tr>
            <w:tr w:rsidR="00EF1540" w:rsidRPr="00EF1540" w:rsidTr="00F27E65">
              <w:tc>
                <w:tcPr>
                  <w:tcW w:w="328" w:type="dxa"/>
                </w:tcPr>
                <w:p w:rsidR="004601A2" w:rsidRPr="00EF1540" w:rsidRDefault="004601A2" w:rsidP="004601A2">
                  <w:pPr>
                    <w:pStyle w:val="rvps14"/>
                    <w:rPr>
                      <w:b/>
                    </w:rPr>
                  </w:pPr>
                  <w:r w:rsidRPr="00EF1540">
                    <w:rPr>
                      <w:b/>
                    </w:rPr>
                    <w:t>де</w:t>
                  </w:r>
                </w:p>
              </w:tc>
              <w:tc>
                <w:tcPr>
                  <w:tcW w:w="1360" w:type="dxa"/>
                </w:tcPr>
                <w:p w:rsidR="004601A2" w:rsidRPr="00EF1540" w:rsidRDefault="004601A2" w:rsidP="004601A2">
                  <w:pPr>
                    <w:pStyle w:val="rvps14"/>
                    <w:rPr>
                      <w:b/>
                    </w:rPr>
                  </w:pPr>
                  <w:r w:rsidRPr="00EF1540">
                    <w:rPr>
                      <w:b/>
                      <w:noProof/>
                    </w:rPr>
                    <w:drawing>
                      <wp:inline distT="0" distB="0" distL="0" distR="0" wp14:anchorId="16C34FAE" wp14:editId="5DD481A1">
                        <wp:extent cx="869950" cy="285750"/>
                        <wp:effectExtent l="0" t="0" r="6350" b="0"/>
                        <wp:docPr id="17" name="Рисунок 17" descr="https://zakon.rada.gov.ua/laws/file/imgs/98/p480243n277v1-35.gif">
                          <a:hlinkClick xmlns:a="http://schemas.openxmlformats.org/drawingml/2006/main" r:id="rId1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zakon.rada.gov.ua/laws/file/imgs/98/p480243n277v1-35.gif">
                                  <a:hlinkClick r:id="rId109"/>
                                </pic:cNvPr>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869950" cy="285750"/>
                                </a:xfrm>
                                <a:prstGeom prst="rect">
                                  <a:avLst/>
                                </a:prstGeom>
                                <a:noFill/>
                                <a:ln>
                                  <a:noFill/>
                                </a:ln>
                              </pic:spPr>
                            </pic:pic>
                          </a:graphicData>
                        </a:graphic>
                      </wp:inline>
                    </w:drawing>
                  </w:r>
                </w:p>
              </w:tc>
              <w:tc>
                <w:tcPr>
                  <w:tcW w:w="133" w:type="dxa"/>
                </w:tcPr>
                <w:p w:rsidR="004601A2" w:rsidRPr="00EF1540" w:rsidRDefault="004601A2" w:rsidP="004601A2">
                  <w:pPr>
                    <w:pStyle w:val="rvps12"/>
                    <w:rPr>
                      <w:b/>
                    </w:rPr>
                  </w:pPr>
                  <w:r w:rsidRPr="00EF1540">
                    <w:rPr>
                      <w:b/>
                    </w:rPr>
                    <w:t>-</w:t>
                  </w:r>
                </w:p>
              </w:tc>
              <w:tc>
                <w:tcPr>
                  <w:tcW w:w="5828" w:type="dxa"/>
                </w:tcPr>
                <w:p w:rsidR="004601A2" w:rsidRPr="00EF1540" w:rsidRDefault="001B16A7" w:rsidP="004601A2">
                  <w:pPr>
                    <w:pStyle w:val="rvps14"/>
                    <w:jc w:val="both"/>
                    <w:rPr>
                      <w:b/>
                    </w:rPr>
                  </w:pPr>
                  <w:bookmarkStart w:id="79" w:name="_Hlk161127250"/>
                  <w:r w:rsidRPr="001B16A7">
                    <w:rPr>
                      <w:b/>
                    </w:rPr>
                    <w:t>сума фактичних капітальних витрат (без ПДВ), понесених під час надання послуги за j-те нестандартне приєднання (за об'єктами замовників, приєднання яких завершено у базовому періоді), тис. грн (без ПДВ) (з урахуванням результатів аналізу), по яких проводився аналіз відповідно до пункту 4.5 глави 4 цієї Методики</w:t>
                  </w:r>
                  <w:r w:rsidR="004601A2" w:rsidRPr="00EF1540">
                    <w:rPr>
                      <w:b/>
                    </w:rPr>
                    <w:t>;</w:t>
                  </w:r>
                  <w:bookmarkEnd w:id="79"/>
                </w:p>
              </w:tc>
            </w:tr>
            <w:tr w:rsidR="00EF1540" w:rsidRPr="00EF1540" w:rsidTr="00F27E65">
              <w:tc>
                <w:tcPr>
                  <w:tcW w:w="328" w:type="dxa"/>
                </w:tcPr>
                <w:p w:rsidR="004601A2" w:rsidRPr="00EF1540" w:rsidRDefault="004601A2" w:rsidP="004601A2">
                  <w:pPr>
                    <w:pStyle w:val="rvps14"/>
                    <w:rPr>
                      <w:b/>
                    </w:rPr>
                  </w:pPr>
                </w:p>
              </w:tc>
              <w:tc>
                <w:tcPr>
                  <w:tcW w:w="1360" w:type="dxa"/>
                </w:tcPr>
                <w:p w:rsidR="004601A2" w:rsidRPr="00EF1540" w:rsidRDefault="004601A2" w:rsidP="004601A2">
                  <w:pPr>
                    <w:pStyle w:val="rvps14"/>
                    <w:rPr>
                      <w:b/>
                    </w:rPr>
                  </w:pPr>
                  <w:r w:rsidRPr="00EF1540">
                    <w:rPr>
                      <w:b/>
                      <w:noProof/>
                    </w:rPr>
                    <w:drawing>
                      <wp:inline distT="0" distB="0" distL="0" distR="0" wp14:anchorId="3C7DD8E7" wp14:editId="42F6E079">
                        <wp:extent cx="889000" cy="298450"/>
                        <wp:effectExtent l="0" t="0" r="6350" b="6350"/>
                        <wp:docPr id="18" name="Рисунок 18" descr="https://zakon.rada.gov.ua/laws/file/imgs/98/p480243n277v1-36.gif">
                          <a:hlinkClick xmlns:a="http://schemas.openxmlformats.org/drawingml/2006/main" r:id="rId1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zakon.rada.gov.ua/laws/file/imgs/98/p480243n277v1-36.gif">
                                  <a:hlinkClick r:id="rId112"/>
                                </pic:cNvPr>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889000" cy="298450"/>
                                </a:xfrm>
                                <a:prstGeom prst="rect">
                                  <a:avLst/>
                                </a:prstGeom>
                                <a:noFill/>
                                <a:ln>
                                  <a:noFill/>
                                </a:ln>
                              </pic:spPr>
                            </pic:pic>
                          </a:graphicData>
                        </a:graphic>
                      </wp:inline>
                    </w:drawing>
                  </w:r>
                </w:p>
              </w:tc>
              <w:tc>
                <w:tcPr>
                  <w:tcW w:w="133" w:type="dxa"/>
                </w:tcPr>
                <w:p w:rsidR="004601A2" w:rsidRPr="00EF1540" w:rsidRDefault="004601A2" w:rsidP="004601A2">
                  <w:pPr>
                    <w:pStyle w:val="rvps12"/>
                    <w:rPr>
                      <w:b/>
                    </w:rPr>
                  </w:pPr>
                  <w:r w:rsidRPr="00EF1540">
                    <w:rPr>
                      <w:b/>
                    </w:rPr>
                    <w:t>-</w:t>
                  </w:r>
                </w:p>
              </w:tc>
              <w:tc>
                <w:tcPr>
                  <w:tcW w:w="5828" w:type="dxa"/>
                </w:tcPr>
                <w:p w:rsidR="004601A2" w:rsidRPr="00EF1540" w:rsidRDefault="001B16A7" w:rsidP="004601A2">
                  <w:pPr>
                    <w:pStyle w:val="rvps14"/>
                    <w:jc w:val="both"/>
                    <w:rPr>
                      <w:b/>
                    </w:rPr>
                  </w:pPr>
                  <w:bookmarkStart w:id="80" w:name="_Hlk161127263"/>
                  <w:r w:rsidRPr="001B16A7">
                    <w:rPr>
                      <w:b/>
                    </w:rPr>
                    <w:t>сума фактичних капітальних витрат (без ПДВ), понесених під час надання послуги за j-те нестандартне приєднання (за об'єктами замовників, приєднання яких завершено у базовому періоді), тис. грн (без ПДВ) (значення за рядками графи 101 додатка 1 до цієї Методики), по яких проводився аналіз відповідно до пункту 4.5 глави 4 цієї Методики</w:t>
                  </w:r>
                  <w:r w:rsidR="004601A2" w:rsidRPr="00EF1540">
                    <w:rPr>
                      <w:b/>
                    </w:rPr>
                    <w:t>.</w:t>
                  </w:r>
                  <w:bookmarkEnd w:id="80"/>
                </w:p>
              </w:tc>
            </w:tr>
            <w:tr w:rsidR="00EF1540" w:rsidRPr="00EF1540" w:rsidTr="00F27E65">
              <w:tc>
                <w:tcPr>
                  <w:tcW w:w="328" w:type="dxa"/>
                </w:tcPr>
                <w:p w:rsidR="004601A2" w:rsidRPr="00EF1540" w:rsidRDefault="004601A2" w:rsidP="004601A2">
                  <w:pPr>
                    <w:pStyle w:val="rvps14"/>
                  </w:pPr>
                </w:p>
              </w:tc>
              <w:tc>
                <w:tcPr>
                  <w:tcW w:w="1360" w:type="dxa"/>
                </w:tcPr>
                <w:p w:rsidR="004601A2" w:rsidRPr="00EF1540" w:rsidRDefault="004601A2" w:rsidP="004601A2">
                  <w:pPr>
                    <w:pStyle w:val="rvps14"/>
                    <w:rPr>
                      <w:noProof/>
                      <w:vertAlign w:val="subscript"/>
                    </w:rPr>
                  </w:pPr>
                  <w:r w:rsidRPr="00EF1540">
                    <w:rPr>
                      <w:noProof/>
                    </w:rPr>
                    <w:t>К</w:t>
                  </w:r>
                  <w:r w:rsidRPr="00EF1540">
                    <w:rPr>
                      <w:noProof/>
                      <w:vertAlign w:val="subscript"/>
                    </w:rPr>
                    <w:t>ДД</w:t>
                  </w:r>
                </w:p>
              </w:tc>
              <w:tc>
                <w:tcPr>
                  <w:tcW w:w="133" w:type="dxa"/>
                </w:tcPr>
                <w:p w:rsidR="004601A2" w:rsidRPr="00EF1540" w:rsidRDefault="004601A2" w:rsidP="004601A2">
                  <w:pPr>
                    <w:pStyle w:val="rvps12"/>
                  </w:pPr>
                </w:p>
              </w:tc>
              <w:tc>
                <w:tcPr>
                  <w:tcW w:w="5828" w:type="dxa"/>
                </w:tcPr>
                <w:p w:rsidR="001B16A7" w:rsidRPr="001B16A7" w:rsidRDefault="001B16A7" w:rsidP="001B16A7">
                  <w:pPr>
                    <w:pStyle w:val="ac"/>
                    <w:tabs>
                      <w:tab w:val="left" w:pos="1134"/>
                    </w:tabs>
                    <w:spacing w:after="0" w:line="240" w:lineRule="auto"/>
                    <w:ind w:left="0" w:firstLine="76"/>
                    <w:rPr>
                      <w:rFonts w:ascii="Times New Roman" w:hAnsi="Times New Roman" w:cs="Times New Roman"/>
                      <w:b/>
                      <w:sz w:val="24"/>
                      <w:szCs w:val="28"/>
                    </w:rPr>
                  </w:pPr>
                  <w:r w:rsidRPr="001B16A7">
                    <w:rPr>
                      <w:rFonts w:ascii="Times New Roman" w:hAnsi="Times New Roman" w:cs="Times New Roman"/>
                      <w:b/>
                      <w:sz w:val="24"/>
                      <w:szCs w:val="28"/>
                    </w:rPr>
                    <w:t>коефіцієнт достовірності даних, який становить</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4"/>
                    <w:gridCol w:w="1175"/>
                  </w:tblGrid>
                  <w:tr w:rsidR="001B16A7" w:rsidRPr="001B16A7" w:rsidTr="00A37180">
                    <w:tc>
                      <w:tcPr>
                        <w:tcW w:w="7649" w:type="dxa"/>
                      </w:tcPr>
                      <w:p w:rsidR="001B16A7" w:rsidRPr="001B16A7" w:rsidRDefault="001B16A7" w:rsidP="001B16A7">
                        <w:pPr>
                          <w:pStyle w:val="rvps14"/>
                          <w:spacing w:before="0" w:beforeAutospacing="0" w:after="0" w:afterAutospacing="0"/>
                          <w:ind w:firstLine="76"/>
                          <w:jc w:val="center"/>
                          <w:rPr>
                            <w:b/>
                            <w:szCs w:val="28"/>
                          </w:rPr>
                        </w:pPr>
                        <w:r w:rsidRPr="001B16A7">
                          <w:rPr>
                            <w:b/>
                            <w:szCs w:val="28"/>
                          </w:rPr>
                          <w:t>відношення кількості приєднань, щодо яких виявлено* надання до НКРЕКП недостовірних даних, до загальної кількості завершених у базовому періоді послуг з приєднань/по яким надавалася до НКРЕКП інформація**, %</w:t>
                        </w:r>
                      </w:p>
                    </w:tc>
                    <w:tc>
                      <w:tcPr>
                        <w:tcW w:w="1849" w:type="dxa"/>
                      </w:tcPr>
                      <w:p w:rsidR="001B16A7" w:rsidRPr="001B16A7" w:rsidRDefault="001B16A7" w:rsidP="001B16A7">
                        <w:pPr>
                          <w:pStyle w:val="rvps14"/>
                          <w:spacing w:before="0" w:beforeAutospacing="0" w:after="0" w:afterAutospacing="0"/>
                          <w:ind w:firstLine="76"/>
                          <w:jc w:val="center"/>
                          <w:rPr>
                            <w:b/>
                            <w:szCs w:val="28"/>
                          </w:rPr>
                        </w:pPr>
                        <w:r w:rsidRPr="001B16A7">
                          <w:rPr>
                            <w:b/>
                            <w:noProof/>
                            <w:szCs w:val="28"/>
                          </w:rPr>
                          <w:t>К</w:t>
                        </w:r>
                        <w:r w:rsidRPr="001B16A7">
                          <w:rPr>
                            <w:b/>
                            <w:noProof/>
                            <w:szCs w:val="28"/>
                            <w:vertAlign w:val="subscript"/>
                          </w:rPr>
                          <w:t>ДД</w:t>
                        </w:r>
                      </w:p>
                    </w:tc>
                  </w:tr>
                  <w:tr w:rsidR="001B16A7" w:rsidRPr="001B16A7" w:rsidTr="00A37180">
                    <w:tc>
                      <w:tcPr>
                        <w:tcW w:w="7649" w:type="dxa"/>
                      </w:tcPr>
                      <w:p w:rsidR="001B16A7" w:rsidRPr="001B16A7" w:rsidRDefault="001B16A7" w:rsidP="001B16A7">
                        <w:pPr>
                          <w:pStyle w:val="rvps14"/>
                          <w:spacing w:before="0" w:beforeAutospacing="0" w:after="0" w:afterAutospacing="0"/>
                          <w:ind w:firstLine="76"/>
                          <w:jc w:val="center"/>
                          <w:rPr>
                            <w:b/>
                            <w:szCs w:val="28"/>
                          </w:rPr>
                        </w:pPr>
                        <w:r w:rsidRPr="001B16A7">
                          <w:rPr>
                            <w:b/>
                            <w:szCs w:val="28"/>
                          </w:rPr>
                          <w:t>до 0,5 (включно)</w:t>
                        </w:r>
                      </w:p>
                    </w:tc>
                    <w:tc>
                      <w:tcPr>
                        <w:tcW w:w="1849" w:type="dxa"/>
                      </w:tcPr>
                      <w:p w:rsidR="001B16A7" w:rsidRPr="001B16A7" w:rsidRDefault="001B16A7" w:rsidP="001B16A7">
                        <w:pPr>
                          <w:pStyle w:val="rvps14"/>
                          <w:spacing w:before="0" w:beforeAutospacing="0" w:after="0" w:afterAutospacing="0"/>
                          <w:ind w:firstLine="76"/>
                          <w:jc w:val="center"/>
                          <w:rPr>
                            <w:b/>
                            <w:szCs w:val="28"/>
                          </w:rPr>
                        </w:pPr>
                        <w:r w:rsidRPr="001B16A7">
                          <w:rPr>
                            <w:b/>
                            <w:szCs w:val="28"/>
                          </w:rPr>
                          <w:t>0,05</w:t>
                        </w:r>
                      </w:p>
                    </w:tc>
                  </w:tr>
                  <w:tr w:rsidR="001B16A7" w:rsidRPr="001B16A7" w:rsidTr="00A37180">
                    <w:tc>
                      <w:tcPr>
                        <w:tcW w:w="7649" w:type="dxa"/>
                      </w:tcPr>
                      <w:p w:rsidR="001B16A7" w:rsidRPr="001B16A7" w:rsidRDefault="001B16A7" w:rsidP="001B16A7">
                        <w:pPr>
                          <w:pStyle w:val="rvps14"/>
                          <w:spacing w:before="0" w:beforeAutospacing="0" w:after="0" w:afterAutospacing="0"/>
                          <w:ind w:firstLine="76"/>
                          <w:jc w:val="center"/>
                          <w:rPr>
                            <w:b/>
                            <w:szCs w:val="28"/>
                          </w:rPr>
                        </w:pPr>
                        <w:r w:rsidRPr="00647D68">
                          <w:rPr>
                            <w:b/>
                            <w:szCs w:val="28"/>
                            <w:lang w:val="ru-RU"/>
                          </w:rPr>
                          <w:t>в</w:t>
                        </w:r>
                        <w:r w:rsidRPr="001B16A7">
                          <w:rPr>
                            <w:b/>
                            <w:szCs w:val="28"/>
                          </w:rPr>
                          <w:t>ід 0,5 до 1,5 (включно)</w:t>
                        </w:r>
                      </w:p>
                    </w:tc>
                    <w:tc>
                      <w:tcPr>
                        <w:tcW w:w="1849" w:type="dxa"/>
                      </w:tcPr>
                      <w:p w:rsidR="001B16A7" w:rsidRPr="001B16A7" w:rsidRDefault="001B16A7" w:rsidP="001B16A7">
                        <w:pPr>
                          <w:pStyle w:val="rvps14"/>
                          <w:spacing w:before="0" w:beforeAutospacing="0" w:after="0" w:afterAutospacing="0"/>
                          <w:ind w:firstLine="76"/>
                          <w:jc w:val="center"/>
                          <w:rPr>
                            <w:b/>
                            <w:szCs w:val="28"/>
                          </w:rPr>
                        </w:pPr>
                        <w:r w:rsidRPr="001B16A7">
                          <w:rPr>
                            <w:b/>
                            <w:szCs w:val="28"/>
                          </w:rPr>
                          <w:t>0,10</w:t>
                        </w:r>
                      </w:p>
                    </w:tc>
                  </w:tr>
                  <w:tr w:rsidR="001B16A7" w:rsidRPr="001B16A7" w:rsidTr="00A37180">
                    <w:tc>
                      <w:tcPr>
                        <w:tcW w:w="7649" w:type="dxa"/>
                      </w:tcPr>
                      <w:p w:rsidR="001B16A7" w:rsidRPr="001B16A7" w:rsidRDefault="001B16A7" w:rsidP="001B16A7">
                        <w:pPr>
                          <w:pStyle w:val="rvps14"/>
                          <w:spacing w:before="0" w:beforeAutospacing="0" w:after="0" w:afterAutospacing="0"/>
                          <w:ind w:firstLine="76"/>
                          <w:jc w:val="center"/>
                          <w:rPr>
                            <w:b/>
                            <w:szCs w:val="28"/>
                          </w:rPr>
                        </w:pPr>
                        <w:r w:rsidRPr="00647D68">
                          <w:rPr>
                            <w:b/>
                            <w:szCs w:val="28"/>
                            <w:lang w:val="ru-RU"/>
                          </w:rPr>
                          <w:t>в</w:t>
                        </w:r>
                        <w:r w:rsidRPr="001B16A7">
                          <w:rPr>
                            <w:b/>
                            <w:szCs w:val="28"/>
                          </w:rPr>
                          <w:t>ід 1,5 до 3 (включно)</w:t>
                        </w:r>
                      </w:p>
                    </w:tc>
                    <w:tc>
                      <w:tcPr>
                        <w:tcW w:w="1849" w:type="dxa"/>
                      </w:tcPr>
                      <w:p w:rsidR="001B16A7" w:rsidRPr="001B16A7" w:rsidRDefault="001B16A7" w:rsidP="001B16A7">
                        <w:pPr>
                          <w:pStyle w:val="rvps14"/>
                          <w:spacing w:before="0" w:beforeAutospacing="0" w:after="0" w:afterAutospacing="0"/>
                          <w:ind w:firstLine="76"/>
                          <w:jc w:val="center"/>
                          <w:rPr>
                            <w:b/>
                            <w:szCs w:val="28"/>
                          </w:rPr>
                        </w:pPr>
                        <w:r w:rsidRPr="001B16A7">
                          <w:rPr>
                            <w:b/>
                            <w:szCs w:val="28"/>
                          </w:rPr>
                          <w:t>0,15</w:t>
                        </w:r>
                      </w:p>
                    </w:tc>
                  </w:tr>
                  <w:tr w:rsidR="001B16A7" w:rsidRPr="001B16A7" w:rsidTr="00A37180">
                    <w:tc>
                      <w:tcPr>
                        <w:tcW w:w="7649" w:type="dxa"/>
                      </w:tcPr>
                      <w:p w:rsidR="001B16A7" w:rsidRPr="001B16A7" w:rsidRDefault="001B16A7" w:rsidP="001B16A7">
                        <w:pPr>
                          <w:pStyle w:val="rvps14"/>
                          <w:spacing w:before="0" w:beforeAutospacing="0" w:after="0" w:afterAutospacing="0"/>
                          <w:ind w:firstLine="76"/>
                          <w:jc w:val="center"/>
                          <w:rPr>
                            <w:b/>
                            <w:szCs w:val="28"/>
                          </w:rPr>
                        </w:pPr>
                        <w:r w:rsidRPr="001B16A7">
                          <w:rPr>
                            <w:b/>
                            <w:szCs w:val="28"/>
                          </w:rPr>
                          <w:t>більше 3</w:t>
                        </w:r>
                      </w:p>
                    </w:tc>
                    <w:tc>
                      <w:tcPr>
                        <w:tcW w:w="1849" w:type="dxa"/>
                      </w:tcPr>
                      <w:p w:rsidR="001B16A7" w:rsidRPr="001B16A7" w:rsidRDefault="001B16A7" w:rsidP="001B16A7">
                        <w:pPr>
                          <w:pStyle w:val="rvps14"/>
                          <w:spacing w:before="0" w:beforeAutospacing="0" w:after="0" w:afterAutospacing="0"/>
                          <w:ind w:firstLine="76"/>
                          <w:jc w:val="center"/>
                          <w:rPr>
                            <w:b/>
                            <w:szCs w:val="28"/>
                          </w:rPr>
                        </w:pPr>
                        <w:r w:rsidRPr="001B16A7">
                          <w:rPr>
                            <w:b/>
                            <w:szCs w:val="28"/>
                          </w:rPr>
                          <w:t>0,20</w:t>
                        </w:r>
                      </w:p>
                    </w:tc>
                  </w:tr>
                </w:tbl>
                <w:p w:rsidR="001B16A7" w:rsidRPr="001B16A7" w:rsidRDefault="001B16A7" w:rsidP="001B16A7">
                  <w:pPr>
                    <w:pStyle w:val="rvps14"/>
                    <w:spacing w:before="0" w:beforeAutospacing="0" w:after="0" w:afterAutospacing="0"/>
                    <w:ind w:firstLine="76"/>
                    <w:jc w:val="both"/>
                    <w:rPr>
                      <w:b/>
                      <w:szCs w:val="28"/>
                    </w:rPr>
                  </w:pPr>
                  <w:r w:rsidRPr="001B16A7">
                    <w:rPr>
                      <w:b/>
                      <w:szCs w:val="28"/>
                    </w:rPr>
                    <w:t>Примітки:</w:t>
                  </w:r>
                </w:p>
                <w:p w:rsidR="001B16A7" w:rsidRPr="001B16A7" w:rsidRDefault="001B16A7" w:rsidP="001B16A7">
                  <w:pPr>
                    <w:pStyle w:val="rvps14"/>
                    <w:spacing w:before="0" w:beforeAutospacing="0" w:after="0" w:afterAutospacing="0"/>
                    <w:ind w:firstLine="76"/>
                    <w:jc w:val="both"/>
                    <w:rPr>
                      <w:b/>
                      <w:szCs w:val="28"/>
                    </w:rPr>
                  </w:pPr>
                  <w:r w:rsidRPr="001B16A7">
                    <w:rPr>
                      <w:b/>
                      <w:szCs w:val="28"/>
                    </w:rPr>
                    <w:t xml:space="preserve">* – у звіті щодо надання послуг з приєднань за формою, наведеною в додатку 1 до цієї Методики, що наданий оператором системи до 01 лютого/в </w:t>
                  </w:r>
                  <w:r w:rsidRPr="001B16A7">
                    <w:rPr>
                      <w:b/>
                      <w:szCs w:val="28"/>
                    </w:rPr>
                    <w:lastRenderedPageBreak/>
                    <w:t>інформації для р</w:t>
                  </w:r>
                  <w:r w:rsidRPr="001B16A7">
                    <w:rPr>
                      <w:rStyle w:val="rvts0"/>
                      <w:b/>
                      <w:szCs w:val="28"/>
                    </w:rPr>
                    <w:t>озрахунку коефіцієнта оптимізації коштів щодо витрат, пов'язаних з наданням послуг з нестандартних приєднань електроустановок замовників до електричних мереж</w:t>
                  </w:r>
                  <w:r w:rsidRPr="001B16A7">
                    <w:rPr>
                      <w:b/>
                      <w:szCs w:val="28"/>
                    </w:rPr>
                    <w:t>)</w:t>
                  </w:r>
                </w:p>
                <w:p w:rsidR="004601A2" w:rsidRPr="001B16A7" w:rsidRDefault="001B16A7" w:rsidP="001B16A7">
                  <w:pPr>
                    <w:pStyle w:val="ac"/>
                    <w:tabs>
                      <w:tab w:val="left" w:pos="1134"/>
                    </w:tabs>
                    <w:spacing w:after="0"/>
                    <w:ind w:left="0" w:firstLine="76"/>
                    <w:jc w:val="both"/>
                    <w:rPr>
                      <w:rFonts w:ascii="Times New Roman" w:hAnsi="Times New Roman" w:cs="Times New Roman"/>
                      <w:sz w:val="28"/>
                      <w:szCs w:val="28"/>
                    </w:rPr>
                  </w:pPr>
                  <w:r w:rsidRPr="001B16A7">
                    <w:rPr>
                      <w:rFonts w:ascii="Times New Roman" w:hAnsi="Times New Roman" w:cs="Times New Roman"/>
                      <w:b/>
                      <w:sz w:val="24"/>
                      <w:szCs w:val="28"/>
                    </w:rPr>
                    <w:t>** – без урахування надання операторами систем скоригованих даних.</w:t>
                  </w:r>
                </w:p>
              </w:tc>
            </w:tr>
          </w:tbl>
          <w:p w:rsidR="004601A2" w:rsidRPr="00EF1540" w:rsidRDefault="004601A2" w:rsidP="004601A2">
            <w:pPr>
              <w:ind w:firstLine="709"/>
              <w:jc w:val="both"/>
              <w:rPr>
                <w:rFonts w:ascii="Times New Roman" w:hAnsi="Times New Roman" w:cs="Times New Roman"/>
                <w:b/>
                <w:sz w:val="24"/>
                <w:szCs w:val="24"/>
              </w:rPr>
            </w:pPr>
          </w:p>
        </w:tc>
      </w:tr>
      <w:tr w:rsidR="00EF1540" w:rsidRPr="00EF1540" w:rsidTr="00D426BB">
        <w:trPr>
          <w:trHeight w:val="708"/>
        </w:trPr>
        <w:tc>
          <w:tcPr>
            <w:tcW w:w="8731" w:type="dxa"/>
          </w:tcPr>
          <w:p w:rsidR="004601A2" w:rsidRPr="00EF1540" w:rsidRDefault="004601A2" w:rsidP="004601A2">
            <w:pPr>
              <w:pStyle w:val="rvps2"/>
              <w:shd w:val="clear" w:color="auto" w:fill="FFFFFF"/>
              <w:spacing w:before="0" w:beforeAutospacing="0" w:after="0" w:afterAutospacing="0"/>
              <w:ind w:firstLine="448"/>
              <w:jc w:val="both"/>
            </w:pPr>
            <w:r w:rsidRPr="00EF1540">
              <w:lastRenderedPageBreak/>
              <w:t xml:space="preserve">5.7. Розрахунок коефіцієнта оптимізації (Копт </w:t>
            </w:r>
            <w:proofErr w:type="spellStart"/>
            <w:r w:rsidRPr="00EF1540">
              <w:t>нст</w:t>
            </w:r>
            <w:proofErr w:type="spellEnd"/>
            <w:r w:rsidRPr="00EF1540">
              <w:t>) коштів щодо витрат, пов'язаних з наданням послуг з нестандартних приєднань електроустановок замовників до електричних мереж за базовий період, проводиться НКРЕКП на підставі аналізу актів за виконаними договорами про нестандартне приєднання.</w:t>
            </w:r>
          </w:p>
          <w:p w:rsidR="004601A2" w:rsidRPr="00EF1540" w:rsidRDefault="004601A2" w:rsidP="004601A2">
            <w:pPr>
              <w:pStyle w:val="rvps2"/>
              <w:shd w:val="clear" w:color="auto" w:fill="FFFFFF"/>
              <w:spacing w:before="0" w:beforeAutospacing="0" w:after="0" w:afterAutospacing="0"/>
              <w:ind w:firstLine="448"/>
              <w:jc w:val="both"/>
            </w:pPr>
            <w:r w:rsidRPr="00EF1540">
              <w:t>Окремо проводиться аналіз по п’яти кошторисах нестандартних приєднань з найбільшими витратами, виконаних господарським і підрядним способами.</w:t>
            </w:r>
          </w:p>
          <w:p w:rsidR="004601A2" w:rsidRPr="00EF1540" w:rsidRDefault="004601A2" w:rsidP="004601A2">
            <w:pPr>
              <w:pStyle w:val="rvps2"/>
              <w:shd w:val="clear" w:color="auto" w:fill="FFFFFF"/>
              <w:spacing w:before="0" w:beforeAutospacing="0" w:after="0" w:afterAutospacing="0"/>
              <w:ind w:firstLine="448"/>
              <w:jc w:val="both"/>
            </w:pPr>
            <w:r w:rsidRPr="00EF1540">
              <w:t>Вартісні показники на матеріали та обладнання враховуються із застосуванням коефіцієнта 1,1 для всього переліку матеріалів та обладнання, використаних під час надання послуг з приєднань.</w:t>
            </w:r>
          </w:p>
          <w:p w:rsidR="004601A2" w:rsidRPr="00EF1540" w:rsidRDefault="004601A2" w:rsidP="004601A2">
            <w:pPr>
              <w:pStyle w:val="rvps2"/>
              <w:shd w:val="clear" w:color="auto" w:fill="FFFFFF"/>
              <w:spacing w:before="0" w:beforeAutospacing="0" w:after="0" w:afterAutospacing="0"/>
              <w:ind w:firstLine="448"/>
              <w:jc w:val="both"/>
            </w:pPr>
            <w:r w:rsidRPr="00EF1540">
              <w:t>У разі придбання обладнання/матеріалів, по яких відсутні цінові показники, граничні ціни визначаються виходячи з вартості складових обладнання в разі можливості такого аналізу або на підставі цінових показників на обладнання зі схожими технічними характеристиками.</w:t>
            </w:r>
          </w:p>
          <w:p w:rsidR="004601A2" w:rsidRPr="00EF1540" w:rsidRDefault="004601A2" w:rsidP="004601A2">
            <w:pPr>
              <w:pStyle w:val="rvps2"/>
              <w:shd w:val="clear" w:color="auto" w:fill="FFFFFF"/>
              <w:spacing w:before="0" w:beforeAutospacing="0" w:after="0" w:afterAutospacing="0"/>
              <w:ind w:firstLine="448"/>
              <w:jc w:val="both"/>
            </w:pPr>
            <w:r w:rsidRPr="00EF1540">
              <w:t xml:space="preserve">Результати аналізу застосовуються </w:t>
            </w:r>
            <w:proofErr w:type="spellStart"/>
            <w:r w:rsidRPr="00EF1540">
              <w:t>пропорційно</w:t>
            </w:r>
            <w:proofErr w:type="spellEnd"/>
            <w:r w:rsidRPr="00EF1540">
              <w:t xml:space="preserve"> до кожного напряму для визначення фактичних капітальних витрат, понесених під час надання послуг із нестандартного приєднання (за об'єктами замовників, приєднання яких завершено в базовому періоді) для міської та сільської місцевості, за якими проводився аналіз.</w:t>
            </w:r>
          </w:p>
        </w:tc>
        <w:tc>
          <w:tcPr>
            <w:tcW w:w="7146" w:type="dxa"/>
          </w:tcPr>
          <w:p w:rsidR="004601A2" w:rsidRPr="00EF1540" w:rsidRDefault="004601A2" w:rsidP="004601A2">
            <w:pPr>
              <w:pStyle w:val="rvps2"/>
              <w:shd w:val="clear" w:color="auto" w:fill="FFFFFF"/>
              <w:spacing w:before="0" w:beforeAutospacing="0" w:after="0" w:afterAutospacing="0"/>
              <w:ind w:firstLine="448"/>
              <w:jc w:val="both"/>
            </w:pPr>
            <w:bookmarkStart w:id="81" w:name="_Hlk161127597"/>
            <w:r w:rsidRPr="00EF1540">
              <w:t xml:space="preserve">5.7. Розрахунок коефіцієнта оптимізації (Копт </w:t>
            </w:r>
            <w:proofErr w:type="spellStart"/>
            <w:r w:rsidRPr="00EF1540">
              <w:t>нст</w:t>
            </w:r>
            <w:proofErr w:type="spellEnd"/>
            <w:r w:rsidRPr="00EF1540">
              <w:t>) коштів щодо витрат, пов'язаних з наданням послуг з нестандартних приєднань електроустановок замовників до електричних мереж за базовий період, проводиться НКРЕКП на підставі аналізу актів за виконаними договорами про нестандартне приєднання.</w:t>
            </w:r>
          </w:p>
          <w:p w:rsidR="004601A2" w:rsidRPr="00EF1540" w:rsidRDefault="004601A2" w:rsidP="004601A2">
            <w:pPr>
              <w:pStyle w:val="rvps2"/>
              <w:shd w:val="clear" w:color="auto" w:fill="FFFFFF"/>
              <w:spacing w:before="0" w:beforeAutospacing="0" w:after="0" w:afterAutospacing="0"/>
              <w:ind w:firstLine="448"/>
              <w:jc w:val="both"/>
            </w:pPr>
            <w:r w:rsidRPr="00EF1540">
              <w:t xml:space="preserve">Окремо проводиться аналіз по </w:t>
            </w:r>
            <w:r w:rsidRPr="00EF1540">
              <w:rPr>
                <w:b/>
              </w:rPr>
              <w:t>не менше п’яти кошторисам</w:t>
            </w:r>
            <w:r w:rsidRPr="00EF1540">
              <w:t xml:space="preserve"> нестандартних приєднань з найбільшими витратами, виконаних господарським і підрядним способами.</w:t>
            </w:r>
          </w:p>
          <w:p w:rsidR="004601A2" w:rsidRPr="00EF1540" w:rsidRDefault="004601A2" w:rsidP="004601A2">
            <w:pPr>
              <w:pStyle w:val="rvps2"/>
              <w:shd w:val="clear" w:color="auto" w:fill="FFFFFF"/>
              <w:spacing w:before="0" w:beforeAutospacing="0" w:after="0" w:afterAutospacing="0"/>
              <w:ind w:firstLine="448"/>
              <w:jc w:val="both"/>
              <w:rPr>
                <w:b/>
                <w:lang/>
              </w:rPr>
            </w:pPr>
            <w:r w:rsidRPr="00EF1540">
              <w:rPr>
                <w:b/>
                <w:lang/>
              </w:rPr>
              <w:t xml:space="preserve">У разі, якщо фактична кількість наданих </w:t>
            </w:r>
            <w:r w:rsidR="006B1BC7" w:rsidRPr="005C4A86">
              <w:rPr>
                <w:b/>
                <w:lang/>
              </w:rPr>
              <w:t>оператором систем розподілу</w:t>
            </w:r>
            <w:r w:rsidRPr="00EF1540">
              <w:rPr>
                <w:b/>
                <w:lang/>
              </w:rPr>
              <w:t xml:space="preserve"> послуг з нестандартних приєднань у базовому періоді залежно від способу виконання менша п’яти, аналіз по кошторисах виконаних приєднань проводиться по фактичній кількості наданих ОСР послуг з нестандартних приєднань у базовому періоді.</w:t>
            </w:r>
          </w:p>
          <w:p w:rsidR="004601A2" w:rsidRPr="00EF1540" w:rsidRDefault="004601A2" w:rsidP="004601A2">
            <w:pPr>
              <w:pStyle w:val="rvps2"/>
              <w:shd w:val="clear" w:color="auto" w:fill="FFFFFF"/>
              <w:spacing w:before="0" w:beforeAutospacing="0" w:after="0" w:afterAutospacing="0"/>
              <w:ind w:firstLine="448"/>
              <w:jc w:val="both"/>
            </w:pPr>
            <w:r w:rsidRPr="00EF1540">
              <w:t>Вартісні показники на матеріали та обладнання враховуються із застосуванням коефіцієнта 1,1 для всього переліку матеріалів та обладнання, використаних під час надання послуг з приєднань</w:t>
            </w:r>
            <w:r w:rsidRPr="00EF1540">
              <w:rPr>
                <w:b/>
                <w:lang/>
              </w:rPr>
              <w:t>, у разі наявності в оператора системи розподілу профіциту коштів щодо надходжень та витрат, пов'язаних з наданням послуг з приєднання, визначених згідно з вимогами цієї Методики без застосування коефіцієнта оптимізації коштів та коефіцієнта достовірності даних</w:t>
            </w:r>
            <w:r w:rsidRPr="00EF1540">
              <w:t>.</w:t>
            </w:r>
          </w:p>
          <w:p w:rsidR="004601A2" w:rsidRPr="00EF1540" w:rsidRDefault="004601A2" w:rsidP="004601A2">
            <w:pPr>
              <w:pStyle w:val="rvps2"/>
              <w:shd w:val="clear" w:color="auto" w:fill="FFFFFF"/>
              <w:spacing w:before="0" w:beforeAutospacing="0" w:after="0" w:afterAutospacing="0"/>
              <w:ind w:firstLine="448"/>
              <w:jc w:val="both"/>
            </w:pPr>
            <w:r w:rsidRPr="00EF1540">
              <w:t>У разі придбання обладнання/матеріалів, по яких відсутні цінові показники, граничні ціни визначаються виходячи з вартості складових обладнання в разі можливості такого аналізу або на підставі цінових показників на обладнання зі схожими технічними характеристиками.</w:t>
            </w:r>
          </w:p>
          <w:p w:rsidR="004601A2" w:rsidRPr="00EF1540" w:rsidRDefault="004601A2" w:rsidP="004601A2">
            <w:pPr>
              <w:shd w:val="clear" w:color="auto" w:fill="FFFFFF"/>
              <w:spacing w:after="150"/>
              <w:ind w:firstLine="450"/>
              <w:jc w:val="both"/>
              <w:rPr>
                <w:rFonts w:ascii="Times New Roman" w:eastAsia="Times New Roman" w:hAnsi="Times New Roman" w:cs="Times New Roman"/>
                <w:sz w:val="20"/>
                <w:szCs w:val="20"/>
                <w:lang w:eastAsia="uk-UA"/>
              </w:rPr>
            </w:pPr>
            <w:r w:rsidRPr="00EF1540">
              <w:rPr>
                <w:rFonts w:ascii="Times New Roman" w:hAnsi="Times New Roman" w:cs="Times New Roman"/>
                <w:sz w:val="24"/>
                <w:szCs w:val="24"/>
              </w:rPr>
              <w:t xml:space="preserve">Результати аналізу застосовуються </w:t>
            </w:r>
            <w:proofErr w:type="spellStart"/>
            <w:r w:rsidRPr="00EF1540">
              <w:rPr>
                <w:rFonts w:ascii="Times New Roman" w:hAnsi="Times New Roman" w:cs="Times New Roman"/>
                <w:sz w:val="24"/>
                <w:szCs w:val="24"/>
              </w:rPr>
              <w:t>пропорційно</w:t>
            </w:r>
            <w:proofErr w:type="spellEnd"/>
            <w:r w:rsidRPr="00EF1540">
              <w:rPr>
                <w:rFonts w:ascii="Times New Roman" w:hAnsi="Times New Roman" w:cs="Times New Roman"/>
                <w:sz w:val="24"/>
                <w:szCs w:val="24"/>
              </w:rPr>
              <w:t xml:space="preserve"> до кожного напряму для визначення фактичних капітальних витрат, понесених під час надання послуг із нестандартного приєднання (за об'єктами замовників, приєднання яких завершено в базовому періоді) для міської та сільської місцевості, за якими проводився аналіз.</w:t>
            </w:r>
            <w:bookmarkEnd w:id="81"/>
          </w:p>
        </w:tc>
      </w:tr>
      <w:tr w:rsidR="00EF1540" w:rsidRPr="00EF1540" w:rsidTr="00D426BB">
        <w:trPr>
          <w:trHeight w:val="708"/>
        </w:trPr>
        <w:tc>
          <w:tcPr>
            <w:tcW w:w="8731" w:type="dxa"/>
          </w:tcPr>
          <w:p w:rsidR="004601A2" w:rsidRPr="00EF1540" w:rsidRDefault="004601A2" w:rsidP="004601A2">
            <w:pPr>
              <w:pStyle w:val="rvps2"/>
              <w:shd w:val="clear" w:color="auto" w:fill="FFFFFF"/>
              <w:spacing w:before="0" w:beforeAutospacing="0" w:after="0" w:afterAutospacing="0"/>
              <w:ind w:firstLine="448"/>
              <w:jc w:val="both"/>
            </w:pPr>
          </w:p>
        </w:tc>
        <w:tc>
          <w:tcPr>
            <w:tcW w:w="7146" w:type="dxa"/>
          </w:tcPr>
          <w:p w:rsidR="004601A2" w:rsidRPr="00EF1540" w:rsidRDefault="004601A2" w:rsidP="004601A2">
            <w:pPr>
              <w:pStyle w:val="rvps2"/>
              <w:shd w:val="clear" w:color="auto" w:fill="FFFFFF"/>
              <w:spacing w:before="0" w:beforeAutospacing="0" w:after="0" w:afterAutospacing="0"/>
              <w:ind w:firstLine="448"/>
              <w:jc w:val="both"/>
              <w:rPr>
                <w:b/>
              </w:rPr>
            </w:pPr>
            <w:bookmarkStart w:id="82" w:name="_Hlk161127773"/>
            <w:r w:rsidRPr="00EF1540">
              <w:rPr>
                <w:rStyle w:val="rvts0"/>
                <w:b/>
              </w:rPr>
              <w:t xml:space="preserve">5.9. Плата за нестандартне приєднання з </w:t>
            </w:r>
            <w:proofErr w:type="spellStart"/>
            <w:r w:rsidRPr="00EF1540">
              <w:rPr>
                <w:rStyle w:val="rvts0"/>
                <w:b/>
              </w:rPr>
              <w:t>проєктуванням</w:t>
            </w:r>
            <w:proofErr w:type="spellEnd"/>
            <w:r w:rsidRPr="00EF1540">
              <w:rPr>
                <w:rStyle w:val="rvts0"/>
                <w:b/>
              </w:rPr>
              <w:t xml:space="preserve"> лінійної частини приєднання замовником </w:t>
            </w:r>
            <w:proofErr w:type="spellStart"/>
            <w:r w:rsidRPr="00EF1540">
              <w:rPr>
                <w:rStyle w:val="rvts0"/>
                <w:b/>
              </w:rPr>
              <w:t>Пнст</w:t>
            </w:r>
            <w:proofErr w:type="spellEnd"/>
            <w:r w:rsidRPr="00EF1540">
              <w:rPr>
                <w:rStyle w:val="rvts0"/>
                <w:b/>
              </w:rPr>
              <w:t xml:space="preserve"> розраховується за формулою </w:t>
            </w:r>
            <w:r w:rsidR="006B1BC7" w:rsidRPr="00EF1540">
              <w:rPr>
                <w:rStyle w:val="rvts0"/>
                <w:b/>
              </w:rPr>
              <w:t>5</w:t>
            </w:r>
            <w:r w:rsidRPr="00EF1540">
              <w:rPr>
                <w:rStyle w:val="rvts0"/>
                <w:b/>
              </w:rPr>
              <w:t xml:space="preserve"> цієї Методики, при цьому </w:t>
            </w:r>
            <w:r w:rsidRPr="00EF1540">
              <w:rPr>
                <w:b/>
              </w:rPr>
              <w:t>складова плати за створення електричних мереж лінійної частини приєднання</w:t>
            </w:r>
            <w:r w:rsidRPr="00EF1540">
              <w:rPr>
                <w:rStyle w:val="rvts0"/>
                <w:b/>
              </w:rPr>
              <w:t xml:space="preserve"> </w:t>
            </w:r>
            <w:r w:rsidRPr="00EF1540">
              <w:rPr>
                <w:b/>
              </w:rPr>
              <w:t>(</w:t>
            </w:r>
            <m:oMath>
              <m:sSub>
                <m:sSubPr>
                  <m:ctrlPr>
                    <w:rPr>
                      <w:rFonts w:ascii="Cambria Math" w:hAnsi="Cambria Math"/>
                      <w:b/>
                      <w:i/>
                      <w:szCs w:val="30"/>
                    </w:rPr>
                  </m:ctrlPr>
                </m:sSubPr>
                <m:e>
                  <m:r>
                    <m:rPr>
                      <m:sty m:val="bi"/>
                    </m:rPr>
                    <w:rPr>
                      <w:rFonts w:ascii="Cambria Math" w:hAnsi="Cambria Math"/>
                      <w:szCs w:val="30"/>
                      <w:lang w:val="en-US"/>
                    </w:rPr>
                    <m:t>l</m:t>
                  </m:r>
                </m:e>
                <m:sub>
                  <m:r>
                    <m:rPr>
                      <m:sty m:val="bi"/>
                    </m:rPr>
                    <w:rPr>
                      <w:rFonts w:ascii="Cambria Math" w:hAnsi="Cambria Math"/>
                      <w:szCs w:val="30"/>
                    </w:rPr>
                    <m:t>м</m:t>
                  </m:r>
                </m:sub>
              </m:sSub>
              <m:r>
                <m:rPr>
                  <m:sty m:val="bi"/>
                </m:rPr>
                <w:rPr>
                  <w:rFonts w:ascii="Cambria Math" w:hAnsi="Cambria Math"/>
                  <w:szCs w:val="30"/>
                </w:rPr>
                <m:t xml:space="preserve"> х </m:t>
              </m:r>
              <m:sSubSup>
                <m:sSubSupPr>
                  <m:ctrlPr>
                    <w:rPr>
                      <w:rFonts w:ascii="Cambria Math" w:hAnsi="Cambria Math"/>
                      <w:b/>
                      <w:i/>
                      <w:szCs w:val="30"/>
                    </w:rPr>
                  </m:ctrlPr>
                </m:sSubSupPr>
                <m:e>
                  <m:r>
                    <m:rPr>
                      <m:sty m:val="bi"/>
                    </m:rPr>
                    <w:rPr>
                      <w:rFonts w:ascii="Cambria Math" w:hAnsi="Cambria Math"/>
                      <w:szCs w:val="30"/>
                    </w:rPr>
                    <m:t>С</m:t>
                  </m:r>
                </m:e>
                <m:sub>
                  <m:r>
                    <m:rPr>
                      <m:sty m:val="bi"/>
                    </m:rPr>
                    <w:rPr>
                      <w:rFonts w:ascii="Cambria Math" w:hAnsi="Cambria Math"/>
                      <w:szCs w:val="30"/>
                    </w:rPr>
                    <m:t>лін</m:t>
                  </m:r>
                </m:sub>
                <m:sup>
                  <m:r>
                    <m:rPr>
                      <m:sty m:val="bi"/>
                    </m:rPr>
                    <w:rPr>
                      <w:rFonts w:ascii="Cambria Math" w:hAnsi="Cambria Math"/>
                      <w:szCs w:val="30"/>
                    </w:rPr>
                    <m:t>л,н,зем</m:t>
                  </m:r>
                </m:sup>
              </m:sSubSup>
              <m:r>
                <m:rPr>
                  <m:sty m:val="bi"/>
                </m:rPr>
                <w:rPr>
                  <w:rFonts w:ascii="Cambria Math" w:hAnsi="Cambria Math"/>
                  <w:szCs w:val="30"/>
                </w:rPr>
                <m:t xml:space="preserve">, тис. грн </m:t>
              </m:r>
            </m:oMath>
            <w:r w:rsidRPr="00EF1540">
              <w:rPr>
                <w:b/>
              </w:rPr>
              <w:t xml:space="preserve">) </w:t>
            </w:r>
            <w:r w:rsidRPr="00EF1540">
              <w:rPr>
                <w:rStyle w:val="rvts0"/>
                <w:b/>
              </w:rPr>
              <w:t>визначається згідно з кошторисом, який є невід’ємною частиною відповідної проектної документації, розробленої замовником з урахуванням вимог Кодексу</w:t>
            </w:r>
            <w:r w:rsidR="006B1BC7" w:rsidRPr="00EF1540">
              <w:rPr>
                <w:rStyle w:val="rvts0"/>
                <w:b/>
              </w:rPr>
              <w:t xml:space="preserve"> систем розподілу</w:t>
            </w:r>
            <w:r w:rsidRPr="00EF1540">
              <w:rPr>
                <w:rStyle w:val="rvts0"/>
                <w:b/>
              </w:rPr>
              <w:t>.</w:t>
            </w:r>
            <w:bookmarkEnd w:id="82"/>
          </w:p>
        </w:tc>
      </w:tr>
      <w:tr w:rsidR="00EF1540" w:rsidRPr="00EF1540" w:rsidTr="00D426BB">
        <w:trPr>
          <w:trHeight w:val="708"/>
        </w:trPr>
        <w:tc>
          <w:tcPr>
            <w:tcW w:w="8731" w:type="dxa"/>
          </w:tcPr>
          <w:p w:rsidR="004601A2" w:rsidRPr="00EF1540" w:rsidRDefault="004601A2" w:rsidP="004601A2">
            <w:pPr>
              <w:pStyle w:val="rvps2"/>
              <w:shd w:val="clear" w:color="auto" w:fill="FFFFFF"/>
              <w:spacing w:before="0" w:beforeAutospacing="0" w:after="0" w:afterAutospacing="0"/>
              <w:ind w:firstLine="448"/>
              <w:jc w:val="both"/>
            </w:pPr>
          </w:p>
        </w:tc>
        <w:tc>
          <w:tcPr>
            <w:tcW w:w="7146" w:type="dxa"/>
          </w:tcPr>
          <w:p w:rsidR="004601A2" w:rsidRPr="00EF1540" w:rsidRDefault="004601A2" w:rsidP="004601A2">
            <w:pPr>
              <w:pStyle w:val="rvps2"/>
              <w:shd w:val="clear" w:color="auto" w:fill="FFFFFF"/>
              <w:spacing w:before="0" w:beforeAutospacing="0" w:after="0" w:afterAutospacing="0"/>
              <w:ind w:firstLine="448"/>
              <w:jc w:val="both"/>
              <w:rPr>
                <w:rStyle w:val="rvts0"/>
                <w:b/>
              </w:rPr>
            </w:pPr>
            <w:bookmarkStart w:id="83" w:name="_Hlk161127879"/>
            <w:r w:rsidRPr="00647D68">
              <w:rPr>
                <w:rStyle w:val="rvts0"/>
                <w:b/>
                <w:lang w:val="ru-RU"/>
              </w:rPr>
              <w:t xml:space="preserve">5.10. </w:t>
            </w:r>
            <w:r w:rsidR="005C4A86" w:rsidRPr="005C4A86">
              <w:rPr>
                <w:rStyle w:val="rvts0"/>
                <w:b/>
              </w:rPr>
              <w:t xml:space="preserve">Плата за приєднання електроустановок замовників до електричних мереж малої системи розподілу визначається сторонами в договорі про приєднання. Максимальна (гранична) плата за надання послуги з приєднання електроустановок замовників до малої системи розподілу не повинна перевищувати величину плати за приєднання залежно від типу приєднання, розраховану відповідно до формул 1 або 5 цієї Методики із застосуванням відповідних ставок плати за стандартне приєднання або ставок плати за нестандартне приєднання потужності електроустановок та ставок плати за створення електричних мереж лінійної частини приєднання, встановлених Регулятором для оператора системи розподілу, який є власником найбільшої (за кількістю умовних одиниць енергетичного обладнання) системи розподілу електричної енергії на території області (міст Києва та Севастополя, Автономної Республіки Крим), перелік яких розміщено на офіційному </w:t>
            </w:r>
            <w:proofErr w:type="spellStart"/>
            <w:r w:rsidR="005C4A86" w:rsidRPr="005C4A86">
              <w:rPr>
                <w:rStyle w:val="rvts0"/>
                <w:b/>
              </w:rPr>
              <w:t>вебсайті</w:t>
            </w:r>
            <w:proofErr w:type="spellEnd"/>
            <w:r w:rsidR="005C4A86" w:rsidRPr="005C4A86">
              <w:rPr>
                <w:rStyle w:val="rvts0"/>
                <w:b/>
              </w:rPr>
              <w:t xml:space="preserve"> НКРЕКП, з урахуванням класу напруги точки приєднання.».</w:t>
            </w:r>
            <w:bookmarkEnd w:id="83"/>
          </w:p>
        </w:tc>
      </w:tr>
    </w:tbl>
    <w:p w:rsidR="0021706D" w:rsidRPr="0021706D" w:rsidRDefault="0021706D" w:rsidP="00647D68">
      <w:pPr>
        <w:rPr>
          <w:rFonts w:ascii="Times New Roman" w:hAnsi="Times New Roman" w:cs="Times New Roman"/>
          <w:b/>
          <w:sz w:val="28"/>
          <w:szCs w:val="28"/>
        </w:rPr>
      </w:pPr>
      <w:bookmarkStart w:id="84" w:name="_GoBack"/>
      <w:bookmarkEnd w:id="84"/>
    </w:p>
    <w:sectPr w:rsidR="0021706D" w:rsidRPr="0021706D" w:rsidSect="00647D68">
      <w:pgSz w:w="16838" w:h="11906" w:orient="landscape"/>
      <w:pgMar w:top="426"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733"/>
    <w:rsid w:val="00005B5D"/>
    <w:rsid w:val="00006018"/>
    <w:rsid w:val="00015D60"/>
    <w:rsid w:val="000200C2"/>
    <w:rsid w:val="00035C28"/>
    <w:rsid w:val="000364E5"/>
    <w:rsid w:val="000473B1"/>
    <w:rsid w:val="00047CAF"/>
    <w:rsid w:val="00051427"/>
    <w:rsid w:val="000568D6"/>
    <w:rsid w:val="00060732"/>
    <w:rsid w:val="00085338"/>
    <w:rsid w:val="00093958"/>
    <w:rsid w:val="000C5E45"/>
    <w:rsid w:val="000E2608"/>
    <w:rsid w:val="000E47DD"/>
    <w:rsid w:val="00101910"/>
    <w:rsid w:val="00110A18"/>
    <w:rsid w:val="001121BD"/>
    <w:rsid w:val="00117128"/>
    <w:rsid w:val="0014370C"/>
    <w:rsid w:val="00150ACC"/>
    <w:rsid w:val="00153B2B"/>
    <w:rsid w:val="0016020C"/>
    <w:rsid w:val="00172C86"/>
    <w:rsid w:val="00183F9E"/>
    <w:rsid w:val="001B16A7"/>
    <w:rsid w:val="001B4926"/>
    <w:rsid w:val="001B5339"/>
    <w:rsid w:val="001C1503"/>
    <w:rsid w:val="001D4CC4"/>
    <w:rsid w:val="001D4CDC"/>
    <w:rsid w:val="001D733C"/>
    <w:rsid w:val="001E6219"/>
    <w:rsid w:val="001E6DA7"/>
    <w:rsid w:val="001F3DBE"/>
    <w:rsid w:val="0020038C"/>
    <w:rsid w:val="0020226D"/>
    <w:rsid w:val="00205387"/>
    <w:rsid w:val="0021706D"/>
    <w:rsid w:val="00220DD5"/>
    <w:rsid w:val="00224B60"/>
    <w:rsid w:val="00242ACA"/>
    <w:rsid w:val="00245761"/>
    <w:rsid w:val="0026777E"/>
    <w:rsid w:val="002731D9"/>
    <w:rsid w:val="002736B0"/>
    <w:rsid w:val="00281235"/>
    <w:rsid w:val="0028574F"/>
    <w:rsid w:val="002A6687"/>
    <w:rsid w:val="002D3E20"/>
    <w:rsid w:val="002E1C38"/>
    <w:rsid w:val="002E74C3"/>
    <w:rsid w:val="002F1F3F"/>
    <w:rsid w:val="00305DED"/>
    <w:rsid w:val="00312FF2"/>
    <w:rsid w:val="00315542"/>
    <w:rsid w:val="00335B22"/>
    <w:rsid w:val="00346150"/>
    <w:rsid w:val="00351356"/>
    <w:rsid w:val="00352060"/>
    <w:rsid w:val="00360B3E"/>
    <w:rsid w:val="00361E33"/>
    <w:rsid w:val="00366543"/>
    <w:rsid w:val="0036740E"/>
    <w:rsid w:val="00381D5A"/>
    <w:rsid w:val="003949BC"/>
    <w:rsid w:val="003A07BF"/>
    <w:rsid w:val="003E4A67"/>
    <w:rsid w:val="004036E8"/>
    <w:rsid w:val="004104E1"/>
    <w:rsid w:val="00417C62"/>
    <w:rsid w:val="004307BB"/>
    <w:rsid w:val="004321C7"/>
    <w:rsid w:val="0043596A"/>
    <w:rsid w:val="0044622E"/>
    <w:rsid w:val="00453E11"/>
    <w:rsid w:val="004601A2"/>
    <w:rsid w:val="00465659"/>
    <w:rsid w:val="0047531D"/>
    <w:rsid w:val="0049233D"/>
    <w:rsid w:val="004C2238"/>
    <w:rsid w:val="004C7927"/>
    <w:rsid w:val="004E4488"/>
    <w:rsid w:val="005057E7"/>
    <w:rsid w:val="005058F6"/>
    <w:rsid w:val="00506330"/>
    <w:rsid w:val="00510E84"/>
    <w:rsid w:val="00513D43"/>
    <w:rsid w:val="0051675E"/>
    <w:rsid w:val="00522E30"/>
    <w:rsid w:val="005478CE"/>
    <w:rsid w:val="005638C0"/>
    <w:rsid w:val="0056480A"/>
    <w:rsid w:val="00590392"/>
    <w:rsid w:val="005A18BC"/>
    <w:rsid w:val="005C06AE"/>
    <w:rsid w:val="005C4A86"/>
    <w:rsid w:val="005C4CE8"/>
    <w:rsid w:val="005C5EE1"/>
    <w:rsid w:val="005E37FB"/>
    <w:rsid w:val="005F78BC"/>
    <w:rsid w:val="00605360"/>
    <w:rsid w:val="00613026"/>
    <w:rsid w:val="00616FD8"/>
    <w:rsid w:val="00617707"/>
    <w:rsid w:val="00620441"/>
    <w:rsid w:val="006222D3"/>
    <w:rsid w:val="00647D68"/>
    <w:rsid w:val="00650E74"/>
    <w:rsid w:val="00656E00"/>
    <w:rsid w:val="00676A19"/>
    <w:rsid w:val="00681465"/>
    <w:rsid w:val="00690733"/>
    <w:rsid w:val="006B0A3B"/>
    <w:rsid w:val="006B1BC7"/>
    <w:rsid w:val="006C2667"/>
    <w:rsid w:val="006C712D"/>
    <w:rsid w:val="006D20C3"/>
    <w:rsid w:val="006D28F5"/>
    <w:rsid w:val="006D76EF"/>
    <w:rsid w:val="006D7E2A"/>
    <w:rsid w:val="006E27EA"/>
    <w:rsid w:val="007033FA"/>
    <w:rsid w:val="007079EE"/>
    <w:rsid w:val="0072208A"/>
    <w:rsid w:val="00742CAE"/>
    <w:rsid w:val="00762EB6"/>
    <w:rsid w:val="00764F9B"/>
    <w:rsid w:val="0079103B"/>
    <w:rsid w:val="007A1ECC"/>
    <w:rsid w:val="007A3560"/>
    <w:rsid w:val="007A6AF0"/>
    <w:rsid w:val="007B08D6"/>
    <w:rsid w:val="007C5F0B"/>
    <w:rsid w:val="007D15BA"/>
    <w:rsid w:val="007D4581"/>
    <w:rsid w:val="007D619B"/>
    <w:rsid w:val="00805EF3"/>
    <w:rsid w:val="00810E46"/>
    <w:rsid w:val="008322AA"/>
    <w:rsid w:val="00840040"/>
    <w:rsid w:val="00840E43"/>
    <w:rsid w:val="00844BE9"/>
    <w:rsid w:val="0085016C"/>
    <w:rsid w:val="00852B1C"/>
    <w:rsid w:val="008609E0"/>
    <w:rsid w:val="0086274E"/>
    <w:rsid w:val="00864695"/>
    <w:rsid w:val="00872F43"/>
    <w:rsid w:val="0087507D"/>
    <w:rsid w:val="00880D84"/>
    <w:rsid w:val="00892E0B"/>
    <w:rsid w:val="00894337"/>
    <w:rsid w:val="008B675D"/>
    <w:rsid w:val="008C242E"/>
    <w:rsid w:val="008E345E"/>
    <w:rsid w:val="008E3F03"/>
    <w:rsid w:val="008F73E4"/>
    <w:rsid w:val="00901686"/>
    <w:rsid w:val="00926FD5"/>
    <w:rsid w:val="0093433D"/>
    <w:rsid w:val="00942EA0"/>
    <w:rsid w:val="00947862"/>
    <w:rsid w:val="00953EA3"/>
    <w:rsid w:val="009645B0"/>
    <w:rsid w:val="00994828"/>
    <w:rsid w:val="00996846"/>
    <w:rsid w:val="009A00EB"/>
    <w:rsid w:val="009B280D"/>
    <w:rsid w:val="009B4306"/>
    <w:rsid w:val="009C5FE0"/>
    <w:rsid w:val="009F1A3A"/>
    <w:rsid w:val="009F1E38"/>
    <w:rsid w:val="009F3F3D"/>
    <w:rsid w:val="00A11C96"/>
    <w:rsid w:val="00A14509"/>
    <w:rsid w:val="00A17353"/>
    <w:rsid w:val="00A238BE"/>
    <w:rsid w:val="00A25FE8"/>
    <w:rsid w:val="00A36834"/>
    <w:rsid w:val="00A61B75"/>
    <w:rsid w:val="00A7160A"/>
    <w:rsid w:val="00A823B5"/>
    <w:rsid w:val="00A87021"/>
    <w:rsid w:val="00AA0640"/>
    <w:rsid w:val="00AD1BA7"/>
    <w:rsid w:val="00AD2947"/>
    <w:rsid w:val="00B04357"/>
    <w:rsid w:val="00B1746D"/>
    <w:rsid w:val="00B2239D"/>
    <w:rsid w:val="00B23E08"/>
    <w:rsid w:val="00B33A62"/>
    <w:rsid w:val="00B5205D"/>
    <w:rsid w:val="00B560E4"/>
    <w:rsid w:val="00B84B2B"/>
    <w:rsid w:val="00B87E7D"/>
    <w:rsid w:val="00BA1EE3"/>
    <w:rsid w:val="00BA33CC"/>
    <w:rsid w:val="00BA53B5"/>
    <w:rsid w:val="00BB2ABA"/>
    <w:rsid w:val="00BB2F38"/>
    <w:rsid w:val="00BC5088"/>
    <w:rsid w:val="00BD4160"/>
    <w:rsid w:val="00BD609F"/>
    <w:rsid w:val="00BE6A7A"/>
    <w:rsid w:val="00BE7B97"/>
    <w:rsid w:val="00BF07B9"/>
    <w:rsid w:val="00C157F1"/>
    <w:rsid w:val="00C1614D"/>
    <w:rsid w:val="00C26471"/>
    <w:rsid w:val="00C435CE"/>
    <w:rsid w:val="00C752C3"/>
    <w:rsid w:val="00C86684"/>
    <w:rsid w:val="00C86D80"/>
    <w:rsid w:val="00C8777D"/>
    <w:rsid w:val="00CA14BC"/>
    <w:rsid w:val="00CC5B9F"/>
    <w:rsid w:val="00CF0723"/>
    <w:rsid w:val="00CF1791"/>
    <w:rsid w:val="00D012B4"/>
    <w:rsid w:val="00D10E75"/>
    <w:rsid w:val="00D2328A"/>
    <w:rsid w:val="00D426BB"/>
    <w:rsid w:val="00D62CED"/>
    <w:rsid w:val="00D66DEE"/>
    <w:rsid w:val="00D73500"/>
    <w:rsid w:val="00D87C5D"/>
    <w:rsid w:val="00DA21E9"/>
    <w:rsid w:val="00DB41E8"/>
    <w:rsid w:val="00DC52E3"/>
    <w:rsid w:val="00DE17D6"/>
    <w:rsid w:val="00DF4DF7"/>
    <w:rsid w:val="00DF7D1C"/>
    <w:rsid w:val="00E00EC5"/>
    <w:rsid w:val="00E03728"/>
    <w:rsid w:val="00E079B6"/>
    <w:rsid w:val="00E152F1"/>
    <w:rsid w:val="00E24788"/>
    <w:rsid w:val="00E615F1"/>
    <w:rsid w:val="00E62FCD"/>
    <w:rsid w:val="00E80C91"/>
    <w:rsid w:val="00EA4236"/>
    <w:rsid w:val="00EA6D2C"/>
    <w:rsid w:val="00EB31FF"/>
    <w:rsid w:val="00EB57E3"/>
    <w:rsid w:val="00EB6139"/>
    <w:rsid w:val="00EC4CA9"/>
    <w:rsid w:val="00EC7AD4"/>
    <w:rsid w:val="00ED5210"/>
    <w:rsid w:val="00EE006B"/>
    <w:rsid w:val="00EF1540"/>
    <w:rsid w:val="00EF5507"/>
    <w:rsid w:val="00EF6D1A"/>
    <w:rsid w:val="00F14CB4"/>
    <w:rsid w:val="00F27E65"/>
    <w:rsid w:val="00F32405"/>
    <w:rsid w:val="00F51DC0"/>
    <w:rsid w:val="00F546FF"/>
    <w:rsid w:val="00F71706"/>
    <w:rsid w:val="00F82ABD"/>
    <w:rsid w:val="00F837DF"/>
    <w:rsid w:val="00F85086"/>
    <w:rsid w:val="00F859C4"/>
    <w:rsid w:val="00FA2D35"/>
    <w:rsid w:val="00FB3DF3"/>
    <w:rsid w:val="00FD21BC"/>
    <w:rsid w:val="00FD524C"/>
    <w:rsid w:val="00FF46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45C8F77"/>
  <w15:chartTrackingRefBased/>
  <w15:docId w15:val="{09ECA8FC-C1CE-4BDF-9261-048ABDB78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90733"/>
  </w:style>
  <w:style w:type="paragraph" w:styleId="3">
    <w:name w:val="heading 3"/>
    <w:basedOn w:val="a"/>
    <w:link w:val="30"/>
    <w:uiPriority w:val="9"/>
    <w:qFormat/>
    <w:rsid w:val="00690733"/>
    <w:pPr>
      <w:spacing w:before="100" w:beforeAutospacing="1" w:after="100" w:afterAutospacing="1" w:line="240" w:lineRule="auto"/>
      <w:outlineLvl w:val="2"/>
    </w:pPr>
    <w:rPr>
      <w:rFonts w:ascii="Times New Roman" w:eastAsiaTheme="minorEastAsia"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690733"/>
    <w:rPr>
      <w:rFonts w:ascii="Times New Roman" w:eastAsiaTheme="minorEastAsia" w:hAnsi="Times New Roman" w:cs="Times New Roman"/>
      <w:b/>
      <w:bCs/>
      <w:sz w:val="27"/>
      <w:szCs w:val="27"/>
      <w:lang w:eastAsia="uk-UA"/>
    </w:rPr>
  </w:style>
  <w:style w:type="table" w:styleId="a3">
    <w:name w:val="Table Grid"/>
    <w:basedOn w:val="a1"/>
    <w:uiPriority w:val="39"/>
    <w:rsid w:val="006907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a0"/>
    <w:rsid w:val="00690733"/>
  </w:style>
  <w:style w:type="paragraph" w:customStyle="1" w:styleId="rvps2">
    <w:name w:val="rvps2"/>
    <w:basedOn w:val="a"/>
    <w:rsid w:val="0069073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690733"/>
  </w:style>
  <w:style w:type="character" w:customStyle="1" w:styleId="rvts40">
    <w:name w:val="rvts40"/>
    <w:basedOn w:val="a0"/>
    <w:rsid w:val="00690733"/>
  </w:style>
  <w:style w:type="paragraph" w:customStyle="1" w:styleId="rvps12">
    <w:name w:val="rvps12"/>
    <w:basedOn w:val="a"/>
    <w:rsid w:val="0069073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unhideWhenUsed/>
    <w:rsid w:val="00690733"/>
    <w:rPr>
      <w:color w:val="0000FF"/>
      <w:u w:val="single"/>
    </w:rPr>
  </w:style>
  <w:style w:type="paragraph" w:customStyle="1" w:styleId="rvps11">
    <w:name w:val="rvps11"/>
    <w:basedOn w:val="a"/>
    <w:rsid w:val="0069073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69073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Placeholder Text"/>
    <w:basedOn w:val="a0"/>
    <w:uiPriority w:val="99"/>
    <w:semiHidden/>
    <w:rsid w:val="00A11C96"/>
    <w:rPr>
      <w:color w:val="808080"/>
    </w:rPr>
  </w:style>
  <w:style w:type="character" w:customStyle="1" w:styleId="rvts37">
    <w:name w:val="rvts37"/>
    <w:basedOn w:val="a0"/>
    <w:rsid w:val="009A00EB"/>
  </w:style>
  <w:style w:type="character" w:customStyle="1" w:styleId="rvts46">
    <w:name w:val="rvts46"/>
    <w:basedOn w:val="a0"/>
    <w:rsid w:val="009A00EB"/>
  </w:style>
  <w:style w:type="character" w:customStyle="1" w:styleId="rvts80">
    <w:name w:val="rvts80"/>
    <w:basedOn w:val="a0"/>
    <w:rsid w:val="009A00EB"/>
  </w:style>
  <w:style w:type="character" w:styleId="a6">
    <w:name w:val="Unresolved Mention"/>
    <w:basedOn w:val="a0"/>
    <w:uiPriority w:val="99"/>
    <w:semiHidden/>
    <w:unhideWhenUsed/>
    <w:rsid w:val="00EA6D2C"/>
    <w:rPr>
      <w:color w:val="605E5C"/>
      <w:shd w:val="clear" w:color="auto" w:fill="E1DFDD"/>
    </w:rPr>
  </w:style>
  <w:style w:type="paragraph" w:customStyle="1" w:styleId="rvps7">
    <w:name w:val="rvps7"/>
    <w:basedOn w:val="a"/>
    <w:rsid w:val="0028574F"/>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rvts15">
    <w:name w:val="rvts15"/>
    <w:basedOn w:val="a0"/>
    <w:rsid w:val="0028574F"/>
  </w:style>
  <w:style w:type="paragraph" w:customStyle="1" w:styleId="rvps8">
    <w:name w:val="rvps8"/>
    <w:basedOn w:val="a"/>
    <w:rsid w:val="00764F9B"/>
    <w:pPr>
      <w:spacing w:before="100" w:beforeAutospacing="1" w:after="100" w:afterAutospacing="1" w:line="240" w:lineRule="auto"/>
    </w:pPr>
    <w:rPr>
      <w:rFonts w:ascii="Times New Roman" w:eastAsia="Times New Roman" w:hAnsi="Times New Roman" w:cs="Times New Roman"/>
      <w:sz w:val="24"/>
      <w:szCs w:val="24"/>
      <w:lang/>
    </w:rPr>
  </w:style>
  <w:style w:type="character" w:styleId="a7">
    <w:name w:val="annotation reference"/>
    <w:basedOn w:val="a0"/>
    <w:uiPriority w:val="99"/>
    <w:semiHidden/>
    <w:unhideWhenUsed/>
    <w:rsid w:val="008B675D"/>
    <w:rPr>
      <w:sz w:val="16"/>
      <w:szCs w:val="16"/>
    </w:rPr>
  </w:style>
  <w:style w:type="paragraph" w:styleId="a8">
    <w:name w:val="annotation text"/>
    <w:basedOn w:val="a"/>
    <w:link w:val="a9"/>
    <w:uiPriority w:val="99"/>
    <w:semiHidden/>
    <w:unhideWhenUsed/>
    <w:rsid w:val="008B675D"/>
    <w:pPr>
      <w:spacing w:line="240" w:lineRule="auto"/>
    </w:pPr>
    <w:rPr>
      <w:sz w:val="20"/>
      <w:szCs w:val="20"/>
    </w:rPr>
  </w:style>
  <w:style w:type="character" w:customStyle="1" w:styleId="a9">
    <w:name w:val="Текст примітки Знак"/>
    <w:basedOn w:val="a0"/>
    <w:link w:val="a8"/>
    <w:uiPriority w:val="99"/>
    <w:semiHidden/>
    <w:rsid w:val="008B675D"/>
    <w:rPr>
      <w:sz w:val="20"/>
      <w:szCs w:val="20"/>
    </w:rPr>
  </w:style>
  <w:style w:type="paragraph" w:styleId="aa">
    <w:name w:val="Balloon Text"/>
    <w:basedOn w:val="a"/>
    <w:link w:val="ab"/>
    <w:uiPriority w:val="99"/>
    <w:semiHidden/>
    <w:unhideWhenUsed/>
    <w:rsid w:val="008B675D"/>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8B675D"/>
    <w:rPr>
      <w:rFonts w:ascii="Segoe UI" w:hAnsi="Segoe UI" w:cs="Segoe UI"/>
      <w:sz w:val="18"/>
      <w:szCs w:val="18"/>
    </w:rPr>
  </w:style>
  <w:style w:type="paragraph" w:styleId="ac">
    <w:name w:val="List Paragraph"/>
    <w:basedOn w:val="a"/>
    <w:uiPriority w:val="34"/>
    <w:qFormat/>
    <w:rsid w:val="001B16A7"/>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22707">
      <w:bodyDiv w:val="1"/>
      <w:marLeft w:val="0"/>
      <w:marRight w:val="0"/>
      <w:marTop w:val="0"/>
      <w:marBottom w:val="0"/>
      <w:divBdr>
        <w:top w:val="none" w:sz="0" w:space="0" w:color="auto"/>
        <w:left w:val="none" w:sz="0" w:space="0" w:color="auto"/>
        <w:bottom w:val="none" w:sz="0" w:space="0" w:color="auto"/>
        <w:right w:val="none" w:sz="0" w:space="0" w:color="auto"/>
      </w:divBdr>
      <w:divsChild>
        <w:div w:id="848325373">
          <w:marLeft w:val="0"/>
          <w:marRight w:val="0"/>
          <w:marTop w:val="0"/>
          <w:marBottom w:val="150"/>
          <w:divBdr>
            <w:top w:val="none" w:sz="0" w:space="0" w:color="auto"/>
            <w:left w:val="none" w:sz="0" w:space="0" w:color="auto"/>
            <w:bottom w:val="none" w:sz="0" w:space="0" w:color="auto"/>
            <w:right w:val="none" w:sz="0" w:space="0" w:color="auto"/>
          </w:divBdr>
        </w:div>
      </w:divsChild>
    </w:div>
    <w:div w:id="262539324">
      <w:bodyDiv w:val="1"/>
      <w:marLeft w:val="0"/>
      <w:marRight w:val="0"/>
      <w:marTop w:val="0"/>
      <w:marBottom w:val="0"/>
      <w:divBdr>
        <w:top w:val="none" w:sz="0" w:space="0" w:color="auto"/>
        <w:left w:val="none" w:sz="0" w:space="0" w:color="auto"/>
        <w:bottom w:val="none" w:sz="0" w:space="0" w:color="auto"/>
        <w:right w:val="none" w:sz="0" w:space="0" w:color="auto"/>
      </w:divBdr>
      <w:divsChild>
        <w:div w:id="982002141">
          <w:marLeft w:val="0"/>
          <w:marRight w:val="0"/>
          <w:marTop w:val="0"/>
          <w:marBottom w:val="150"/>
          <w:divBdr>
            <w:top w:val="none" w:sz="0" w:space="0" w:color="auto"/>
            <w:left w:val="none" w:sz="0" w:space="0" w:color="auto"/>
            <w:bottom w:val="none" w:sz="0" w:space="0" w:color="auto"/>
            <w:right w:val="none" w:sz="0" w:space="0" w:color="auto"/>
          </w:divBdr>
        </w:div>
        <w:div w:id="667749221">
          <w:marLeft w:val="0"/>
          <w:marRight w:val="0"/>
          <w:marTop w:val="0"/>
          <w:marBottom w:val="150"/>
          <w:divBdr>
            <w:top w:val="none" w:sz="0" w:space="0" w:color="auto"/>
            <w:left w:val="none" w:sz="0" w:space="0" w:color="auto"/>
            <w:bottom w:val="none" w:sz="0" w:space="0" w:color="auto"/>
            <w:right w:val="none" w:sz="0" w:space="0" w:color="auto"/>
          </w:divBdr>
        </w:div>
      </w:divsChild>
    </w:div>
    <w:div w:id="392434521">
      <w:bodyDiv w:val="1"/>
      <w:marLeft w:val="0"/>
      <w:marRight w:val="0"/>
      <w:marTop w:val="0"/>
      <w:marBottom w:val="0"/>
      <w:divBdr>
        <w:top w:val="none" w:sz="0" w:space="0" w:color="auto"/>
        <w:left w:val="none" w:sz="0" w:space="0" w:color="auto"/>
        <w:bottom w:val="none" w:sz="0" w:space="0" w:color="auto"/>
        <w:right w:val="none" w:sz="0" w:space="0" w:color="auto"/>
      </w:divBdr>
      <w:divsChild>
        <w:div w:id="462774788">
          <w:marLeft w:val="0"/>
          <w:marRight w:val="0"/>
          <w:marTop w:val="0"/>
          <w:marBottom w:val="0"/>
          <w:divBdr>
            <w:top w:val="none" w:sz="0" w:space="0" w:color="auto"/>
            <w:left w:val="none" w:sz="0" w:space="0" w:color="auto"/>
            <w:bottom w:val="none" w:sz="0" w:space="0" w:color="auto"/>
            <w:right w:val="none" w:sz="0" w:space="0" w:color="auto"/>
          </w:divBdr>
        </w:div>
        <w:div w:id="1349987326">
          <w:marLeft w:val="0"/>
          <w:marRight w:val="0"/>
          <w:marTop w:val="0"/>
          <w:marBottom w:val="0"/>
          <w:divBdr>
            <w:top w:val="none" w:sz="0" w:space="0" w:color="auto"/>
            <w:left w:val="none" w:sz="0" w:space="0" w:color="auto"/>
            <w:bottom w:val="none" w:sz="0" w:space="0" w:color="auto"/>
            <w:right w:val="none" w:sz="0" w:space="0" w:color="auto"/>
          </w:divBdr>
        </w:div>
        <w:div w:id="1912812847">
          <w:marLeft w:val="0"/>
          <w:marRight w:val="0"/>
          <w:marTop w:val="0"/>
          <w:marBottom w:val="0"/>
          <w:divBdr>
            <w:top w:val="none" w:sz="0" w:space="0" w:color="auto"/>
            <w:left w:val="none" w:sz="0" w:space="0" w:color="auto"/>
            <w:bottom w:val="none" w:sz="0" w:space="0" w:color="auto"/>
            <w:right w:val="none" w:sz="0" w:space="0" w:color="auto"/>
          </w:divBdr>
        </w:div>
        <w:div w:id="1690254694">
          <w:marLeft w:val="0"/>
          <w:marRight w:val="0"/>
          <w:marTop w:val="0"/>
          <w:marBottom w:val="0"/>
          <w:divBdr>
            <w:top w:val="none" w:sz="0" w:space="0" w:color="auto"/>
            <w:left w:val="none" w:sz="0" w:space="0" w:color="auto"/>
            <w:bottom w:val="none" w:sz="0" w:space="0" w:color="auto"/>
            <w:right w:val="none" w:sz="0" w:space="0" w:color="auto"/>
          </w:divBdr>
        </w:div>
      </w:divsChild>
    </w:div>
    <w:div w:id="443423340">
      <w:bodyDiv w:val="1"/>
      <w:marLeft w:val="0"/>
      <w:marRight w:val="0"/>
      <w:marTop w:val="0"/>
      <w:marBottom w:val="0"/>
      <w:divBdr>
        <w:top w:val="none" w:sz="0" w:space="0" w:color="auto"/>
        <w:left w:val="none" w:sz="0" w:space="0" w:color="auto"/>
        <w:bottom w:val="none" w:sz="0" w:space="0" w:color="auto"/>
        <w:right w:val="none" w:sz="0" w:space="0" w:color="auto"/>
      </w:divBdr>
    </w:div>
    <w:div w:id="671840477">
      <w:bodyDiv w:val="1"/>
      <w:marLeft w:val="0"/>
      <w:marRight w:val="0"/>
      <w:marTop w:val="0"/>
      <w:marBottom w:val="0"/>
      <w:divBdr>
        <w:top w:val="none" w:sz="0" w:space="0" w:color="auto"/>
        <w:left w:val="none" w:sz="0" w:space="0" w:color="auto"/>
        <w:bottom w:val="none" w:sz="0" w:space="0" w:color="auto"/>
        <w:right w:val="none" w:sz="0" w:space="0" w:color="auto"/>
      </w:divBdr>
      <w:divsChild>
        <w:div w:id="1616642503">
          <w:marLeft w:val="0"/>
          <w:marRight w:val="0"/>
          <w:marTop w:val="0"/>
          <w:marBottom w:val="150"/>
          <w:divBdr>
            <w:top w:val="none" w:sz="0" w:space="0" w:color="auto"/>
            <w:left w:val="none" w:sz="0" w:space="0" w:color="auto"/>
            <w:bottom w:val="none" w:sz="0" w:space="0" w:color="auto"/>
            <w:right w:val="none" w:sz="0" w:space="0" w:color="auto"/>
          </w:divBdr>
        </w:div>
      </w:divsChild>
    </w:div>
    <w:div w:id="698238269">
      <w:bodyDiv w:val="1"/>
      <w:marLeft w:val="0"/>
      <w:marRight w:val="0"/>
      <w:marTop w:val="0"/>
      <w:marBottom w:val="0"/>
      <w:divBdr>
        <w:top w:val="none" w:sz="0" w:space="0" w:color="auto"/>
        <w:left w:val="none" w:sz="0" w:space="0" w:color="auto"/>
        <w:bottom w:val="none" w:sz="0" w:space="0" w:color="auto"/>
        <w:right w:val="none" w:sz="0" w:space="0" w:color="auto"/>
      </w:divBdr>
      <w:divsChild>
        <w:div w:id="1527475851">
          <w:marLeft w:val="0"/>
          <w:marRight w:val="0"/>
          <w:marTop w:val="0"/>
          <w:marBottom w:val="150"/>
          <w:divBdr>
            <w:top w:val="none" w:sz="0" w:space="0" w:color="auto"/>
            <w:left w:val="none" w:sz="0" w:space="0" w:color="auto"/>
            <w:bottom w:val="none" w:sz="0" w:space="0" w:color="auto"/>
            <w:right w:val="none" w:sz="0" w:space="0" w:color="auto"/>
          </w:divBdr>
        </w:div>
      </w:divsChild>
    </w:div>
    <w:div w:id="700546151">
      <w:bodyDiv w:val="1"/>
      <w:marLeft w:val="0"/>
      <w:marRight w:val="0"/>
      <w:marTop w:val="0"/>
      <w:marBottom w:val="0"/>
      <w:divBdr>
        <w:top w:val="none" w:sz="0" w:space="0" w:color="auto"/>
        <w:left w:val="none" w:sz="0" w:space="0" w:color="auto"/>
        <w:bottom w:val="none" w:sz="0" w:space="0" w:color="auto"/>
        <w:right w:val="none" w:sz="0" w:space="0" w:color="auto"/>
      </w:divBdr>
      <w:divsChild>
        <w:div w:id="929434926">
          <w:marLeft w:val="0"/>
          <w:marRight w:val="0"/>
          <w:marTop w:val="0"/>
          <w:marBottom w:val="150"/>
          <w:divBdr>
            <w:top w:val="none" w:sz="0" w:space="0" w:color="auto"/>
            <w:left w:val="none" w:sz="0" w:space="0" w:color="auto"/>
            <w:bottom w:val="none" w:sz="0" w:space="0" w:color="auto"/>
            <w:right w:val="none" w:sz="0" w:space="0" w:color="auto"/>
          </w:divBdr>
        </w:div>
      </w:divsChild>
    </w:div>
    <w:div w:id="773137532">
      <w:bodyDiv w:val="1"/>
      <w:marLeft w:val="0"/>
      <w:marRight w:val="0"/>
      <w:marTop w:val="0"/>
      <w:marBottom w:val="0"/>
      <w:divBdr>
        <w:top w:val="none" w:sz="0" w:space="0" w:color="auto"/>
        <w:left w:val="none" w:sz="0" w:space="0" w:color="auto"/>
        <w:bottom w:val="none" w:sz="0" w:space="0" w:color="auto"/>
        <w:right w:val="none" w:sz="0" w:space="0" w:color="auto"/>
      </w:divBdr>
      <w:divsChild>
        <w:div w:id="1492214090">
          <w:marLeft w:val="0"/>
          <w:marRight w:val="0"/>
          <w:marTop w:val="0"/>
          <w:marBottom w:val="150"/>
          <w:divBdr>
            <w:top w:val="none" w:sz="0" w:space="0" w:color="auto"/>
            <w:left w:val="none" w:sz="0" w:space="0" w:color="auto"/>
            <w:bottom w:val="none" w:sz="0" w:space="0" w:color="auto"/>
            <w:right w:val="none" w:sz="0" w:space="0" w:color="auto"/>
          </w:divBdr>
        </w:div>
      </w:divsChild>
    </w:div>
    <w:div w:id="840395674">
      <w:bodyDiv w:val="1"/>
      <w:marLeft w:val="0"/>
      <w:marRight w:val="0"/>
      <w:marTop w:val="0"/>
      <w:marBottom w:val="0"/>
      <w:divBdr>
        <w:top w:val="none" w:sz="0" w:space="0" w:color="auto"/>
        <w:left w:val="none" w:sz="0" w:space="0" w:color="auto"/>
        <w:bottom w:val="none" w:sz="0" w:space="0" w:color="auto"/>
        <w:right w:val="none" w:sz="0" w:space="0" w:color="auto"/>
      </w:divBdr>
    </w:div>
    <w:div w:id="852843405">
      <w:bodyDiv w:val="1"/>
      <w:marLeft w:val="0"/>
      <w:marRight w:val="0"/>
      <w:marTop w:val="0"/>
      <w:marBottom w:val="0"/>
      <w:divBdr>
        <w:top w:val="none" w:sz="0" w:space="0" w:color="auto"/>
        <w:left w:val="none" w:sz="0" w:space="0" w:color="auto"/>
        <w:bottom w:val="none" w:sz="0" w:space="0" w:color="auto"/>
        <w:right w:val="none" w:sz="0" w:space="0" w:color="auto"/>
      </w:divBdr>
    </w:div>
    <w:div w:id="900098038">
      <w:bodyDiv w:val="1"/>
      <w:marLeft w:val="0"/>
      <w:marRight w:val="0"/>
      <w:marTop w:val="0"/>
      <w:marBottom w:val="0"/>
      <w:divBdr>
        <w:top w:val="none" w:sz="0" w:space="0" w:color="auto"/>
        <w:left w:val="none" w:sz="0" w:space="0" w:color="auto"/>
        <w:bottom w:val="none" w:sz="0" w:space="0" w:color="auto"/>
        <w:right w:val="none" w:sz="0" w:space="0" w:color="auto"/>
      </w:divBdr>
      <w:divsChild>
        <w:div w:id="854030920">
          <w:marLeft w:val="0"/>
          <w:marRight w:val="0"/>
          <w:marTop w:val="0"/>
          <w:marBottom w:val="150"/>
          <w:divBdr>
            <w:top w:val="none" w:sz="0" w:space="0" w:color="auto"/>
            <w:left w:val="none" w:sz="0" w:space="0" w:color="auto"/>
            <w:bottom w:val="none" w:sz="0" w:space="0" w:color="auto"/>
            <w:right w:val="none" w:sz="0" w:space="0" w:color="auto"/>
          </w:divBdr>
        </w:div>
        <w:div w:id="69469910">
          <w:marLeft w:val="0"/>
          <w:marRight w:val="0"/>
          <w:marTop w:val="0"/>
          <w:marBottom w:val="150"/>
          <w:divBdr>
            <w:top w:val="none" w:sz="0" w:space="0" w:color="auto"/>
            <w:left w:val="none" w:sz="0" w:space="0" w:color="auto"/>
            <w:bottom w:val="none" w:sz="0" w:space="0" w:color="auto"/>
            <w:right w:val="none" w:sz="0" w:space="0" w:color="auto"/>
          </w:divBdr>
        </w:div>
        <w:div w:id="249393505">
          <w:marLeft w:val="0"/>
          <w:marRight w:val="0"/>
          <w:marTop w:val="0"/>
          <w:marBottom w:val="150"/>
          <w:divBdr>
            <w:top w:val="none" w:sz="0" w:space="0" w:color="auto"/>
            <w:left w:val="none" w:sz="0" w:space="0" w:color="auto"/>
            <w:bottom w:val="none" w:sz="0" w:space="0" w:color="auto"/>
            <w:right w:val="none" w:sz="0" w:space="0" w:color="auto"/>
          </w:divBdr>
        </w:div>
      </w:divsChild>
    </w:div>
    <w:div w:id="914358808">
      <w:bodyDiv w:val="1"/>
      <w:marLeft w:val="0"/>
      <w:marRight w:val="0"/>
      <w:marTop w:val="0"/>
      <w:marBottom w:val="0"/>
      <w:divBdr>
        <w:top w:val="none" w:sz="0" w:space="0" w:color="auto"/>
        <w:left w:val="none" w:sz="0" w:space="0" w:color="auto"/>
        <w:bottom w:val="none" w:sz="0" w:space="0" w:color="auto"/>
        <w:right w:val="none" w:sz="0" w:space="0" w:color="auto"/>
      </w:divBdr>
    </w:div>
    <w:div w:id="1105267707">
      <w:bodyDiv w:val="1"/>
      <w:marLeft w:val="0"/>
      <w:marRight w:val="0"/>
      <w:marTop w:val="0"/>
      <w:marBottom w:val="0"/>
      <w:divBdr>
        <w:top w:val="none" w:sz="0" w:space="0" w:color="auto"/>
        <w:left w:val="none" w:sz="0" w:space="0" w:color="auto"/>
        <w:bottom w:val="none" w:sz="0" w:space="0" w:color="auto"/>
        <w:right w:val="none" w:sz="0" w:space="0" w:color="auto"/>
      </w:divBdr>
    </w:div>
    <w:div w:id="1273122773">
      <w:bodyDiv w:val="1"/>
      <w:marLeft w:val="0"/>
      <w:marRight w:val="0"/>
      <w:marTop w:val="0"/>
      <w:marBottom w:val="0"/>
      <w:divBdr>
        <w:top w:val="none" w:sz="0" w:space="0" w:color="auto"/>
        <w:left w:val="none" w:sz="0" w:space="0" w:color="auto"/>
        <w:bottom w:val="none" w:sz="0" w:space="0" w:color="auto"/>
        <w:right w:val="none" w:sz="0" w:space="0" w:color="auto"/>
      </w:divBdr>
      <w:divsChild>
        <w:div w:id="248201197">
          <w:marLeft w:val="0"/>
          <w:marRight w:val="0"/>
          <w:marTop w:val="0"/>
          <w:marBottom w:val="0"/>
          <w:divBdr>
            <w:top w:val="none" w:sz="0" w:space="0" w:color="auto"/>
            <w:left w:val="none" w:sz="0" w:space="0" w:color="auto"/>
            <w:bottom w:val="none" w:sz="0" w:space="0" w:color="auto"/>
            <w:right w:val="none" w:sz="0" w:space="0" w:color="auto"/>
          </w:divBdr>
        </w:div>
      </w:divsChild>
    </w:div>
    <w:div w:id="1336305954">
      <w:bodyDiv w:val="1"/>
      <w:marLeft w:val="0"/>
      <w:marRight w:val="0"/>
      <w:marTop w:val="0"/>
      <w:marBottom w:val="0"/>
      <w:divBdr>
        <w:top w:val="none" w:sz="0" w:space="0" w:color="auto"/>
        <w:left w:val="none" w:sz="0" w:space="0" w:color="auto"/>
        <w:bottom w:val="none" w:sz="0" w:space="0" w:color="auto"/>
        <w:right w:val="none" w:sz="0" w:space="0" w:color="auto"/>
      </w:divBdr>
      <w:divsChild>
        <w:div w:id="31537815">
          <w:marLeft w:val="0"/>
          <w:marRight w:val="0"/>
          <w:marTop w:val="0"/>
          <w:marBottom w:val="0"/>
          <w:divBdr>
            <w:top w:val="none" w:sz="0" w:space="0" w:color="auto"/>
            <w:left w:val="none" w:sz="0" w:space="0" w:color="auto"/>
            <w:bottom w:val="none" w:sz="0" w:space="0" w:color="auto"/>
            <w:right w:val="none" w:sz="0" w:space="0" w:color="auto"/>
          </w:divBdr>
        </w:div>
      </w:divsChild>
    </w:div>
    <w:div w:id="1369183213">
      <w:bodyDiv w:val="1"/>
      <w:marLeft w:val="0"/>
      <w:marRight w:val="0"/>
      <w:marTop w:val="0"/>
      <w:marBottom w:val="0"/>
      <w:divBdr>
        <w:top w:val="none" w:sz="0" w:space="0" w:color="auto"/>
        <w:left w:val="none" w:sz="0" w:space="0" w:color="auto"/>
        <w:bottom w:val="none" w:sz="0" w:space="0" w:color="auto"/>
        <w:right w:val="none" w:sz="0" w:space="0" w:color="auto"/>
      </w:divBdr>
      <w:divsChild>
        <w:div w:id="1551258322">
          <w:marLeft w:val="0"/>
          <w:marRight w:val="0"/>
          <w:marTop w:val="0"/>
          <w:marBottom w:val="150"/>
          <w:divBdr>
            <w:top w:val="none" w:sz="0" w:space="0" w:color="auto"/>
            <w:left w:val="none" w:sz="0" w:space="0" w:color="auto"/>
            <w:bottom w:val="none" w:sz="0" w:space="0" w:color="auto"/>
            <w:right w:val="none" w:sz="0" w:space="0" w:color="auto"/>
          </w:divBdr>
        </w:div>
      </w:divsChild>
    </w:div>
    <w:div w:id="1423838625">
      <w:bodyDiv w:val="1"/>
      <w:marLeft w:val="0"/>
      <w:marRight w:val="0"/>
      <w:marTop w:val="0"/>
      <w:marBottom w:val="0"/>
      <w:divBdr>
        <w:top w:val="none" w:sz="0" w:space="0" w:color="auto"/>
        <w:left w:val="none" w:sz="0" w:space="0" w:color="auto"/>
        <w:bottom w:val="none" w:sz="0" w:space="0" w:color="auto"/>
        <w:right w:val="none" w:sz="0" w:space="0" w:color="auto"/>
      </w:divBdr>
      <w:divsChild>
        <w:div w:id="2054500347">
          <w:marLeft w:val="0"/>
          <w:marRight w:val="0"/>
          <w:marTop w:val="0"/>
          <w:marBottom w:val="0"/>
          <w:divBdr>
            <w:top w:val="none" w:sz="0" w:space="0" w:color="auto"/>
            <w:left w:val="none" w:sz="0" w:space="0" w:color="auto"/>
            <w:bottom w:val="none" w:sz="0" w:space="0" w:color="auto"/>
            <w:right w:val="none" w:sz="0" w:space="0" w:color="auto"/>
          </w:divBdr>
        </w:div>
      </w:divsChild>
    </w:div>
    <w:div w:id="1487940346">
      <w:bodyDiv w:val="1"/>
      <w:marLeft w:val="0"/>
      <w:marRight w:val="0"/>
      <w:marTop w:val="0"/>
      <w:marBottom w:val="0"/>
      <w:divBdr>
        <w:top w:val="none" w:sz="0" w:space="0" w:color="auto"/>
        <w:left w:val="none" w:sz="0" w:space="0" w:color="auto"/>
        <w:bottom w:val="none" w:sz="0" w:space="0" w:color="auto"/>
        <w:right w:val="none" w:sz="0" w:space="0" w:color="auto"/>
      </w:divBdr>
    </w:div>
    <w:div w:id="1531258787">
      <w:bodyDiv w:val="1"/>
      <w:marLeft w:val="0"/>
      <w:marRight w:val="0"/>
      <w:marTop w:val="0"/>
      <w:marBottom w:val="0"/>
      <w:divBdr>
        <w:top w:val="none" w:sz="0" w:space="0" w:color="auto"/>
        <w:left w:val="none" w:sz="0" w:space="0" w:color="auto"/>
        <w:bottom w:val="none" w:sz="0" w:space="0" w:color="auto"/>
        <w:right w:val="none" w:sz="0" w:space="0" w:color="auto"/>
      </w:divBdr>
    </w:div>
    <w:div w:id="1684437251">
      <w:bodyDiv w:val="1"/>
      <w:marLeft w:val="0"/>
      <w:marRight w:val="0"/>
      <w:marTop w:val="0"/>
      <w:marBottom w:val="0"/>
      <w:divBdr>
        <w:top w:val="none" w:sz="0" w:space="0" w:color="auto"/>
        <w:left w:val="none" w:sz="0" w:space="0" w:color="auto"/>
        <w:bottom w:val="none" w:sz="0" w:space="0" w:color="auto"/>
        <w:right w:val="none" w:sz="0" w:space="0" w:color="auto"/>
      </w:divBdr>
      <w:divsChild>
        <w:div w:id="956521327">
          <w:marLeft w:val="0"/>
          <w:marRight w:val="0"/>
          <w:marTop w:val="0"/>
          <w:marBottom w:val="0"/>
          <w:divBdr>
            <w:top w:val="none" w:sz="0" w:space="0" w:color="auto"/>
            <w:left w:val="none" w:sz="0" w:space="0" w:color="auto"/>
            <w:bottom w:val="none" w:sz="0" w:space="0" w:color="auto"/>
            <w:right w:val="none" w:sz="0" w:space="0" w:color="auto"/>
          </w:divBdr>
        </w:div>
      </w:divsChild>
    </w:div>
    <w:div w:id="1691026214">
      <w:bodyDiv w:val="1"/>
      <w:marLeft w:val="0"/>
      <w:marRight w:val="0"/>
      <w:marTop w:val="0"/>
      <w:marBottom w:val="0"/>
      <w:divBdr>
        <w:top w:val="none" w:sz="0" w:space="0" w:color="auto"/>
        <w:left w:val="none" w:sz="0" w:space="0" w:color="auto"/>
        <w:bottom w:val="none" w:sz="0" w:space="0" w:color="auto"/>
        <w:right w:val="none" w:sz="0" w:space="0" w:color="auto"/>
      </w:divBdr>
      <w:divsChild>
        <w:div w:id="1597136401">
          <w:marLeft w:val="0"/>
          <w:marRight w:val="0"/>
          <w:marTop w:val="0"/>
          <w:marBottom w:val="0"/>
          <w:divBdr>
            <w:top w:val="none" w:sz="0" w:space="0" w:color="auto"/>
            <w:left w:val="none" w:sz="0" w:space="0" w:color="auto"/>
            <w:bottom w:val="none" w:sz="0" w:space="0" w:color="auto"/>
            <w:right w:val="none" w:sz="0" w:space="0" w:color="auto"/>
          </w:divBdr>
        </w:div>
      </w:divsChild>
    </w:div>
    <w:div w:id="1808087426">
      <w:bodyDiv w:val="1"/>
      <w:marLeft w:val="0"/>
      <w:marRight w:val="0"/>
      <w:marTop w:val="0"/>
      <w:marBottom w:val="0"/>
      <w:divBdr>
        <w:top w:val="none" w:sz="0" w:space="0" w:color="auto"/>
        <w:left w:val="none" w:sz="0" w:space="0" w:color="auto"/>
        <w:bottom w:val="none" w:sz="0" w:space="0" w:color="auto"/>
        <w:right w:val="none" w:sz="0" w:space="0" w:color="auto"/>
      </w:divBdr>
      <w:divsChild>
        <w:div w:id="366686935">
          <w:marLeft w:val="0"/>
          <w:marRight w:val="0"/>
          <w:marTop w:val="0"/>
          <w:marBottom w:val="0"/>
          <w:divBdr>
            <w:top w:val="none" w:sz="0" w:space="0" w:color="auto"/>
            <w:left w:val="none" w:sz="0" w:space="0" w:color="auto"/>
            <w:bottom w:val="none" w:sz="0" w:space="0" w:color="auto"/>
            <w:right w:val="none" w:sz="0" w:space="0" w:color="auto"/>
          </w:divBdr>
        </w:div>
      </w:divsChild>
    </w:div>
    <w:div w:id="1885097179">
      <w:bodyDiv w:val="1"/>
      <w:marLeft w:val="0"/>
      <w:marRight w:val="0"/>
      <w:marTop w:val="0"/>
      <w:marBottom w:val="0"/>
      <w:divBdr>
        <w:top w:val="none" w:sz="0" w:space="0" w:color="auto"/>
        <w:left w:val="none" w:sz="0" w:space="0" w:color="auto"/>
        <w:bottom w:val="none" w:sz="0" w:space="0" w:color="auto"/>
        <w:right w:val="none" w:sz="0" w:space="0" w:color="auto"/>
      </w:divBdr>
      <w:divsChild>
        <w:div w:id="806967888">
          <w:marLeft w:val="0"/>
          <w:marRight w:val="0"/>
          <w:marTop w:val="0"/>
          <w:marBottom w:val="0"/>
          <w:divBdr>
            <w:top w:val="none" w:sz="0" w:space="0" w:color="auto"/>
            <w:left w:val="none" w:sz="0" w:space="0" w:color="auto"/>
            <w:bottom w:val="none" w:sz="0" w:space="0" w:color="auto"/>
            <w:right w:val="none" w:sz="0" w:space="0" w:color="auto"/>
          </w:divBdr>
        </w:div>
        <w:div w:id="1682051012">
          <w:marLeft w:val="0"/>
          <w:marRight w:val="0"/>
          <w:marTop w:val="0"/>
          <w:marBottom w:val="0"/>
          <w:divBdr>
            <w:top w:val="none" w:sz="0" w:space="0" w:color="auto"/>
            <w:left w:val="none" w:sz="0" w:space="0" w:color="auto"/>
            <w:bottom w:val="none" w:sz="0" w:space="0" w:color="auto"/>
            <w:right w:val="none" w:sz="0" w:space="0" w:color="auto"/>
          </w:divBdr>
        </w:div>
        <w:div w:id="391974901">
          <w:marLeft w:val="0"/>
          <w:marRight w:val="0"/>
          <w:marTop w:val="0"/>
          <w:marBottom w:val="0"/>
          <w:divBdr>
            <w:top w:val="none" w:sz="0" w:space="0" w:color="auto"/>
            <w:left w:val="none" w:sz="0" w:space="0" w:color="auto"/>
            <w:bottom w:val="none" w:sz="0" w:space="0" w:color="auto"/>
            <w:right w:val="none" w:sz="0" w:space="0" w:color="auto"/>
          </w:divBdr>
        </w:div>
      </w:divsChild>
    </w:div>
    <w:div w:id="1962567298">
      <w:bodyDiv w:val="1"/>
      <w:marLeft w:val="0"/>
      <w:marRight w:val="0"/>
      <w:marTop w:val="0"/>
      <w:marBottom w:val="0"/>
      <w:divBdr>
        <w:top w:val="none" w:sz="0" w:space="0" w:color="auto"/>
        <w:left w:val="none" w:sz="0" w:space="0" w:color="auto"/>
        <w:bottom w:val="none" w:sz="0" w:space="0" w:color="auto"/>
        <w:right w:val="none" w:sz="0" w:space="0" w:color="auto"/>
      </w:divBdr>
      <w:divsChild>
        <w:div w:id="817184222">
          <w:marLeft w:val="0"/>
          <w:marRight w:val="0"/>
          <w:marTop w:val="0"/>
          <w:marBottom w:val="150"/>
          <w:divBdr>
            <w:top w:val="none" w:sz="0" w:space="0" w:color="auto"/>
            <w:left w:val="none" w:sz="0" w:space="0" w:color="auto"/>
            <w:bottom w:val="none" w:sz="0" w:space="0" w:color="auto"/>
            <w:right w:val="none" w:sz="0" w:space="0" w:color="auto"/>
          </w:divBdr>
        </w:div>
      </w:divsChild>
    </w:div>
    <w:div w:id="1977106920">
      <w:bodyDiv w:val="1"/>
      <w:marLeft w:val="0"/>
      <w:marRight w:val="0"/>
      <w:marTop w:val="0"/>
      <w:marBottom w:val="0"/>
      <w:divBdr>
        <w:top w:val="none" w:sz="0" w:space="0" w:color="auto"/>
        <w:left w:val="none" w:sz="0" w:space="0" w:color="auto"/>
        <w:bottom w:val="none" w:sz="0" w:space="0" w:color="auto"/>
        <w:right w:val="none" w:sz="0" w:space="0" w:color="auto"/>
      </w:divBdr>
    </w:div>
    <w:div w:id="2008701895">
      <w:bodyDiv w:val="1"/>
      <w:marLeft w:val="0"/>
      <w:marRight w:val="0"/>
      <w:marTop w:val="0"/>
      <w:marBottom w:val="0"/>
      <w:divBdr>
        <w:top w:val="none" w:sz="0" w:space="0" w:color="auto"/>
        <w:left w:val="none" w:sz="0" w:space="0" w:color="auto"/>
        <w:bottom w:val="none" w:sz="0" w:space="0" w:color="auto"/>
        <w:right w:val="none" w:sz="0" w:space="0" w:color="auto"/>
      </w:divBdr>
      <w:divsChild>
        <w:div w:id="600186588">
          <w:marLeft w:val="0"/>
          <w:marRight w:val="0"/>
          <w:marTop w:val="0"/>
          <w:marBottom w:val="0"/>
          <w:divBdr>
            <w:top w:val="none" w:sz="0" w:space="0" w:color="auto"/>
            <w:left w:val="none" w:sz="0" w:space="0" w:color="auto"/>
            <w:bottom w:val="none" w:sz="0" w:space="0" w:color="auto"/>
            <w:right w:val="none" w:sz="0" w:space="0" w:color="auto"/>
          </w:divBdr>
          <w:divsChild>
            <w:div w:id="29294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173191">
      <w:bodyDiv w:val="1"/>
      <w:marLeft w:val="0"/>
      <w:marRight w:val="0"/>
      <w:marTop w:val="0"/>
      <w:marBottom w:val="0"/>
      <w:divBdr>
        <w:top w:val="none" w:sz="0" w:space="0" w:color="auto"/>
        <w:left w:val="none" w:sz="0" w:space="0" w:color="auto"/>
        <w:bottom w:val="none" w:sz="0" w:space="0" w:color="auto"/>
        <w:right w:val="none" w:sz="0" w:space="0" w:color="auto"/>
      </w:divBdr>
      <w:divsChild>
        <w:div w:id="529487423">
          <w:marLeft w:val="0"/>
          <w:marRight w:val="0"/>
          <w:marTop w:val="0"/>
          <w:marBottom w:val="0"/>
          <w:divBdr>
            <w:top w:val="none" w:sz="0" w:space="0" w:color="auto"/>
            <w:left w:val="none" w:sz="0" w:space="0" w:color="auto"/>
            <w:bottom w:val="none" w:sz="0" w:space="0" w:color="auto"/>
            <w:right w:val="none" w:sz="0" w:space="0" w:color="auto"/>
          </w:divBdr>
        </w:div>
        <w:div w:id="965769908">
          <w:marLeft w:val="0"/>
          <w:marRight w:val="0"/>
          <w:marTop w:val="0"/>
          <w:marBottom w:val="0"/>
          <w:divBdr>
            <w:top w:val="none" w:sz="0" w:space="0" w:color="auto"/>
            <w:left w:val="none" w:sz="0" w:space="0" w:color="auto"/>
            <w:bottom w:val="none" w:sz="0" w:space="0" w:color="auto"/>
            <w:right w:val="none" w:sz="0" w:space="0" w:color="auto"/>
          </w:divBdr>
        </w:div>
      </w:divsChild>
    </w:div>
    <w:div w:id="2121146497">
      <w:bodyDiv w:val="1"/>
      <w:marLeft w:val="0"/>
      <w:marRight w:val="0"/>
      <w:marTop w:val="0"/>
      <w:marBottom w:val="0"/>
      <w:divBdr>
        <w:top w:val="none" w:sz="0" w:space="0" w:color="auto"/>
        <w:left w:val="none" w:sz="0" w:space="0" w:color="auto"/>
        <w:bottom w:val="none" w:sz="0" w:space="0" w:color="auto"/>
        <w:right w:val="none" w:sz="0" w:space="0" w:color="auto"/>
      </w:divBdr>
      <w:divsChild>
        <w:div w:id="1314329829">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v1965874-18" TargetMode="External"/><Relationship Id="rId21" Type="http://schemas.openxmlformats.org/officeDocument/2006/relationships/hyperlink" Target="https://zakon.rada.gov.ua/laws/show/v1965874-18" TargetMode="External"/><Relationship Id="rId42" Type="http://schemas.openxmlformats.org/officeDocument/2006/relationships/hyperlink" Target="https://zakon.rada.gov.ua/laws/file/imgs/98/p480243n237v1-12.emf" TargetMode="External"/><Relationship Id="rId63" Type="http://schemas.openxmlformats.org/officeDocument/2006/relationships/hyperlink" Target="https://zakon.rada.gov.ua/laws/show/v1965874-18" TargetMode="External"/><Relationship Id="rId84" Type="http://schemas.openxmlformats.org/officeDocument/2006/relationships/image" Target="media/image25.gif"/><Relationship Id="rId138" Type="http://schemas.openxmlformats.org/officeDocument/2006/relationships/image" Target="media/image42.gif"/><Relationship Id="rId107" Type="http://schemas.openxmlformats.org/officeDocument/2006/relationships/hyperlink" Target="https://zakon.rada.gov.ua/laws/file/imgs/98/p480243n276-34.bmp" TargetMode="External"/><Relationship Id="rId11" Type="http://schemas.openxmlformats.org/officeDocument/2006/relationships/hyperlink" Target="https://zakon.rada.gov.ua/laws/show/v1965874-18" TargetMode="External"/><Relationship Id="rId32" Type="http://schemas.openxmlformats.org/officeDocument/2006/relationships/image" Target="media/image7.gif"/><Relationship Id="rId53" Type="http://schemas.openxmlformats.org/officeDocument/2006/relationships/hyperlink" Target="https://zakon.rada.gov.ua/laws/show/v1965874-18" TargetMode="External"/><Relationship Id="rId74" Type="http://schemas.openxmlformats.org/officeDocument/2006/relationships/image" Target="media/image21.gif"/><Relationship Id="rId128" Type="http://schemas.openxmlformats.org/officeDocument/2006/relationships/image" Target="media/image39.gif"/><Relationship Id="rId149" Type="http://schemas.openxmlformats.org/officeDocument/2006/relationships/fontTable" Target="fontTable.xml"/><Relationship Id="rId5" Type="http://schemas.openxmlformats.org/officeDocument/2006/relationships/hyperlink" Target="https://zakon.rada.gov.ua/laws/show/v1965874-18" TargetMode="External"/><Relationship Id="rId95" Type="http://schemas.openxmlformats.org/officeDocument/2006/relationships/hyperlink" Target="https://zakon.rada.gov.ua/laws/file/imgs/98/p480243n275v1-29.emf" TargetMode="External"/><Relationship Id="rId22" Type="http://schemas.openxmlformats.org/officeDocument/2006/relationships/hyperlink" Target="https://zakon.rada.gov.ua/laws/file/imgs/98/p480243n237v1-6.emf" TargetMode="External"/><Relationship Id="rId27" Type="http://schemas.openxmlformats.org/officeDocument/2006/relationships/hyperlink" Target="https://zakon.rada.gov.ua/laws/show/v1965874-18" TargetMode="External"/><Relationship Id="rId43" Type="http://schemas.openxmlformats.org/officeDocument/2006/relationships/image" Target="media/image11.gif"/><Relationship Id="rId48" Type="http://schemas.openxmlformats.org/officeDocument/2006/relationships/hyperlink" Target="https://zakon.rada.gov.ua/laws/show/v1965874-18" TargetMode="External"/><Relationship Id="rId64" Type="http://schemas.openxmlformats.org/officeDocument/2006/relationships/hyperlink" Target="https://zakon.rada.gov.ua/laws/show/v1965874-18" TargetMode="External"/><Relationship Id="rId69" Type="http://schemas.openxmlformats.org/officeDocument/2006/relationships/image" Target="media/image19.gif"/><Relationship Id="rId113" Type="http://schemas.openxmlformats.org/officeDocument/2006/relationships/image" Target="media/image35.gif"/><Relationship Id="rId118" Type="http://schemas.openxmlformats.org/officeDocument/2006/relationships/hyperlink" Target="https://zakon.rada.gov.ua/laws/show/v1965874-18" TargetMode="External"/><Relationship Id="rId134" Type="http://schemas.openxmlformats.org/officeDocument/2006/relationships/hyperlink" Target="https://zakon.rada.gov.ua/laws/show/v1965874-18" TargetMode="External"/><Relationship Id="rId139" Type="http://schemas.openxmlformats.org/officeDocument/2006/relationships/hyperlink" Target="https://zakon.rada.gov.ua/laws/file/imgs/98/p480243n293-45.bmp" TargetMode="External"/><Relationship Id="rId80" Type="http://schemas.openxmlformats.org/officeDocument/2006/relationships/image" Target="media/image23.gif"/><Relationship Id="rId85" Type="http://schemas.openxmlformats.org/officeDocument/2006/relationships/hyperlink" Target="https://zakon.rada.gov.ua/laws/show/v1965874-18" TargetMode="External"/><Relationship Id="rId150" Type="http://schemas.openxmlformats.org/officeDocument/2006/relationships/theme" Target="theme/theme1.xml"/><Relationship Id="rId12" Type="http://schemas.openxmlformats.org/officeDocument/2006/relationships/hyperlink" Target="https://zakon.rada.gov.ua/laws/show/v1965874-18" TargetMode="External"/><Relationship Id="rId17" Type="http://schemas.openxmlformats.org/officeDocument/2006/relationships/hyperlink" Target="https://zakon.rada.gov.ua/laws/file/imgs/98/p480243n325-4.bmp" TargetMode="External"/><Relationship Id="rId33" Type="http://schemas.openxmlformats.org/officeDocument/2006/relationships/hyperlink" Target="https://zakon.rada.gov.ua/laws/show/v1965874-18" TargetMode="External"/><Relationship Id="rId38" Type="http://schemas.openxmlformats.org/officeDocument/2006/relationships/image" Target="media/image9.gif"/><Relationship Id="rId59" Type="http://schemas.openxmlformats.org/officeDocument/2006/relationships/image" Target="media/image16.gif"/><Relationship Id="rId103" Type="http://schemas.openxmlformats.org/officeDocument/2006/relationships/hyperlink" Target="https://zakon.rada.gov.ua/laws/file/imgs/98/p480243n275v1-32.emf" TargetMode="External"/><Relationship Id="rId108" Type="http://schemas.openxmlformats.org/officeDocument/2006/relationships/image" Target="media/image33.gif"/><Relationship Id="rId124" Type="http://schemas.openxmlformats.org/officeDocument/2006/relationships/image" Target="media/image37.gif"/><Relationship Id="rId129" Type="http://schemas.openxmlformats.org/officeDocument/2006/relationships/hyperlink" Target="https://zakon.rada.gov.ua/laws/file/imgs/98/p480243n285v1-41.emf" TargetMode="External"/><Relationship Id="rId54" Type="http://schemas.openxmlformats.org/officeDocument/2006/relationships/hyperlink" Target="https://zakon.rada.gov.ua/laws/show/v1965874-18" TargetMode="External"/><Relationship Id="rId70" Type="http://schemas.openxmlformats.org/officeDocument/2006/relationships/hyperlink" Target="https://zakon.rada.gov.ua/laws/file/imgs/98/p480243n270-21.emf" TargetMode="External"/><Relationship Id="rId75" Type="http://schemas.openxmlformats.org/officeDocument/2006/relationships/hyperlink" Target="https://zakon.rada.gov.ua/laws/show/v1965874-18" TargetMode="External"/><Relationship Id="rId91" Type="http://schemas.openxmlformats.org/officeDocument/2006/relationships/hyperlink" Target="https://zakon.rada.gov.ua/laws/show/v1965874-18" TargetMode="External"/><Relationship Id="rId96" Type="http://schemas.openxmlformats.org/officeDocument/2006/relationships/image" Target="media/image28.gif"/><Relationship Id="rId140" Type="http://schemas.openxmlformats.org/officeDocument/2006/relationships/image" Target="media/image43.gif"/><Relationship Id="rId145" Type="http://schemas.openxmlformats.org/officeDocument/2006/relationships/image" Target="media/image45.gif"/><Relationship Id="rId1" Type="http://schemas.openxmlformats.org/officeDocument/2006/relationships/styles" Target="styles.xml"/><Relationship Id="rId6" Type="http://schemas.openxmlformats.org/officeDocument/2006/relationships/hyperlink" Target="https://zakon.rada.gov.ua/laws/show/v1965874-18" TargetMode="External"/><Relationship Id="rId23" Type="http://schemas.openxmlformats.org/officeDocument/2006/relationships/image" Target="media/image5.gif"/><Relationship Id="rId28" Type="http://schemas.openxmlformats.org/officeDocument/2006/relationships/hyperlink" Target="https://zakon.rada.gov.ua/laws/show/v1965874-18" TargetMode="External"/><Relationship Id="rId49" Type="http://schemas.openxmlformats.org/officeDocument/2006/relationships/hyperlink" Target="https://zakon.rada.gov.ua/laws/file/imgs/98/p480243n239v1-15.emf" TargetMode="External"/><Relationship Id="rId114" Type="http://schemas.openxmlformats.org/officeDocument/2006/relationships/hyperlink" Target="https://zakon.rada.gov.ua/laws/show/v1965874-18" TargetMode="External"/><Relationship Id="rId119" Type="http://schemas.openxmlformats.org/officeDocument/2006/relationships/hyperlink" Target="https://zakon.rada.gov.ua/laws/show/v1965874-18" TargetMode="External"/><Relationship Id="rId44" Type="http://schemas.openxmlformats.org/officeDocument/2006/relationships/hyperlink" Target="https://zakon.rada.gov.ua/laws/file/imgs/98/p480243n238-13.bmp" TargetMode="External"/><Relationship Id="rId60" Type="http://schemas.openxmlformats.org/officeDocument/2006/relationships/hyperlink" Target="https://zakon.rada.gov.ua/laws/show/v1965874-18" TargetMode="External"/><Relationship Id="rId65" Type="http://schemas.openxmlformats.org/officeDocument/2006/relationships/hyperlink" Target="https://zakon.rada.gov.ua/laws/show/v1965874-18" TargetMode="External"/><Relationship Id="rId81" Type="http://schemas.openxmlformats.org/officeDocument/2006/relationships/hyperlink" Target="https://zakon.rada.gov.ua/laws/file/imgs/98/p480243n274-25.bmp" TargetMode="External"/><Relationship Id="rId86" Type="http://schemas.openxmlformats.org/officeDocument/2006/relationships/hyperlink" Target="https://zakon.rada.gov.ua/laws/show/v1965874-18" TargetMode="External"/><Relationship Id="rId130" Type="http://schemas.openxmlformats.org/officeDocument/2006/relationships/image" Target="media/image40.gif"/><Relationship Id="rId135" Type="http://schemas.openxmlformats.org/officeDocument/2006/relationships/hyperlink" Target="https://zakon.rada.gov.ua/laws/file/imgs/98/p480243n285v1-42.emf" TargetMode="External"/><Relationship Id="rId13" Type="http://schemas.openxmlformats.org/officeDocument/2006/relationships/hyperlink" Target="https://zakon.rada.gov.ua/laws/file/imgs/85/p480243n234-2.bmp" TargetMode="External"/><Relationship Id="rId18" Type="http://schemas.openxmlformats.org/officeDocument/2006/relationships/image" Target="media/image3.gif"/><Relationship Id="rId39" Type="http://schemas.openxmlformats.org/officeDocument/2006/relationships/hyperlink" Target="https://zakon.rada.gov.ua/laws/show/v1965874-18" TargetMode="External"/><Relationship Id="rId109" Type="http://schemas.openxmlformats.org/officeDocument/2006/relationships/hyperlink" Target="https://zakon.rada.gov.ua/laws/file/imgs/98/p480243n277v1-35.emf" TargetMode="External"/><Relationship Id="rId34" Type="http://schemas.openxmlformats.org/officeDocument/2006/relationships/hyperlink" Target="https://zakon.rada.gov.ua/laws/file/imgs/98/p480243n237v1-9.emf" TargetMode="External"/><Relationship Id="rId50" Type="http://schemas.openxmlformats.org/officeDocument/2006/relationships/image" Target="media/image14.gif"/><Relationship Id="rId55" Type="http://schemas.openxmlformats.org/officeDocument/2006/relationships/hyperlink" Target="https://zakon.rada.gov.ua/laws/show/v1965874-18" TargetMode="External"/><Relationship Id="rId76" Type="http://schemas.openxmlformats.org/officeDocument/2006/relationships/hyperlink" Target="https://zakon.rada.gov.ua/laws/show/v1965874-18" TargetMode="External"/><Relationship Id="rId97" Type="http://schemas.openxmlformats.org/officeDocument/2006/relationships/hyperlink" Target="https://zakon.rada.gov.ua/laws/show/v1965874-18" TargetMode="External"/><Relationship Id="rId104" Type="http://schemas.openxmlformats.org/officeDocument/2006/relationships/image" Target="media/image31.gif"/><Relationship Id="rId120" Type="http://schemas.openxmlformats.org/officeDocument/2006/relationships/hyperlink" Target="https://zakon.rada.gov.ua/laws/file/imgs/98/p480243n279-37.bmp" TargetMode="External"/><Relationship Id="rId125" Type="http://schemas.openxmlformats.org/officeDocument/2006/relationships/hyperlink" Target="https://zakon.rada.gov.ua/laws/file/imgs/98/p480243n284-39.bmp" TargetMode="External"/><Relationship Id="rId141" Type="http://schemas.openxmlformats.org/officeDocument/2006/relationships/hyperlink" Target="https://zakon.rada.gov.ua/laws/file/imgs/98/p480243n294v1-46.emf" TargetMode="External"/><Relationship Id="rId146" Type="http://schemas.openxmlformats.org/officeDocument/2006/relationships/hyperlink" Target="https://zakon.rada.gov.ua/laws/show/v1965874-18" TargetMode="External"/><Relationship Id="rId7" Type="http://schemas.openxmlformats.org/officeDocument/2006/relationships/hyperlink" Target="https://zakon.rada.gov.ua/laws/show/v1965874-18" TargetMode="External"/><Relationship Id="rId71" Type="http://schemas.openxmlformats.org/officeDocument/2006/relationships/image" Target="media/image20.gif"/><Relationship Id="rId92" Type="http://schemas.openxmlformats.org/officeDocument/2006/relationships/hyperlink" Target="https://zakon.rada.gov.ua/laws/file/imgs/98/p480243n275v1-28.emf" TargetMode="External"/><Relationship Id="rId2" Type="http://schemas.openxmlformats.org/officeDocument/2006/relationships/settings" Target="settings.xml"/><Relationship Id="rId29" Type="http://schemas.openxmlformats.org/officeDocument/2006/relationships/hyperlink" Target="https://zakon.rada.gov.ua/laws/show/v1965874-18" TargetMode="External"/><Relationship Id="rId24" Type="http://schemas.openxmlformats.org/officeDocument/2006/relationships/hyperlink" Target="https://zakon.rada.gov.ua/laws/file/imgs/98/p480243n237v1-7.emf" TargetMode="External"/><Relationship Id="rId40" Type="http://schemas.openxmlformats.org/officeDocument/2006/relationships/hyperlink" Target="https://zakon.rada.gov.ua/laws/file/imgs/98/p480243n237v1-11.emf" TargetMode="External"/><Relationship Id="rId45" Type="http://schemas.openxmlformats.org/officeDocument/2006/relationships/image" Target="media/image12.gif"/><Relationship Id="rId66" Type="http://schemas.openxmlformats.org/officeDocument/2006/relationships/hyperlink" Target="https://zakon.rada.gov.ua/laws/file/imgs/98/p480243n382-19.bmp" TargetMode="External"/><Relationship Id="rId87" Type="http://schemas.openxmlformats.org/officeDocument/2006/relationships/hyperlink" Target="https://zakon.rada.gov.ua/laws/show/v1965874-18" TargetMode="External"/><Relationship Id="rId110" Type="http://schemas.openxmlformats.org/officeDocument/2006/relationships/image" Target="media/image34.gif"/><Relationship Id="rId115" Type="http://schemas.openxmlformats.org/officeDocument/2006/relationships/hyperlink" Target="https://zakon.rada.gov.ua/laws/show/v1965874-18" TargetMode="External"/><Relationship Id="rId131" Type="http://schemas.openxmlformats.org/officeDocument/2006/relationships/hyperlink" Target="https://zakon.rada.gov.ua/laws/file/imgs/98/p480243n285v1-42.emf" TargetMode="External"/><Relationship Id="rId136" Type="http://schemas.openxmlformats.org/officeDocument/2006/relationships/hyperlink" Target="https://zakon.rada.gov.ua/laws/show/v1965874-18" TargetMode="External"/><Relationship Id="rId61" Type="http://schemas.openxmlformats.org/officeDocument/2006/relationships/hyperlink" Target="https://zakon.rada.gov.ua/laws/file/imgs/98/p480243n242v1-18.emf" TargetMode="External"/><Relationship Id="rId82" Type="http://schemas.openxmlformats.org/officeDocument/2006/relationships/image" Target="media/image24.gif"/><Relationship Id="rId19" Type="http://schemas.openxmlformats.org/officeDocument/2006/relationships/hyperlink" Target="https://zakon.rada.gov.ua/laws/file/imgs/98/p480243n237v1-5.emf" TargetMode="External"/><Relationship Id="rId14" Type="http://schemas.openxmlformats.org/officeDocument/2006/relationships/image" Target="media/image1.gif"/><Relationship Id="rId30" Type="http://schemas.openxmlformats.org/officeDocument/2006/relationships/hyperlink" Target="https://zakon.rada.gov.ua/laws/show/v1965874-18" TargetMode="External"/><Relationship Id="rId35" Type="http://schemas.openxmlformats.org/officeDocument/2006/relationships/image" Target="media/image8.gif"/><Relationship Id="rId56" Type="http://schemas.openxmlformats.org/officeDocument/2006/relationships/hyperlink" Target="https://zakon.rada.gov.ua/laws/file/imgs/98/p480243n241-16.bmp" TargetMode="External"/><Relationship Id="rId77" Type="http://schemas.openxmlformats.org/officeDocument/2006/relationships/hyperlink" Target="https://zakon.rada.gov.ua/laws/file/imgs/98/p480243n272-23.bmp" TargetMode="External"/><Relationship Id="rId100" Type="http://schemas.openxmlformats.org/officeDocument/2006/relationships/hyperlink" Target="https://zakon.rada.gov.ua/laws/file/imgs/98/p480243n275v1-31.emf" TargetMode="External"/><Relationship Id="rId105" Type="http://schemas.openxmlformats.org/officeDocument/2006/relationships/hyperlink" Target="https://zakon.rada.gov.ua/laws/file/imgs/98/p480243n275v1-33.emf" TargetMode="External"/><Relationship Id="rId126" Type="http://schemas.openxmlformats.org/officeDocument/2006/relationships/image" Target="media/image38.gif"/><Relationship Id="rId147" Type="http://schemas.openxmlformats.org/officeDocument/2006/relationships/hyperlink" Target="https://zakon.rada.gov.ua/laws/show/v1965874-18" TargetMode="External"/><Relationship Id="rId8" Type="http://schemas.openxmlformats.org/officeDocument/2006/relationships/hyperlink" Target="https://zakon.rada.gov.ua/laws/show/v1965874-18" TargetMode="External"/><Relationship Id="rId51" Type="http://schemas.openxmlformats.org/officeDocument/2006/relationships/hyperlink" Target="https://zakon.rada.gov.ua/laws/show/v1965874-18" TargetMode="External"/><Relationship Id="rId72" Type="http://schemas.openxmlformats.org/officeDocument/2006/relationships/hyperlink" Target="https://zakon.rada.gov.ua/laws/show/v1965874-18" TargetMode="External"/><Relationship Id="rId93" Type="http://schemas.openxmlformats.org/officeDocument/2006/relationships/image" Target="media/image27.gif"/><Relationship Id="rId98" Type="http://schemas.openxmlformats.org/officeDocument/2006/relationships/hyperlink" Target="https://zakon.rada.gov.ua/laws/file/imgs/98/p480243n275v1-30.emf" TargetMode="External"/><Relationship Id="rId121" Type="http://schemas.openxmlformats.org/officeDocument/2006/relationships/image" Target="media/image36.gif"/><Relationship Id="rId142" Type="http://schemas.openxmlformats.org/officeDocument/2006/relationships/image" Target="media/image44.gif"/><Relationship Id="rId3" Type="http://schemas.openxmlformats.org/officeDocument/2006/relationships/webSettings" Target="webSettings.xml"/><Relationship Id="rId25" Type="http://schemas.openxmlformats.org/officeDocument/2006/relationships/image" Target="media/image6.gif"/><Relationship Id="rId46" Type="http://schemas.openxmlformats.org/officeDocument/2006/relationships/hyperlink" Target="https://zakon.rada.gov.ua/laws/file/imgs/98/p480243n239v1-14.emf" TargetMode="External"/><Relationship Id="rId67" Type="http://schemas.openxmlformats.org/officeDocument/2006/relationships/image" Target="media/image18.gif"/><Relationship Id="rId116" Type="http://schemas.openxmlformats.org/officeDocument/2006/relationships/hyperlink" Target="https://zakon.rada.gov.ua/laws/show/v1965874-18" TargetMode="External"/><Relationship Id="rId137" Type="http://schemas.openxmlformats.org/officeDocument/2006/relationships/hyperlink" Target="https://zakon.rada.gov.ua/laws/file/imgs/98/p480243n289-43.bmp" TargetMode="External"/><Relationship Id="rId20" Type="http://schemas.openxmlformats.org/officeDocument/2006/relationships/image" Target="media/image4.gif"/><Relationship Id="rId41" Type="http://schemas.openxmlformats.org/officeDocument/2006/relationships/image" Target="media/image10.gif"/><Relationship Id="rId62" Type="http://schemas.openxmlformats.org/officeDocument/2006/relationships/image" Target="media/image17.gif"/><Relationship Id="rId83" Type="http://schemas.openxmlformats.org/officeDocument/2006/relationships/hyperlink" Target="https://zakon.rada.gov.ua/laws/file/imgs/98/p480243n275v1-26.emf" TargetMode="External"/><Relationship Id="rId88" Type="http://schemas.openxmlformats.org/officeDocument/2006/relationships/hyperlink" Target="https://zakon.rada.gov.ua/laws/file/imgs/98/p480243n275v1-27.emf" TargetMode="External"/><Relationship Id="rId111" Type="http://schemas.openxmlformats.org/officeDocument/2006/relationships/hyperlink" Target="https://zakon.rada.gov.ua/laws/show/v1965874-18" TargetMode="External"/><Relationship Id="rId132" Type="http://schemas.openxmlformats.org/officeDocument/2006/relationships/image" Target="media/image41.gif"/><Relationship Id="rId15" Type="http://schemas.openxmlformats.org/officeDocument/2006/relationships/hyperlink" Target="https://zakon.rada.gov.ua/laws/file/imgs/85/p480243n235-3.emf" TargetMode="External"/><Relationship Id="rId36" Type="http://schemas.openxmlformats.org/officeDocument/2006/relationships/hyperlink" Target="https://zakon.rada.gov.ua/laws/show/v1965874-18" TargetMode="External"/><Relationship Id="rId57" Type="http://schemas.openxmlformats.org/officeDocument/2006/relationships/image" Target="media/image15.gif"/><Relationship Id="rId106" Type="http://schemas.openxmlformats.org/officeDocument/2006/relationships/image" Target="media/image32.gif"/><Relationship Id="rId127" Type="http://schemas.openxmlformats.org/officeDocument/2006/relationships/hyperlink" Target="https://zakon.rada.gov.ua/laws/file/imgs/98/p480243n285v1-40.emf" TargetMode="External"/><Relationship Id="rId10" Type="http://schemas.openxmlformats.org/officeDocument/2006/relationships/hyperlink" Target="mailto:energo2@nerc.gov.ua" TargetMode="External"/><Relationship Id="rId31" Type="http://schemas.openxmlformats.org/officeDocument/2006/relationships/hyperlink" Target="https://zakon.rada.gov.ua/laws/file/imgs/98/p480243n237v1-8.emf" TargetMode="External"/><Relationship Id="rId52" Type="http://schemas.openxmlformats.org/officeDocument/2006/relationships/hyperlink" Target="https://zakon.rada.gov.ua/laws/show/v1965874-18" TargetMode="External"/><Relationship Id="rId73" Type="http://schemas.openxmlformats.org/officeDocument/2006/relationships/hyperlink" Target="https://zakon.rada.gov.ua/laws/show/v1965874-18" TargetMode="External"/><Relationship Id="rId78" Type="http://schemas.openxmlformats.org/officeDocument/2006/relationships/image" Target="media/image22.gif"/><Relationship Id="rId94" Type="http://schemas.openxmlformats.org/officeDocument/2006/relationships/hyperlink" Target="https://zakon.rada.gov.ua/laws/show/v1965874-18" TargetMode="External"/><Relationship Id="rId99" Type="http://schemas.openxmlformats.org/officeDocument/2006/relationships/image" Target="media/image29.gif"/><Relationship Id="rId101" Type="http://schemas.openxmlformats.org/officeDocument/2006/relationships/image" Target="media/image30.gif"/><Relationship Id="rId122" Type="http://schemas.openxmlformats.org/officeDocument/2006/relationships/hyperlink" Target="https://zakon.rada.gov.ua/laws/show/v1965874-18" TargetMode="External"/><Relationship Id="rId143" Type="http://schemas.openxmlformats.org/officeDocument/2006/relationships/hyperlink" Target="https://zakon.rada.gov.ua/laws/show/v1965874-18" TargetMode="External"/><Relationship Id="rId148" Type="http://schemas.openxmlformats.org/officeDocument/2006/relationships/hyperlink" Target="https://zakon.rada.gov.ua/laws/show/v1965874-18" TargetMode="External"/><Relationship Id="rId4" Type="http://schemas.openxmlformats.org/officeDocument/2006/relationships/hyperlink" Target="https://zakon.rada.gov.ua/laws/show/v1965874-18" TargetMode="External"/><Relationship Id="rId9" Type="http://schemas.openxmlformats.org/officeDocument/2006/relationships/hyperlink" Target="https://zakon.rada.gov.ua/laws/show/v1965874-18" TargetMode="External"/><Relationship Id="rId26" Type="http://schemas.openxmlformats.org/officeDocument/2006/relationships/hyperlink" Target="https://zakon.rada.gov.ua/laws/show/v1965874-18" TargetMode="External"/><Relationship Id="rId47" Type="http://schemas.openxmlformats.org/officeDocument/2006/relationships/image" Target="media/image13.gif"/><Relationship Id="rId68" Type="http://schemas.openxmlformats.org/officeDocument/2006/relationships/hyperlink" Target="https://zakon.rada.gov.ua/laws/file/imgs/98/p480243n269-20.bmp" TargetMode="External"/><Relationship Id="rId89" Type="http://schemas.openxmlformats.org/officeDocument/2006/relationships/image" Target="media/image26.gif"/><Relationship Id="rId112" Type="http://schemas.openxmlformats.org/officeDocument/2006/relationships/hyperlink" Target="https://zakon.rada.gov.ua/laws/file/imgs/98/p480243n277v1-36.emf" TargetMode="External"/><Relationship Id="rId133" Type="http://schemas.openxmlformats.org/officeDocument/2006/relationships/hyperlink" Target="https://zakon.rada.gov.ua/laws/show/v1965874-18" TargetMode="External"/><Relationship Id="rId16" Type="http://schemas.openxmlformats.org/officeDocument/2006/relationships/image" Target="media/image2.gif"/><Relationship Id="rId37" Type="http://schemas.openxmlformats.org/officeDocument/2006/relationships/hyperlink" Target="https://zakon.rada.gov.ua/laws/file/imgs/98/p480243n237v1-10.emf" TargetMode="External"/><Relationship Id="rId58" Type="http://schemas.openxmlformats.org/officeDocument/2006/relationships/hyperlink" Target="https://zakon.rada.gov.ua/laws/file/imgs/98/p480243n242v1-17.emf" TargetMode="External"/><Relationship Id="rId79" Type="http://schemas.openxmlformats.org/officeDocument/2006/relationships/hyperlink" Target="https://zakon.rada.gov.ua/laws/file/imgs/98/p480243n273-24.emf" TargetMode="External"/><Relationship Id="rId102" Type="http://schemas.openxmlformats.org/officeDocument/2006/relationships/hyperlink" Target="https://zakon.rada.gov.ua/laws/show/v1965874-18" TargetMode="External"/><Relationship Id="rId123" Type="http://schemas.openxmlformats.org/officeDocument/2006/relationships/hyperlink" Target="https://zakon.rada.gov.ua/laws/file/imgs/98/p480243n282-38.bmp" TargetMode="External"/><Relationship Id="rId144" Type="http://schemas.openxmlformats.org/officeDocument/2006/relationships/hyperlink" Target="https://zakon.rada.gov.ua/laws/file/imgs/98/p480243n294v1-47.emf" TargetMode="External"/><Relationship Id="rId90" Type="http://schemas.openxmlformats.org/officeDocument/2006/relationships/hyperlink" Target="https://zakon.rada.gov.ua/laws/show/v1965874-18"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1178</TotalTime>
  <Pages>22</Pages>
  <Words>40244</Words>
  <Characters>22940</Characters>
  <Application>Microsoft Office Word</Application>
  <DocSecurity>0</DocSecurity>
  <Lines>191</Lines>
  <Paragraphs>126</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63058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 Кічковський</dc:creator>
  <cp:keywords/>
  <dc:description/>
  <cp:lastModifiedBy>Максим Кічковський</cp:lastModifiedBy>
  <cp:revision>25</cp:revision>
  <cp:lastPrinted>2024-03-12T08:35:00Z</cp:lastPrinted>
  <dcterms:created xsi:type="dcterms:W3CDTF">2024-03-08T13:07:00Z</dcterms:created>
  <dcterms:modified xsi:type="dcterms:W3CDTF">2024-03-22T07:35:00Z</dcterms:modified>
</cp:coreProperties>
</file>