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5D10" w:rsidRPr="00525D10" w:rsidRDefault="00525D10" w:rsidP="00525D10">
      <w:pPr>
        <w:spacing w:after="0"/>
        <w:jc w:val="center"/>
        <w:rPr>
          <w:rFonts w:ascii="Times New Roman" w:hAnsi="Times New Roman" w:cs="Times New Roman"/>
          <w:b/>
          <w:sz w:val="28"/>
          <w:szCs w:val="28"/>
          <w:lang w:val="uk-UA"/>
        </w:rPr>
      </w:pPr>
      <w:r w:rsidRPr="00525D10">
        <w:rPr>
          <w:rFonts w:ascii="Times New Roman" w:hAnsi="Times New Roman" w:cs="Times New Roman"/>
          <w:b/>
          <w:sz w:val="28"/>
          <w:szCs w:val="28"/>
          <w:lang w:val="uk-UA"/>
        </w:rPr>
        <w:t>Порівняльна таблиця</w:t>
      </w:r>
    </w:p>
    <w:p w:rsidR="00525D10" w:rsidRDefault="00525D10" w:rsidP="00525D10">
      <w:pPr>
        <w:spacing w:after="0"/>
        <w:jc w:val="center"/>
        <w:rPr>
          <w:rFonts w:ascii="Times New Roman" w:hAnsi="Times New Roman" w:cs="Times New Roman"/>
          <w:b/>
          <w:sz w:val="28"/>
          <w:szCs w:val="28"/>
          <w:lang w:val="uk-UA"/>
        </w:rPr>
      </w:pPr>
      <w:r w:rsidRPr="00525D10">
        <w:rPr>
          <w:rFonts w:ascii="Times New Roman" w:hAnsi="Times New Roman" w:cs="Times New Roman"/>
          <w:b/>
          <w:sz w:val="28"/>
          <w:szCs w:val="28"/>
          <w:lang w:val="uk-UA"/>
        </w:rPr>
        <w:t xml:space="preserve">до </w:t>
      </w:r>
      <w:r w:rsidR="007E6836">
        <w:rPr>
          <w:rFonts w:ascii="Times New Roman" w:hAnsi="Times New Roman" w:cs="Times New Roman"/>
          <w:b/>
          <w:sz w:val="28"/>
          <w:szCs w:val="28"/>
          <w:lang w:val="uk-UA"/>
        </w:rPr>
        <w:t>проє</w:t>
      </w:r>
      <w:r w:rsidR="0050239C" w:rsidRPr="0050239C">
        <w:rPr>
          <w:rFonts w:ascii="Times New Roman" w:hAnsi="Times New Roman" w:cs="Times New Roman"/>
          <w:b/>
          <w:sz w:val="28"/>
          <w:szCs w:val="28"/>
          <w:lang w:val="uk-UA"/>
        </w:rPr>
        <w:t>кту рішення, що має ознаки регуляторного акта – пост</w:t>
      </w:r>
      <w:r w:rsidR="0003440A">
        <w:rPr>
          <w:rFonts w:ascii="Times New Roman" w:hAnsi="Times New Roman" w:cs="Times New Roman"/>
          <w:b/>
          <w:sz w:val="28"/>
          <w:szCs w:val="28"/>
          <w:lang w:val="uk-UA"/>
        </w:rPr>
        <w:t>анови НКРЕКП «</w:t>
      </w:r>
      <w:r w:rsidR="002C329C" w:rsidRPr="002C329C">
        <w:rPr>
          <w:rFonts w:ascii="Times New Roman" w:hAnsi="Times New Roman" w:cs="Times New Roman"/>
          <w:b/>
          <w:sz w:val="28"/>
          <w:szCs w:val="28"/>
          <w:lang w:val="uk-UA"/>
        </w:rPr>
        <w:t>Про затвердження Змін до Методики формування, розрахунку та встановлення тарифів на електричну та (або) теплову енергію, що виробляється на теплоелектроцентралях, теплових електростанціях та когенераційних установках</w:t>
      </w:r>
      <w:r w:rsidR="0050239C" w:rsidRPr="0050239C">
        <w:rPr>
          <w:rFonts w:ascii="Times New Roman" w:hAnsi="Times New Roman" w:cs="Times New Roman"/>
          <w:b/>
          <w:sz w:val="28"/>
          <w:szCs w:val="28"/>
          <w:lang w:val="uk-UA"/>
        </w:rPr>
        <w:t>»</w:t>
      </w:r>
    </w:p>
    <w:p w:rsidR="00347837" w:rsidRPr="00DE3682" w:rsidRDefault="00347837" w:rsidP="00525D10">
      <w:pPr>
        <w:spacing w:after="0"/>
        <w:jc w:val="center"/>
        <w:rPr>
          <w:rFonts w:ascii="Times New Roman" w:hAnsi="Times New Roman" w:cs="Times New Roman"/>
          <w:b/>
          <w:sz w:val="28"/>
          <w:szCs w:val="28"/>
          <w:lang w:val="uk-UA"/>
        </w:rPr>
      </w:pPr>
    </w:p>
    <w:tbl>
      <w:tblPr>
        <w:tblStyle w:val="a3"/>
        <w:tblW w:w="14879" w:type="dxa"/>
        <w:tblLook w:val="04A0" w:firstRow="1" w:lastRow="0" w:firstColumn="1" w:lastColumn="0" w:noHBand="0" w:noVBand="1"/>
      </w:tblPr>
      <w:tblGrid>
        <w:gridCol w:w="7366"/>
        <w:gridCol w:w="7513"/>
      </w:tblGrid>
      <w:tr w:rsidR="0050239C" w:rsidRPr="00DE3682" w:rsidTr="0050239C">
        <w:trPr>
          <w:trHeight w:val="647"/>
        </w:trPr>
        <w:tc>
          <w:tcPr>
            <w:tcW w:w="7366" w:type="dxa"/>
            <w:vAlign w:val="center"/>
          </w:tcPr>
          <w:p w:rsidR="0050239C" w:rsidRPr="00DE3682" w:rsidRDefault="0050239C" w:rsidP="00525D10">
            <w:pPr>
              <w:jc w:val="center"/>
              <w:rPr>
                <w:rFonts w:ascii="Times New Roman" w:hAnsi="Times New Roman" w:cs="Times New Roman"/>
                <w:b/>
                <w:sz w:val="28"/>
                <w:szCs w:val="28"/>
                <w:lang w:val="uk-UA"/>
              </w:rPr>
            </w:pPr>
            <w:r w:rsidRPr="00DE3682">
              <w:rPr>
                <w:rFonts w:ascii="Times New Roman" w:hAnsi="Times New Roman" w:cs="Times New Roman"/>
                <w:b/>
                <w:sz w:val="28"/>
                <w:szCs w:val="28"/>
                <w:lang w:val="uk-UA"/>
              </w:rPr>
              <w:t>Редакція положення проекту Порядку</w:t>
            </w:r>
          </w:p>
        </w:tc>
        <w:tc>
          <w:tcPr>
            <w:tcW w:w="7513" w:type="dxa"/>
            <w:vAlign w:val="center"/>
          </w:tcPr>
          <w:p w:rsidR="0050239C" w:rsidRPr="00DE3682" w:rsidRDefault="0050239C" w:rsidP="00525D10">
            <w:pPr>
              <w:jc w:val="center"/>
              <w:rPr>
                <w:rFonts w:ascii="Times New Roman" w:hAnsi="Times New Roman" w:cs="Times New Roman"/>
                <w:b/>
                <w:sz w:val="28"/>
                <w:szCs w:val="28"/>
                <w:lang w:val="uk-UA"/>
              </w:rPr>
            </w:pPr>
            <w:r>
              <w:rPr>
                <w:rFonts w:ascii="Times New Roman" w:hAnsi="Times New Roman" w:cs="Times New Roman"/>
                <w:b/>
                <w:sz w:val="28"/>
                <w:szCs w:val="28"/>
                <w:lang w:val="uk-UA"/>
              </w:rPr>
              <w:t>Пропозиції НКРЕКП</w:t>
            </w:r>
          </w:p>
        </w:tc>
      </w:tr>
      <w:tr w:rsidR="005228CA" w:rsidRPr="005228CA" w:rsidTr="00EE3C72">
        <w:tc>
          <w:tcPr>
            <w:tcW w:w="14879" w:type="dxa"/>
            <w:gridSpan w:val="2"/>
          </w:tcPr>
          <w:p w:rsidR="005228CA" w:rsidRPr="007809CF" w:rsidRDefault="008A5BDA" w:rsidP="008A5BDA">
            <w:pPr>
              <w:pStyle w:val="rvps2"/>
              <w:shd w:val="clear" w:color="auto" w:fill="FFFFFF"/>
              <w:jc w:val="center"/>
              <w:rPr>
                <w:color w:val="000000"/>
                <w:lang w:val="uk-UA"/>
              </w:rPr>
            </w:pPr>
            <w:r w:rsidRPr="007809CF">
              <w:rPr>
                <w:lang w:val="uk-UA"/>
              </w:rPr>
              <w:t>3. Визначення величини і групування планованих витрат</w:t>
            </w:r>
          </w:p>
        </w:tc>
      </w:tr>
      <w:tr w:rsidR="00B367DE" w:rsidRPr="008A5BDA" w:rsidTr="0050239C">
        <w:tc>
          <w:tcPr>
            <w:tcW w:w="7366" w:type="dxa"/>
          </w:tcPr>
          <w:p w:rsidR="00B367DE" w:rsidRPr="00E2459D" w:rsidRDefault="00B367DE" w:rsidP="00B367DE">
            <w:pPr>
              <w:pStyle w:val="rvps2"/>
              <w:shd w:val="clear" w:color="auto" w:fill="FFFFFF"/>
              <w:rPr>
                <w:lang w:val="uk-UA"/>
              </w:rPr>
            </w:pPr>
            <w:r w:rsidRPr="00E2459D">
              <w:rPr>
                <w:lang w:val="uk-UA"/>
              </w:rPr>
              <w:t>3.3. До складу виробничої собівартості електричної та (або) теплової енергії включаються:</w:t>
            </w:r>
          </w:p>
          <w:p w:rsidR="001E47CE" w:rsidRPr="00447BC3" w:rsidRDefault="001E47CE" w:rsidP="00B367DE">
            <w:pPr>
              <w:pStyle w:val="rvps2"/>
              <w:shd w:val="clear" w:color="auto" w:fill="FFFFFF"/>
              <w:rPr>
                <w:sz w:val="26"/>
                <w:szCs w:val="26"/>
                <w:lang w:val="uk-UA"/>
              </w:rPr>
            </w:pPr>
          </w:p>
          <w:p w:rsidR="001E47CE" w:rsidRDefault="001E47CE" w:rsidP="00875A6B">
            <w:pPr>
              <w:pStyle w:val="rvps2"/>
              <w:shd w:val="clear" w:color="auto" w:fill="FFFFFF"/>
              <w:rPr>
                <w:lang w:val="uk-UA"/>
              </w:rPr>
            </w:pPr>
            <w:bookmarkStart w:id="0" w:name="n60"/>
            <w:bookmarkEnd w:id="0"/>
            <w:r w:rsidRPr="001E47CE">
              <w:rPr>
                <w:lang w:val="uk-UA"/>
              </w:rPr>
              <w:t>1) паливо, а саме:</w:t>
            </w:r>
          </w:p>
          <w:p w:rsidR="001E47CE" w:rsidRDefault="001E47CE" w:rsidP="00875A6B">
            <w:pPr>
              <w:pStyle w:val="rvps2"/>
              <w:shd w:val="clear" w:color="auto" w:fill="FFFFFF"/>
              <w:rPr>
                <w:lang w:val="uk-UA"/>
              </w:rPr>
            </w:pPr>
            <w:r w:rsidRPr="001E47CE">
              <w:rPr>
                <w:lang w:val="uk-UA"/>
              </w:rPr>
              <w:t xml:space="preserve"> витрати на придбання палива та його транспортування для виробництва електричної та (або) теплової енергії, які визначаються виходячи з планованого обсягу відпуску/виробництва електричної та (або) теплової енергії відповідно до річного плану виробництва, питомих норм витрат паливно-енергетичних ресурсів, визначених, затверджених та погоджених в установленому порядку, діючих/планованих цін (тарифів) на паливно-енергетичні ресурси та послуги (витрати) з їх транспортування, тобто з урахуванням усіх планованих логістичних ланцюгів транспортування паливно-енергетичних ресурсів, калорійних еквівалентів, обсягу енергії природного газу, визначених умовами договору, сертифікатами постачальників чи даними базового періоду. </w:t>
            </w:r>
          </w:p>
          <w:p w:rsidR="001E47CE" w:rsidRDefault="001E47CE" w:rsidP="00875A6B">
            <w:pPr>
              <w:pStyle w:val="rvps2"/>
              <w:shd w:val="clear" w:color="auto" w:fill="FFFFFF"/>
              <w:rPr>
                <w:lang w:val="uk-UA"/>
              </w:rPr>
            </w:pPr>
            <w:r w:rsidRPr="001E47CE">
              <w:rPr>
                <w:lang w:val="uk-UA"/>
              </w:rPr>
              <w:t xml:space="preserve">Виробники, що здійснюють діяльність з виробництва електричної та теплової енергії у комбінований спосіб, надають розроблені (переглянуті) нормативні енергетичні характеристики устаткування електростанції, у тому числі графіки вихідно-нормативних питомих витрат палива, макет розрахунку нормативних питомих витрат і економії палива на відпущену електричну і теплову енергію, які були виконані відповідно до чинних галузевих </w:t>
            </w:r>
            <w:r w:rsidRPr="001E47CE">
              <w:rPr>
                <w:lang w:val="uk-UA"/>
              </w:rPr>
              <w:lastRenderedPageBreak/>
              <w:t xml:space="preserve">нормативних документів, а також висновки про проведену кваліфікованими організаціями в галузі енергетики експертизу здійснених розрахунків питомих витрат умовного палива енергетичного об'єкту (електростанції). </w:t>
            </w:r>
          </w:p>
          <w:p w:rsidR="001E47CE" w:rsidRDefault="001E47CE" w:rsidP="00875A6B">
            <w:pPr>
              <w:pStyle w:val="rvps2"/>
              <w:shd w:val="clear" w:color="auto" w:fill="FFFFFF"/>
              <w:rPr>
                <w:lang w:val="uk-UA"/>
              </w:rPr>
            </w:pPr>
            <w:r w:rsidRPr="001E47CE">
              <w:rPr>
                <w:lang w:val="uk-UA"/>
              </w:rPr>
              <w:t>У розрахунках тарифів на відпуск електричної енергії та (або) виробництво теплової енергії ціна на енергетичне вугілля не може бути врахована вищою, за індикативну ціну вугілля, яка визначається на підставі середніх цін ф'ючерсних котирувань, визначених згідно з даними європейської енергетичної біржі "</w:t>
            </w:r>
            <w:r>
              <w:t>European</w:t>
            </w:r>
            <w:r w:rsidRPr="001E47CE">
              <w:rPr>
                <w:lang w:val="uk-UA"/>
              </w:rPr>
              <w:t xml:space="preserve"> </w:t>
            </w:r>
            <w:r>
              <w:t>Energy</w:t>
            </w:r>
            <w:r w:rsidRPr="001E47CE">
              <w:rPr>
                <w:lang w:val="uk-UA"/>
              </w:rPr>
              <w:t xml:space="preserve"> </w:t>
            </w:r>
            <w:r>
              <w:t>Exchange</w:t>
            </w:r>
            <w:r w:rsidRPr="001E47CE">
              <w:rPr>
                <w:lang w:val="uk-UA"/>
              </w:rPr>
              <w:t xml:space="preserve"> </w:t>
            </w:r>
            <w:r>
              <w:t>AG</w:t>
            </w:r>
            <w:r w:rsidRPr="001E47CE">
              <w:rPr>
                <w:lang w:val="uk-UA"/>
              </w:rPr>
              <w:t>", видання "</w:t>
            </w:r>
            <w:r>
              <w:t>Coal</w:t>
            </w:r>
            <w:r w:rsidRPr="001E47CE">
              <w:rPr>
                <w:lang w:val="uk-UA"/>
              </w:rPr>
              <w:t xml:space="preserve"> </w:t>
            </w:r>
            <w:r>
              <w:t>Trader</w:t>
            </w:r>
            <w:r w:rsidRPr="001E47CE">
              <w:rPr>
                <w:lang w:val="uk-UA"/>
              </w:rPr>
              <w:t xml:space="preserve"> </w:t>
            </w:r>
            <w:r>
              <w:t>International</w:t>
            </w:r>
            <w:r w:rsidRPr="001E47CE">
              <w:rPr>
                <w:lang w:val="uk-UA"/>
              </w:rPr>
              <w:t>" компанії "</w:t>
            </w:r>
            <w:r>
              <w:t>Platts</w:t>
            </w:r>
            <w:r w:rsidRPr="001E47CE">
              <w:rPr>
                <w:lang w:val="uk-UA"/>
              </w:rPr>
              <w:t>", видання "</w:t>
            </w:r>
            <w:r>
              <w:t>Argus</w:t>
            </w:r>
            <w:r w:rsidRPr="001E47CE">
              <w:rPr>
                <w:lang w:val="uk-UA"/>
              </w:rPr>
              <w:t xml:space="preserve"> </w:t>
            </w:r>
            <w:r>
              <w:t>Coal</w:t>
            </w:r>
            <w:r w:rsidRPr="001E47CE">
              <w:rPr>
                <w:lang w:val="uk-UA"/>
              </w:rPr>
              <w:t xml:space="preserve"> </w:t>
            </w:r>
            <w:r>
              <w:t>Daily</w:t>
            </w:r>
            <w:r w:rsidRPr="001E47CE">
              <w:rPr>
                <w:lang w:val="uk-UA"/>
              </w:rPr>
              <w:t xml:space="preserve"> </w:t>
            </w:r>
            <w:r>
              <w:t>International</w:t>
            </w:r>
            <w:r w:rsidRPr="001E47CE">
              <w:rPr>
                <w:lang w:val="uk-UA"/>
              </w:rPr>
              <w:t>" компанії "</w:t>
            </w:r>
            <w:r>
              <w:t>Argus</w:t>
            </w:r>
            <w:r w:rsidRPr="001E47CE">
              <w:rPr>
                <w:lang w:val="uk-UA"/>
              </w:rPr>
              <w:t xml:space="preserve"> </w:t>
            </w:r>
            <w:r>
              <w:t>Media</w:t>
            </w:r>
            <w:r w:rsidRPr="001E47CE">
              <w:rPr>
                <w:lang w:val="uk-UA"/>
              </w:rPr>
              <w:t xml:space="preserve"> </w:t>
            </w:r>
            <w:r>
              <w:t>Ltd</w:t>
            </w:r>
            <w:r w:rsidRPr="001E47CE">
              <w:rPr>
                <w:lang w:val="uk-UA"/>
              </w:rPr>
              <w:t>" чи інших джерел, на 6 наступних місяців, що йдуть за місяцем встановлення тарифів, і яка розраховується за формулою</w:t>
            </w:r>
          </w:p>
          <w:p w:rsidR="00076642" w:rsidRDefault="001E47CE" w:rsidP="00076642">
            <w:pPr>
              <w:pStyle w:val="rvps2"/>
              <w:shd w:val="clear" w:color="auto" w:fill="FFFFFF"/>
              <w:jc w:val="center"/>
              <w:rPr>
                <w:lang w:val="uk-UA"/>
              </w:rPr>
            </w:pPr>
            <w:r w:rsidRPr="001E47CE">
              <w:rPr>
                <w:lang w:val="uk-UA"/>
              </w:rPr>
              <w:t>Ц = Цвін + Цвт, грн / т, (1)</w:t>
            </w:r>
          </w:p>
          <w:p w:rsidR="00076642" w:rsidRDefault="001E47CE" w:rsidP="00875A6B">
            <w:pPr>
              <w:pStyle w:val="rvps2"/>
              <w:shd w:val="clear" w:color="auto" w:fill="FFFFFF"/>
              <w:rPr>
                <w:lang w:val="uk-UA"/>
              </w:rPr>
            </w:pPr>
            <w:r w:rsidRPr="001E47CE">
              <w:rPr>
                <w:lang w:val="uk-UA"/>
              </w:rPr>
              <w:t>де Цвін - індикативна ціна вугілля, яка визначається на підставі середніх цін ф'ючерсних котирувань, визначених згідно з даними європейської енергетичної біржі "</w:t>
            </w:r>
            <w:r>
              <w:t>European</w:t>
            </w:r>
            <w:r w:rsidRPr="001E47CE">
              <w:rPr>
                <w:lang w:val="uk-UA"/>
              </w:rPr>
              <w:t xml:space="preserve"> </w:t>
            </w:r>
            <w:r>
              <w:t>Energy</w:t>
            </w:r>
            <w:r w:rsidRPr="001E47CE">
              <w:rPr>
                <w:lang w:val="uk-UA"/>
              </w:rPr>
              <w:t xml:space="preserve"> </w:t>
            </w:r>
            <w:r>
              <w:t>Exchange</w:t>
            </w:r>
            <w:r w:rsidRPr="001E47CE">
              <w:rPr>
                <w:lang w:val="uk-UA"/>
              </w:rPr>
              <w:t xml:space="preserve"> </w:t>
            </w:r>
            <w:r>
              <w:t>AG</w:t>
            </w:r>
            <w:r w:rsidRPr="001E47CE">
              <w:rPr>
                <w:lang w:val="uk-UA"/>
              </w:rPr>
              <w:t>", видання "</w:t>
            </w:r>
            <w:r>
              <w:t>Coal</w:t>
            </w:r>
            <w:r w:rsidRPr="001E47CE">
              <w:rPr>
                <w:lang w:val="uk-UA"/>
              </w:rPr>
              <w:t xml:space="preserve"> </w:t>
            </w:r>
            <w:r>
              <w:t>Trader</w:t>
            </w:r>
            <w:r w:rsidRPr="001E47CE">
              <w:rPr>
                <w:lang w:val="uk-UA"/>
              </w:rPr>
              <w:t xml:space="preserve"> </w:t>
            </w:r>
            <w:r>
              <w:t>International</w:t>
            </w:r>
            <w:r w:rsidRPr="001E47CE">
              <w:rPr>
                <w:lang w:val="uk-UA"/>
              </w:rPr>
              <w:t>" компанії "</w:t>
            </w:r>
            <w:r>
              <w:t>Platts</w:t>
            </w:r>
            <w:r w:rsidRPr="001E47CE">
              <w:rPr>
                <w:lang w:val="uk-UA"/>
              </w:rPr>
              <w:t>", видання "</w:t>
            </w:r>
            <w:r>
              <w:t>Argus</w:t>
            </w:r>
            <w:r w:rsidRPr="001E47CE">
              <w:rPr>
                <w:lang w:val="uk-UA"/>
              </w:rPr>
              <w:t xml:space="preserve"> </w:t>
            </w:r>
            <w:r>
              <w:t>Coal</w:t>
            </w:r>
            <w:r w:rsidRPr="001E47CE">
              <w:rPr>
                <w:lang w:val="uk-UA"/>
              </w:rPr>
              <w:t xml:space="preserve"> </w:t>
            </w:r>
            <w:r>
              <w:t>Daily</w:t>
            </w:r>
            <w:r w:rsidRPr="001E47CE">
              <w:rPr>
                <w:lang w:val="uk-UA"/>
              </w:rPr>
              <w:t xml:space="preserve"> </w:t>
            </w:r>
            <w:r>
              <w:t>International</w:t>
            </w:r>
            <w:r w:rsidRPr="001E47CE">
              <w:rPr>
                <w:lang w:val="uk-UA"/>
              </w:rPr>
              <w:t>" компанії "</w:t>
            </w:r>
            <w:r>
              <w:t>Argus</w:t>
            </w:r>
            <w:r w:rsidRPr="001E47CE">
              <w:rPr>
                <w:lang w:val="uk-UA"/>
              </w:rPr>
              <w:t xml:space="preserve"> </w:t>
            </w:r>
            <w:r>
              <w:t>Media</w:t>
            </w:r>
            <w:r w:rsidRPr="001E47CE">
              <w:rPr>
                <w:lang w:val="uk-UA"/>
              </w:rPr>
              <w:t xml:space="preserve"> </w:t>
            </w:r>
            <w:r>
              <w:t>Ltd</w:t>
            </w:r>
            <w:r w:rsidRPr="001E47CE">
              <w:rPr>
                <w:lang w:val="uk-UA"/>
              </w:rPr>
              <w:t>" чи інших джерел, на 6 наступних місяців, що йдуть за місяцем встановлення тарифів, і яка розраховується з урахуванням середньозваженого курсу на міжбанківському ринку (на час встановлення офіційного курсу гривні), оприлюдненого на офіційному веб-сайті Національного банку України на дату проведення розрахунку, грн/т;</w:t>
            </w:r>
          </w:p>
          <w:p w:rsidR="00076642" w:rsidRDefault="001E47CE" w:rsidP="00076642">
            <w:pPr>
              <w:pStyle w:val="rvps2"/>
              <w:shd w:val="clear" w:color="auto" w:fill="FFFFFF"/>
              <w:rPr>
                <w:lang w:val="uk-UA"/>
              </w:rPr>
            </w:pPr>
            <w:r w:rsidRPr="001E47CE">
              <w:rPr>
                <w:lang w:val="uk-UA"/>
              </w:rPr>
              <w:t xml:space="preserve"> Цвт - гранична ціна транспортування вугілля, яка визначається за формулою; </w:t>
            </w:r>
          </w:p>
          <w:p w:rsidR="00076642" w:rsidRDefault="001E47CE" w:rsidP="00076642">
            <w:pPr>
              <w:pStyle w:val="rvps2"/>
              <w:shd w:val="clear" w:color="auto" w:fill="FFFFFF"/>
              <w:jc w:val="center"/>
              <w:rPr>
                <w:lang w:val="uk-UA"/>
              </w:rPr>
            </w:pPr>
            <w:r w:rsidRPr="001E47CE">
              <w:rPr>
                <w:lang w:val="uk-UA"/>
              </w:rPr>
              <w:t>Ц вт = Цфр + Цпер + Цзл, грн/т, (2)</w:t>
            </w:r>
          </w:p>
          <w:p w:rsidR="00076642" w:rsidRDefault="001E47CE" w:rsidP="00076642">
            <w:pPr>
              <w:pStyle w:val="rvps2"/>
              <w:shd w:val="clear" w:color="auto" w:fill="FFFFFF"/>
              <w:rPr>
                <w:lang w:val="uk-UA"/>
              </w:rPr>
            </w:pPr>
            <w:r w:rsidRPr="001E47CE">
              <w:rPr>
                <w:lang w:val="uk-UA"/>
              </w:rPr>
              <w:t xml:space="preserve">де Цфр - середня вартість доставки вугілля з портів Амстердам - Роттердам - Антверпен до українського порту за 12 місяців, що передують місяцю встановлення тарифів, та яка формується на підставі даних, отриманих від державних органів виконавчої влади, відповідальних за моніторинг цін, або на підставі даних, що </w:t>
            </w:r>
            <w:r w:rsidRPr="001E47CE">
              <w:rPr>
                <w:lang w:val="uk-UA"/>
              </w:rPr>
              <w:lastRenderedPageBreak/>
              <w:t xml:space="preserve">публікуються у відповідних друкованих виданнях, грн/т; </w:t>
            </w:r>
          </w:p>
          <w:p w:rsidR="00076642" w:rsidRDefault="001E47CE" w:rsidP="00076642">
            <w:pPr>
              <w:pStyle w:val="rvps2"/>
              <w:shd w:val="clear" w:color="auto" w:fill="FFFFFF"/>
              <w:rPr>
                <w:lang w:val="uk-UA"/>
              </w:rPr>
            </w:pPr>
            <w:r w:rsidRPr="001E47CE">
              <w:rPr>
                <w:lang w:val="uk-UA"/>
              </w:rPr>
              <w:t xml:space="preserve">Цпер - середня вартість транспортування вугілля із судна на склади українських портів за 12 місяців, що передують місяцю встановлення тарифів, та яка формується на підставі даних, отриманих від державних органів виконавчої влади, відповідальних за моніторинг цін, або на підставі даних, що публікуються у відповідних друкованих виданнях, грн/т; </w:t>
            </w:r>
          </w:p>
          <w:p w:rsidR="00D22FF0" w:rsidRDefault="001E47CE" w:rsidP="00D22FF0">
            <w:pPr>
              <w:pStyle w:val="rvps2"/>
              <w:shd w:val="clear" w:color="auto" w:fill="FFFFFF"/>
              <w:rPr>
                <w:lang w:val="uk-UA"/>
              </w:rPr>
            </w:pPr>
            <w:r w:rsidRPr="001E47CE">
              <w:rPr>
                <w:lang w:val="uk-UA"/>
              </w:rPr>
              <w:t xml:space="preserve">Цзл - вартість транспортування вугілля залізничним транспортом територією </w:t>
            </w:r>
            <w:r w:rsidRPr="00076642">
              <w:rPr>
                <w:lang w:val="uk-UA"/>
              </w:rPr>
              <w:t xml:space="preserve">України, розрахована на основі даних за 12 місяців, що передують місяцю встановлення тарифів, за даними форми 4а-НКРЕКПвиробництво електричної та теплової енергії (місячна) (з урахуванням витрат на транспортування) та з урахуванням прогнозу її зростання у розрахунковому періоді, наданого публічним акціонерним товариством "Українська залізниця", грн/т. </w:t>
            </w:r>
          </w:p>
          <w:p w:rsidR="00345BB7" w:rsidRDefault="00345BB7" w:rsidP="00D22FF0">
            <w:pPr>
              <w:pStyle w:val="rvps2"/>
              <w:shd w:val="clear" w:color="auto" w:fill="FFFFFF"/>
              <w:rPr>
                <w:lang w:val="uk-UA"/>
              </w:rPr>
            </w:pPr>
          </w:p>
          <w:p w:rsidR="00345BB7" w:rsidRDefault="00345BB7" w:rsidP="00D22FF0">
            <w:pPr>
              <w:pStyle w:val="rvps2"/>
              <w:shd w:val="clear" w:color="auto" w:fill="FFFFFF"/>
              <w:rPr>
                <w:lang w:val="uk-UA"/>
              </w:rPr>
            </w:pPr>
          </w:p>
          <w:p w:rsidR="00D22FF0" w:rsidRDefault="001E47CE" w:rsidP="00D22FF0">
            <w:pPr>
              <w:pStyle w:val="rvps2"/>
              <w:shd w:val="clear" w:color="auto" w:fill="FFFFFF"/>
            </w:pPr>
            <w:r>
              <w:t xml:space="preserve">Ціни на енергетичне вугілля коригуються відповідно до показників теплотворної здатності (калорійності), а також з урахуванням якісних характеристик енергетичного вугілля (вмісту сірки, золи, вологи), при цьому базовими характеристиками енергетичного вугілля вважаються: 6000 ккал/кг на робочу масу, вміст сірки - до 1 % на робочу масу, вміст золи - до 16 % на робочу масу, вміст вологи - до 14 % на робочу масу. При використанні енергетичного вугілля з калорійністю, вищою від базової характеристики, або з вмістом сірки, нижчим від базової характеристики, коригування ціни не здійснюється. </w:t>
            </w:r>
          </w:p>
          <w:p w:rsidR="00D22FF0" w:rsidRDefault="001E47CE" w:rsidP="00D22FF0">
            <w:pPr>
              <w:pStyle w:val="rvps2"/>
              <w:shd w:val="clear" w:color="auto" w:fill="FFFFFF"/>
            </w:pPr>
            <w:r>
              <w:t xml:space="preserve">У разі відсутності відповідних даних від державних органів виконавчої влади, відповідальних за моніторинг цін, або відсутності даних у відповідних друкованих виданнях стосовно середньої вартості доставки вугілля з портів Амстердам - Роттердам - Антверпен до українського порту та (або) середньої вартості транспортування вугілля із судна на склади українських портів для розрахунку граничної ціни транспортування вугілля морським транспортом НКРЕКП застосовуються наявні дані за минулі періоди з урахуванням індексів інфляції у країнах Європейського Союзу, що </w:t>
            </w:r>
            <w:r>
              <w:lastRenderedPageBreak/>
              <w:t xml:space="preserve">визначені за даними Статистичної служби Європейського союзу (Eurostat). </w:t>
            </w:r>
          </w:p>
          <w:p w:rsidR="00B14F4F" w:rsidRDefault="00B14F4F" w:rsidP="00D22FF0">
            <w:pPr>
              <w:pStyle w:val="rvps2"/>
              <w:shd w:val="clear" w:color="auto" w:fill="FFFFFF"/>
            </w:pPr>
          </w:p>
          <w:p w:rsidR="00D22FF0" w:rsidRDefault="001E47CE" w:rsidP="00D22FF0">
            <w:pPr>
              <w:pStyle w:val="rvps2"/>
              <w:shd w:val="clear" w:color="auto" w:fill="FFFFFF"/>
            </w:pPr>
            <w:r>
              <w:t xml:space="preserve">Коригування ціни на енергетичне вугілля при використанні вугілля з характеристиками, що відмінні від базових, здійснюється за формулою </w:t>
            </w:r>
          </w:p>
          <w:p w:rsidR="00D22FF0" w:rsidRDefault="001E47CE" w:rsidP="00D22FF0">
            <w:pPr>
              <w:pStyle w:val="rvps2"/>
              <w:shd w:val="clear" w:color="auto" w:fill="FFFFFF"/>
            </w:pPr>
            <w:r>
              <w:t>Ц</w:t>
            </w:r>
            <w:r w:rsidRPr="00D22FF0">
              <w:rPr>
                <w:vertAlign w:val="superscript"/>
              </w:rPr>
              <w:t>він кор</w:t>
            </w:r>
            <w:r>
              <w:t>. = Ц</w:t>
            </w:r>
            <w:r w:rsidRPr="00D22FF0">
              <w:rPr>
                <w:vertAlign w:val="superscript"/>
              </w:rPr>
              <w:t>він</w:t>
            </w:r>
            <w:r>
              <w:t xml:space="preserve"> • [1 - (Ц</w:t>
            </w:r>
            <w:r w:rsidRPr="00D22FF0">
              <w:rPr>
                <w:vertAlign w:val="superscript"/>
              </w:rPr>
              <w:t>cal</w:t>
            </w:r>
            <w:r>
              <w:t xml:space="preserve"> + Ц</w:t>
            </w:r>
            <w:r w:rsidRPr="00D22FF0">
              <w:rPr>
                <w:vertAlign w:val="superscript"/>
              </w:rPr>
              <w:t>Sr</w:t>
            </w:r>
            <w:r>
              <w:t xml:space="preserve"> </w:t>
            </w:r>
            <w:proofErr w:type="gramStart"/>
            <w:r>
              <w:t>&lt; 1</w:t>
            </w:r>
            <w:proofErr w:type="gramEnd"/>
            <w:r>
              <w:t>,5 % + Ц</w:t>
            </w:r>
            <w:r w:rsidRPr="00D22FF0">
              <w:rPr>
                <w:vertAlign w:val="superscript"/>
              </w:rPr>
              <w:t>Sr</w:t>
            </w:r>
            <w:r>
              <w:t xml:space="preserve"> &gt; 1,5 %], грн/т, (3) </w:t>
            </w:r>
          </w:p>
          <w:p w:rsidR="00D22FF0" w:rsidRDefault="001E47CE" w:rsidP="00D22FF0">
            <w:pPr>
              <w:pStyle w:val="rvps2"/>
              <w:shd w:val="clear" w:color="auto" w:fill="FFFFFF"/>
            </w:pPr>
            <w:r>
              <w:t>де Ц</w:t>
            </w:r>
            <w:r w:rsidRPr="00D22FF0">
              <w:rPr>
                <w:vertAlign w:val="superscript"/>
              </w:rPr>
              <w:t>cal</w:t>
            </w:r>
            <w:r>
              <w:t xml:space="preserve"> - знижка до ціни енергетичного вугілля в разі планування використання енергетичного вугілля з калорійністю, нижчою за 6000 ккал/кг на робочу масу, яка визначається за формулою </w:t>
            </w:r>
          </w:p>
          <w:p w:rsidR="00D22FF0" w:rsidRDefault="001E47CE" w:rsidP="00184AFB">
            <w:pPr>
              <w:pStyle w:val="rvps2"/>
              <w:shd w:val="clear" w:color="auto" w:fill="FFFFFF"/>
              <w:jc w:val="center"/>
            </w:pPr>
            <w:r>
              <w:t>Ц cal = 1 - Qir/6000, %, (4)</w:t>
            </w:r>
          </w:p>
          <w:p w:rsidR="00184AFB" w:rsidRDefault="001E47CE" w:rsidP="00D22FF0">
            <w:pPr>
              <w:pStyle w:val="rvps2"/>
              <w:shd w:val="clear" w:color="auto" w:fill="FFFFFF"/>
            </w:pPr>
            <w:r>
              <w:t xml:space="preserve">де Qir - нижча робоча теплота згоряння палива, ккал/кг; </w:t>
            </w:r>
          </w:p>
          <w:p w:rsidR="00184AFB" w:rsidRDefault="001E47CE" w:rsidP="00D22FF0">
            <w:pPr>
              <w:pStyle w:val="rvps2"/>
              <w:shd w:val="clear" w:color="auto" w:fill="FFFFFF"/>
            </w:pPr>
            <w:r>
              <w:t>Ц</w:t>
            </w:r>
            <w:r w:rsidRPr="00184AFB">
              <w:rPr>
                <w:vertAlign w:val="superscript"/>
              </w:rPr>
              <w:t>Sr</w:t>
            </w:r>
            <w:r>
              <w:t xml:space="preserve"> </w:t>
            </w:r>
            <w:proofErr w:type="gramStart"/>
            <w:r>
              <w:t>&lt; 1</w:t>
            </w:r>
            <w:proofErr w:type="gramEnd"/>
            <w:r>
              <w:t xml:space="preserve">,5 % - знижка до ціни енергетичного вугілля в разі планування використання енергетичного вугілля з вмістом сірки на робочу масу від 1 % до 1,5 %, яка визначається за формулою </w:t>
            </w:r>
          </w:p>
          <w:p w:rsidR="00184AFB" w:rsidRDefault="001E47CE" w:rsidP="00184AFB">
            <w:pPr>
              <w:pStyle w:val="rvps2"/>
              <w:shd w:val="clear" w:color="auto" w:fill="FFFFFF"/>
              <w:jc w:val="center"/>
            </w:pPr>
            <w:r>
              <w:t xml:space="preserve">Ц </w:t>
            </w:r>
            <w:r w:rsidRPr="00184AFB">
              <w:rPr>
                <w:vertAlign w:val="superscript"/>
              </w:rPr>
              <w:t>Sr</w:t>
            </w:r>
            <w:r>
              <w:t xml:space="preserve"> = Sr - 1 %, %, (5)</w:t>
            </w:r>
          </w:p>
          <w:p w:rsidR="00184AFB" w:rsidRDefault="001E47CE" w:rsidP="00D22FF0">
            <w:pPr>
              <w:pStyle w:val="rvps2"/>
              <w:shd w:val="clear" w:color="auto" w:fill="FFFFFF"/>
            </w:pPr>
            <w:r>
              <w:t xml:space="preserve">де Sr - вміст сірки в паливі на робочу масу, %; </w:t>
            </w:r>
          </w:p>
          <w:p w:rsidR="00184AFB" w:rsidRDefault="001E47CE" w:rsidP="00D22FF0">
            <w:pPr>
              <w:pStyle w:val="rvps2"/>
              <w:shd w:val="clear" w:color="auto" w:fill="FFFFFF"/>
            </w:pPr>
            <w:r>
              <w:t>Ц</w:t>
            </w:r>
            <w:proofErr w:type="gramStart"/>
            <w:r w:rsidRPr="00184AFB">
              <w:rPr>
                <w:vertAlign w:val="superscript"/>
              </w:rPr>
              <w:t>Sr</w:t>
            </w:r>
            <w:r>
              <w:t xml:space="preserve"> &gt;</w:t>
            </w:r>
            <w:proofErr w:type="gramEnd"/>
            <w:r>
              <w:t xml:space="preserve"> 1,5 % - знижка до ціни енергетичного вугілля в разі планування використання енергетичного вугілля з вмістом сірки на робочу масу понад 1,5 %, яка визначається за формулою </w:t>
            </w:r>
          </w:p>
          <w:p w:rsidR="00184AFB" w:rsidRDefault="001E47CE" w:rsidP="00184AFB">
            <w:pPr>
              <w:pStyle w:val="rvps2"/>
              <w:shd w:val="clear" w:color="auto" w:fill="FFFFFF"/>
              <w:jc w:val="center"/>
            </w:pPr>
            <w:r>
              <w:t>Ц</w:t>
            </w:r>
            <w:r w:rsidRPr="0086174F">
              <w:rPr>
                <w:vertAlign w:val="superscript"/>
              </w:rPr>
              <w:t>Sr</w:t>
            </w:r>
            <w:r>
              <w:t xml:space="preserve"> = (Sr - 1 %) + ((Sr - 1,5 %) • 10), %. (6)</w:t>
            </w:r>
          </w:p>
          <w:p w:rsidR="00B14F4F" w:rsidRDefault="00B14F4F" w:rsidP="00D22FF0">
            <w:pPr>
              <w:pStyle w:val="rvps2"/>
              <w:shd w:val="clear" w:color="auto" w:fill="FFFFFF"/>
            </w:pPr>
          </w:p>
          <w:p w:rsidR="0086174F" w:rsidRDefault="001E47CE" w:rsidP="00D22FF0">
            <w:pPr>
              <w:pStyle w:val="rvps2"/>
              <w:shd w:val="clear" w:color="auto" w:fill="FFFFFF"/>
            </w:pPr>
            <w:r>
              <w:t xml:space="preserve">Вартість природного газу враховується на підставі моніторингу та аналізу цін </w:t>
            </w:r>
            <w:proofErr w:type="gramStart"/>
            <w:r>
              <w:t>на ринку</w:t>
            </w:r>
            <w:proofErr w:type="gramEnd"/>
            <w:r>
              <w:t xml:space="preserve"> природного газу, який здійснюється НКРЕКП, та з урахуванням індикативної вартості природного газу, а також з урахуванням обсягів та умов виконання спеціальних обов'язків, покладених Кабінетом Міністрів України на суб'єктів ринку природного газу, відповідно до Закону України "Про ринок природного газу". </w:t>
            </w:r>
          </w:p>
          <w:p w:rsidR="0086174F" w:rsidRDefault="001E47CE" w:rsidP="00D22FF0">
            <w:pPr>
              <w:pStyle w:val="rvps2"/>
              <w:shd w:val="clear" w:color="auto" w:fill="FFFFFF"/>
            </w:pPr>
            <w:r>
              <w:t xml:space="preserve">У розрахунках тарифів на відпуск електричної енергії та (або) виробництво теплової енергії ціна природного газу не може бути врахована вищою за ціну природного газу, визначену на рівні імпортного паритету на 2 наступних квартали, що йдуть за місяцем кварталу, в якому встановлюються тарифи, та розраховану за формулою </w:t>
            </w:r>
          </w:p>
          <w:p w:rsidR="0086174F" w:rsidRDefault="001E47CE" w:rsidP="00D22FF0">
            <w:pPr>
              <w:pStyle w:val="rvps2"/>
              <w:shd w:val="clear" w:color="auto" w:fill="FFFFFF"/>
            </w:pPr>
            <w:r>
              <w:t>Ціп = {(Ц</w:t>
            </w:r>
            <w:r w:rsidRPr="0086174F">
              <w:rPr>
                <w:vertAlign w:val="subscript"/>
              </w:rPr>
              <w:t>NCG</w:t>
            </w:r>
            <w:r>
              <w:t xml:space="preserve"> х К</w:t>
            </w:r>
            <w:r w:rsidRPr="0086174F">
              <w:rPr>
                <w:vertAlign w:val="subscript"/>
              </w:rPr>
              <w:t>GCV</w:t>
            </w:r>
            <w:r>
              <w:t xml:space="preserve"> х К</w:t>
            </w:r>
            <w:r w:rsidRPr="0086174F">
              <w:rPr>
                <w:vertAlign w:val="subscript"/>
              </w:rPr>
              <w:t>євро/дол США</w:t>
            </w:r>
            <w:r>
              <w:t>) + (С</w:t>
            </w:r>
            <w:r w:rsidRPr="0086174F">
              <w:rPr>
                <w:vertAlign w:val="subscript"/>
              </w:rPr>
              <w:t>ф</w:t>
            </w:r>
            <w:r>
              <w:t xml:space="preserve"> х К</w:t>
            </w:r>
            <w:r w:rsidRPr="0086174F">
              <w:rPr>
                <w:vertAlign w:val="subscript"/>
              </w:rPr>
              <w:t>GCV</w:t>
            </w:r>
            <w:r>
              <w:t xml:space="preserve"> х </w:t>
            </w:r>
            <w:r w:rsidRPr="00467C45">
              <w:t>К</w:t>
            </w:r>
            <w:r w:rsidRPr="0086174F">
              <w:rPr>
                <w:vertAlign w:val="subscript"/>
              </w:rPr>
              <w:t>євро/дол США</w:t>
            </w:r>
            <w:r>
              <w:t>) + (ТВімп х К</w:t>
            </w:r>
            <w:r w:rsidRPr="0086174F">
              <w:rPr>
                <w:vertAlign w:val="subscript"/>
              </w:rPr>
              <w:t>GCV</w:t>
            </w:r>
            <w:r>
              <w:t xml:space="preserve"> х </w:t>
            </w:r>
            <w:r w:rsidRPr="00467C45">
              <w:t>К</w:t>
            </w:r>
            <w:r w:rsidRPr="0086174F">
              <w:rPr>
                <w:vertAlign w:val="subscript"/>
              </w:rPr>
              <w:t>євро/дол США</w:t>
            </w:r>
            <w:r>
              <w:t>) + Т</w:t>
            </w:r>
            <w:r w:rsidRPr="0086174F">
              <w:rPr>
                <w:vertAlign w:val="subscript"/>
              </w:rPr>
              <w:t>вхГТС</w:t>
            </w:r>
            <w:r>
              <w:t>} х К</w:t>
            </w:r>
            <w:r w:rsidRPr="00467C45">
              <w:rPr>
                <w:vertAlign w:val="subscript"/>
              </w:rPr>
              <w:t>дол. США</w:t>
            </w:r>
            <w:r>
              <w:t xml:space="preserve">, грн за 1000 куб. м, (7) </w:t>
            </w:r>
          </w:p>
          <w:p w:rsidR="0086174F" w:rsidRDefault="001E47CE" w:rsidP="00D22FF0">
            <w:pPr>
              <w:pStyle w:val="rvps2"/>
              <w:shd w:val="clear" w:color="auto" w:fill="FFFFFF"/>
            </w:pPr>
            <w:r>
              <w:t xml:space="preserve">де Ціп - ціна газу на рівні імпортного паритету (без урахування податку на додану вартість), грн за 1000 куб. м; </w:t>
            </w:r>
          </w:p>
          <w:p w:rsidR="00467C45" w:rsidRDefault="001E47CE" w:rsidP="00D22FF0">
            <w:pPr>
              <w:pStyle w:val="rvps2"/>
              <w:shd w:val="clear" w:color="auto" w:fill="FFFFFF"/>
            </w:pPr>
            <w:r>
              <w:t>Ц</w:t>
            </w:r>
            <w:r w:rsidRPr="0086174F">
              <w:rPr>
                <w:vertAlign w:val="subscript"/>
              </w:rPr>
              <w:t>NCG</w:t>
            </w:r>
            <w:r>
              <w:t xml:space="preserve"> - індикативна ціна природного газу на німецькому газовому хабі (NCG), яка визначається на підставі середніх цін ф'ючерсних котирувань, визначених згідно з даними європейської енергетичної біржі "European Energy Exchange AG", видання "Platts European Gas Daily" компанії "Platts", видання "Argus European Natural Gas" компанії "Argus Media Ltd" чи інших джерел джерел, євро/МВт·год; </w:t>
            </w:r>
          </w:p>
          <w:p w:rsidR="00467C45" w:rsidRDefault="001E47CE" w:rsidP="00D22FF0">
            <w:pPr>
              <w:pStyle w:val="rvps2"/>
              <w:shd w:val="clear" w:color="auto" w:fill="FFFFFF"/>
            </w:pPr>
            <w:r>
              <w:t>К</w:t>
            </w:r>
            <w:r w:rsidRPr="00467C45">
              <w:rPr>
                <w:vertAlign w:val="subscript"/>
              </w:rPr>
              <w:t>GCV</w:t>
            </w:r>
            <w:r>
              <w:t xml:space="preserve"> - коефіцієнт, який відображає співвідношення одиниць енергії (МВт·год) та об'єму (1000 куб. м) і визначається відповідно до інформації, наведеної на офіційному веб-сайті оператора газотранспортної системи Словаччини компанії "Eustream, a. s.", середнє значення за 12 місяців, що передують місяцю, в якому встановлюються тарифи; </w:t>
            </w:r>
          </w:p>
          <w:p w:rsidR="00467C45" w:rsidRDefault="001E47CE" w:rsidP="00D22FF0">
            <w:pPr>
              <w:pStyle w:val="rvps2"/>
              <w:shd w:val="clear" w:color="auto" w:fill="FFFFFF"/>
            </w:pPr>
            <w:r>
              <w:t>К</w:t>
            </w:r>
            <w:r w:rsidRPr="00467C45">
              <w:rPr>
                <w:vertAlign w:val="subscript"/>
              </w:rPr>
              <w:t>євро/</w:t>
            </w:r>
            <w:proofErr w:type="gramStart"/>
            <w:r w:rsidRPr="00467C45">
              <w:rPr>
                <w:vertAlign w:val="subscript"/>
              </w:rPr>
              <w:t>дол.США</w:t>
            </w:r>
            <w:proofErr w:type="gramEnd"/>
            <w:r w:rsidRPr="00467C45">
              <w:rPr>
                <w:vertAlign w:val="subscript"/>
              </w:rPr>
              <w:t xml:space="preserve"> </w:t>
            </w:r>
            <w:r>
              <w:t xml:space="preserve">- курс євро до долара США, за даними агентства "Bloomberg", дол. США за 1 євро на дату встановлення тарифів; </w:t>
            </w:r>
          </w:p>
          <w:p w:rsidR="00467C45" w:rsidRDefault="001E47CE" w:rsidP="00D22FF0">
            <w:pPr>
              <w:pStyle w:val="rvps2"/>
              <w:shd w:val="clear" w:color="auto" w:fill="FFFFFF"/>
            </w:pPr>
            <w:r>
              <w:t xml:space="preserve">Сф - сумарна вартість транспортування природного газу від німецького газового хабу (NCG) до віртуальної торгової точки на території Словаччини, розрахована на підставі діючих тарифів Німеччини, Чехії та Словаччини, євро/МВт·год; </w:t>
            </w:r>
          </w:p>
          <w:p w:rsidR="00467C45" w:rsidRDefault="001E47CE" w:rsidP="00D22FF0">
            <w:pPr>
              <w:pStyle w:val="rvps2"/>
              <w:shd w:val="clear" w:color="auto" w:fill="FFFFFF"/>
            </w:pPr>
            <w:r>
              <w:t xml:space="preserve">ТВімп - вартість транспортування природного газу від віртуальної торгової точки на території Словаччини до західного кордону України (вартість "виходу" з газотранспортної системи Словаччини), розрахована на основі діючих тарифів </w:t>
            </w:r>
            <w:proofErr w:type="gramStart"/>
            <w:r>
              <w:t>для пункту</w:t>
            </w:r>
            <w:proofErr w:type="gramEnd"/>
            <w:r>
              <w:t xml:space="preserve"> виходу зі Словаччини в Україну, враховуючи технологічну складову та (або) інші стягнення, запроваджені національним регулятором і діючі на дату встановлення тарифів, євро/МВт·год;</w:t>
            </w:r>
          </w:p>
          <w:p w:rsidR="00467C45" w:rsidRDefault="001E47CE" w:rsidP="00D22FF0">
            <w:pPr>
              <w:pStyle w:val="rvps2"/>
              <w:shd w:val="clear" w:color="auto" w:fill="FFFFFF"/>
            </w:pPr>
            <w:r>
              <w:t>Т</w:t>
            </w:r>
            <w:r w:rsidRPr="00467C45">
              <w:rPr>
                <w:vertAlign w:val="subscript"/>
              </w:rPr>
              <w:t>вхГТС</w:t>
            </w:r>
            <w:r>
              <w:t xml:space="preserve"> - тариф на послуги з транспортування природного газу транскордонними газопроводами для точок входу в газотранспортну систему України, установлений НКРЕКП (без урахування податку на додану вартість), дол. США/1000 куб. м; </w:t>
            </w:r>
          </w:p>
          <w:p w:rsidR="00F63C38" w:rsidRDefault="001E47CE" w:rsidP="00D22FF0">
            <w:pPr>
              <w:pStyle w:val="rvps2"/>
              <w:shd w:val="clear" w:color="auto" w:fill="FFFFFF"/>
            </w:pPr>
            <w:r>
              <w:t xml:space="preserve">К </w:t>
            </w:r>
            <w:r w:rsidRPr="00467C45">
              <w:rPr>
                <w:vertAlign w:val="subscript"/>
              </w:rPr>
              <w:t>дол. США</w:t>
            </w:r>
            <w:r>
              <w:t xml:space="preserve"> - середньозважений курс на міжбанківському ринку, оприлюднений на офіційному веб-сайті Національного банку України на дату проведення розрахунку, грн за 1 дол. США.</w:t>
            </w:r>
          </w:p>
          <w:p w:rsidR="008F68D7" w:rsidRDefault="001E47CE" w:rsidP="00D22FF0">
            <w:pPr>
              <w:pStyle w:val="rvps2"/>
              <w:shd w:val="clear" w:color="auto" w:fill="FFFFFF"/>
            </w:pPr>
            <w:r>
              <w:t>У разі закупівлі ліцензіатом природного газу у суб'єктів ринку природного газу, на яких постановою Кабінету Міністрів України покладені спеціальні обов'язки для забезпечення загальносуспільних інтересів у процесі функціонування ринку природного газу, у розрахунках тарифів на відпуск електричної енергії та (або) виробництво теплової енергії ціни на природний газ ураховуються на рівні, визначеному відповідною постановою Кабінету Міністрів України.</w:t>
            </w:r>
          </w:p>
          <w:p w:rsidR="00B03A8C" w:rsidRDefault="001E47CE" w:rsidP="00D22FF0">
            <w:pPr>
              <w:pStyle w:val="rvps2"/>
              <w:shd w:val="clear" w:color="auto" w:fill="FFFFFF"/>
            </w:pPr>
            <w:r>
              <w:t>Вартість транспортування природного газу територією України враховується НКРЕКП згідно зі встановленими тарифами на послуги транспортування природного газу.</w:t>
            </w:r>
          </w:p>
          <w:p w:rsidR="000919E0" w:rsidRDefault="001E47CE" w:rsidP="00D22FF0">
            <w:pPr>
              <w:pStyle w:val="rvps2"/>
              <w:shd w:val="clear" w:color="auto" w:fill="FFFFFF"/>
            </w:pPr>
            <w:r>
              <w:t xml:space="preserve">Вартість інших видів паливно-енергетичних ресурсів, що використовуються як джерела енергії, враховується відповідно до укладених договорів/контрактів на закупівлю таких паливно-енергетичних ресурсів, калькуляцій вартості зазначених паливно-енергетичних ресурсів, але не вище від цін на них, які склалися </w:t>
            </w:r>
            <w:proofErr w:type="gramStart"/>
            <w:r>
              <w:t>на ринку</w:t>
            </w:r>
            <w:proofErr w:type="gramEnd"/>
            <w:r>
              <w:t xml:space="preserve"> України на дату розрахунку тарифів на відпуск електричної енергії та (або) виробництво теплової енергії.</w:t>
            </w:r>
          </w:p>
          <w:p w:rsidR="000919E0" w:rsidRDefault="001E47CE" w:rsidP="00D22FF0">
            <w:pPr>
              <w:pStyle w:val="rvps2"/>
              <w:shd w:val="clear" w:color="auto" w:fill="FFFFFF"/>
            </w:pPr>
            <w:r>
              <w:t xml:space="preserve">У розрахунках тарифів можуть ураховуватися ціни на паливно-енергетичні ресурси та (або) ціни на послуги (витрати) з транспортування паливно-енергетичних ресурсів, що затверджуються, встановлюються чи оприлюднюються державними органами влади відповідно до чинного законодавства України. </w:t>
            </w:r>
          </w:p>
          <w:p w:rsidR="000919E0" w:rsidRDefault="001E47CE" w:rsidP="00D22FF0">
            <w:pPr>
              <w:pStyle w:val="rvps2"/>
              <w:shd w:val="clear" w:color="auto" w:fill="FFFFFF"/>
            </w:pPr>
            <w:r>
              <w:t xml:space="preserve">За результатами моніторингу ринків </w:t>
            </w:r>
            <w:proofErr w:type="gramStart"/>
            <w:r>
              <w:t>у сферах</w:t>
            </w:r>
            <w:proofErr w:type="gramEnd"/>
            <w:r>
              <w:t xml:space="preserve"> енергетики та комунальних послуг, що здійснюється НКРЕКП щоквартально, НКРЕКП може прийняти рішення щодо зміни цін на паливно-енергетичні ресурси у структурі тарифів на відпуск електричної енергії та (або) виробництво теплової енергії. </w:t>
            </w:r>
          </w:p>
          <w:p w:rsidR="00D828FC" w:rsidRDefault="001E47CE" w:rsidP="00D22FF0">
            <w:pPr>
              <w:pStyle w:val="rvps2"/>
              <w:shd w:val="clear" w:color="auto" w:fill="FFFFFF"/>
            </w:pPr>
            <w:r>
              <w:t xml:space="preserve">При формуванні, розрахунку та встановленні тарифів на відпуск електричної та (або) виробництво теплової енергії витрати на паливо та структура використання палива (у разі використання декількох видів палива при виробництві електричної та теплової енергії) враховуються на підставі аналізу фактичних даних за попередні періоди (як правило за 5 років) виходячи з особливостей роботи генеруючого обладнання та устаткування конкретного ліцензіата, режимів роботи генеруючого обладнання та устаткування, можливості використання паливно-енергетичних ресурсів з найменшою вартістю, технічного стану чи технічної можливості роботи генеруючого обладнання та устаткування (значення максимального та мінімального навантажень котлів і турбін, характер добового графіка зміни навантаження, старіння устаткування, освоєння введеного устаткування, структура і якість спалюваного палива, температура зовнішнього повітря, температура охолоджувальної води на вході в конденсатори турбін тощо), а також інших зовнішніх факторів. </w:t>
            </w:r>
          </w:p>
          <w:p w:rsidR="00875A6B" w:rsidRPr="00447BC3" w:rsidRDefault="001E47CE" w:rsidP="00D22FF0">
            <w:pPr>
              <w:pStyle w:val="rvps2"/>
              <w:shd w:val="clear" w:color="auto" w:fill="FFFFFF"/>
              <w:rPr>
                <w:b/>
                <w:sz w:val="26"/>
                <w:szCs w:val="26"/>
                <w:lang w:val="uk-UA"/>
              </w:rPr>
            </w:pPr>
            <w:r>
              <w:t>Ліцензіати, які використовують декілька видів палива при виробництві електричної та теплової енергії, при формуванні та розрахунку тарифів надають підтверджуючі матеріали щодо структури використання палива. При встановленні тарифів на відпуск електричної енергії та (або) виробництво теплової енергії структура використання палива між видами виробництва, як правило, розподіляється пропорційно витратам умовного палива на виробництво електричної енергії та на виробництво теплової енергії, але з урахуванням усіх обставин та факторів, що викладені у цьому підпункті;</w:t>
            </w:r>
          </w:p>
        </w:tc>
        <w:tc>
          <w:tcPr>
            <w:tcW w:w="7513" w:type="dxa"/>
          </w:tcPr>
          <w:p w:rsidR="00B367DE" w:rsidRPr="00E2459D" w:rsidRDefault="00B367DE" w:rsidP="00B367DE">
            <w:pPr>
              <w:pStyle w:val="rvps2"/>
              <w:shd w:val="clear" w:color="auto" w:fill="FFFFFF"/>
              <w:rPr>
                <w:lang w:val="uk-UA"/>
              </w:rPr>
            </w:pPr>
            <w:r w:rsidRPr="00E2459D">
              <w:rPr>
                <w:lang w:val="uk-UA"/>
              </w:rPr>
              <w:lastRenderedPageBreak/>
              <w:t>3.3. До складу виробничої собівартості електричної та (або) теплової енергії включаються:</w:t>
            </w:r>
          </w:p>
          <w:p w:rsidR="001E47CE" w:rsidRPr="00E2459D" w:rsidRDefault="001E47CE" w:rsidP="00B367DE">
            <w:pPr>
              <w:pStyle w:val="rvps2"/>
              <w:shd w:val="clear" w:color="auto" w:fill="FFFFFF"/>
              <w:rPr>
                <w:lang w:val="uk-UA"/>
              </w:rPr>
            </w:pPr>
            <w:r w:rsidRPr="00E2459D">
              <w:rPr>
                <w:lang w:val="uk-UA"/>
              </w:rPr>
              <w:t xml:space="preserve">Викласти в </w:t>
            </w:r>
            <w:r w:rsidR="00E2459D" w:rsidRPr="00E2459D">
              <w:rPr>
                <w:lang w:val="uk-UA"/>
              </w:rPr>
              <w:t>такій</w:t>
            </w:r>
            <w:r w:rsidRPr="00E2459D">
              <w:rPr>
                <w:lang w:val="uk-UA"/>
              </w:rPr>
              <w:t xml:space="preserve"> редакції </w:t>
            </w:r>
          </w:p>
          <w:p w:rsidR="006B4F70" w:rsidRPr="00E2459D" w:rsidRDefault="001E47CE" w:rsidP="006B4F70">
            <w:pPr>
              <w:pStyle w:val="rvps2"/>
              <w:shd w:val="clear" w:color="auto" w:fill="FFFFFF"/>
              <w:spacing w:after="0"/>
              <w:ind w:firstLine="709"/>
              <w:rPr>
                <w:bCs/>
                <w:bdr w:val="none" w:sz="0" w:space="0" w:color="auto" w:frame="1"/>
                <w:lang w:val="uk-UA"/>
              </w:rPr>
            </w:pPr>
            <w:r w:rsidRPr="00E2459D">
              <w:rPr>
                <w:lang w:val="uk-UA"/>
              </w:rPr>
              <w:t xml:space="preserve">1) </w:t>
            </w:r>
            <w:r w:rsidR="006B4F70" w:rsidRPr="00E2459D">
              <w:rPr>
                <w:bCs/>
                <w:bdr w:val="none" w:sz="0" w:space="0" w:color="auto" w:frame="1"/>
                <w:lang w:val="uk-UA"/>
              </w:rPr>
              <w:t>паливо, а саме:</w:t>
            </w:r>
          </w:p>
          <w:p w:rsidR="006B4F70" w:rsidRPr="00E2459D" w:rsidRDefault="006B4F70" w:rsidP="006B4F70">
            <w:pPr>
              <w:pStyle w:val="rvps2"/>
              <w:shd w:val="clear" w:color="auto" w:fill="FFFFFF"/>
              <w:spacing w:after="0"/>
              <w:ind w:firstLine="709"/>
              <w:rPr>
                <w:bCs/>
                <w:bdr w:val="none" w:sz="0" w:space="0" w:color="auto" w:frame="1"/>
                <w:lang w:val="uk-UA"/>
              </w:rPr>
            </w:pPr>
            <w:r w:rsidRPr="00E2459D">
              <w:rPr>
                <w:bCs/>
                <w:bdr w:val="none" w:sz="0" w:space="0" w:color="auto" w:frame="1"/>
                <w:lang w:val="uk-UA"/>
              </w:rPr>
              <w:t xml:space="preserve">витрати на придбання палива та його транспортування для виробництва електричної та (або) теплової енергії, які визначаються виходячи з планованого обсягу відпуску/виробництва електричної та (або) теплової енергії відповідно до річного плану виробництва, питомих норм витрат паливно-енергетичних ресурсів, визначених, затверджених та погоджених в установленому порядку, діючих/планованих цін (тарифів) на паливно-енергетичні ресурси та послуги (витрати) з їх транспортування, тобто з урахуванням усіх планованих логістичних ланцюгів транспортування паливно-енергетичних ресурсів, калорійних еквівалентів, обсягу енергії природного газу, визначених умовами договору, сертифікатами постачальників чи даними базового періоду. </w:t>
            </w:r>
          </w:p>
          <w:p w:rsidR="006B4F70" w:rsidRDefault="006B4F70" w:rsidP="006B4F70">
            <w:pPr>
              <w:pStyle w:val="rvps2"/>
              <w:shd w:val="clear" w:color="auto" w:fill="FFFFFF"/>
              <w:spacing w:after="0"/>
              <w:ind w:firstLine="709"/>
              <w:rPr>
                <w:bCs/>
                <w:bdr w:val="none" w:sz="0" w:space="0" w:color="auto" w:frame="1"/>
                <w:lang w:val="uk-UA"/>
              </w:rPr>
            </w:pPr>
            <w:r w:rsidRPr="00E2459D">
              <w:rPr>
                <w:bCs/>
                <w:bdr w:val="none" w:sz="0" w:space="0" w:color="auto" w:frame="1"/>
                <w:lang w:val="uk-UA"/>
              </w:rPr>
              <w:t xml:space="preserve">Виробники, що здійснюють діяльність з виробництва електричної та теплової енергії у комбінований спосіб, надають розроблені (переглянуті) нормативні енергетичні характеристики устаткування електростанції, у тому числі графіки вихідно-нормативних питомих витрат палива, макет розрахунку нормативних питомих витрат і економії палива на відпущену електричну і теплову енергію, які були виконані відповідно до чинних галузевих нормативних документів, а також висновки про проведену </w:t>
            </w:r>
            <w:r w:rsidRPr="00E2459D">
              <w:rPr>
                <w:bCs/>
                <w:bdr w:val="none" w:sz="0" w:space="0" w:color="auto" w:frame="1"/>
                <w:lang w:val="uk-UA"/>
              </w:rPr>
              <w:lastRenderedPageBreak/>
              <w:t>кваліфікованими організаціями в галузі енергетики експертизу здійснених розрахунків питомих витрат умовного палива енергетичного об'єкту (електростанції).</w:t>
            </w:r>
          </w:p>
          <w:p w:rsidR="00345BB7" w:rsidRDefault="00345BB7" w:rsidP="006B4F70">
            <w:pPr>
              <w:pStyle w:val="rvps2"/>
              <w:shd w:val="clear" w:color="auto" w:fill="FFFFFF"/>
              <w:spacing w:after="0"/>
              <w:ind w:firstLine="709"/>
              <w:rPr>
                <w:bCs/>
                <w:bdr w:val="none" w:sz="0" w:space="0" w:color="auto" w:frame="1"/>
                <w:lang w:val="uk-UA"/>
              </w:rPr>
            </w:pPr>
          </w:p>
          <w:p w:rsidR="00345BB7" w:rsidRPr="00E2459D" w:rsidRDefault="00345BB7" w:rsidP="006B4F70">
            <w:pPr>
              <w:pStyle w:val="rvps2"/>
              <w:shd w:val="clear" w:color="auto" w:fill="FFFFFF"/>
              <w:spacing w:after="0"/>
              <w:ind w:firstLine="709"/>
              <w:rPr>
                <w:bCs/>
                <w:bdr w:val="none" w:sz="0" w:space="0" w:color="auto" w:frame="1"/>
                <w:lang w:val="uk-UA"/>
              </w:rPr>
            </w:pPr>
          </w:p>
          <w:p w:rsidR="006B4F70" w:rsidRPr="00345BB7" w:rsidRDefault="006B4F70" w:rsidP="006B4F70">
            <w:pPr>
              <w:pStyle w:val="rvps2"/>
              <w:shd w:val="clear" w:color="auto" w:fill="FFFFFF"/>
              <w:spacing w:after="0"/>
              <w:ind w:firstLine="709"/>
              <w:rPr>
                <w:b/>
                <w:bCs/>
                <w:bdr w:val="none" w:sz="0" w:space="0" w:color="auto" w:frame="1"/>
              </w:rPr>
            </w:pPr>
            <w:r w:rsidRPr="00345BB7">
              <w:rPr>
                <w:b/>
                <w:bCs/>
                <w:bdr w:val="none" w:sz="0" w:space="0" w:color="auto" w:frame="1"/>
              </w:rPr>
              <w:t>У розрахунках тарифів на відпуск електричної енергії та (або) виробництво теплової енергії ціна на енергетичне вугілля не може бути врахована вищою за середньозважену ціну вугілля, яка розраховується за формулою</w:t>
            </w:r>
          </w:p>
          <w:p w:rsidR="006B4F70" w:rsidRPr="00345BB7" w:rsidRDefault="006B4F70" w:rsidP="006B4F70">
            <w:pPr>
              <w:pStyle w:val="rvps2"/>
              <w:shd w:val="clear" w:color="auto" w:fill="FFFFFF"/>
              <w:spacing w:after="0"/>
              <w:ind w:firstLine="709"/>
              <w:jc w:val="center"/>
              <w:rPr>
                <w:b/>
                <w:bCs/>
                <w:bdr w:val="none" w:sz="0" w:space="0" w:color="auto" w:frame="1"/>
              </w:rPr>
            </w:pPr>
            <w:r w:rsidRPr="00345BB7">
              <w:rPr>
                <w:b/>
                <w:bCs/>
                <w:bdr w:val="none" w:sz="0" w:space="0" w:color="auto" w:frame="1"/>
              </w:rPr>
              <w:t xml:space="preserve">Ц = (Квіт ∙ </w:t>
            </w:r>
            <w:proofErr w:type="gramStart"/>
            <w:r w:rsidRPr="00345BB7">
              <w:rPr>
                <w:b/>
                <w:bCs/>
                <w:bdr w:val="none" w:sz="0" w:space="0" w:color="auto" w:frame="1"/>
              </w:rPr>
              <w:t>Цвіт  +</w:t>
            </w:r>
            <w:proofErr w:type="gramEnd"/>
            <w:r w:rsidRPr="00345BB7">
              <w:rPr>
                <w:b/>
                <w:bCs/>
                <w:bdr w:val="none" w:sz="0" w:space="0" w:color="auto" w:frame="1"/>
              </w:rPr>
              <w:t xml:space="preserve"> Кімп ∙ Цімп) / К, грн / т (1)</w:t>
            </w:r>
          </w:p>
          <w:p w:rsidR="006B4F70" w:rsidRPr="00345BB7" w:rsidRDefault="006B4F70" w:rsidP="006B4F70">
            <w:pPr>
              <w:pStyle w:val="rvps2"/>
              <w:shd w:val="clear" w:color="auto" w:fill="FFFFFF"/>
              <w:spacing w:after="0"/>
              <w:ind w:firstLine="709"/>
              <w:rPr>
                <w:b/>
                <w:bCs/>
                <w:bdr w:val="none" w:sz="0" w:space="0" w:color="auto" w:frame="1"/>
              </w:rPr>
            </w:pPr>
            <w:r w:rsidRPr="00345BB7">
              <w:rPr>
                <w:b/>
                <w:bCs/>
                <w:bdr w:val="none" w:sz="0" w:space="0" w:color="auto" w:frame="1"/>
              </w:rPr>
              <w:t>де Квіт – кількість вугілля вітчизняного видобутку, що передбачена для використання на планований період, т;</w:t>
            </w:r>
          </w:p>
          <w:p w:rsidR="006B4F70" w:rsidRPr="00345BB7" w:rsidRDefault="006B4F70" w:rsidP="006B4F70">
            <w:pPr>
              <w:pStyle w:val="rvps2"/>
              <w:shd w:val="clear" w:color="auto" w:fill="FFFFFF"/>
              <w:spacing w:after="0"/>
              <w:ind w:firstLine="709"/>
              <w:rPr>
                <w:b/>
                <w:bCs/>
                <w:bdr w:val="none" w:sz="0" w:space="0" w:color="auto" w:frame="1"/>
              </w:rPr>
            </w:pPr>
            <w:r w:rsidRPr="00345BB7">
              <w:rPr>
                <w:b/>
                <w:bCs/>
                <w:bdr w:val="none" w:sz="0" w:space="0" w:color="auto" w:frame="1"/>
              </w:rPr>
              <w:t>Кімп – кількість імпортованого вугілля, що передбачена для використання на планований період, т;</w:t>
            </w:r>
          </w:p>
          <w:p w:rsidR="006B4F70" w:rsidRPr="00345BB7" w:rsidRDefault="006B4F70" w:rsidP="006B4F70">
            <w:pPr>
              <w:pStyle w:val="rvps2"/>
              <w:shd w:val="clear" w:color="auto" w:fill="FFFFFF"/>
              <w:spacing w:after="0"/>
              <w:ind w:firstLine="709"/>
              <w:rPr>
                <w:b/>
                <w:bCs/>
                <w:bdr w:val="none" w:sz="0" w:space="0" w:color="auto" w:frame="1"/>
              </w:rPr>
            </w:pPr>
            <w:r w:rsidRPr="00345BB7">
              <w:rPr>
                <w:b/>
                <w:bCs/>
                <w:bdr w:val="none" w:sz="0" w:space="0" w:color="auto" w:frame="1"/>
              </w:rPr>
              <w:t>Цвіт – ціна вугілля вітчизняного видобутку на плановий період, грн/т;</w:t>
            </w:r>
          </w:p>
          <w:p w:rsidR="006B4F70" w:rsidRPr="00345BB7" w:rsidRDefault="006B4F70" w:rsidP="006B4F70">
            <w:pPr>
              <w:pStyle w:val="rvps2"/>
              <w:shd w:val="clear" w:color="auto" w:fill="FFFFFF"/>
              <w:spacing w:after="0"/>
              <w:ind w:firstLine="709"/>
              <w:rPr>
                <w:b/>
                <w:bCs/>
                <w:bdr w:val="none" w:sz="0" w:space="0" w:color="auto" w:frame="1"/>
              </w:rPr>
            </w:pPr>
            <w:r w:rsidRPr="00345BB7">
              <w:rPr>
                <w:b/>
                <w:bCs/>
                <w:bdr w:val="none" w:sz="0" w:space="0" w:color="auto" w:frame="1"/>
              </w:rPr>
              <w:t>Цімп – ціна імпортованого вугілля на плановий період, грн/т;</w:t>
            </w:r>
          </w:p>
          <w:p w:rsidR="006B4F70" w:rsidRPr="00345BB7" w:rsidRDefault="006B4F70" w:rsidP="006B4F70">
            <w:pPr>
              <w:pStyle w:val="rvps2"/>
              <w:shd w:val="clear" w:color="auto" w:fill="FFFFFF"/>
              <w:spacing w:after="0"/>
              <w:ind w:firstLine="709"/>
              <w:rPr>
                <w:b/>
                <w:bCs/>
                <w:bdr w:val="none" w:sz="0" w:space="0" w:color="auto" w:frame="1"/>
              </w:rPr>
            </w:pPr>
            <w:r w:rsidRPr="00345BB7">
              <w:rPr>
                <w:b/>
                <w:bCs/>
                <w:bdr w:val="none" w:sz="0" w:space="0" w:color="auto" w:frame="1"/>
              </w:rPr>
              <w:t>К – загальна кількість вугілля, що передбачена для використання на планований період, т.</w:t>
            </w:r>
          </w:p>
          <w:p w:rsidR="006B4F70" w:rsidRPr="00345BB7" w:rsidRDefault="006B4F70" w:rsidP="006B4F70">
            <w:pPr>
              <w:pStyle w:val="rvps2"/>
              <w:shd w:val="clear" w:color="auto" w:fill="FFFFFF"/>
              <w:spacing w:after="0"/>
              <w:ind w:firstLine="709"/>
              <w:rPr>
                <w:b/>
                <w:bCs/>
                <w:bdr w:val="none" w:sz="0" w:space="0" w:color="auto" w:frame="1"/>
              </w:rPr>
            </w:pPr>
            <w:r w:rsidRPr="00345BB7">
              <w:rPr>
                <w:b/>
                <w:bCs/>
                <w:bdr w:val="none" w:sz="0" w:space="0" w:color="auto" w:frame="1"/>
              </w:rPr>
              <w:t xml:space="preserve">Ціна вугілля вітчизняного видобутку розраховується за формулою </w:t>
            </w:r>
          </w:p>
          <w:p w:rsidR="006B4F70" w:rsidRPr="00345BB7" w:rsidRDefault="006B4F70" w:rsidP="006B4F70">
            <w:pPr>
              <w:pStyle w:val="rvps2"/>
              <w:shd w:val="clear" w:color="auto" w:fill="FFFFFF"/>
              <w:spacing w:after="0"/>
              <w:ind w:firstLine="709"/>
              <w:jc w:val="center"/>
              <w:rPr>
                <w:b/>
                <w:bCs/>
                <w:bdr w:val="none" w:sz="0" w:space="0" w:color="auto" w:frame="1"/>
              </w:rPr>
            </w:pPr>
            <w:r w:rsidRPr="00345BB7">
              <w:rPr>
                <w:b/>
                <w:bCs/>
                <w:bdr w:val="none" w:sz="0" w:space="0" w:color="auto" w:frame="1"/>
              </w:rPr>
              <w:t>Цвіт = Цінд + Цвіт зл, грн / т (2)</w:t>
            </w:r>
          </w:p>
          <w:p w:rsidR="006B4F70" w:rsidRPr="00345BB7" w:rsidRDefault="006B4F70" w:rsidP="006B4F70">
            <w:pPr>
              <w:pStyle w:val="rvps2"/>
              <w:shd w:val="clear" w:color="auto" w:fill="FFFFFF"/>
              <w:spacing w:after="0"/>
              <w:ind w:firstLine="709"/>
              <w:rPr>
                <w:b/>
                <w:bCs/>
                <w:bdr w:val="none" w:sz="0" w:space="0" w:color="auto" w:frame="1"/>
              </w:rPr>
            </w:pPr>
            <w:r w:rsidRPr="00345BB7">
              <w:rPr>
                <w:b/>
                <w:bCs/>
                <w:bdr w:val="none" w:sz="0" w:space="0" w:color="auto" w:frame="1"/>
              </w:rPr>
              <w:t>де Цінд – індикативна ціна вугілля, яка визначається на підставі середніх цін ф'ючерсних котирувань, визначених згідно з даними європейської енергетичної біржі «European Energy Exchange AG», видання «Coal Trader International» компанії «Platts», видання «Argus Coal Daily International» компанії «Argus Media Ltd» чи інших джерел, на 6 наступних місяців, що йдуть за місяцем встановлення тарифів, і яка розраховується з урахуванням офіційного курсу гривні щодо іноземних валют, оприлюдненого на офіційному веб-сайті Національного банку України, грн/т;</w:t>
            </w:r>
          </w:p>
          <w:p w:rsidR="006B4F70" w:rsidRPr="00345BB7" w:rsidRDefault="006B4F70" w:rsidP="006B4F70">
            <w:pPr>
              <w:pStyle w:val="rvps2"/>
              <w:shd w:val="clear" w:color="auto" w:fill="FFFFFF"/>
              <w:spacing w:after="0"/>
              <w:ind w:firstLine="709"/>
              <w:rPr>
                <w:b/>
                <w:bCs/>
                <w:bdr w:val="none" w:sz="0" w:space="0" w:color="auto" w:frame="1"/>
              </w:rPr>
            </w:pPr>
            <w:r w:rsidRPr="00345BB7">
              <w:rPr>
                <w:b/>
                <w:bCs/>
                <w:bdr w:val="none" w:sz="0" w:space="0" w:color="auto" w:frame="1"/>
              </w:rPr>
              <w:t>Цвіт зл – вартість транспортування вугілля залізничним транспортом територією України, розрахована на основі даних за 12 місяців, що передують місяцю встановлення тарифів, за даними форми 4а-НКРЕКП-виробництво електричної та теплової енергії (місячна) (з урахуванням витрат на транспортування) та з урахуванням прогнозу її зростання у розрахунковому періоді, наданого акціонерним товариством «Українська залізниця», грн/т.</w:t>
            </w:r>
          </w:p>
          <w:p w:rsidR="006B4F70" w:rsidRPr="00345BB7" w:rsidRDefault="006B4F70" w:rsidP="006B4F70">
            <w:pPr>
              <w:pStyle w:val="rvps2"/>
              <w:shd w:val="clear" w:color="auto" w:fill="FFFFFF"/>
              <w:spacing w:after="0"/>
              <w:ind w:firstLine="709"/>
              <w:rPr>
                <w:b/>
                <w:bCs/>
                <w:bdr w:val="none" w:sz="0" w:space="0" w:color="auto" w:frame="1"/>
              </w:rPr>
            </w:pPr>
            <w:r w:rsidRPr="00345BB7">
              <w:rPr>
                <w:b/>
                <w:bCs/>
                <w:bdr w:val="none" w:sz="0" w:space="0" w:color="auto" w:frame="1"/>
              </w:rPr>
              <w:lastRenderedPageBreak/>
              <w:t>Ціна імпортованого вугілля розраховується за формулою</w:t>
            </w:r>
          </w:p>
          <w:p w:rsidR="006B4F70" w:rsidRPr="00345BB7" w:rsidRDefault="006B4F70" w:rsidP="006B4F70">
            <w:pPr>
              <w:pStyle w:val="rvps2"/>
              <w:shd w:val="clear" w:color="auto" w:fill="FFFFFF"/>
              <w:spacing w:after="0"/>
              <w:ind w:firstLine="709"/>
              <w:jc w:val="center"/>
              <w:rPr>
                <w:b/>
                <w:bCs/>
                <w:bdr w:val="none" w:sz="0" w:space="0" w:color="auto" w:frame="1"/>
              </w:rPr>
            </w:pPr>
            <w:r w:rsidRPr="00345BB7">
              <w:rPr>
                <w:b/>
                <w:bCs/>
                <w:bdr w:val="none" w:sz="0" w:space="0" w:color="auto" w:frame="1"/>
              </w:rPr>
              <w:t>Цімп = Цінд + Цвіт зл + Цдос зл + Цпер, грн / т (3)</w:t>
            </w:r>
          </w:p>
          <w:p w:rsidR="006B4F70" w:rsidRPr="00345BB7" w:rsidRDefault="006B4F70" w:rsidP="006B4F70">
            <w:pPr>
              <w:pStyle w:val="rvps2"/>
              <w:shd w:val="clear" w:color="auto" w:fill="FFFFFF"/>
              <w:spacing w:after="0"/>
              <w:ind w:firstLine="709"/>
              <w:rPr>
                <w:b/>
                <w:bCs/>
                <w:bdr w:val="none" w:sz="0" w:space="0" w:color="auto" w:frame="1"/>
              </w:rPr>
            </w:pPr>
            <w:r w:rsidRPr="00345BB7">
              <w:rPr>
                <w:b/>
                <w:bCs/>
                <w:bdr w:val="none" w:sz="0" w:space="0" w:color="auto" w:frame="1"/>
              </w:rPr>
              <w:t xml:space="preserve">де Цдос зл – середньозважена ціна доставки імпортованого вугілля залізничним транспортом з портів доставки та (або) з місць видобутку вугілля </w:t>
            </w:r>
            <w:proofErr w:type="gramStart"/>
            <w:r w:rsidRPr="00345BB7">
              <w:rPr>
                <w:b/>
                <w:bCs/>
                <w:bdr w:val="none" w:sz="0" w:space="0" w:color="auto" w:frame="1"/>
              </w:rPr>
              <w:t>до кордону</w:t>
            </w:r>
            <w:proofErr w:type="gramEnd"/>
            <w:r w:rsidRPr="00345BB7">
              <w:rPr>
                <w:b/>
                <w:bCs/>
                <w:bdr w:val="none" w:sz="0" w:space="0" w:color="auto" w:frame="1"/>
              </w:rPr>
              <w:t xml:space="preserve"> України, що визначається на підставі даних, отриманих від державних органів виконавчої влади, відповідальних за моніторинг цін, або фактичних даних за попередні періоди або визначені умовами чинних договорів на постачання вугільної продукції, грн/т;</w:t>
            </w:r>
          </w:p>
          <w:p w:rsidR="006B4F70" w:rsidRPr="00345BB7" w:rsidRDefault="006B4F70" w:rsidP="006B4F70">
            <w:pPr>
              <w:pStyle w:val="rvps2"/>
              <w:shd w:val="clear" w:color="auto" w:fill="FFFFFF"/>
              <w:spacing w:after="0"/>
              <w:ind w:firstLine="709"/>
              <w:rPr>
                <w:b/>
                <w:bCs/>
                <w:bdr w:val="none" w:sz="0" w:space="0" w:color="auto" w:frame="1"/>
              </w:rPr>
            </w:pPr>
            <w:r w:rsidRPr="00345BB7">
              <w:rPr>
                <w:b/>
                <w:bCs/>
                <w:bdr w:val="none" w:sz="0" w:space="0" w:color="auto" w:frame="1"/>
              </w:rPr>
              <w:t>Цпер – середньозважена ціна перевантаження імпортованого вугілля, що визначається на підставі даних, отриманих від державних органів виконавчої влади, відповідальних за моніторинг цін, або фактичних даних за попередні періоди або визначені умовами чинних договорів на постачання вугільної продукції, грн/т.</w:t>
            </w:r>
          </w:p>
          <w:p w:rsidR="006B4F70" w:rsidRDefault="006B4F70" w:rsidP="006B4F70">
            <w:pPr>
              <w:pStyle w:val="rvps2"/>
              <w:shd w:val="clear" w:color="auto" w:fill="FFFFFF"/>
              <w:spacing w:after="0"/>
              <w:ind w:firstLine="709"/>
              <w:rPr>
                <w:bCs/>
                <w:bdr w:val="none" w:sz="0" w:space="0" w:color="auto" w:frame="1"/>
              </w:rPr>
            </w:pPr>
            <w:r w:rsidRPr="00E2459D">
              <w:rPr>
                <w:bCs/>
                <w:bdr w:val="none" w:sz="0" w:space="0" w:color="auto" w:frame="1"/>
              </w:rPr>
              <w:t>Ціни на енергетичне вугілля коригуються відповідно до показників теплотворної здатності (калорійності), а також з урахуванням якісних характеристик енергетичного вугілля (вмісту сірки, золи, вологи), при цьому базовими характеристиками енергетичного вугілля вважаються: 6000 ккал/кг на робочу масу, вміст сірки – до 1 % на робочу масу, вміст золи – до 16 % на робочу масу, вміст вологи – до 14 % на робочу масу. При використанні енергетичного вугілля з калорійністю, вищою від базової характеристики, або з вмістом сірки, нижчим від базової характеристики, коригування ціни не здійснюється.</w:t>
            </w:r>
          </w:p>
          <w:p w:rsidR="006B4F70" w:rsidRPr="00C74C54" w:rsidRDefault="006B4F70" w:rsidP="006B4F70">
            <w:pPr>
              <w:pStyle w:val="rvps2"/>
              <w:shd w:val="clear" w:color="auto" w:fill="FFFFFF"/>
              <w:spacing w:after="0"/>
              <w:ind w:firstLine="709"/>
              <w:rPr>
                <w:b/>
                <w:bCs/>
                <w:bdr w:val="none" w:sz="0" w:space="0" w:color="auto" w:frame="1"/>
              </w:rPr>
            </w:pPr>
            <w:r w:rsidRPr="00C74C54">
              <w:rPr>
                <w:b/>
                <w:bCs/>
                <w:bdr w:val="none" w:sz="0" w:space="0" w:color="auto" w:frame="1"/>
              </w:rPr>
              <w:t>У разі відсутності підтверджуючих матеріалів та відповідних обґрунтувань щодо вартості доставки та перевантаження імпортованого вугілля, НКРЕКП не застосовує зазначені витрати для розрахунку ціни вугілля.</w:t>
            </w:r>
          </w:p>
          <w:p w:rsidR="00C74C54" w:rsidRDefault="00C74C54" w:rsidP="006B4F70">
            <w:pPr>
              <w:pStyle w:val="rvps2"/>
              <w:shd w:val="clear" w:color="auto" w:fill="FFFFFF"/>
              <w:spacing w:after="0"/>
              <w:ind w:firstLine="709"/>
              <w:rPr>
                <w:bCs/>
                <w:bdr w:val="none" w:sz="0" w:space="0" w:color="auto" w:frame="1"/>
              </w:rPr>
            </w:pPr>
          </w:p>
          <w:p w:rsidR="00C74C54" w:rsidRDefault="00C74C54" w:rsidP="006B4F70">
            <w:pPr>
              <w:pStyle w:val="rvps2"/>
              <w:shd w:val="clear" w:color="auto" w:fill="FFFFFF"/>
              <w:spacing w:after="0"/>
              <w:ind w:firstLine="709"/>
              <w:rPr>
                <w:bCs/>
                <w:bdr w:val="none" w:sz="0" w:space="0" w:color="auto" w:frame="1"/>
              </w:rPr>
            </w:pPr>
          </w:p>
          <w:p w:rsidR="00C74C54" w:rsidRDefault="00C74C54" w:rsidP="006B4F70">
            <w:pPr>
              <w:pStyle w:val="rvps2"/>
              <w:shd w:val="clear" w:color="auto" w:fill="FFFFFF"/>
              <w:spacing w:after="0"/>
              <w:ind w:firstLine="709"/>
              <w:rPr>
                <w:bCs/>
                <w:bdr w:val="none" w:sz="0" w:space="0" w:color="auto" w:frame="1"/>
              </w:rPr>
            </w:pPr>
          </w:p>
          <w:p w:rsidR="00C74C54" w:rsidRDefault="00C74C54" w:rsidP="006B4F70">
            <w:pPr>
              <w:pStyle w:val="rvps2"/>
              <w:shd w:val="clear" w:color="auto" w:fill="FFFFFF"/>
              <w:spacing w:after="0"/>
              <w:ind w:firstLine="709"/>
              <w:rPr>
                <w:bCs/>
                <w:bdr w:val="none" w:sz="0" w:space="0" w:color="auto" w:frame="1"/>
              </w:rPr>
            </w:pPr>
          </w:p>
          <w:p w:rsidR="00C74C54" w:rsidRDefault="00C74C54" w:rsidP="006B4F70">
            <w:pPr>
              <w:pStyle w:val="rvps2"/>
              <w:shd w:val="clear" w:color="auto" w:fill="FFFFFF"/>
              <w:spacing w:after="0"/>
              <w:ind w:firstLine="709"/>
              <w:rPr>
                <w:bCs/>
                <w:bdr w:val="none" w:sz="0" w:space="0" w:color="auto" w:frame="1"/>
              </w:rPr>
            </w:pPr>
          </w:p>
          <w:p w:rsidR="00C74C54" w:rsidRDefault="00C74C54" w:rsidP="006B4F70">
            <w:pPr>
              <w:pStyle w:val="rvps2"/>
              <w:shd w:val="clear" w:color="auto" w:fill="FFFFFF"/>
              <w:spacing w:after="0"/>
              <w:ind w:firstLine="709"/>
              <w:rPr>
                <w:bCs/>
                <w:bdr w:val="none" w:sz="0" w:space="0" w:color="auto" w:frame="1"/>
              </w:rPr>
            </w:pPr>
          </w:p>
          <w:p w:rsidR="00C74C54" w:rsidRDefault="00C74C54" w:rsidP="006B4F70">
            <w:pPr>
              <w:pStyle w:val="rvps2"/>
              <w:shd w:val="clear" w:color="auto" w:fill="FFFFFF"/>
              <w:spacing w:after="0"/>
              <w:ind w:firstLine="709"/>
              <w:rPr>
                <w:bCs/>
                <w:bdr w:val="none" w:sz="0" w:space="0" w:color="auto" w:frame="1"/>
              </w:rPr>
            </w:pPr>
          </w:p>
          <w:p w:rsidR="00C74C54" w:rsidRDefault="00C74C54" w:rsidP="006B4F70">
            <w:pPr>
              <w:pStyle w:val="rvps2"/>
              <w:shd w:val="clear" w:color="auto" w:fill="FFFFFF"/>
              <w:spacing w:after="0"/>
              <w:ind w:firstLine="709"/>
              <w:rPr>
                <w:bCs/>
                <w:bdr w:val="none" w:sz="0" w:space="0" w:color="auto" w:frame="1"/>
              </w:rPr>
            </w:pPr>
          </w:p>
          <w:p w:rsidR="00C74C54" w:rsidRDefault="00C74C54" w:rsidP="006B4F70">
            <w:pPr>
              <w:pStyle w:val="rvps2"/>
              <w:shd w:val="clear" w:color="auto" w:fill="FFFFFF"/>
              <w:spacing w:after="0"/>
              <w:ind w:firstLine="709"/>
              <w:rPr>
                <w:bCs/>
                <w:bdr w:val="none" w:sz="0" w:space="0" w:color="auto" w:frame="1"/>
              </w:rPr>
            </w:pPr>
          </w:p>
          <w:p w:rsidR="006B4F70" w:rsidRPr="00C74C54" w:rsidRDefault="006B4F70" w:rsidP="00C74C54">
            <w:pPr>
              <w:pStyle w:val="rvps2"/>
              <w:shd w:val="clear" w:color="auto" w:fill="FFFFFF"/>
            </w:pPr>
            <w:r w:rsidRPr="00C74C54">
              <w:t>Коригування ціни на енергетичне вугілля при використанні вугілля з характеристиками, що відмінні від базових, здійснюється за формулою</w:t>
            </w:r>
          </w:p>
          <w:p w:rsidR="006B4F70" w:rsidRPr="00C74C54" w:rsidRDefault="006B4F70" w:rsidP="00C74C54">
            <w:pPr>
              <w:pStyle w:val="rvps2"/>
              <w:shd w:val="clear" w:color="auto" w:fill="FFFFFF"/>
            </w:pPr>
            <w:r w:rsidRPr="00C74C54">
              <w:t xml:space="preserve">Ц він кор. = Цвін • [1 - (Цcal + ЦSr </w:t>
            </w:r>
            <w:proofErr w:type="gramStart"/>
            <w:r w:rsidRPr="00C74C54">
              <w:t>&lt; 1</w:t>
            </w:r>
            <w:proofErr w:type="gramEnd"/>
            <w:r w:rsidRPr="00C74C54">
              <w:t>,5 % + ЦSr &gt; 1,5 %], грн/т, (4)</w:t>
            </w:r>
          </w:p>
          <w:p w:rsidR="006B4F70" w:rsidRPr="00C74C54" w:rsidRDefault="006B4F70" w:rsidP="00C74C54">
            <w:pPr>
              <w:pStyle w:val="rvps2"/>
              <w:shd w:val="clear" w:color="auto" w:fill="FFFFFF"/>
            </w:pPr>
            <w:r w:rsidRPr="00C74C54">
              <w:t xml:space="preserve">де Цcal – знижка до ціни енергетичного вугілля в разі планування використання енергетичного вугілля з калорійністю, нижчою за 6000 ккал/кг на робочу масу, яка визначається за формулою </w:t>
            </w:r>
          </w:p>
          <w:p w:rsidR="006B4F70" w:rsidRPr="00C74C54" w:rsidRDefault="006B4F70" w:rsidP="00C74C54">
            <w:pPr>
              <w:pStyle w:val="rvps2"/>
              <w:shd w:val="clear" w:color="auto" w:fill="FFFFFF"/>
            </w:pPr>
            <w:r w:rsidRPr="00C74C54">
              <w:lastRenderedPageBreak/>
              <w:t>Цcal = 1 - Qir/6000, %, (5)</w:t>
            </w:r>
          </w:p>
          <w:p w:rsidR="006B4F70" w:rsidRPr="00C74C54" w:rsidRDefault="006B4F70" w:rsidP="00C74C54">
            <w:pPr>
              <w:pStyle w:val="rvps2"/>
              <w:shd w:val="clear" w:color="auto" w:fill="FFFFFF"/>
            </w:pPr>
            <w:r w:rsidRPr="00C74C54">
              <w:t xml:space="preserve">де Qir – нижча робоча теплота згоряння палива, ккал/кг; </w:t>
            </w:r>
          </w:p>
          <w:p w:rsidR="006B4F70" w:rsidRPr="00C74C54" w:rsidRDefault="006B4F70" w:rsidP="00C74C54">
            <w:pPr>
              <w:pStyle w:val="rvps2"/>
              <w:shd w:val="clear" w:color="auto" w:fill="FFFFFF"/>
            </w:pPr>
            <w:r w:rsidRPr="00C74C54">
              <w:t xml:space="preserve">ЦSr </w:t>
            </w:r>
            <w:proofErr w:type="gramStart"/>
            <w:r w:rsidRPr="00C74C54">
              <w:t>&lt; 1</w:t>
            </w:r>
            <w:proofErr w:type="gramEnd"/>
            <w:r w:rsidRPr="00C74C54">
              <w:t xml:space="preserve">,5 % – знижка до ціни енергетичного вугілля в разі планування використання енергетичного вугілля з вмістом сірки на робочу масу від 1 % до 1,5 %, яка визначається за формулою </w:t>
            </w:r>
          </w:p>
          <w:p w:rsidR="006B4F70" w:rsidRPr="00C74C54" w:rsidRDefault="006B4F70" w:rsidP="00C74C54">
            <w:pPr>
              <w:pStyle w:val="rvps2"/>
              <w:shd w:val="clear" w:color="auto" w:fill="FFFFFF"/>
            </w:pPr>
            <w:r w:rsidRPr="00C74C54">
              <w:t>ЦSr = Sr - 1 %, %, (6)</w:t>
            </w:r>
          </w:p>
          <w:p w:rsidR="006B4F70" w:rsidRPr="00C74C54" w:rsidRDefault="006B4F70" w:rsidP="00C74C54">
            <w:pPr>
              <w:pStyle w:val="rvps2"/>
              <w:shd w:val="clear" w:color="auto" w:fill="FFFFFF"/>
            </w:pPr>
            <w:r w:rsidRPr="00C74C54">
              <w:t xml:space="preserve">де Sr – вміст сірки в паливі на робочу масу, %; </w:t>
            </w:r>
          </w:p>
          <w:p w:rsidR="006B4F70" w:rsidRPr="00C74C54" w:rsidRDefault="006B4F70" w:rsidP="00C74C54">
            <w:pPr>
              <w:pStyle w:val="rvps2"/>
              <w:shd w:val="clear" w:color="auto" w:fill="FFFFFF"/>
            </w:pPr>
            <w:r w:rsidRPr="00C74C54">
              <w:t>Ц</w:t>
            </w:r>
            <w:proofErr w:type="gramStart"/>
            <w:r w:rsidRPr="00C74C54">
              <w:t>Sr &gt;</w:t>
            </w:r>
            <w:proofErr w:type="gramEnd"/>
            <w:r w:rsidRPr="00C74C54">
              <w:t xml:space="preserve"> 1,5 % – знижка до ціни енергетичного вугілля в разі планування використання енергетичного вугілля з вмістом сірки на робочу масу понад 1,5 %, яка визначається за формулою </w:t>
            </w:r>
          </w:p>
          <w:p w:rsidR="006B4F70" w:rsidRPr="00C74C54" w:rsidRDefault="006B4F70" w:rsidP="00C74C54">
            <w:pPr>
              <w:pStyle w:val="rvps2"/>
              <w:shd w:val="clear" w:color="auto" w:fill="FFFFFF"/>
            </w:pPr>
            <w:r w:rsidRPr="00C74C54">
              <w:t>Ц Sr = (Sr - 1 %) + ((Sr - 1,5 %) • 10), %. (7)</w:t>
            </w:r>
          </w:p>
          <w:p w:rsidR="006B4F70" w:rsidRPr="00C74C54" w:rsidRDefault="006B4F70" w:rsidP="00C74C54">
            <w:pPr>
              <w:pStyle w:val="rvps2"/>
              <w:shd w:val="clear" w:color="auto" w:fill="FFFFFF"/>
            </w:pPr>
            <w:r w:rsidRPr="00C74C54">
              <w:t xml:space="preserve">Вартість природного газу враховується на підставі моніторингу та аналізу цін </w:t>
            </w:r>
            <w:proofErr w:type="gramStart"/>
            <w:r w:rsidRPr="00C74C54">
              <w:t>на ринку</w:t>
            </w:r>
            <w:proofErr w:type="gramEnd"/>
            <w:r w:rsidRPr="00C74C54">
              <w:t xml:space="preserve"> природного газу, який здійснюється НКРЕКП, та з урахуванням індикативної вартості природного газу, а також з урахуванням обсягів та умов виконання спеціальних обов'язків, покладених Кабінетом Міністрів України на суб'єктів ринку природного газу, відповідно до Закону України «Про ринок природного газу». </w:t>
            </w:r>
          </w:p>
          <w:p w:rsidR="006B4F70" w:rsidRPr="00C74C54" w:rsidRDefault="006B4F70" w:rsidP="00C74C54">
            <w:pPr>
              <w:pStyle w:val="rvps2"/>
              <w:shd w:val="clear" w:color="auto" w:fill="FFFFFF"/>
            </w:pPr>
            <w:r w:rsidRPr="00C74C54">
              <w:t xml:space="preserve">У розрахунках тарифів на відпуск електричної енергії та (або) виробництво теплової енергії ціна природного газу не може бути врахована вищою за ціну природного газу, визначену на рівні імпортного паритету на 2 наступних квартали, що йдуть за місяцем кварталу, в якому встановлюються тарифи, та розраховану за формулою </w:t>
            </w:r>
          </w:p>
          <w:p w:rsidR="006B4F70" w:rsidRPr="00C74C54" w:rsidRDefault="006B4F70" w:rsidP="00C74C54">
            <w:pPr>
              <w:pStyle w:val="rvps2"/>
              <w:shd w:val="clear" w:color="auto" w:fill="FFFFFF"/>
            </w:pPr>
            <w:r w:rsidRPr="00C74C54">
              <w:t>Ціп = {(ЦNCG х КGCV х Кєвро/дол США) + (Сф х КGCV х Кєвро/дол США) + (ТВімп х КGCV х Кєвро/дол США) + ТвхГТС} х Кдол. США, грн за 1000 куб. м, (8)</w:t>
            </w:r>
          </w:p>
          <w:p w:rsidR="006B4F70" w:rsidRPr="00C74C54" w:rsidRDefault="006B4F70" w:rsidP="00C74C54">
            <w:pPr>
              <w:pStyle w:val="rvps2"/>
              <w:shd w:val="clear" w:color="auto" w:fill="FFFFFF"/>
            </w:pPr>
            <w:r w:rsidRPr="00C74C54">
              <w:t xml:space="preserve">де Ціп – ціна газу на рівні імпортного паритету (без урахування податку на додану вартість), грн за 1000 куб. м; </w:t>
            </w:r>
          </w:p>
          <w:p w:rsidR="006B4F70" w:rsidRPr="00C74C54" w:rsidRDefault="006B4F70" w:rsidP="00C74C54">
            <w:pPr>
              <w:pStyle w:val="rvps2"/>
              <w:shd w:val="clear" w:color="auto" w:fill="FFFFFF"/>
            </w:pPr>
            <w:r w:rsidRPr="00C74C54">
              <w:t xml:space="preserve">ЦNCG – індикативна ціна природного газу на німецькому газовому хабі (NCG), яка визначається на підставі середніх цін ф'ючерсних котирувань, визначених згідно з даними європейської енергетичної біржі «European Energy Exchange AG», видання «Platts European Gas Daily» компанії «Platts», видання «Argus European Natural Gas» компанії «Argus Media Ltd» чи інших джерел джерел, євро/МВт·год; </w:t>
            </w:r>
          </w:p>
          <w:p w:rsidR="006B4F70" w:rsidRPr="00C74C54" w:rsidRDefault="006B4F70" w:rsidP="00C74C54">
            <w:pPr>
              <w:pStyle w:val="rvps2"/>
              <w:shd w:val="clear" w:color="auto" w:fill="FFFFFF"/>
            </w:pPr>
            <w:r w:rsidRPr="00C74C54">
              <w:t xml:space="preserve">КGCV – коефіцієнт, який відображає співвідношення одиниць енергії (МВт·год) та об'єму (1000 куб. м) і визначається відповідно до інформації, наведеної на офіційному веб-сайті оператора газотранспортної системи Словаччини компанії «Eustream, a. s.», середнє значення за 12 місяців, що передують місяцю, в якому встановлюються тарифи; </w:t>
            </w:r>
          </w:p>
          <w:p w:rsidR="006B4F70" w:rsidRPr="00C74C54" w:rsidRDefault="006B4F70" w:rsidP="00C74C54">
            <w:pPr>
              <w:pStyle w:val="rvps2"/>
              <w:shd w:val="clear" w:color="auto" w:fill="FFFFFF"/>
            </w:pPr>
            <w:r w:rsidRPr="00C74C54">
              <w:t>Кєвро/</w:t>
            </w:r>
            <w:proofErr w:type="gramStart"/>
            <w:r w:rsidRPr="00C74C54">
              <w:t>дол.США</w:t>
            </w:r>
            <w:proofErr w:type="gramEnd"/>
            <w:r w:rsidRPr="00C74C54">
              <w:t xml:space="preserve"> – курс євро до долара США, за даними агентства «Bloomberg», дол. США за 1 євро на дату встановлення тарифів; </w:t>
            </w:r>
          </w:p>
          <w:p w:rsidR="006B4F70" w:rsidRPr="00C74C54" w:rsidRDefault="006B4F70" w:rsidP="00C74C54">
            <w:pPr>
              <w:pStyle w:val="rvps2"/>
              <w:shd w:val="clear" w:color="auto" w:fill="FFFFFF"/>
            </w:pPr>
            <w:r w:rsidRPr="00C74C54">
              <w:t xml:space="preserve">Сф – сумарна вартість транспортування природного газу від німецького газового хабу (NCG) до віртуальної торгової точки на території Словаччини, розрахована на підставі діючих тарифів Німеччини, Чехії та Словаччини, євро/МВт·год; </w:t>
            </w:r>
          </w:p>
          <w:p w:rsidR="006B4F70" w:rsidRPr="00C74C54" w:rsidRDefault="006B4F70" w:rsidP="00C74C54">
            <w:pPr>
              <w:pStyle w:val="rvps2"/>
              <w:shd w:val="clear" w:color="auto" w:fill="FFFFFF"/>
            </w:pPr>
            <w:r w:rsidRPr="00C74C54">
              <w:t xml:space="preserve">ТВімп – вартість транспортування природного газу від віртуальної торгової точки на території Словаччини до західного кордону України (вартість «виходу» з газотранспортної системи Словаччини), розрахована на основі діючих тарифів </w:t>
            </w:r>
            <w:proofErr w:type="gramStart"/>
            <w:r w:rsidRPr="00C74C54">
              <w:t>для пункту</w:t>
            </w:r>
            <w:proofErr w:type="gramEnd"/>
            <w:r w:rsidRPr="00C74C54">
              <w:t xml:space="preserve"> виходу зі Словаччини в Україну, враховуючи технологічну складову та (або) інші стягнення, запроваджені національним регулятором і діючі на дату встановлення тарифів, євро/МВт·год;</w:t>
            </w:r>
          </w:p>
          <w:p w:rsidR="006B4F70" w:rsidRPr="00C74C54" w:rsidRDefault="006B4F70" w:rsidP="00C74C54">
            <w:pPr>
              <w:pStyle w:val="rvps2"/>
              <w:shd w:val="clear" w:color="auto" w:fill="FFFFFF"/>
            </w:pPr>
            <w:r w:rsidRPr="00C74C54">
              <w:t xml:space="preserve">ТвхГТС – тариф на послуги з транспортування природного газу транскордонними газопроводами для точок входу в газотранспортну систему України, установлений НКРЕКП (без урахування податку на додану вартість), дол. США/1000 куб. м; </w:t>
            </w:r>
          </w:p>
          <w:p w:rsidR="006B4F70" w:rsidRPr="00C74C54" w:rsidRDefault="006B4F70" w:rsidP="00C74C54">
            <w:pPr>
              <w:pStyle w:val="rvps2"/>
              <w:shd w:val="clear" w:color="auto" w:fill="FFFFFF"/>
            </w:pPr>
            <w:r w:rsidRPr="00C74C54">
              <w:t>Кдол. США – середньозважений курс на міжбанківському ринку, оприлюднений на офіційному веб-сайті Національного банку України на дату проведення розрахунку, грн за 1 дол. США.</w:t>
            </w:r>
          </w:p>
          <w:p w:rsidR="006B4F70" w:rsidRPr="00C74C54" w:rsidRDefault="006B4F70" w:rsidP="00C74C54">
            <w:pPr>
              <w:pStyle w:val="rvps2"/>
              <w:shd w:val="clear" w:color="auto" w:fill="FFFFFF"/>
            </w:pPr>
            <w:r w:rsidRPr="00C74C54">
              <w:t>У разі закупівлі ліцензіатом природного газу у суб'єктів ринку природного газу, на яких постановою Кабінету Міністрів України покладені спеціальні обов'язки для забезпечення загальносуспільних інтересів у процесі функціонування ринку природного газу, у розрахунках тарифів на відпуск електричної енергії та (або) виробництво теплової енергії ціни на природний газ ураховуються на рівні, визначеному відповідною постановою Кабінету Міністрів України.</w:t>
            </w:r>
          </w:p>
          <w:p w:rsidR="006B4F70" w:rsidRPr="00C74C54" w:rsidRDefault="006B4F70" w:rsidP="00C74C54">
            <w:pPr>
              <w:pStyle w:val="rvps2"/>
              <w:shd w:val="clear" w:color="auto" w:fill="FFFFFF"/>
            </w:pPr>
            <w:r w:rsidRPr="00C74C54">
              <w:t>Вартість транспортування природного газу територією України враховується НКРЕКП згідно зі встановленими тарифами на послуги транспортування природного газу.</w:t>
            </w:r>
          </w:p>
          <w:p w:rsidR="006B4F70" w:rsidRPr="00C74C54" w:rsidRDefault="006B4F70" w:rsidP="00C74C54">
            <w:pPr>
              <w:pStyle w:val="rvps2"/>
              <w:shd w:val="clear" w:color="auto" w:fill="FFFFFF"/>
            </w:pPr>
            <w:r w:rsidRPr="00C74C54">
              <w:t xml:space="preserve">Вартість інших видів паливно-енергетичних ресурсів, що використовуються як джерела енергії, враховується відповідно до укладених договорів/контрактів на закупівлю таких паливно-енергетичних ресурсів, калькуляцій вартості зазначених паливно-енергетичних ресурсів, але не вище від цін на них, які склалися </w:t>
            </w:r>
            <w:proofErr w:type="gramStart"/>
            <w:r w:rsidRPr="00C74C54">
              <w:t>на ринку</w:t>
            </w:r>
            <w:proofErr w:type="gramEnd"/>
            <w:r w:rsidRPr="00C74C54">
              <w:t xml:space="preserve"> України на дату розрахунку тарифів на відпуск електричної енергії та (або) виробництво теплової енергії.</w:t>
            </w:r>
          </w:p>
          <w:p w:rsidR="006B4F70" w:rsidRPr="00C74C54" w:rsidRDefault="006B4F70" w:rsidP="00C74C54">
            <w:pPr>
              <w:pStyle w:val="rvps2"/>
              <w:shd w:val="clear" w:color="auto" w:fill="FFFFFF"/>
            </w:pPr>
            <w:r w:rsidRPr="00C74C54">
              <w:t xml:space="preserve">У розрахунках тарифів можуть ураховуватися ціни на паливно-енергетичні ресурси та (або) ціни на послуги (витрати) з транспортування паливно-енергетичних ресурсів, що затверджуються, встановлюються чи оприлюднюються державними органами влади відповідно до чинного законодавства України. </w:t>
            </w:r>
          </w:p>
          <w:p w:rsidR="006B4F70" w:rsidRPr="00C74C54" w:rsidRDefault="006B4F70" w:rsidP="00C74C54">
            <w:pPr>
              <w:pStyle w:val="rvps2"/>
              <w:shd w:val="clear" w:color="auto" w:fill="FFFFFF"/>
            </w:pPr>
            <w:r w:rsidRPr="00C74C54">
              <w:t xml:space="preserve">За результатами моніторингу ринків </w:t>
            </w:r>
            <w:proofErr w:type="gramStart"/>
            <w:r w:rsidRPr="00C74C54">
              <w:t>у сферах</w:t>
            </w:r>
            <w:proofErr w:type="gramEnd"/>
            <w:r w:rsidRPr="00C74C54">
              <w:t xml:space="preserve"> енергетики та комунальних послуг, що здійснюється НКРЕКП щоквартально, НКРЕКП може прийняти рішення щодо зміни цін на паливно-енергетичні ресурси у структурі тарифів на відпуск електричної енергії та (або) виробництво теплової енергії. </w:t>
            </w:r>
          </w:p>
          <w:p w:rsidR="006B4F70" w:rsidRPr="00C74C54" w:rsidRDefault="006B4F70" w:rsidP="00C74C54">
            <w:pPr>
              <w:pStyle w:val="rvps2"/>
              <w:shd w:val="clear" w:color="auto" w:fill="FFFFFF"/>
            </w:pPr>
            <w:r w:rsidRPr="00C74C54">
              <w:t>При формуванні, розрахунку та встановленні тарифів на відпуск електричної та (або) виробництво теплової енергії витрати на паливо та структура використання палива (у разі використання декількох видів палива при виробництві електричної та теплової енергії) враховуються на підставі аналізу фактичних даних за попередні періоди (як правило за 5 років) виходячи з особливостей роботи генеруючого обладнання та устаткування конкретного ліцензіата, режимів роботи генеруючого обладнання та устаткування, можливості використання паливно-енергетичних ресурсів з найменшою вартістю, технічного стану чи технічної можливості роботи генеруючого обладнання та устаткування (значення максимального та мінімального навантажень котлів і турбін, характер добового графіка зміни навантаження, старіння устаткування, освоєння введеного устаткування, структура і якість спалюваного палива, температура зовнішнього повітря, температура охолоджувальної води на вході в конденсатори турбін тощо), а також інших зовнішніх факторів.</w:t>
            </w:r>
          </w:p>
          <w:p w:rsidR="006B4F70" w:rsidRPr="00C74C54" w:rsidRDefault="006B4F70" w:rsidP="00C74C54">
            <w:pPr>
              <w:pStyle w:val="rvps2"/>
              <w:shd w:val="clear" w:color="auto" w:fill="FFFFFF"/>
            </w:pPr>
            <w:r w:rsidRPr="00C74C54">
              <w:t>Ліцензіати, які використовують декілька видів палива при виробництві електричної та теплової енергії, при формуванні та розрахунку тарифів надають підтверджуючі матеріали щодо структури використання палива. При встановленні тарифів на відпуск електричної енергії та (або) виробництво теплової енергії структура використання палива між видами виробництва, як правило, розподіляється пропорційно витратам умовного палива на виробництво електричної енергії та на виробництво теплової енергії, але з урахуванням усіх обставин та факторів, що викладені у цьому підпункті.</w:t>
            </w:r>
          </w:p>
          <w:p w:rsidR="006B4F70" w:rsidRPr="00C74C54" w:rsidRDefault="006B4F70" w:rsidP="006B4F70">
            <w:pPr>
              <w:pStyle w:val="rvps2"/>
              <w:shd w:val="clear" w:color="auto" w:fill="FFFFFF"/>
              <w:spacing w:after="0"/>
              <w:ind w:firstLine="709"/>
              <w:rPr>
                <w:b/>
                <w:bCs/>
                <w:bdr w:val="none" w:sz="0" w:space="0" w:color="auto" w:frame="1"/>
              </w:rPr>
            </w:pPr>
            <w:r w:rsidRPr="00C74C54">
              <w:rPr>
                <w:b/>
                <w:bCs/>
                <w:bdr w:val="none" w:sz="0" w:space="0" w:color="auto" w:frame="1"/>
              </w:rPr>
              <w:t>У розрахунках тарифів на відпуск електричної енергії та (або) виробництво теплової енергії середньорічна питома витрата умовного палива на виробництво теплової енергії не може бути врахована вищою від значення, яке розраховується за формулою</w:t>
            </w:r>
          </w:p>
          <w:p w:rsidR="006B4F70" w:rsidRPr="00C74C54" w:rsidRDefault="006B4F70" w:rsidP="006B4F70">
            <w:pPr>
              <w:pStyle w:val="rvps2"/>
              <w:shd w:val="clear" w:color="auto" w:fill="FFFFFF"/>
              <w:spacing w:after="0"/>
              <w:ind w:firstLine="709"/>
              <w:jc w:val="center"/>
              <w:rPr>
                <w:b/>
                <w:bCs/>
                <w:bdr w:val="none" w:sz="0" w:space="0" w:color="auto" w:frame="1"/>
              </w:rPr>
            </w:pPr>
            <w:r w:rsidRPr="00C74C54">
              <w:rPr>
                <w:b/>
                <w:bCs/>
                <w:bdr w:val="none" w:sz="0" w:space="0" w:color="auto" w:frame="1"/>
              </w:rPr>
              <w:t>bте = 1/(7000⸱</w:t>
            </w:r>
            <w:proofErr w:type="gramStart"/>
            <w:r w:rsidRPr="00C74C54">
              <w:rPr>
                <w:b/>
                <w:bCs/>
                <w:bdr w:val="none" w:sz="0" w:space="0" w:color="auto" w:frame="1"/>
              </w:rPr>
              <w:t>k)⸱</w:t>
            </w:r>
            <w:proofErr w:type="gramEnd"/>
            <w:r w:rsidRPr="00C74C54">
              <w:rPr>
                <w:b/>
                <w:bCs/>
                <w:bdr w:val="none" w:sz="0" w:space="0" w:color="auto" w:frame="1"/>
              </w:rPr>
              <w:t>10</w:t>
            </w:r>
            <w:r w:rsidRPr="00C74C54">
              <w:rPr>
                <w:b/>
                <w:bCs/>
                <w:bdr w:val="none" w:sz="0" w:space="0" w:color="auto" w:frame="1"/>
                <w:vertAlign w:val="superscript"/>
              </w:rPr>
              <w:t>6</w:t>
            </w:r>
            <w:r w:rsidRPr="00C74C54">
              <w:rPr>
                <w:b/>
                <w:bCs/>
                <w:bdr w:val="none" w:sz="0" w:space="0" w:color="auto" w:frame="1"/>
              </w:rPr>
              <w:t>, кг/Гкал, (9)</w:t>
            </w:r>
          </w:p>
          <w:p w:rsidR="006B4F70" w:rsidRPr="00C74C54" w:rsidRDefault="006B4F70" w:rsidP="006B4F70">
            <w:pPr>
              <w:pStyle w:val="rvps2"/>
              <w:shd w:val="clear" w:color="auto" w:fill="FFFFFF"/>
              <w:spacing w:after="0"/>
              <w:ind w:firstLine="709"/>
              <w:rPr>
                <w:b/>
                <w:bCs/>
                <w:bdr w:val="none" w:sz="0" w:space="0" w:color="auto" w:frame="1"/>
              </w:rPr>
            </w:pPr>
            <w:r w:rsidRPr="00C74C54">
              <w:rPr>
                <w:b/>
                <w:bCs/>
                <w:bdr w:val="none" w:sz="0" w:space="0" w:color="auto" w:frame="1"/>
              </w:rPr>
              <w:t>де 7000 – теплота згорання умовного палива, ккал/кг;</w:t>
            </w:r>
          </w:p>
          <w:p w:rsidR="003B7B42" w:rsidRPr="00E2459D" w:rsidRDefault="006B4F70" w:rsidP="006B4F70">
            <w:pPr>
              <w:pStyle w:val="rvps2"/>
              <w:shd w:val="clear" w:color="auto" w:fill="FFFFFF"/>
              <w:rPr>
                <w:b/>
                <w:sz w:val="26"/>
                <w:szCs w:val="26"/>
                <w:lang w:val="uk-UA"/>
              </w:rPr>
            </w:pPr>
            <w:r w:rsidRPr="00C74C54">
              <w:rPr>
                <w:b/>
                <w:bCs/>
                <w:bdr w:val="none" w:sz="0" w:space="0" w:color="auto" w:frame="1"/>
              </w:rPr>
              <w:t xml:space="preserve">k – коефіцієнт ефективності використання палива при виробництві теплової енергії комбінованим способом, який дорівнює 0,777 – </w:t>
            </w:r>
            <w:proofErr w:type="gramStart"/>
            <w:r w:rsidRPr="00C74C54">
              <w:rPr>
                <w:b/>
                <w:bCs/>
                <w:bdr w:val="none" w:sz="0" w:space="0" w:color="auto" w:frame="1"/>
              </w:rPr>
              <w:t>для  газотурбіних</w:t>
            </w:r>
            <w:proofErr w:type="gramEnd"/>
            <w:r w:rsidRPr="00C74C54">
              <w:rPr>
                <w:b/>
                <w:bCs/>
                <w:bdr w:val="none" w:sz="0" w:space="0" w:color="auto" w:frame="1"/>
              </w:rPr>
              <w:t xml:space="preserve"> та газопоршневих когенераційних установок; 0,874 – для ТЕЦ та ТЕС, враховуючи положення наказу Державного комітету України з енергозбереження від 07 травня 2001 року  № 46 «Про затвердження Міжгалузевих норм витрат палива для опалювальних котлів, які експлуатуються в Україні»</w:t>
            </w:r>
          </w:p>
        </w:tc>
      </w:tr>
      <w:tr w:rsidR="006D24C1" w:rsidRPr="00B62703" w:rsidTr="004527A9">
        <w:tc>
          <w:tcPr>
            <w:tcW w:w="14879" w:type="dxa"/>
            <w:gridSpan w:val="2"/>
          </w:tcPr>
          <w:p w:rsidR="006D24C1" w:rsidRPr="006D24C1" w:rsidRDefault="006D24C1" w:rsidP="006D24C1">
            <w:pPr>
              <w:pStyle w:val="rvps2"/>
              <w:jc w:val="center"/>
              <w:rPr>
                <w:lang w:val="uk-UA"/>
              </w:rPr>
            </w:pPr>
            <w:r w:rsidRPr="006D24C1">
              <w:rPr>
                <w:bCs/>
                <w:color w:val="333333"/>
                <w:shd w:val="clear" w:color="auto" w:fill="FFFFFF"/>
              </w:rPr>
              <w:lastRenderedPageBreak/>
              <w:t>4. Процедура встановлення та зміни тарифів</w:t>
            </w:r>
          </w:p>
        </w:tc>
      </w:tr>
      <w:tr w:rsidR="00903568" w:rsidRPr="00B62703" w:rsidTr="0050239C">
        <w:tc>
          <w:tcPr>
            <w:tcW w:w="7366" w:type="dxa"/>
          </w:tcPr>
          <w:p w:rsidR="005171D2" w:rsidRPr="00E2459D" w:rsidRDefault="005171D2" w:rsidP="005171D2">
            <w:pPr>
              <w:pStyle w:val="rvps2"/>
              <w:rPr>
                <w:lang w:val="uk-UA"/>
              </w:rPr>
            </w:pPr>
            <w:r w:rsidRPr="00E2459D">
              <w:rPr>
                <w:lang w:val="uk-UA"/>
              </w:rPr>
              <w:t>4.1. Для встановлення тарифів на відпуск електричної енергії та (або) виробництво теплової енергії ліцензіат подає:</w:t>
            </w:r>
          </w:p>
          <w:p w:rsidR="00167A3D" w:rsidRPr="00041CEE" w:rsidRDefault="00167A3D" w:rsidP="00167A3D">
            <w:pPr>
              <w:pStyle w:val="rvps2"/>
              <w:jc w:val="center"/>
              <w:rPr>
                <w:sz w:val="26"/>
                <w:szCs w:val="26"/>
                <w:lang w:val="uk-UA"/>
              </w:rPr>
            </w:pPr>
            <w:r>
              <w:rPr>
                <w:sz w:val="26"/>
                <w:szCs w:val="26"/>
                <w:lang w:val="uk-UA"/>
              </w:rPr>
              <w:t>…</w:t>
            </w:r>
          </w:p>
          <w:p w:rsidR="00903568" w:rsidRPr="00CE6959" w:rsidRDefault="00903568" w:rsidP="00FA1D3B">
            <w:pPr>
              <w:pStyle w:val="rvps2"/>
              <w:ind w:firstLine="0"/>
              <w:rPr>
                <w:color w:val="000000"/>
                <w:sz w:val="26"/>
                <w:szCs w:val="26"/>
                <w:lang w:val="uk-UA"/>
              </w:rPr>
            </w:pPr>
          </w:p>
        </w:tc>
        <w:tc>
          <w:tcPr>
            <w:tcW w:w="7513" w:type="dxa"/>
          </w:tcPr>
          <w:p w:rsidR="00041CEE" w:rsidRPr="00E2459D" w:rsidRDefault="00041CEE" w:rsidP="00041CEE">
            <w:pPr>
              <w:pStyle w:val="rvps2"/>
              <w:rPr>
                <w:lang w:val="uk-UA"/>
              </w:rPr>
            </w:pPr>
            <w:r w:rsidRPr="00E2459D">
              <w:rPr>
                <w:lang w:val="uk-UA"/>
              </w:rPr>
              <w:t>4.1. Для встановлення тарифів на відпуск електричної енергії та (або) виробництво теплової енергії ліцензіат подає:</w:t>
            </w:r>
          </w:p>
          <w:p w:rsidR="00041CEE" w:rsidRPr="00E2459D" w:rsidRDefault="00167A3D" w:rsidP="00167A3D">
            <w:pPr>
              <w:pStyle w:val="rvps2"/>
              <w:ind w:firstLine="0"/>
              <w:jc w:val="center"/>
              <w:rPr>
                <w:lang w:val="uk-UA"/>
              </w:rPr>
            </w:pPr>
            <w:r w:rsidRPr="00E2459D">
              <w:rPr>
                <w:lang w:val="uk-UA"/>
              </w:rPr>
              <w:t>…</w:t>
            </w:r>
          </w:p>
          <w:p w:rsidR="00041CEE" w:rsidRPr="00E2459D" w:rsidRDefault="00041CEE" w:rsidP="00041CEE">
            <w:pPr>
              <w:pStyle w:val="rvps2"/>
              <w:jc w:val="center"/>
              <w:rPr>
                <w:b/>
                <w:lang w:val="uk-UA"/>
              </w:rPr>
            </w:pPr>
            <w:r w:rsidRPr="00E2459D">
              <w:rPr>
                <w:b/>
                <w:lang w:val="uk-UA"/>
              </w:rPr>
              <w:t>Доповнити</w:t>
            </w:r>
          </w:p>
          <w:p w:rsidR="00041CEE" w:rsidRPr="00E2459D" w:rsidRDefault="00041CEE" w:rsidP="00041CEE">
            <w:pPr>
              <w:pStyle w:val="rvps2"/>
              <w:rPr>
                <w:b/>
                <w:lang w:val="uk-UA"/>
              </w:rPr>
            </w:pPr>
            <w:r w:rsidRPr="00E2459D">
              <w:rPr>
                <w:b/>
                <w:lang w:val="uk-UA"/>
              </w:rPr>
              <w:t>23) укладені договори/контракти на закупівлю паливно-енергетичних ресурсів, що використовуються як джерела енергії;</w:t>
            </w:r>
          </w:p>
          <w:p w:rsidR="00903568" w:rsidRPr="00E2459D" w:rsidRDefault="00041CEE" w:rsidP="00041CEE">
            <w:pPr>
              <w:pStyle w:val="rvps2"/>
              <w:rPr>
                <w:sz w:val="26"/>
                <w:szCs w:val="26"/>
                <w:lang w:val="uk-UA"/>
              </w:rPr>
            </w:pPr>
            <w:r w:rsidRPr="00E2459D">
              <w:rPr>
                <w:b/>
                <w:lang w:val="uk-UA"/>
              </w:rPr>
              <w:t>24) річний план виробництва, транспортування та постачання теплової енергії, надання послуг з постачання теплової енергії та постачання гарячої води на планован</w:t>
            </w:r>
            <w:r w:rsidR="0058660E" w:rsidRPr="00E2459D">
              <w:rPr>
                <w:b/>
                <w:lang w:val="uk-UA"/>
              </w:rPr>
              <w:t>о</w:t>
            </w:r>
            <w:r w:rsidRPr="00E2459D">
              <w:rPr>
                <w:b/>
                <w:lang w:val="uk-UA"/>
              </w:rPr>
              <w:t>ї період, погоджений місцевими органами влади.</w:t>
            </w:r>
          </w:p>
        </w:tc>
      </w:tr>
    </w:tbl>
    <w:p w:rsidR="005377FF" w:rsidRDefault="005377FF" w:rsidP="002F057B">
      <w:pPr>
        <w:spacing w:after="0"/>
        <w:rPr>
          <w:rFonts w:ascii="Times New Roman" w:hAnsi="Times New Roman" w:cs="Times New Roman"/>
          <w:sz w:val="28"/>
          <w:szCs w:val="28"/>
          <w:lang w:val="uk-UA"/>
        </w:rPr>
      </w:pPr>
    </w:p>
    <w:p w:rsidR="005377FF" w:rsidRDefault="005377FF" w:rsidP="002F057B">
      <w:pPr>
        <w:spacing w:after="0"/>
        <w:rPr>
          <w:rFonts w:ascii="Times New Roman" w:hAnsi="Times New Roman" w:cs="Times New Roman"/>
          <w:sz w:val="28"/>
          <w:szCs w:val="28"/>
          <w:lang w:val="uk-UA"/>
        </w:rPr>
      </w:pPr>
    </w:p>
    <w:p w:rsidR="002F057B" w:rsidRPr="002F057B" w:rsidRDefault="005377FF" w:rsidP="002F057B">
      <w:pPr>
        <w:spacing w:after="0"/>
        <w:rPr>
          <w:rFonts w:ascii="Times New Roman" w:hAnsi="Times New Roman" w:cs="Times New Roman"/>
          <w:sz w:val="28"/>
          <w:szCs w:val="28"/>
          <w:lang w:val="uk-UA"/>
        </w:rPr>
      </w:pPr>
      <w:bookmarkStart w:id="1" w:name="_GoBack"/>
      <w:bookmarkEnd w:id="1"/>
      <w:r>
        <w:rPr>
          <w:rFonts w:ascii="Times New Roman" w:hAnsi="Times New Roman" w:cs="Times New Roman"/>
          <w:sz w:val="28"/>
          <w:szCs w:val="28"/>
          <w:lang w:val="uk-UA"/>
        </w:rPr>
        <w:t>Д</w:t>
      </w:r>
      <w:r w:rsidR="002F057B" w:rsidRPr="002F057B">
        <w:rPr>
          <w:rFonts w:ascii="Times New Roman" w:hAnsi="Times New Roman" w:cs="Times New Roman"/>
          <w:sz w:val="28"/>
          <w:szCs w:val="28"/>
          <w:lang w:val="uk-UA"/>
        </w:rPr>
        <w:t>иректор</w:t>
      </w:r>
    </w:p>
    <w:p w:rsidR="002F057B" w:rsidRPr="002F057B" w:rsidRDefault="002F057B" w:rsidP="002F057B">
      <w:pPr>
        <w:spacing w:after="0"/>
        <w:rPr>
          <w:rFonts w:ascii="Times New Roman" w:hAnsi="Times New Roman" w:cs="Times New Roman"/>
          <w:sz w:val="28"/>
          <w:szCs w:val="28"/>
          <w:lang w:val="uk-UA"/>
        </w:rPr>
      </w:pPr>
      <w:r w:rsidRPr="002F057B">
        <w:rPr>
          <w:rFonts w:ascii="Times New Roman" w:hAnsi="Times New Roman" w:cs="Times New Roman"/>
          <w:sz w:val="28"/>
          <w:szCs w:val="28"/>
          <w:lang w:val="uk-UA"/>
        </w:rPr>
        <w:t>Департаменту енергоринку</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2F057B">
        <w:rPr>
          <w:rFonts w:ascii="Times New Roman" w:hAnsi="Times New Roman" w:cs="Times New Roman"/>
          <w:sz w:val="28"/>
          <w:szCs w:val="28"/>
          <w:lang w:val="uk-UA"/>
        </w:rPr>
        <w:t>Ілля СІДОРОВ</w:t>
      </w:r>
    </w:p>
    <w:p w:rsidR="002F057B" w:rsidRPr="004C343A" w:rsidRDefault="002F057B" w:rsidP="002F057B">
      <w:pPr>
        <w:spacing w:after="0"/>
        <w:rPr>
          <w:rFonts w:ascii="Times New Roman" w:hAnsi="Times New Roman" w:cs="Times New Roman"/>
          <w:lang w:val="uk-UA"/>
        </w:rPr>
      </w:pPr>
    </w:p>
    <w:sectPr w:rsidR="002F057B" w:rsidRPr="004C343A" w:rsidSect="005377FF">
      <w:footerReference w:type="default" r:id="rId8"/>
      <w:pgSz w:w="16838" w:h="11906" w:orient="landscape"/>
      <w:pgMar w:top="567" w:right="851"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362E" w:rsidRDefault="00F7362E" w:rsidP="000B15A4">
      <w:pPr>
        <w:spacing w:after="0" w:line="240" w:lineRule="auto"/>
      </w:pPr>
      <w:r>
        <w:separator/>
      </w:r>
    </w:p>
  </w:endnote>
  <w:endnote w:type="continuationSeparator" w:id="0">
    <w:p w:rsidR="00F7362E" w:rsidRDefault="00F7362E" w:rsidP="000B1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7211391"/>
      <w:docPartObj>
        <w:docPartGallery w:val="Page Numbers (Bottom of Page)"/>
        <w:docPartUnique/>
      </w:docPartObj>
    </w:sdtPr>
    <w:sdtEndPr>
      <w:rPr>
        <w:rFonts w:ascii="Times New Roman" w:hAnsi="Times New Roman" w:cs="Times New Roman"/>
      </w:rPr>
    </w:sdtEndPr>
    <w:sdtContent>
      <w:p w:rsidR="00F50CB7" w:rsidRDefault="00513F27">
        <w:pPr>
          <w:pStyle w:val="ae"/>
          <w:jc w:val="center"/>
        </w:pPr>
        <w:r w:rsidRPr="000B15A4">
          <w:rPr>
            <w:rFonts w:ascii="Times New Roman" w:hAnsi="Times New Roman" w:cs="Times New Roman"/>
          </w:rPr>
          <w:fldChar w:fldCharType="begin"/>
        </w:r>
        <w:r w:rsidR="00F50CB7" w:rsidRPr="000B15A4">
          <w:rPr>
            <w:rFonts w:ascii="Times New Roman" w:hAnsi="Times New Roman" w:cs="Times New Roman"/>
          </w:rPr>
          <w:instrText xml:space="preserve"> PAGE   \* MERGEFORMAT </w:instrText>
        </w:r>
        <w:r w:rsidRPr="000B15A4">
          <w:rPr>
            <w:rFonts w:ascii="Times New Roman" w:hAnsi="Times New Roman" w:cs="Times New Roman"/>
          </w:rPr>
          <w:fldChar w:fldCharType="separate"/>
        </w:r>
        <w:r w:rsidR="002B498C">
          <w:rPr>
            <w:rFonts w:ascii="Times New Roman" w:hAnsi="Times New Roman" w:cs="Times New Roman"/>
            <w:noProof/>
          </w:rPr>
          <w:t>5</w:t>
        </w:r>
        <w:r w:rsidRPr="000B15A4">
          <w:rPr>
            <w:rFonts w:ascii="Times New Roman" w:hAnsi="Times New Roman" w:cs="Times New Roman"/>
          </w:rPr>
          <w:fldChar w:fldCharType="end"/>
        </w:r>
      </w:p>
    </w:sdtContent>
  </w:sdt>
  <w:p w:rsidR="00F50CB7" w:rsidRDefault="00F50CB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362E" w:rsidRDefault="00F7362E" w:rsidP="000B15A4">
      <w:pPr>
        <w:spacing w:after="0" w:line="240" w:lineRule="auto"/>
      </w:pPr>
      <w:r>
        <w:separator/>
      </w:r>
    </w:p>
  </w:footnote>
  <w:footnote w:type="continuationSeparator" w:id="0">
    <w:p w:rsidR="00F7362E" w:rsidRDefault="00F7362E" w:rsidP="000B15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E008B"/>
    <w:multiLevelType w:val="hybridMultilevel"/>
    <w:tmpl w:val="81E6B9F2"/>
    <w:lvl w:ilvl="0" w:tplc="22A8050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581600"/>
    <w:multiLevelType w:val="hybridMultilevel"/>
    <w:tmpl w:val="C644D0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386D58"/>
    <w:multiLevelType w:val="hybridMultilevel"/>
    <w:tmpl w:val="23AE559E"/>
    <w:lvl w:ilvl="0" w:tplc="0422000F">
      <w:start w:val="1"/>
      <w:numFmt w:val="decimal"/>
      <w:lvlText w:val="%1."/>
      <w:lvlJc w:val="left"/>
      <w:pPr>
        <w:ind w:left="786"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5473078C"/>
    <w:multiLevelType w:val="hybridMultilevel"/>
    <w:tmpl w:val="8CC00B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6AD5"/>
    <w:rsid w:val="00001F35"/>
    <w:rsid w:val="00002198"/>
    <w:rsid w:val="0000273D"/>
    <w:rsid w:val="00004470"/>
    <w:rsid w:val="0000586A"/>
    <w:rsid w:val="00012DD5"/>
    <w:rsid w:val="000162F0"/>
    <w:rsid w:val="00020234"/>
    <w:rsid w:val="000212EF"/>
    <w:rsid w:val="000240D4"/>
    <w:rsid w:val="00024810"/>
    <w:rsid w:val="00024E05"/>
    <w:rsid w:val="000301FC"/>
    <w:rsid w:val="00030D2D"/>
    <w:rsid w:val="00032758"/>
    <w:rsid w:val="0003440A"/>
    <w:rsid w:val="0003548E"/>
    <w:rsid w:val="00040408"/>
    <w:rsid w:val="0004120E"/>
    <w:rsid w:val="00041CEE"/>
    <w:rsid w:val="00053E7C"/>
    <w:rsid w:val="00055C35"/>
    <w:rsid w:val="000565EE"/>
    <w:rsid w:val="000608B5"/>
    <w:rsid w:val="00062FB5"/>
    <w:rsid w:val="00063FA0"/>
    <w:rsid w:val="00064611"/>
    <w:rsid w:val="00066A1D"/>
    <w:rsid w:val="000706D9"/>
    <w:rsid w:val="000718A3"/>
    <w:rsid w:val="00075ADB"/>
    <w:rsid w:val="00076642"/>
    <w:rsid w:val="00083FD0"/>
    <w:rsid w:val="000910EC"/>
    <w:rsid w:val="000919E0"/>
    <w:rsid w:val="000927D4"/>
    <w:rsid w:val="00092C6D"/>
    <w:rsid w:val="000A0F99"/>
    <w:rsid w:val="000A2269"/>
    <w:rsid w:val="000A3F32"/>
    <w:rsid w:val="000A73C1"/>
    <w:rsid w:val="000A7B9E"/>
    <w:rsid w:val="000A7D15"/>
    <w:rsid w:val="000B15A4"/>
    <w:rsid w:val="000B28A9"/>
    <w:rsid w:val="000B596C"/>
    <w:rsid w:val="000B6145"/>
    <w:rsid w:val="000C0BEA"/>
    <w:rsid w:val="000C1273"/>
    <w:rsid w:val="000C2EFE"/>
    <w:rsid w:val="000D199C"/>
    <w:rsid w:val="000D1FBB"/>
    <w:rsid w:val="000D25A4"/>
    <w:rsid w:val="000D38C5"/>
    <w:rsid w:val="000D5937"/>
    <w:rsid w:val="000D710E"/>
    <w:rsid w:val="000D7B60"/>
    <w:rsid w:val="000E0A38"/>
    <w:rsid w:val="000E19BC"/>
    <w:rsid w:val="000E3CB0"/>
    <w:rsid w:val="000E7055"/>
    <w:rsid w:val="000F3218"/>
    <w:rsid w:val="000F56A0"/>
    <w:rsid w:val="000F5D45"/>
    <w:rsid w:val="00101340"/>
    <w:rsid w:val="0010223B"/>
    <w:rsid w:val="00102D1D"/>
    <w:rsid w:val="001108D4"/>
    <w:rsid w:val="00110F6E"/>
    <w:rsid w:val="00112A20"/>
    <w:rsid w:val="00112A45"/>
    <w:rsid w:val="00121488"/>
    <w:rsid w:val="001230C1"/>
    <w:rsid w:val="001245EB"/>
    <w:rsid w:val="00124B79"/>
    <w:rsid w:val="00125229"/>
    <w:rsid w:val="00127B43"/>
    <w:rsid w:val="0013257C"/>
    <w:rsid w:val="00135DF2"/>
    <w:rsid w:val="00140C0D"/>
    <w:rsid w:val="001410EF"/>
    <w:rsid w:val="0014421A"/>
    <w:rsid w:val="0014558B"/>
    <w:rsid w:val="00152EEA"/>
    <w:rsid w:val="00154386"/>
    <w:rsid w:val="00156186"/>
    <w:rsid w:val="001604C0"/>
    <w:rsid w:val="0016203D"/>
    <w:rsid w:val="00166F44"/>
    <w:rsid w:val="00167402"/>
    <w:rsid w:val="00167A3D"/>
    <w:rsid w:val="00170DBC"/>
    <w:rsid w:val="0017397D"/>
    <w:rsid w:val="00174E0B"/>
    <w:rsid w:val="00176C27"/>
    <w:rsid w:val="00177D92"/>
    <w:rsid w:val="00182BDA"/>
    <w:rsid w:val="00184AFB"/>
    <w:rsid w:val="001910A7"/>
    <w:rsid w:val="00193505"/>
    <w:rsid w:val="001979ED"/>
    <w:rsid w:val="001A053A"/>
    <w:rsid w:val="001A0F8E"/>
    <w:rsid w:val="001A3D1E"/>
    <w:rsid w:val="001A44F0"/>
    <w:rsid w:val="001A5BAB"/>
    <w:rsid w:val="001A712D"/>
    <w:rsid w:val="001C0504"/>
    <w:rsid w:val="001C2BA8"/>
    <w:rsid w:val="001C4D57"/>
    <w:rsid w:val="001C7E09"/>
    <w:rsid w:val="001D3292"/>
    <w:rsid w:val="001D41F8"/>
    <w:rsid w:val="001D4632"/>
    <w:rsid w:val="001D4D7A"/>
    <w:rsid w:val="001D67F7"/>
    <w:rsid w:val="001E3986"/>
    <w:rsid w:val="001E42DF"/>
    <w:rsid w:val="001E47CE"/>
    <w:rsid w:val="001E6AD5"/>
    <w:rsid w:val="001E7B77"/>
    <w:rsid w:val="001F4A16"/>
    <w:rsid w:val="001F4A22"/>
    <w:rsid w:val="001F7F91"/>
    <w:rsid w:val="0020075C"/>
    <w:rsid w:val="00200F5B"/>
    <w:rsid w:val="00200FC5"/>
    <w:rsid w:val="00203ADB"/>
    <w:rsid w:val="00210B98"/>
    <w:rsid w:val="002124CC"/>
    <w:rsid w:val="0021254E"/>
    <w:rsid w:val="00215784"/>
    <w:rsid w:val="00222A93"/>
    <w:rsid w:val="00226ACA"/>
    <w:rsid w:val="00230661"/>
    <w:rsid w:val="00237446"/>
    <w:rsid w:val="00241733"/>
    <w:rsid w:val="00245FD1"/>
    <w:rsid w:val="002530C9"/>
    <w:rsid w:val="00255A77"/>
    <w:rsid w:val="00256098"/>
    <w:rsid w:val="00260A80"/>
    <w:rsid w:val="00260B72"/>
    <w:rsid w:val="002612D3"/>
    <w:rsid w:val="00261E90"/>
    <w:rsid w:val="00263E67"/>
    <w:rsid w:val="00263F17"/>
    <w:rsid w:val="002656BA"/>
    <w:rsid w:val="00265BC4"/>
    <w:rsid w:val="002726A4"/>
    <w:rsid w:val="0027523C"/>
    <w:rsid w:val="0027655B"/>
    <w:rsid w:val="00277FC0"/>
    <w:rsid w:val="00280770"/>
    <w:rsid w:val="00283670"/>
    <w:rsid w:val="00283EB2"/>
    <w:rsid w:val="00286EAE"/>
    <w:rsid w:val="00296050"/>
    <w:rsid w:val="002A3EA0"/>
    <w:rsid w:val="002A5089"/>
    <w:rsid w:val="002B245E"/>
    <w:rsid w:val="002B498C"/>
    <w:rsid w:val="002B7B9A"/>
    <w:rsid w:val="002C329C"/>
    <w:rsid w:val="002C363D"/>
    <w:rsid w:val="002C501E"/>
    <w:rsid w:val="002D38B9"/>
    <w:rsid w:val="002D4AB1"/>
    <w:rsid w:val="002D690B"/>
    <w:rsid w:val="002D7B4B"/>
    <w:rsid w:val="002D7B6E"/>
    <w:rsid w:val="002E1BBC"/>
    <w:rsid w:val="002E3A85"/>
    <w:rsid w:val="002E5242"/>
    <w:rsid w:val="002F057B"/>
    <w:rsid w:val="002F2BC9"/>
    <w:rsid w:val="002F30D6"/>
    <w:rsid w:val="002F3E17"/>
    <w:rsid w:val="002F404D"/>
    <w:rsid w:val="002F5848"/>
    <w:rsid w:val="002F6674"/>
    <w:rsid w:val="002F73F4"/>
    <w:rsid w:val="00306BA5"/>
    <w:rsid w:val="00314DD7"/>
    <w:rsid w:val="003175E8"/>
    <w:rsid w:val="0032057D"/>
    <w:rsid w:val="00320FF0"/>
    <w:rsid w:val="003218D3"/>
    <w:rsid w:val="00326405"/>
    <w:rsid w:val="003326FF"/>
    <w:rsid w:val="00332DFE"/>
    <w:rsid w:val="00334831"/>
    <w:rsid w:val="00335728"/>
    <w:rsid w:val="00337C0B"/>
    <w:rsid w:val="00340189"/>
    <w:rsid w:val="00341CD2"/>
    <w:rsid w:val="00345483"/>
    <w:rsid w:val="00345BB7"/>
    <w:rsid w:val="0034652D"/>
    <w:rsid w:val="00347837"/>
    <w:rsid w:val="00356C70"/>
    <w:rsid w:val="00357CE9"/>
    <w:rsid w:val="003600D2"/>
    <w:rsid w:val="003612EC"/>
    <w:rsid w:val="0036227D"/>
    <w:rsid w:val="0036273F"/>
    <w:rsid w:val="00362D9C"/>
    <w:rsid w:val="0036368F"/>
    <w:rsid w:val="003646B0"/>
    <w:rsid w:val="003805CA"/>
    <w:rsid w:val="0038091E"/>
    <w:rsid w:val="0038167B"/>
    <w:rsid w:val="00383DCD"/>
    <w:rsid w:val="00394261"/>
    <w:rsid w:val="00395014"/>
    <w:rsid w:val="00395729"/>
    <w:rsid w:val="003A03B4"/>
    <w:rsid w:val="003A1E80"/>
    <w:rsid w:val="003A2661"/>
    <w:rsid w:val="003A2A0F"/>
    <w:rsid w:val="003A5D8D"/>
    <w:rsid w:val="003B2543"/>
    <w:rsid w:val="003B2597"/>
    <w:rsid w:val="003B3520"/>
    <w:rsid w:val="003B6696"/>
    <w:rsid w:val="003B7B42"/>
    <w:rsid w:val="003C07B2"/>
    <w:rsid w:val="003C5987"/>
    <w:rsid w:val="003C6FCF"/>
    <w:rsid w:val="003D1181"/>
    <w:rsid w:val="003D3C49"/>
    <w:rsid w:val="003E0153"/>
    <w:rsid w:val="003E034C"/>
    <w:rsid w:val="003E0684"/>
    <w:rsid w:val="003E403C"/>
    <w:rsid w:val="003E4311"/>
    <w:rsid w:val="003E517F"/>
    <w:rsid w:val="003E650E"/>
    <w:rsid w:val="003E7A2B"/>
    <w:rsid w:val="003F1BE2"/>
    <w:rsid w:val="00415769"/>
    <w:rsid w:val="00420EEE"/>
    <w:rsid w:val="00421F2E"/>
    <w:rsid w:val="00424148"/>
    <w:rsid w:val="0043078D"/>
    <w:rsid w:val="00433090"/>
    <w:rsid w:val="004465EF"/>
    <w:rsid w:val="004466EB"/>
    <w:rsid w:val="00447BC3"/>
    <w:rsid w:val="0045035B"/>
    <w:rsid w:val="004511FD"/>
    <w:rsid w:val="00451EDC"/>
    <w:rsid w:val="00453FE2"/>
    <w:rsid w:val="004563CB"/>
    <w:rsid w:val="00457A93"/>
    <w:rsid w:val="00457E92"/>
    <w:rsid w:val="0046526F"/>
    <w:rsid w:val="00466031"/>
    <w:rsid w:val="00467C45"/>
    <w:rsid w:val="00467E46"/>
    <w:rsid w:val="00482ECB"/>
    <w:rsid w:val="0048366C"/>
    <w:rsid w:val="00491582"/>
    <w:rsid w:val="00493D17"/>
    <w:rsid w:val="004953E2"/>
    <w:rsid w:val="004A3270"/>
    <w:rsid w:val="004A5D95"/>
    <w:rsid w:val="004A75C3"/>
    <w:rsid w:val="004B2F39"/>
    <w:rsid w:val="004B6191"/>
    <w:rsid w:val="004C162B"/>
    <w:rsid w:val="004C343A"/>
    <w:rsid w:val="004C367E"/>
    <w:rsid w:val="004C4FE1"/>
    <w:rsid w:val="004C7E0D"/>
    <w:rsid w:val="004D65BC"/>
    <w:rsid w:val="004D667D"/>
    <w:rsid w:val="004D7AA5"/>
    <w:rsid w:val="004E38CB"/>
    <w:rsid w:val="004F110C"/>
    <w:rsid w:val="004F1418"/>
    <w:rsid w:val="004F154E"/>
    <w:rsid w:val="004F2ED2"/>
    <w:rsid w:val="004F2FD8"/>
    <w:rsid w:val="004F354E"/>
    <w:rsid w:val="004F376D"/>
    <w:rsid w:val="004F3866"/>
    <w:rsid w:val="004F4428"/>
    <w:rsid w:val="004F59C1"/>
    <w:rsid w:val="0050143B"/>
    <w:rsid w:val="0050239C"/>
    <w:rsid w:val="005105E1"/>
    <w:rsid w:val="00510C24"/>
    <w:rsid w:val="00511305"/>
    <w:rsid w:val="00513E60"/>
    <w:rsid w:val="00513F27"/>
    <w:rsid w:val="00515DD6"/>
    <w:rsid w:val="00516057"/>
    <w:rsid w:val="00516BF4"/>
    <w:rsid w:val="005171D2"/>
    <w:rsid w:val="00517A01"/>
    <w:rsid w:val="005201A9"/>
    <w:rsid w:val="00522249"/>
    <w:rsid w:val="005228CA"/>
    <w:rsid w:val="0052503D"/>
    <w:rsid w:val="00525D10"/>
    <w:rsid w:val="005329B8"/>
    <w:rsid w:val="0053369C"/>
    <w:rsid w:val="0053460C"/>
    <w:rsid w:val="005377FF"/>
    <w:rsid w:val="00542987"/>
    <w:rsid w:val="00542CC3"/>
    <w:rsid w:val="00551E35"/>
    <w:rsid w:val="00556946"/>
    <w:rsid w:val="00557002"/>
    <w:rsid w:val="005611C8"/>
    <w:rsid w:val="00564FC2"/>
    <w:rsid w:val="0056774C"/>
    <w:rsid w:val="00570C1E"/>
    <w:rsid w:val="005726EB"/>
    <w:rsid w:val="00573316"/>
    <w:rsid w:val="00573522"/>
    <w:rsid w:val="00574514"/>
    <w:rsid w:val="00574A23"/>
    <w:rsid w:val="00575A75"/>
    <w:rsid w:val="0057652E"/>
    <w:rsid w:val="00576BB1"/>
    <w:rsid w:val="00577DBA"/>
    <w:rsid w:val="005805C3"/>
    <w:rsid w:val="0058103C"/>
    <w:rsid w:val="005825A5"/>
    <w:rsid w:val="00583707"/>
    <w:rsid w:val="00584BC4"/>
    <w:rsid w:val="0058660E"/>
    <w:rsid w:val="00586C01"/>
    <w:rsid w:val="00587ABD"/>
    <w:rsid w:val="00592CAE"/>
    <w:rsid w:val="005965B0"/>
    <w:rsid w:val="00597280"/>
    <w:rsid w:val="00597366"/>
    <w:rsid w:val="005A0A2A"/>
    <w:rsid w:val="005A0F92"/>
    <w:rsid w:val="005A1A86"/>
    <w:rsid w:val="005A3917"/>
    <w:rsid w:val="005B176F"/>
    <w:rsid w:val="005B7A5D"/>
    <w:rsid w:val="005B7D4A"/>
    <w:rsid w:val="005C03B5"/>
    <w:rsid w:val="005C0C3D"/>
    <w:rsid w:val="005C3607"/>
    <w:rsid w:val="005C484B"/>
    <w:rsid w:val="005D555A"/>
    <w:rsid w:val="005D7707"/>
    <w:rsid w:val="005E3F65"/>
    <w:rsid w:val="005F2DAD"/>
    <w:rsid w:val="005F5F75"/>
    <w:rsid w:val="00600BA1"/>
    <w:rsid w:val="006067B7"/>
    <w:rsid w:val="00607824"/>
    <w:rsid w:val="00611892"/>
    <w:rsid w:val="00613B1D"/>
    <w:rsid w:val="0062256B"/>
    <w:rsid w:val="006228A8"/>
    <w:rsid w:val="00624BF7"/>
    <w:rsid w:val="00626F6D"/>
    <w:rsid w:val="0063094A"/>
    <w:rsid w:val="00633634"/>
    <w:rsid w:val="0064178E"/>
    <w:rsid w:val="00647432"/>
    <w:rsid w:val="00651DD5"/>
    <w:rsid w:val="00652914"/>
    <w:rsid w:val="00655F42"/>
    <w:rsid w:val="00656498"/>
    <w:rsid w:val="00667135"/>
    <w:rsid w:val="006713AE"/>
    <w:rsid w:val="00671F4A"/>
    <w:rsid w:val="00672889"/>
    <w:rsid w:val="006760C3"/>
    <w:rsid w:val="00676B73"/>
    <w:rsid w:val="00681372"/>
    <w:rsid w:val="00682A2F"/>
    <w:rsid w:val="00685199"/>
    <w:rsid w:val="00685961"/>
    <w:rsid w:val="00685B10"/>
    <w:rsid w:val="006875E0"/>
    <w:rsid w:val="00692374"/>
    <w:rsid w:val="00692E58"/>
    <w:rsid w:val="006933E9"/>
    <w:rsid w:val="00694992"/>
    <w:rsid w:val="00696AB8"/>
    <w:rsid w:val="00696D2D"/>
    <w:rsid w:val="006A1E27"/>
    <w:rsid w:val="006A518D"/>
    <w:rsid w:val="006B4B7D"/>
    <w:rsid w:val="006B4F70"/>
    <w:rsid w:val="006B591A"/>
    <w:rsid w:val="006B7A20"/>
    <w:rsid w:val="006C29BA"/>
    <w:rsid w:val="006C4D82"/>
    <w:rsid w:val="006C699E"/>
    <w:rsid w:val="006D24C1"/>
    <w:rsid w:val="006D4527"/>
    <w:rsid w:val="006D4A90"/>
    <w:rsid w:val="006E1828"/>
    <w:rsid w:val="006E3D7E"/>
    <w:rsid w:val="006E4A96"/>
    <w:rsid w:val="006F4C5A"/>
    <w:rsid w:val="006F606E"/>
    <w:rsid w:val="006F7187"/>
    <w:rsid w:val="007011F8"/>
    <w:rsid w:val="0070222E"/>
    <w:rsid w:val="00711A56"/>
    <w:rsid w:val="00715B65"/>
    <w:rsid w:val="00723CE4"/>
    <w:rsid w:val="00726FDC"/>
    <w:rsid w:val="007274D5"/>
    <w:rsid w:val="0073387D"/>
    <w:rsid w:val="007368FE"/>
    <w:rsid w:val="00737016"/>
    <w:rsid w:val="00740735"/>
    <w:rsid w:val="00740AC2"/>
    <w:rsid w:val="00741087"/>
    <w:rsid w:val="007411A5"/>
    <w:rsid w:val="0074305F"/>
    <w:rsid w:val="007501CF"/>
    <w:rsid w:val="00750B00"/>
    <w:rsid w:val="0075111C"/>
    <w:rsid w:val="00751817"/>
    <w:rsid w:val="007518FE"/>
    <w:rsid w:val="007530FF"/>
    <w:rsid w:val="007539E3"/>
    <w:rsid w:val="00754C93"/>
    <w:rsid w:val="00755CDC"/>
    <w:rsid w:val="00755F8D"/>
    <w:rsid w:val="00760AA3"/>
    <w:rsid w:val="00763DD9"/>
    <w:rsid w:val="00765B8A"/>
    <w:rsid w:val="0076633F"/>
    <w:rsid w:val="00772427"/>
    <w:rsid w:val="00772733"/>
    <w:rsid w:val="0077470F"/>
    <w:rsid w:val="00774893"/>
    <w:rsid w:val="00775ED6"/>
    <w:rsid w:val="00777971"/>
    <w:rsid w:val="007800F3"/>
    <w:rsid w:val="007809CF"/>
    <w:rsid w:val="0078214B"/>
    <w:rsid w:val="007829B9"/>
    <w:rsid w:val="00784EAA"/>
    <w:rsid w:val="00790785"/>
    <w:rsid w:val="007908CA"/>
    <w:rsid w:val="007974EE"/>
    <w:rsid w:val="007A15E6"/>
    <w:rsid w:val="007A1B05"/>
    <w:rsid w:val="007A4B85"/>
    <w:rsid w:val="007B2142"/>
    <w:rsid w:val="007B2537"/>
    <w:rsid w:val="007B460D"/>
    <w:rsid w:val="007B4A0E"/>
    <w:rsid w:val="007C0476"/>
    <w:rsid w:val="007C1914"/>
    <w:rsid w:val="007C2034"/>
    <w:rsid w:val="007C7ACC"/>
    <w:rsid w:val="007D13CD"/>
    <w:rsid w:val="007D34F0"/>
    <w:rsid w:val="007D628C"/>
    <w:rsid w:val="007D787E"/>
    <w:rsid w:val="007E2CD6"/>
    <w:rsid w:val="007E2D97"/>
    <w:rsid w:val="007E3F92"/>
    <w:rsid w:val="007E6836"/>
    <w:rsid w:val="007E7E79"/>
    <w:rsid w:val="007F26A1"/>
    <w:rsid w:val="007F5365"/>
    <w:rsid w:val="007F68F1"/>
    <w:rsid w:val="007F739A"/>
    <w:rsid w:val="007F76B7"/>
    <w:rsid w:val="00800F09"/>
    <w:rsid w:val="00803B1D"/>
    <w:rsid w:val="008076AC"/>
    <w:rsid w:val="008111AB"/>
    <w:rsid w:val="00816A62"/>
    <w:rsid w:val="00821602"/>
    <w:rsid w:val="00831B14"/>
    <w:rsid w:val="00831B9C"/>
    <w:rsid w:val="00833EA6"/>
    <w:rsid w:val="008345ED"/>
    <w:rsid w:val="00836D8B"/>
    <w:rsid w:val="008461C1"/>
    <w:rsid w:val="00850F7F"/>
    <w:rsid w:val="00851353"/>
    <w:rsid w:val="008517B2"/>
    <w:rsid w:val="00853763"/>
    <w:rsid w:val="008558B2"/>
    <w:rsid w:val="0086174F"/>
    <w:rsid w:val="00862800"/>
    <w:rsid w:val="008636B9"/>
    <w:rsid w:val="008661B6"/>
    <w:rsid w:val="00871B81"/>
    <w:rsid w:val="00872B45"/>
    <w:rsid w:val="008741FF"/>
    <w:rsid w:val="00875A6B"/>
    <w:rsid w:val="00880219"/>
    <w:rsid w:val="00885731"/>
    <w:rsid w:val="008861A4"/>
    <w:rsid w:val="00887D3B"/>
    <w:rsid w:val="00893F93"/>
    <w:rsid w:val="008960B5"/>
    <w:rsid w:val="008963FD"/>
    <w:rsid w:val="008964D7"/>
    <w:rsid w:val="008A3991"/>
    <w:rsid w:val="008A5BDA"/>
    <w:rsid w:val="008B65E9"/>
    <w:rsid w:val="008C3235"/>
    <w:rsid w:val="008C5712"/>
    <w:rsid w:val="008C761B"/>
    <w:rsid w:val="008D0CC7"/>
    <w:rsid w:val="008D3825"/>
    <w:rsid w:val="008D43FC"/>
    <w:rsid w:val="008D4C03"/>
    <w:rsid w:val="008D5082"/>
    <w:rsid w:val="008D6F34"/>
    <w:rsid w:val="008D7D8A"/>
    <w:rsid w:val="008E32D7"/>
    <w:rsid w:val="008E353A"/>
    <w:rsid w:val="008E43CC"/>
    <w:rsid w:val="008E5268"/>
    <w:rsid w:val="008E57BF"/>
    <w:rsid w:val="008E5F7B"/>
    <w:rsid w:val="008F0EB4"/>
    <w:rsid w:val="008F1540"/>
    <w:rsid w:val="008F15B4"/>
    <w:rsid w:val="008F4452"/>
    <w:rsid w:val="008F490D"/>
    <w:rsid w:val="008F68D7"/>
    <w:rsid w:val="008F72FC"/>
    <w:rsid w:val="008F7A40"/>
    <w:rsid w:val="00903568"/>
    <w:rsid w:val="009044B5"/>
    <w:rsid w:val="00904844"/>
    <w:rsid w:val="00905C4E"/>
    <w:rsid w:val="009060EB"/>
    <w:rsid w:val="00907A8D"/>
    <w:rsid w:val="009155F9"/>
    <w:rsid w:val="0091749B"/>
    <w:rsid w:val="0091779D"/>
    <w:rsid w:val="009178BB"/>
    <w:rsid w:val="009238B9"/>
    <w:rsid w:val="00927C61"/>
    <w:rsid w:val="009335F7"/>
    <w:rsid w:val="00934106"/>
    <w:rsid w:val="009433CD"/>
    <w:rsid w:val="009462CB"/>
    <w:rsid w:val="00947813"/>
    <w:rsid w:val="00952392"/>
    <w:rsid w:val="009543AE"/>
    <w:rsid w:val="009544D6"/>
    <w:rsid w:val="00964562"/>
    <w:rsid w:val="00965B49"/>
    <w:rsid w:val="00966B1D"/>
    <w:rsid w:val="00984C1E"/>
    <w:rsid w:val="0099368B"/>
    <w:rsid w:val="009955C7"/>
    <w:rsid w:val="009974DC"/>
    <w:rsid w:val="009A115B"/>
    <w:rsid w:val="009A169F"/>
    <w:rsid w:val="009A2AE5"/>
    <w:rsid w:val="009A2E1C"/>
    <w:rsid w:val="009A47D7"/>
    <w:rsid w:val="009A6474"/>
    <w:rsid w:val="009B210F"/>
    <w:rsid w:val="009B569E"/>
    <w:rsid w:val="009C32A0"/>
    <w:rsid w:val="009C66F9"/>
    <w:rsid w:val="009E1077"/>
    <w:rsid w:val="009E1515"/>
    <w:rsid w:val="009F07FD"/>
    <w:rsid w:val="009F2859"/>
    <w:rsid w:val="009F2E95"/>
    <w:rsid w:val="009F77BB"/>
    <w:rsid w:val="00A01F4A"/>
    <w:rsid w:val="00A04999"/>
    <w:rsid w:val="00A05233"/>
    <w:rsid w:val="00A0759A"/>
    <w:rsid w:val="00A11740"/>
    <w:rsid w:val="00A12BF5"/>
    <w:rsid w:val="00A136E8"/>
    <w:rsid w:val="00A145D9"/>
    <w:rsid w:val="00A165A5"/>
    <w:rsid w:val="00A205A1"/>
    <w:rsid w:val="00A214CB"/>
    <w:rsid w:val="00A22A26"/>
    <w:rsid w:val="00A25193"/>
    <w:rsid w:val="00A254B1"/>
    <w:rsid w:val="00A2723F"/>
    <w:rsid w:val="00A27823"/>
    <w:rsid w:val="00A31339"/>
    <w:rsid w:val="00A32E99"/>
    <w:rsid w:val="00A4129A"/>
    <w:rsid w:val="00A41D87"/>
    <w:rsid w:val="00A430AB"/>
    <w:rsid w:val="00A43480"/>
    <w:rsid w:val="00A43BD7"/>
    <w:rsid w:val="00A4722D"/>
    <w:rsid w:val="00A47C26"/>
    <w:rsid w:val="00A50BD2"/>
    <w:rsid w:val="00A53FA3"/>
    <w:rsid w:val="00A54E21"/>
    <w:rsid w:val="00A5558C"/>
    <w:rsid w:val="00A555BA"/>
    <w:rsid w:val="00A61DBB"/>
    <w:rsid w:val="00A651C5"/>
    <w:rsid w:val="00A65CE6"/>
    <w:rsid w:val="00A7013F"/>
    <w:rsid w:val="00A742E8"/>
    <w:rsid w:val="00A77452"/>
    <w:rsid w:val="00A84BBC"/>
    <w:rsid w:val="00A852A2"/>
    <w:rsid w:val="00A92B2B"/>
    <w:rsid w:val="00A9335F"/>
    <w:rsid w:val="00AB1A47"/>
    <w:rsid w:val="00AB4786"/>
    <w:rsid w:val="00AB6435"/>
    <w:rsid w:val="00AB68BF"/>
    <w:rsid w:val="00AC138B"/>
    <w:rsid w:val="00AC43CA"/>
    <w:rsid w:val="00AD1F50"/>
    <w:rsid w:val="00AD2941"/>
    <w:rsid w:val="00AD2D6B"/>
    <w:rsid w:val="00AD55B3"/>
    <w:rsid w:val="00AE50EF"/>
    <w:rsid w:val="00AE704B"/>
    <w:rsid w:val="00AF0FE0"/>
    <w:rsid w:val="00AF16BC"/>
    <w:rsid w:val="00AF2162"/>
    <w:rsid w:val="00AF43B2"/>
    <w:rsid w:val="00AF4B34"/>
    <w:rsid w:val="00B004CC"/>
    <w:rsid w:val="00B0229A"/>
    <w:rsid w:val="00B02E79"/>
    <w:rsid w:val="00B03A8C"/>
    <w:rsid w:val="00B04503"/>
    <w:rsid w:val="00B0644E"/>
    <w:rsid w:val="00B14F4F"/>
    <w:rsid w:val="00B15118"/>
    <w:rsid w:val="00B238B7"/>
    <w:rsid w:val="00B23B4D"/>
    <w:rsid w:val="00B2480E"/>
    <w:rsid w:val="00B26C37"/>
    <w:rsid w:val="00B26DBE"/>
    <w:rsid w:val="00B27161"/>
    <w:rsid w:val="00B3009B"/>
    <w:rsid w:val="00B30FE8"/>
    <w:rsid w:val="00B342FE"/>
    <w:rsid w:val="00B357FE"/>
    <w:rsid w:val="00B358FD"/>
    <w:rsid w:val="00B35E4D"/>
    <w:rsid w:val="00B367DE"/>
    <w:rsid w:val="00B42CEA"/>
    <w:rsid w:val="00B455E2"/>
    <w:rsid w:val="00B45FF8"/>
    <w:rsid w:val="00B53581"/>
    <w:rsid w:val="00B54DD3"/>
    <w:rsid w:val="00B55000"/>
    <w:rsid w:val="00B57632"/>
    <w:rsid w:val="00B57A4A"/>
    <w:rsid w:val="00B613B6"/>
    <w:rsid w:val="00B62703"/>
    <w:rsid w:val="00B668B2"/>
    <w:rsid w:val="00B717EF"/>
    <w:rsid w:val="00B83F5F"/>
    <w:rsid w:val="00B85186"/>
    <w:rsid w:val="00B8538A"/>
    <w:rsid w:val="00B862E5"/>
    <w:rsid w:val="00B872F2"/>
    <w:rsid w:val="00B933A3"/>
    <w:rsid w:val="00B964E3"/>
    <w:rsid w:val="00B96A9D"/>
    <w:rsid w:val="00B96C0C"/>
    <w:rsid w:val="00BA32CF"/>
    <w:rsid w:val="00BA3BDE"/>
    <w:rsid w:val="00BA7F3E"/>
    <w:rsid w:val="00BB0384"/>
    <w:rsid w:val="00BB0E10"/>
    <w:rsid w:val="00BB34FF"/>
    <w:rsid w:val="00BB6611"/>
    <w:rsid w:val="00BB7C84"/>
    <w:rsid w:val="00BC0E42"/>
    <w:rsid w:val="00BC10DC"/>
    <w:rsid w:val="00BC1B4E"/>
    <w:rsid w:val="00BC27BA"/>
    <w:rsid w:val="00BC2FE5"/>
    <w:rsid w:val="00BC4DF1"/>
    <w:rsid w:val="00BD02B7"/>
    <w:rsid w:val="00BD2561"/>
    <w:rsid w:val="00BD45E7"/>
    <w:rsid w:val="00BD5493"/>
    <w:rsid w:val="00BD54BD"/>
    <w:rsid w:val="00BD60DC"/>
    <w:rsid w:val="00BE25C9"/>
    <w:rsid w:val="00BE5D1D"/>
    <w:rsid w:val="00BF1A07"/>
    <w:rsid w:val="00BF7AD9"/>
    <w:rsid w:val="00BF7F3F"/>
    <w:rsid w:val="00C024DF"/>
    <w:rsid w:val="00C038BC"/>
    <w:rsid w:val="00C03AC8"/>
    <w:rsid w:val="00C06FBE"/>
    <w:rsid w:val="00C11BD6"/>
    <w:rsid w:val="00C146A9"/>
    <w:rsid w:val="00C14F67"/>
    <w:rsid w:val="00C1534C"/>
    <w:rsid w:val="00C16A5D"/>
    <w:rsid w:val="00C17A32"/>
    <w:rsid w:val="00C20B1E"/>
    <w:rsid w:val="00C217B3"/>
    <w:rsid w:val="00C234B6"/>
    <w:rsid w:val="00C26FEF"/>
    <w:rsid w:val="00C270F0"/>
    <w:rsid w:val="00C27524"/>
    <w:rsid w:val="00C27C1C"/>
    <w:rsid w:val="00C309A7"/>
    <w:rsid w:val="00C30FAC"/>
    <w:rsid w:val="00C3575E"/>
    <w:rsid w:val="00C42381"/>
    <w:rsid w:val="00C42F50"/>
    <w:rsid w:val="00C42FF4"/>
    <w:rsid w:val="00C44003"/>
    <w:rsid w:val="00C44326"/>
    <w:rsid w:val="00C446FB"/>
    <w:rsid w:val="00C44EF6"/>
    <w:rsid w:val="00C50377"/>
    <w:rsid w:val="00C50F75"/>
    <w:rsid w:val="00C5251F"/>
    <w:rsid w:val="00C5369A"/>
    <w:rsid w:val="00C53BA2"/>
    <w:rsid w:val="00C5629F"/>
    <w:rsid w:val="00C565D1"/>
    <w:rsid w:val="00C6072D"/>
    <w:rsid w:val="00C60ABF"/>
    <w:rsid w:val="00C63D7A"/>
    <w:rsid w:val="00C65E4D"/>
    <w:rsid w:val="00C72768"/>
    <w:rsid w:val="00C73E20"/>
    <w:rsid w:val="00C74C54"/>
    <w:rsid w:val="00C75EFA"/>
    <w:rsid w:val="00C76494"/>
    <w:rsid w:val="00C82BCC"/>
    <w:rsid w:val="00C878DB"/>
    <w:rsid w:val="00C87CE1"/>
    <w:rsid w:val="00C959D5"/>
    <w:rsid w:val="00C96365"/>
    <w:rsid w:val="00CA2478"/>
    <w:rsid w:val="00CA269B"/>
    <w:rsid w:val="00CA44BD"/>
    <w:rsid w:val="00CA49D4"/>
    <w:rsid w:val="00CA558E"/>
    <w:rsid w:val="00CB1628"/>
    <w:rsid w:val="00CB4D8E"/>
    <w:rsid w:val="00CC145F"/>
    <w:rsid w:val="00CC4439"/>
    <w:rsid w:val="00CC4EED"/>
    <w:rsid w:val="00CD37AD"/>
    <w:rsid w:val="00CD3CFF"/>
    <w:rsid w:val="00CD42E3"/>
    <w:rsid w:val="00CD7971"/>
    <w:rsid w:val="00CE3488"/>
    <w:rsid w:val="00CE4294"/>
    <w:rsid w:val="00CE545C"/>
    <w:rsid w:val="00CE6959"/>
    <w:rsid w:val="00CF1CFC"/>
    <w:rsid w:val="00CF685B"/>
    <w:rsid w:val="00CF686A"/>
    <w:rsid w:val="00D000CA"/>
    <w:rsid w:val="00D01210"/>
    <w:rsid w:val="00D019BF"/>
    <w:rsid w:val="00D06E1A"/>
    <w:rsid w:val="00D06EEE"/>
    <w:rsid w:val="00D07C43"/>
    <w:rsid w:val="00D13A81"/>
    <w:rsid w:val="00D13D11"/>
    <w:rsid w:val="00D16D83"/>
    <w:rsid w:val="00D22DBB"/>
    <w:rsid w:val="00D22FF0"/>
    <w:rsid w:val="00D23EF8"/>
    <w:rsid w:val="00D32109"/>
    <w:rsid w:val="00D3523E"/>
    <w:rsid w:val="00D360A1"/>
    <w:rsid w:val="00D41239"/>
    <w:rsid w:val="00D44295"/>
    <w:rsid w:val="00D45EF7"/>
    <w:rsid w:val="00D513E2"/>
    <w:rsid w:val="00D51F1F"/>
    <w:rsid w:val="00D51FEA"/>
    <w:rsid w:val="00D54945"/>
    <w:rsid w:val="00D56BB4"/>
    <w:rsid w:val="00D67930"/>
    <w:rsid w:val="00D72CA3"/>
    <w:rsid w:val="00D77796"/>
    <w:rsid w:val="00D81E85"/>
    <w:rsid w:val="00D81F49"/>
    <w:rsid w:val="00D828FC"/>
    <w:rsid w:val="00D8295C"/>
    <w:rsid w:val="00D85EC1"/>
    <w:rsid w:val="00D87616"/>
    <w:rsid w:val="00DA0390"/>
    <w:rsid w:val="00DA1163"/>
    <w:rsid w:val="00DA2FC5"/>
    <w:rsid w:val="00DA3759"/>
    <w:rsid w:val="00DA45AF"/>
    <w:rsid w:val="00DA6779"/>
    <w:rsid w:val="00DB13B0"/>
    <w:rsid w:val="00DB15F3"/>
    <w:rsid w:val="00DB1A6A"/>
    <w:rsid w:val="00DB240D"/>
    <w:rsid w:val="00DB3F5A"/>
    <w:rsid w:val="00DB4C2B"/>
    <w:rsid w:val="00DC052D"/>
    <w:rsid w:val="00DC4A64"/>
    <w:rsid w:val="00DC5033"/>
    <w:rsid w:val="00DD1D53"/>
    <w:rsid w:val="00DD34C4"/>
    <w:rsid w:val="00DD3607"/>
    <w:rsid w:val="00DD5757"/>
    <w:rsid w:val="00DD63AB"/>
    <w:rsid w:val="00DD7224"/>
    <w:rsid w:val="00DD7A2D"/>
    <w:rsid w:val="00DE138C"/>
    <w:rsid w:val="00DE3682"/>
    <w:rsid w:val="00DE59BA"/>
    <w:rsid w:val="00DF2A03"/>
    <w:rsid w:val="00DF598B"/>
    <w:rsid w:val="00DF5ECE"/>
    <w:rsid w:val="00DF6313"/>
    <w:rsid w:val="00E15D3E"/>
    <w:rsid w:val="00E17BDB"/>
    <w:rsid w:val="00E23AC0"/>
    <w:rsid w:val="00E24316"/>
    <w:rsid w:val="00E2459D"/>
    <w:rsid w:val="00E26DD5"/>
    <w:rsid w:val="00E4148B"/>
    <w:rsid w:val="00E42B49"/>
    <w:rsid w:val="00E42E98"/>
    <w:rsid w:val="00E43AD2"/>
    <w:rsid w:val="00E474BC"/>
    <w:rsid w:val="00E47D64"/>
    <w:rsid w:val="00E5485A"/>
    <w:rsid w:val="00E55A04"/>
    <w:rsid w:val="00E579B4"/>
    <w:rsid w:val="00E61AD6"/>
    <w:rsid w:val="00E64586"/>
    <w:rsid w:val="00E660A3"/>
    <w:rsid w:val="00E700EF"/>
    <w:rsid w:val="00E702FB"/>
    <w:rsid w:val="00E734DC"/>
    <w:rsid w:val="00E7354C"/>
    <w:rsid w:val="00E75188"/>
    <w:rsid w:val="00E80254"/>
    <w:rsid w:val="00E80383"/>
    <w:rsid w:val="00E81AF1"/>
    <w:rsid w:val="00E8322D"/>
    <w:rsid w:val="00E841D8"/>
    <w:rsid w:val="00E84738"/>
    <w:rsid w:val="00E848ED"/>
    <w:rsid w:val="00E85DB2"/>
    <w:rsid w:val="00E90781"/>
    <w:rsid w:val="00E918C1"/>
    <w:rsid w:val="00E92D35"/>
    <w:rsid w:val="00EA674C"/>
    <w:rsid w:val="00EB20D7"/>
    <w:rsid w:val="00EB7FB7"/>
    <w:rsid w:val="00EC43A4"/>
    <w:rsid w:val="00EC498F"/>
    <w:rsid w:val="00ED0A61"/>
    <w:rsid w:val="00EE1CC4"/>
    <w:rsid w:val="00EE5F30"/>
    <w:rsid w:val="00EE74AF"/>
    <w:rsid w:val="00EF0415"/>
    <w:rsid w:val="00EF149B"/>
    <w:rsid w:val="00EF1A36"/>
    <w:rsid w:val="00EF3C03"/>
    <w:rsid w:val="00F05BA3"/>
    <w:rsid w:val="00F07B95"/>
    <w:rsid w:val="00F1446A"/>
    <w:rsid w:val="00F1451C"/>
    <w:rsid w:val="00F20F2D"/>
    <w:rsid w:val="00F20F5E"/>
    <w:rsid w:val="00F22709"/>
    <w:rsid w:val="00F25254"/>
    <w:rsid w:val="00F2668F"/>
    <w:rsid w:val="00F2672A"/>
    <w:rsid w:val="00F30BD0"/>
    <w:rsid w:val="00F33401"/>
    <w:rsid w:val="00F34032"/>
    <w:rsid w:val="00F347DA"/>
    <w:rsid w:val="00F37D27"/>
    <w:rsid w:val="00F42874"/>
    <w:rsid w:val="00F448A6"/>
    <w:rsid w:val="00F47663"/>
    <w:rsid w:val="00F50C75"/>
    <w:rsid w:val="00F50CB7"/>
    <w:rsid w:val="00F5195F"/>
    <w:rsid w:val="00F52759"/>
    <w:rsid w:val="00F5297D"/>
    <w:rsid w:val="00F5354A"/>
    <w:rsid w:val="00F55093"/>
    <w:rsid w:val="00F558CF"/>
    <w:rsid w:val="00F55EE7"/>
    <w:rsid w:val="00F6108E"/>
    <w:rsid w:val="00F61095"/>
    <w:rsid w:val="00F63C38"/>
    <w:rsid w:val="00F66719"/>
    <w:rsid w:val="00F67C67"/>
    <w:rsid w:val="00F71F51"/>
    <w:rsid w:val="00F7362E"/>
    <w:rsid w:val="00F77892"/>
    <w:rsid w:val="00F83569"/>
    <w:rsid w:val="00F85557"/>
    <w:rsid w:val="00F87BDF"/>
    <w:rsid w:val="00F90AAF"/>
    <w:rsid w:val="00F928B9"/>
    <w:rsid w:val="00F9293C"/>
    <w:rsid w:val="00F9427D"/>
    <w:rsid w:val="00FA1D3B"/>
    <w:rsid w:val="00FA22CC"/>
    <w:rsid w:val="00FB36F8"/>
    <w:rsid w:val="00FB57DF"/>
    <w:rsid w:val="00FC1045"/>
    <w:rsid w:val="00FC5434"/>
    <w:rsid w:val="00FD0D66"/>
    <w:rsid w:val="00FD5FBC"/>
    <w:rsid w:val="00FD7190"/>
    <w:rsid w:val="00FE05A2"/>
    <w:rsid w:val="00FE07A1"/>
    <w:rsid w:val="00FE47F6"/>
    <w:rsid w:val="00FE5091"/>
    <w:rsid w:val="00FE52A2"/>
    <w:rsid w:val="00FE5BAF"/>
    <w:rsid w:val="00FE6559"/>
    <w:rsid w:val="00FE67FC"/>
    <w:rsid w:val="00FF06A6"/>
    <w:rsid w:val="00FF06D0"/>
    <w:rsid w:val="00FF0CA5"/>
    <w:rsid w:val="00FF16CC"/>
    <w:rsid w:val="00FF302A"/>
    <w:rsid w:val="00FF5CB5"/>
    <w:rsid w:val="00FF7E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6E914"/>
  <w15:docId w15:val="{6D41E2BC-D54A-49AC-AA79-4109B07BE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376D"/>
  </w:style>
  <w:style w:type="paragraph" w:styleId="2">
    <w:name w:val="heading 2"/>
    <w:basedOn w:val="a"/>
    <w:next w:val="a"/>
    <w:link w:val="20"/>
    <w:qFormat/>
    <w:rsid w:val="0050239C"/>
    <w:pPr>
      <w:keepNext/>
      <w:spacing w:before="240" w:after="60" w:line="240" w:lineRule="auto"/>
      <w:outlineLvl w:val="1"/>
    </w:pPr>
    <w:rPr>
      <w:rFonts w:ascii="Cambria" w:eastAsia="Times New Roman" w:hAnsi="Cambria" w:cs="Times New Roman"/>
      <w:b/>
      <w:bCs/>
      <w:i/>
      <w:iCs/>
      <w:sz w:val="28"/>
      <w:szCs w:val="28"/>
      <w:lang w:val="uk-UA" w:eastAsia="uk-UA"/>
    </w:rPr>
  </w:style>
  <w:style w:type="paragraph" w:styleId="3">
    <w:name w:val="heading 3"/>
    <w:basedOn w:val="a"/>
    <w:next w:val="a"/>
    <w:link w:val="30"/>
    <w:uiPriority w:val="9"/>
    <w:semiHidden/>
    <w:unhideWhenUsed/>
    <w:qFormat/>
    <w:rsid w:val="00263F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5D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575A75"/>
    <w:rPr>
      <w:sz w:val="16"/>
      <w:szCs w:val="16"/>
    </w:rPr>
  </w:style>
  <w:style w:type="paragraph" w:styleId="a5">
    <w:name w:val="annotation text"/>
    <w:basedOn w:val="a"/>
    <w:link w:val="a6"/>
    <w:uiPriority w:val="99"/>
    <w:semiHidden/>
    <w:unhideWhenUsed/>
    <w:rsid w:val="00575A75"/>
    <w:pPr>
      <w:spacing w:line="240" w:lineRule="auto"/>
    </w:pPr>
    <w:rPr>
      <w:sz w:val="20"/>
      <w:szCs w:val="20"/>
    </w:rPr>
  </w:style>
  <w:style w:type="character" w:customStyle="1" w:styleId="a6">
    <w:name w:val="Текст примітки Знак"/>
    <w:basedOn w:val="a0"/>
    <w:link w:val="a5"/>
    <w:uiPriority w:val="99"/>
    <w:semiHidden/>
    <w:rsid w:val="00575A75"/>
    <w:rPr>
      <w:sz w:val="20"/>
      <w:szCs w:val="20"/>
    </w:rPr>
  </w:style>
  <w:style w:type="paragraph" w:styleId="a7">
    <w:name w:val="annotation subject"/>
    <w:basedOn w:val="a5"/>
    <w:next w:val="a5"/>
    <w:link w:val="a8"/>
    <w:uiPriority w:val="99"/>
    <w:semiHidden/>
    <w:unhideWhenUsed/>
    <w:rsid w:val="00575A75"/>
    <w:rPr>
      <w:b/>
      <w:bCs/>
    </w:rPr>
  </w:style>
  <w:style w:type="character" w:customStyle="1" w:styleId="a8">
    <w:name w:val="Тема примітки Знак"/>
    <w:basedOn w:val="a6"/>
    <w:link w:val="a7"/>
    <w:uiPriority w:val="99"/>
    <w:semiHidden/>
    <w:rsid w:val="00575A75"/>
    <w:rPr>
      <w:b/>
      <w:bCs/>
      <w:sz w:val="20"/>
      <w:szCs w:val="20"/>
    </w:rPr>
  </w:style>
  <w:style w:type="paragraph" w:styleId="a9">
    <w:name w:val="Balloon Text"/>
    <w:basedOn w:val="a"/>
    <w:link w:val="aa"/>
    <w:uiPriority w:val="99"/>
    <w:semiHidden/>
    <w:unhideWhenUsed/>
    <w:rsid w:val="00575A75"/>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575A75"/>
    <w:rPr>
      <w:rFonts w:ascii="Tahoma" w:hAnsi="Tahoma" w:cs="Tahoma"/>
      <w:sz w:val="16"/>
      <w:szCs w:val="16"/>
    </w:rPr>
  </w:style>
  <w:style w:type="paragraph" w:styleId="ab">
    <w:name w:val="List Paragraph"/>
    <w:basedOn w:val="a"/>
    <w:uiPriority w:val="34"/>
    <w:qFormat/>
    <w:rsid w:val="004D65BC"/>
    <w:pPr>
      <w:ind w:left="720"/>
      <w:contextualSpacing/>
    </w:pPr>
  </w:style>
  <w:style w:type="paragraph" w:styleId="ac">
    <w:name w:val="header"/>
    <w:basedOn w:val="a"/>
    <w:link w:val="ad"/>
    <w:uiPriority w:val="99"/>
    <w:semiHidden/>
    <w:unhideWhenUsed/>
    <w:rsid w:val="000B15A4"/>
    <w:pPr>
      <w:tabs>
        <w:tab w:val="center" w:pos="4819"/>
        <w:tab w:val="right" w:pos="9639"/>
      </w:tabs>
      <w:spacing w:after="0" w:line="240" w:lineRule="auto"/>
    </w:pPr>
  </w:style>
  <w:style w:type="character" w:customStyle="1" w:styleId="ad">
    <w:name w:val="Верхній колонтитул Знак"/>
    <w:basedOn w:val="a0"/>
    <w:link w:val="ac"/>
    <w:uiPriority w:val="99"/>
    <w:semiHidden/>
    <w:rsid w:val="000B15A4"/>
  </w:style>
  <w:style w:type="paragraph" w:styleId="ae">
    <w:name w:val="footer"/>
    <w:basedOn w:val="a"/>
    <w:link w:val="af"/>
    <w:uiPriority w:val="99"/>
    <w:unhideWhenUsed/>
    <w:rsid w:val="000B15A4"/>
    <w:pPr>
      <w:tabs>
        <w:tab w:val="center" w:pos="4819"/>
        <w:tab w:val="right" w:pos="9639"/>
      </w:tabs>
      <w:spacing w:after="0" w:line="240" w:lineRule="auto"/>
    </w:pPr>
  </w:style>
  <w:style w:type="character" w:customStyle="1" w:styleId="af">
    <w:name w:val="Нижній колонтитул Знак"/>
    <w:basedOn w:val="a0"/>
    <w:link w:val="ae"/>
    <w:uiPriority w:val="99"/>
    <w:rsid w:val="000B15A4"/>
  </w:style>
  <w:style w:type="paragraph" w:customStyle="1" w:styleId="1">
    <w:name w:val="Знак Знак1"/>
    <w:basedOn w:val="a"/>
    <w:rsid w:val="00F66719"/>
    <w:pPr>
      <w:spacing w:after="0" w:line="240" w:lineRule="auto"/>
    </w:pPr>
    <w:rPr>
      <w:rFonts w:ascii="Verdana" w:eastAsia="Times New Roman" w:hAnsi="Verdana" w:cs="Verdana"/>
      <w:sz w:val="20"/>
      <w:szCs w:val="20"/>
      <w:lang w:val="en-US"/>
    </w:rPr>
  </w:style>
  <w:style w:type="character" w:styleId="af0">
    <w:name w:val="Emphasis"/>
    <w:basedOn w:val="a0"/>
    <w:uiPriority w:val="20"/>
    <w:qFormat/>
    <w:rsid w:val="006E3D7E"/>
    <w:rPr>
      <w:i/>
      <w:iCs/>
    </w:rPr>
  </w:style>
  <w:style w:type="paragraph" w:customStyle="1" w:styleId="10">
    <w:name w:val="Знак Знак1"/>
    <w:basedOn w:val="a"/>
    <w:rsid w:val="00255A77"/>
    <w:pPr>
      <w:spacing w:after="0" w:line="240" w:lineRule="auto"/>
    </w:pPr>
    <w:rPr>
      <w:rFonts w:ascii="Verdana" w:eastAsia="Times New Roman" w:hAnsi="Verdana" w:cs="Verdana"/>
      <w:sz w:val="20"/>
      <w:szCs w:val="20"/>
      <w:lang w:val="en-US"/>
    </w:rPr>
  </w:style>
  <w:style w:type="character" w:customStyle="1" w:styleId="20">
    <w:name w:val="Заголовок 2 Знак"/>
    <w:basedOn w:val="a0"/>
    <w:link w:val="2"/>
    <w:rsid w:val="0050239C"/>
    <w:rPr>
      <w:rFonts w:ascii="Cambria" w:eastAsia="Times New Roman" w:hAnsi="Cambria" w:cs="Times New Roman"/>
      <w:b/>
      <w:bCs/>
      <w:i/>
      <w:iCs/>
      <w:sz w:val="28"/>
      <w:szCs w:val="28"/>
      <w:lang w:val="uk-UA" w:eastAsia="uk-UA"/>
    </w:rPr>
  </w:style>
  <w:style w:type="paragraph" w:styleId="af1">
    <w:name w:val="Normal (Web)"/>
    <w:basedOn w:val="a"/>
    <w:link w:val="af2"/>
    <w:uiPriority w:val="99"/>
    <w:rsid w:val="0050239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hps">
    <w:name w:val="hps"/>
    <w:rsid w:val="0050239C"/>
  </w:style>
  <w:style w:type="character" w:customStyle="1" w:styleId="af2">
    <w:name w:val="Звичайний (веб) Знак"/>
    <w:link w:val="af1"/>
    <w:locked/>
    <w:rsid w:val="0050239C"/>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semiHidden/>
    <w:rsid w:val="00263F17"/>
    <w:rPr>
      <w:rFonts w:asciiTheme="majorHAnsi" w:eastAsiaTheme="majorEastAsia" w:hAnsiTheme="majorHAnsi" w:cstheme="majorBidi"/>
      <w:color w:val="243F60" w:themeColor="accent1" w:themeShade="7F"/>
      <w:sz w:val="24"/>
      <w:szCs w:val="24"/>
    </w:rPr>
  </w:style>
  <w:style w:type="paragraph" w:customStyle="1" w:styleId="11">
    <w:name w:val="Знак Знак1"/>
    <w:basedOn w:val="a"/>
    <w:rsid w:val="004C343A"/>
    <w:pPr>
      <w:spacing w:after="0" w:line="240" w:lineRule="auto"/>
    </w:pPr>
    <w:rPr>
      <w:rFonts w:ascii="Verdana" w:eastAsia="Times New Roman" w:hAnsi="Verdana" w:cs="Verdana"/>
      <w:sz w:val="20"/>
      <w:szCs w:val="20"/>
      <w:lang w:val="en-US"/>
    </w:rPr>
  </w:style>
  <w:style w:type="paragraph" w:customStyle="1" w:styleId="rvps2">
    <w:name w:val="rvps2"/>
    <w:basedOn w:val="a"/>
    <w:rsid w:val="00457E92"/>
    <w:pPr>
      <w:spacing w:after="150" w:line="240" w:lineRule="auto"/>
      <w:ind w:firstLine="450"/>
      <w:jc w:val="both"/>
    </w:pPr>
    <w:rPr>
      <w:rFonts w:ascii="Times New Roman" w:eastAsia="Times New Roman" w:hAnsi="Times New Roman" w:cs="Times New Roman"/>
      <w:sz w:val="24"/>
      <w:szCs w:val="24"/>
      <w:lang w:eastAsia="ru-RU"/>
    </w:rPr>
  </w:style>
  <w:style w:type="character" w:styleId="af3">
    <w:name w:val="Hyperlink"/>
    <w:basedOn w:val="a0"/>
    <w:uiPriority w:val="99"/>
    <w:semiHidden/>
    <w:unhideWhenUsed/>
    <w:rsid w:val="003A03B4"/>
    <w:rPr>
      <w:color w:val="0000FF"/>
      <w:u w:val="single"/>
    </w:rPr>
  </w:style>
  <w:style w:type="character" w:customStyle="1" w:styleId="apple-converted-space">
    <w:name w:val="apple-converted-space"/>
    <w:basedOn w:val="a0"/>
    <w:rsid w:val="003A03B4"/>
  </w:style>
  <w:style w:type="paragraph" w:customStyle="1" w:styleId="rvps7">
    <w:name w:val="rvps7"/>
    <w:basedOn w:val="a"/>
    <w:rsid w:val="002F73F4"/>
    <w:pPr>
      <w:spacing w:before="150" w:after="150" w:line="240" w:lineRule="auto"/>
      <w:ind w:left="450" w:right="450"/>
      <w:jc w:val="center"/>
    </w:pPr>
    <w:rPr>
      <w:rFonts w:ascii="Times New Roman" w:eastAsia="Times New Roman" w:hAnsi="Times New Roman" w:cs="Times New Roman"/>
      <w:sz w:val="24"/>
      <w:szCs w:val="24"/>
      <w:lang w:eastAsia="ru-RU"/>
    </w:rPr>
  </w:style>
  <w:style w:type="character" w:customStyle="1" w:styleId="rvts15">
    <w:name w:val="rvts15"/>
    <w:basedOn w:val="a0"/>
    <w:rsid w:val="002F73F4"/>
    <w:rPr>
      <w:rFonts w:ascii="Times New Roman" w:hAnsi="Times New Roman" w:cs="Times New Roman" w:hint="default"/>
      <w:b/>
      <w:bCs/>
      <w:i w:val="0"/>
      <w:iCs w:val="0"/>
      <w:strike w:val="0"/>
      <w:dstrike w:val="0"/>
      <w:color w:val="000000"/>
      <w:sz w:val="28"/>
      <w:szCs w:val="28"/>
      <w:u w:val="none"/>
      <w:effect w:val="none"/>
    </w:rPr>
  </w:style>
  <w:style w:type="paragraph" w:customStyle="1" w:styleId="rvps12">
    <w:name w:val="rvps12"/>
    <w:basedOn w:val="a"/>
    <w:rsid w:val="00D06EEE"/>
    <w:pPr>
      <w:spacing w:before="150" w:after="150" w:line="240" w:lineRule="auto"/>
      <w:jc w:val="center"/>
    </w:pPr>
    <w:rPr>
      <w:rFonts w:ascii="Times New Roman" w:eastAsia="Times New Roman" w:hAnsi="Times New Roman" w:cs="Times New Roman"/>
      <w:sz w:val="24"/>
      <w:szCs w:val="24"/>
      <w:lang w:eastAsia="ru-RU"/>
    </w:rPr>
  </w:style>
  <w:style w:type="character" w:customStyle="1" w:styleId="rvts82">
    <w:name w:val="rvts82"/>
    <w:basedOn w:val="a0"/>
    <w:rsid w:val="00D06EEE"/>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rvps14">
    <w:name w:val="rvps14"/>
    <w:basedOn w:val="a"/>
    <w:rsid w:val="00D06EEE"/>
    <w:pPr>
      <w:spacing w:before="150" w:after="150" w:line="240" w:lineRule="auto"/>
    </w:pPr>
    <w:rPr>
      <w:rFonts w:ascii="Times New Roman" w:eastAsia="Times New Roman" w:hAnsi="Times New Roman" w:cs="Times New Roman"/>
      <w:sz w:val="24"/>
      <w:szCs w:val="24"/>
      <w:lang w:eastAsia="ru-RU"/>
    </w:rPr>
  </w:style>
  <w:style w:type="character" w:customStyle="1" w:styleId="rvts90">
    <w:name w:val="rvts90"/>
    <w:basedOn w:val="a0"/>
    <w:rsid w:val="00D06EEE"/>
    <w:rPr>
      <w:rFonts w:ascii="Times New Roman" w:hAnsi="Times New Roman" w:cs="Times New Roman" w:hint="default"/>
      <w:b/>
      <w:bCs/>
      <w:i w:val="0"/>
      <w:iCs w:val="0"/>
      <w:strike w:val="0"/>
      <w:dstrike w:val="0"/>
      <w:color w:val="000000"/>
      <w:sz w:val="20"/>
      <w:szCs w:val="20"/>
      <w:u w:val="none"/>
      <w:effect w:val="none"/>
    </w:rPr>
  </w:style>
  <w:style w:type="paragraph" w:customStyle="1" w:styleId="af4">
    <w:name w:val="Знак Знак Знак Знак"/>
    <w:basedOn w:val="a"/>
    <w:rsid w:val="00D8295C"/>
    <w:pPr>
      <w:spacing w:after="160" w:line="240" w:lineRule="exact"/>
      <w:jc w:val="both"/>
    </w:pPr>
    <w:rPr>
      <w:rFonts w:ascii="Verdana" w:eastAsia="Times New Roman" w:hAnsi="Verdana" w:cs="Verdana"/>
      <w:sz w:val="20"/>
      <w:szCs w:val="20"/>
      <w:lang w:val="en-US"/>
    </w:rPr>
  </w:style>
  <w:style w:type="character" w:customStyle="1" w:styleId="rvts46">
    <w:name w:val="rvts46"/>
    <w:basedOn w:val="a0"/>
    <w:rsid w:val="000C2EFE"/>
    <w:rPr>
      <w:rFonts w:ascii="Times New Roman" w:hAnsi="Times New Roman" w:cs="Times New Roman" w:hint="default"/>
      <w:b w:val="0"/>
      <w:bCs w:val="0"/>
      <w:i/>
      <w:iCs/>
      <w:strike w:val="0"/>
      <w:dstrike w:val="0"/>
      <w:color w:val="000000"/>
      <w:sz w:val="24"/>
      <w:szCs w:val="24"/>
      <w:u w:val="none"/>
      <w:effect w:val="none"/>
    </w:rPr>
  </w:style>
  <w:style w:type="character" w:styleId="af5">
    <w:name w:val="Placeholder Text"/>
    <w:basedOn w:val="a0"/>
    <w:uiPriority w:val="99"/>
    <w:semiHidden/>
    <w:rsid w:val="000E3C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56567">
      <w:bodyDiv w:val="1"/>
      <w:marLeft w:val="0"/>
      <w:marRight w:val="0"/>
      <w:marTop w:val="0"/>
      <w:marBottom w:val="0"/>
      <w:divBdr>
        <w:top w:val="none" w:sz="0" w:space="0" w:color="auto"/>
        <w:left w:val="none" w:sz="0" w:space="0" w:color="auto"/>
        <w:bottom w:val="none" w:sz="0" w:space="0" w:color="auto"/>
        <w:right w:val="none" w:sz="0" w:space="0" w:color="auto"/>
      </w:divBdr>
    </w:div>
    <w:div w:id="260529169">
      <w:bodyDiv w:val="1"/>
      <w:marLeft w:val="0"/>
      <w:marRight w:val="0"/>
      <w:marTop w:val="0"/>
      <w:marBottom w:val="0"/>
      <w:divBdr>
        <w:top w:val="none" w:sz="0" w:space="0" w:color="auto"/>
        <w:left w:val="none" w:sz="0" w:space="0" w:color="auto"/>
        <w:bottom w:val="none" w:sz="0" w:space="0" w:color="auto"/>
        <w:right w:val="none" w:sz="0" w:space="0" w:color="auto"/>
      </w:divBdr>
    </w:div>
    <w:div w:id="524634492">
      <w:bodyDiv w:val="1"/>
      <w:marLeft w:val="0"/>
      <w:marRight w:val="0"/>
      <w:marTop w:val="0"/>
      <w:marBottom w:val="0"/>
      <w:divBdr>
        <w:top w:val="none" w:sz="0" w:space="0" w:color="auto"/>
        <w:left w:val="none" w:sz="0" w:space="0" w:color="auto"/>
        <w:bottom w:val="none" w:sz="0" w:space="0" w:color="auto"/>
        <w:right w:val="none" w:sz="0" w:space="0" w:color="auto"/>
      </w:divBdr>
    </w:div>
    <w:div w:id="928317465">
      <w:bodyDiv w:val="1"/>
      <w:marLeft w:val="0"/>
      <w:marRight w:val="0"/>
      <w:marTop w:val="0"/>
      <w:marBottom w:val="0"/>
      <w:divBdr>
        <w:top w:val="none" w:sz="0" w:space="0" w:color="auto"/>
        <w:left w:val="none" w:sz="0" w:space="0" w:color="auto"/>
        <w:bottom w:val="none" w:sz="0" w:space="0" w:color="auto"/>
        <w:right w:val="none" w:sz="0" w:space="0" w:color="auto"/>
      </w:divBdr>
    </w:div>
    <w:div w:id="1527670548">
      <w:bodyDiv w:val="1"/>
      <w:marLeft w:val="0"/>
      <w:marRight w:val="0"/>
      <w:marTop w:val="0"/>
      <w:marBottom w:val="0"/>
      <w:divBdr>
        <w:top w:val="none" w:sz="0" w:space="0" w:color="auto"/>
        <w:left w:val="none" w:sz="0" w:space="0" w:color="auto"/>
        <w:bottom w:val="none" w:sz="0" w:space="0" w:color="auto"/>
        <w:right w:val="none" w:sz="0" w:space="0" w:color="auto"/>
      </w:divBdr>
    </w:div>
    <w:div w:id="176529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2EF04-79D5-4953-AED0-B440B57D5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3034</TotalTime>
  <Pages>9</Pages>
  <Words>16508</Words>
  <Characters>9410</Characters>
  <Application>Microsoft Office Word</Application>
  <DocSecurity>0</DocSecurity>
  <Lines>78</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25867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Ю.С. Соломаха</dc:creator>
  <cp:lastModifiedBy>Тетяна Гордієнко</cp:lastModifiedBy>
  <cp:revision>821</cp:revision>
  <cp:lastPrinted>2024-03-20T06:09:00Z</cp:lastPrinted>
  <dcterms:created xsi:type="dcterms:W3CDTF">2017-09-06T07:02:00Z</dcterms:created>
  <dcterms:modified xsi:type="dcterms:W3CDTF">2024-03-20T06:14:00Z</dcterms:modified>
</cp:coreProperties>
</file>