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4D3" w:rsidRDefault="00DC58CB">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Порівняльна таблиця до </w:t>
      </w:r>
      <w:proofErr w:type="spellStart"/>
      <w:r>
        <w:rPr>
          <w:rFonts w:ascii="Times New Roman" w:eastAsia="Times New Roman" w:hAnsi="Times New Roman" w:cs="Times New Roman"/>
          <w:b/>
          <w:color w:val="000000"/>
          <w:sz w:val="28"/>
          <w:szCs w:val="28"/>
        </w:rPr>
        <w:t>проєкту</w:t>
      </w:r>
      <w:proofErr w:type="spellEnd"/>
      <w:r>
        <w:rPr>
          <w:rFonts w:ascii="Times New Roman" w:eastAsia="Times New Roman" w:hAnsi="Times New Roman" w:cs="Times New Roman"/>
          <w:b/>
          <w:color w:val="000000"/>
          <w:sz w:val="28"/>
          <w:szCs w:val="28"/>
        </w:rPr>
        <w:t xml:space="preserve"> постанови НКРЕКП </w:t>
      </w:r>
    </w:p>
    <w:p w:rsidR="00BA04D3" w:rsidRDefault="00DC58CB">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7B794E">
        <w:rPr>
          <w:rFonts w:ascii="Times New Roman" w:eastAsia="Times New Roman" w:hAnsi="Times New Roman" w:cs="Times New Roman"/>
          <w:b/>
          <w:color w:val="000000"/>
          <w:sz w:val="28"/>
          <w:szCs w:val="28"/>
        </w:rPr>
        <w:t>затвердження З</w:t>
      </w:r>
      <w:r>
        <w:rPr>
          <w:rFonts w:ascii="Times New Roman" w:eastAsia="Times New Roman" w:hAnsi="Times New Roman" w:cs="Times New Roman"/>
          <w:b/>
          <w:color w:val="000000"/>
          <w:sz w:val="28"/>
          <w:szCs w:val="28"/>
        </w:rPr>
        <w:t xml:space="preserve">мін до деяких постанов НКРЕКП», </w:t>
      </w:r>
    </w:p>
    <w:p w:rsidR="00BA04D3" w:rsidRDefault="00DC58CB">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що має ознаки регуляторного </w:t>
      </w:r>
      <w:proofErr w:type="spellStart"/>
      <w:r>
        <w:rPr>
          <w:rFonts w:ascii="Times New Roman" w:eastAsia="Times New Roman" w:hAnsi="Times New Roman" w:cs="Times New Roman"/>
          <w:b/>
          <w:color w:val="000000"/>
          <w:sz w:val="28"/>
          <w:szCs w:val="28"/>
        </w:rPr>
        <w:t>акта</w:t>
      </w:r>
      <w:proofErr w:type="spellEnd"/>
    </w:p>
    <w:p w:rsidR="00BA04D3" w:rsidRDefault="00BA04D3">
      <w:pPr>
        <w:spacing w:after="0" w:line="240" w:lineRule="auto"/>
        <w:jc w:val="center"/>
        <w:rPr>
          <w:rFonts w:ascii="Times New Roman" w:eastAsia="Times New Roman" w:hAnsi="Times New Roman" w:cs="Times New Roman"/>
          <w:b/>
          <w:color w:val="000000"/>
          <w:sz w:val="18"/>
          <w:szCs w:val="18"/>
        </w:rPr>
      </w:pPr>
    </w:p>
    <w:tbl>
      <w:tblPr>
        <w:tblStyle w:val="ad"/>
        <w:tblW w:w="151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64"/>
        <w:gridCol w:w="7564"/>
      </w:tblGrid>
      <w:tr w:rsidR="00BA04D3">
        <w:tc>
          <w:tcPr>
            <w:tcW w:w="7564" w:type="dxa"/>
          </w:tcPr>
          <w:p w:rsidR="00BA04D3" w:rsidRDefault="00DC58CB">
            <w:pPr>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КОДЕКС ГАЗОТРАНСПОРТНОЇ СИСТЕМИ</w:t>
            </w:r>
          </w:p>
        </w:tc>
        <w:tc>
          <w:tcPr>
            <w:tcW w:w="7564" w:type="dxa"/>
          </w:tcPr>
          <w:p w:rsidR="00BA04D3" w:rsidRDefault="00DC58CB">
            <w:pPr>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ЗМІНИ ДО КОДЕКСУ ГАЗОТРАНСПОРТНОЇ СИСТЕМИ</w:t>
            </w:r>
          </w:p>
        </w:tc>
      </w:tr>
      <w:tr w:rsidR="00BA04D3">
        <w:tc>
          <w:tcPr>
            <w:tcW w:w="7564" w:type="dxa"/>
          </w:tcPr>
          <w:p w:rsidR="00BA04D3" w:rsidRDefault="00DC58CB">
            <w:pPr>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color w:val="000000"/>
                <w:sz w:val="24"/>
                <w:szCs w:val="24"/>
              </w:rPr>
              <w:t>VIII. Порядок укладення договору транспортування природного газу та фінансове забезпечення</w:t>
            </w:r>
          </w:p>
        </w:tc>
        <w:tc>
          <w:tcPr>
            <w:tcW w:w="7564" w:type="dxa"/>
          </w:tcPr>
          <w:p w:rsidR="00BA04D3" w:rsidRDefault="00DC58CB">
            <w:pPr>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color w:val="000000"/>
                <w:sz w:val="24"/>
                <w:szCs w:val="24"/>
              </w:rPr>
              <w:t>VIII. Порядок укладення договору транспортування природного газу та фінансове забезпечення</w:t>
            </w:r>
          </w:p>
        </w:tc>
      </w:tr>
      <w:tr w:rsidR="00BA04D3">
        <w:tc>
          <w:tcPr>
            <w:tcW w:w="7564" w:type="dxa"/>
          </w:tcPr>
          <w:p w:rsidR="00BA04D3" w:rsidRDefault="00DC58CB">
            <w:pPr>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color w:val="000000"/>
                <w:sz w:val="24"/>
                <w:szCs w:val="24"/>
              </w:rPr>
              <w:t>1. Порядок укладення договору транспортування природного газу</w:t>
            </w:r>
          </w:p>
        </w:tc>
        <w:tc>
          <w:tcPr>
            <w:tcW w:w="7564" w:type="dxa"/>
          </w:tcPr>
          <w:p w:rsidR="00BA04D3" w:rsidRDefault="00DC58CB">
            <w:pPr>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color w:val="000000"/>
                <w:sz w:val="24"/>
                <w:szCs w:val="24"/>
              </w:rPr>
              <w:t>1. Порядок укладення договору транспортування природного газу</w:t>
            </w:r>
          </w:p>
        </w:tc>
      </w:tr>
      <w:tr w:rsidR="00BA04D3">
        <w:tc>
          <w:tcPr>
            <w:tcW w:w="7564" w:type="dxa"/>
          </w:tcPr>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Одержання доступу до потужності, надання послуг із транспортування, у тому числі вчинення дій з врегулювання добового небалансу, є складовими послуги транспортування природного газу та здійснюються виключно на підставі договору транспортування. Оператор газотранспортної системи не має права відмовити в укладенні договору транспортування за умови дотримання заявником вимог щодо його укладення, передбачених цим розділом.</w:t>
            </w:r>
          </w:p>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Договір транспортування є документом, який регулює правовідносини між оператором газотранспортної системи і окремим замовником послуг транспортування.</w:t>
            </w:r>
          </w:p>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 моменту укладення договору транспортування замовник послуг транспортування також одержує право доступу до віртуальної торгової точки.</w:t>
            </w:r>
          </w:p>
          <w:p w:rsidR="00811F23" w:rsidRDefault="00811F23">
            <w:pPr>
              <w:shd w:val="clear" w:color="auto" w:fill="FFFFFF"/>
              <w:spacing w:line="216" w:lineRule="auto"/>
              <w:ind w:firstLine="450"/>
              <w:jc w:val="both"/>
              <w:rPr>
                <w:rFonts w:ascii="Times New Roman" w:eastAsia="Times New Roman" w:hAnsi="Times New Roman" w:cs="Times New Roman"/>
                <w:color w:val="000000"/>
                <w:sz w:val="24"/>
                <w:szCs w:val="24"/>
              </w:rPr>
            </w:pPr>
          </w:p>
          <w:p w:rsidR="001308F5" w:rsidRDefault="001308F5" w:rsidP="001308F5">
            <w:pPr>
              <w:pStyle w:val="ae"/>
              <w:spacing w:before="0" w:beforeAutospacing="0" w:after="0" w:afterAutospacing="0"/>
              <w:ind w:firstLine="448"/>
              <w:jc w:val="both"/>
            </w:pPr>
            <w:r>
              <w:rPr>
                <w:b/>
                <w:bCs/>
                <w:i/>
                <w:iCs/>
                <w:color w:val="000000"/>
              </w:rPr>
              <w:t>Положення відсутнє</w:t>
            </w:r>
          </w:p>
          <w:p w:rsidR="001308F5" w:rsidRDefault="001308F5">
            <w:pPr>
              <w:shd w:val="clear" w:color="auto" w:fill="FFFFFF"/>
              <w:spacing w:line="216" w:lineRule="auto"/>
              <w:ind w:firstLine="450"/>
              <w:jc w:val="both"/>
              <w:rPr>
                <w:rFonts w:ascii="Times New Roman" w:eastAsia="Times New Roman" w:hAnsi="Times New Roman" w:cs="Times New Roman"/>
                <w:b/>
                <w:i/>
                <w:color w:val="000000"/>
                <w:sz w:val="24"/>
                <w:szCs w:val="24"/>
              </w:rPr>
            </w:pPr>
          </w:p>
        </w:tc>
        <w:tc>
          <w:tcPr>
            <w:tcW w:w="7564" w:type="dxa"/>
          </w:tcPr>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Одержання доступу до потужності, надання послуг із транспортування, у тому числі вчинення дій з врегулювання добового небалансу, є складовими послуги транспортування природного газу та здійснюються виключно на підставі договору транспортування. Оператор газотранспортної системи не має права відмовити в укладенні договору транспортування за умови дотримання заявником вимог щодо його укладення, передбачених цим розділом.</w:t>
            </w:r>
          </w:p>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Договір транспортування є документом, який регулює правовідносини між оператором газотранспортної системи і окремим замовником послуг транспортування.</w:t>
            </w:r>
          </w:p>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 моменту укладення договору транспортування замовник послуг транспортування також одержує право доступу до віртуальної торгової точки.</w:t>
            </w:r>
          </w:p>
          <w:p w:rsidR="00635C52" w:rsidRPr="00635C52" w:rsidRDefault="00635C52" w:rsidP="00635C52">
            <w:pPr>
              <w:shd w:val="clear" w:color="auto" w:fill="FFFFFF"/>
              <w:ind w:firstLine="709"/>
              <w:jc w:val="both"/>
              <w:rPr>
                <w:rFonts w:ascii="Times New Roman" w:eastAsia="Times New Roman" w:hAnsi="Times New Roman" w:cs="Times New Roman"/>
                <w:b/>
                <w:color w:val="000000"/>
                <w:sz w:val="24"/>
                <w:szCs w:val="24"/>
              </w:rPr>
            </w:pPr>
            <w:r w:rsidRPr="00635C52">
              <w:rPr>
                <w:rFonts w:ascii="Times New Roman" w:eastAsia="Times New Roman" w:hAnsi="Times New Roman" w:cs="Times New Roman"/>
                <w:b/>
                <w:color w:val="000000"/>
                <w:sz w:val="24"/>
                <w:szCs w:val="24"/>
              </w:rPr>
              <w:t xml:space="preserve">Прямий споживач зобов’язаний  зареєструватись як учасник оптового енергетичного ринку відповідно до Порядку реєстрації учасників оптового енергетичного ринку затвердженого постановою Національної комісії, що здійснює державне регулювання у сферах енергетики та комунальних послуг, від 04 жовтня 2023 року № 1812 (далі – Порядок реєстрації), у разі якщо сумарна номінальна потужність газового обладнання споживача забезпечує технічну спроможність споживання природного газу в обсязі 600 </w:t>
            </w:r>
            <w:proofErr w:type="spellStart"/>
            <w:r w:rsidRPr="00635C52">
              <w:rPr>
                <w:rFonts w:ascii="Times New Roman" w:eastAsia="Times New Roman" w:hAnsi="Times New Roman" w:cs="Times New Roman"/>
                <w:b/>
                <w:color w:val="000000"/>
                <w:sz w:val="24"/>
                <w:szCs w:val="24"/>
              </w:rPr>
              <w:t>ГВт·год</w:t>
            </w:r>
            <w:proofErr w:type="spellEnd"/>
            <w:r w:rsidRPr="00635C52">
              <w:rPr>
                <w:rFonts w:ascii="Times New Roman" w:eastAsia="Times New Roman" w:hAnsi="Times New Roman" w:cs="Times New Roman"/>
                <w:b/>
                <w:color w:val="000000"/>
                <w:sz w:val="24"/>
                <w:szCs w:val="24"/>
              </w:rPr>
              <w:t xml:space="preserve"> (56 391 тис. м</w:t>
            </w:r>
            <w:r w:rsidRPr="004A2C03">
              <w:rPr>
                <w:rFonts w:ascii="Times New Roman" w:eastAsia="Times New Roman" w:hAnsi="Times New Roman" w:cs="Times New Roman"/>
                <w:b/>
                <w:color w:val="000000"/>
                <w:sz w:val="24"/>
                <w:szCs w:val="24"/>
                <w:vertAlign w:val="superscript"/>
              </w:rPr>
              <w:t>3</w:t>
            </w:r>
            <w:r w:rsidRPr="00635C52">
              <w:rPr>
                <w:rFonts w:ascii="Times New Roman" w:eastAsia="Times New Roman" w:hAnsi="Times New Roman" w:cs="Times New Roman"/>
                <w:b/>
                <w:color w:val="000000"/>
                <w:sz w:val="24"/>
                <w:szCs w:val="24"/>
              </w:rPr>
              <w:t>) на рік та вище.</w:t>
            </w:r>
          </w:p>
          <w:p w:rsidR="00635C52" w:rsidRPr="00635C52" w:rsidRDefault="00635C52" w:rsidP="00635C52">
            <w:pPr>
              <w:shd w:val="clear" w:color="auto" w:fill="FFFFFF"/>
              <w:ind w:firstLine="709"/>
              <w:jc w:val="both"/>
              <w:rPr>
                <w:rFonts w:ascii="Times New Roman" w:eastAsia="Times New Roman" w:hAnsi="Times New Roman" w:cs="Times New Roman"/>
                <w:b/>
                <w:color w:val="000000"/>
                <w:sz w:val="24"/>
                <w:szCs w:val="24"/>
              </w:rPr>
            </w:pPr>
            <w:r w:rsidRPr="00635C52">
              <w:rPr>
                <w:rFonts w:ascii="Times New Roman" w:eastAsia="Times New Roman" w:hAnsi="Times New Roman" w:cs="Times New Roman"/>
                <w:b/>
                <w:color w:val="000000"/>
                <w:sz w:val="24"/>
                <w:szCs w:val="24"/>
              </w:rPr>
              <w:t>Замовник послуг транспортування зобов’язується зареєструватись як учасник оптового енергетичного ринку відповідно до Порядку реєстрації.</w:t>
            </w:r>
          </w:p>
          <w:p w:rsidR="00635C52" w:rsidRPr="00635C52" w:rsidRDefault="00635C52" w:rsidP="00635C52">
            <w:pPr>
              <w:shd w:val="clear" w:color="auto" w:fill="FFFFFF"/>
              <w:ind w:firstLine="709"/>
              <w:jc w:val="both"/>
              <w:rPr>
                <w:rFonts w:ascii="Times New Roman" w:eastAsia="Times New Roman" w:hAnsi="Times New Roman" w:cs="Times New Roman"/>
                <w:b/>
                <w:color w:val="000000"/>
                <w:sz w:val="24"/>
                <w:szCs w:val="24"/>
              </w:rPr>
            </w:pPr>
            <w:r w:rsidRPr="00635C52">
              <w:rPr>
                <w:rFonts w:ascii="Times New Roman" w:eastAsia="Times New Roman" w:hAnsi="Times New Roman" w:cs="Times New Roman"/>
                <w:b/>
                <w:color w:val="000000"/>
                <w:sz w:val="24"/>
                <w:szCs w:val="24"/>
              </w:rPr>
              <w:t xml:space="preserve">Оператор газотранспортної системи перевіряє наявність замовників послуг транспортування, які уклали договір транспортування, у реєстрі учасників оптового енергетичного </w:t>
            </w:r>
            <w:r w:rsidRPr="00635C52">
              <w:rPr>
                <w:rFonts w:ascii="Times New Roman" w:eastAsia="Times New Roman" w:hAnsi="Times New Roman" w:cs="Times New Roman"/>
                <w:b/>
                <w:color w:val="000000"/>
                <w:sz w:val="24"/>
                <w:szCs w:val="24"/>
              </w:rPr>
              <w:lastRenderedPageBreak/>
              <w:t>ринку, оприлюдненого Регулятором у день укладення такого договору.</w:t>
            </w:r>
          </w:p>
          <w:p w:rsidR="00BA04D3" w:rsidRDefault="00635C52" w:rsidP="00635C52">
            <w:pPr>
              <w:shd w:val="clear" w:color="auto" w:fill="FFFFFF"/>
              <w:spacing w:line="216" w:lineRule="auto"/>
              <w:ind w:firstLine="450"/>
              <w:jc w:val="both"/>
              <w:rPr>
                <w:rFonts w:ascii="Times New Roman" w:eastAsia="Times New Roman" w:hAnsi="Times New Roman" w:cs="Times New Roman"/>
                <w:b/>
                <w:color w:val="000000"/>
                <w:sz w:val="24"/>
                <w:szCs w:val="24"/>
              </w:rPr>
            </w:pPr>
            <w:r w:rsidRPr="00635C52">
              <w:rPr>
                <w:rFonts w:ascii="Times New Roman" w:eastAsia="Times New Roman" w:hAnsi="Times New Roman" w:cs="Times New Roman"/>
                <w:b/>
                <w:color w:val="000000"/>
                <w:sz w:val="24"/>
                <w:szCs w:val="24"/>
              </w:rPr>
              <w:t>У випадку коли замовник послуг транспортування, з яким укладено договір, не включений до такого реєстру, оператор газотранспортної системи щомісяця у строк до 5-го числа поточного місяця інформує про це Регулятора, із зазначенням інформації про найменування, EIC-коду такого замовника послуг транспортування та дати укладення з ним договору транспортування природного газу</w:t>
            </w:r>
            <w:r w:rsidR="00DC58CB">
              <w:rPr>
                <w:rFonts w:ascii="Times New Roman" w:eastAsia="Times New Roman" w:hAnsi="Times New Roman" w:cs="Times New Roman"/>
                <w:b/>
                <w:color w:val="000000"/>
                <w:sz w:val="24"/>
                <w:szCs w:val="24"/>
              </w:rPr>
              <w:t>.</w:t>
            </w:r>
          </w:p>
        </w:tc>
      </w:tr>
      <w:tr w:rsidR="00BA04D3">
        <w:tc>
          <w:tcPr>
            <w:tcW w:w="7564" w:type="dxa"/>
          </w:tcPr>
          <w:p w:rsidR="00BA04D3" w:rsidRDefault="00DC58CB">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XIV. Комерційне балансування</w:t>
            </w:r>
          </w:p>
        </w:tc>
        <w:tc>
          <w:tcPr>
            <w:tcW w:w="7564" w:type="dxa"/>
          </w:tcPr>
          <w:p w:rsidR="00BA04D3" w:rsidRDefault="00DC58CB">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XIV. Комерційне балансування</w:t>
            </w:r>
          </w:p>
        </w:tc>
      </w:tr>
      <w:tr w:rsidR="00BA04D3">
        <w:tc>
          <w:tcPr>
            <w:tcW w:w="7564" w:type="dxa"/>
          </w:tcPr>
          <w:p w:rsidR="00BA04D3" w:rsidRDefault="00DC58CB">
            <w:pPr>
              <w:spacing w:line="21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 Торгові сповіщення</w:t>
            </w:r>
          </w:p>
        </w:tc>
        <w:tc>
          <w:tcPr>
            <w:tcW w:w="7564" w:type="dxa"/>
          </w:tcPr>
          <w:p w:rsidR="00BA04D3" w:rsidRDefault="00DC58CB">
            <w:pPr>
              <w:spacing w:line="21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 Торгові сповіщення</w:t>
            </w:r>
          </w:p>
        </w:tc>
      </w:tr>
      <w:tr w:rsidR="00BA04D3">
        <w:tc>
          <w:tcPr>
            <w:tcW w:w="7564" w:type="dxa"/>
          </w:tcPr>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Замовник послуг транспортування природного газу може надавати торгове сповіщення на газову добу незалежно від надання номінації/</w:t>
            </w:r>
            <w:proofErr w:type="spellStart"/>
            <w:r>
              <w:rPr>
                <w:rFonts w:ascii="Times New Roman" w:eastAsia="Times New Roman" w:hAnsi="Times New Roman" w:cs="Times New Roman"/>
                <w:color w:val="000000"/>
                <w:sz w:val="24"/>
                <w:szCs w:val="24"/>
              </w:rPr>
              <w:t>реномінації</w:t>
            </w:r>
            <w:proofErr w:type="spellEnd"/>
            <w:r>
              <w:rPr>
                <w:rFonts w:ascii="Times New Roman" w:eastAsia="Times New Roman" w:hAnsi="Times New Roman" w:cs="Times New Roman"/>
                <w:color w:val="000000"/>
                <w:sz w:val="24"/>
                <w:szCs w:val="24"/>
              </w:rPr>
              <w:t xml:space="preserve"> на таку газову добу.</w:t>
            </w:r>
          </w:p>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Замовник послуг транспортування природного газу може надавати необмежену кількість торгових сповіщень протягом газової доби (D).</w:t>
            </w:r>
          </w:p>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Обробка торгових сповіщень оператором газотранспортної системи здійснюється цілодобово не довше тридцяти хвилин, крім випадку якщо замовником послуг транспортування не визначено інший строк набрання чинності торговим сповіщенням, що дає можливість подовжити термін обробки торгового сповіщення до двох годин.</w:t>
            </w:r>
          </w:p>
          <w:p w:rsidR="00BA04D3" w:rsidRDefault="00BA04D3">
            <w:pPr>
              <w:spacing w:line="216" w:lineRule="auto"/>
              <w:ind w:firstLine="709"/>
              <w:jc w:val="both"/>
              <w:rPr>
                <w:rFonts w:ascii="Times New Roman" w:eastAsia="Times New Roman" w:hAnsi="Times New Roman" w:cs="Times New Roman"/>
                <w:color w:val="000000"/>
                <w:sz w:val="24"/>
                <w:szCs w:val="24"/>
              </w:rPr>
            </w:pPr>
          </w:p>
          <w:p w:rsidR="00811F23" w:rsidRDefault="00811F23" w:rsidP="00811F23">
            <w:pPr>
              <w:pStyle w:val="ae"/>
              <w:spacing w:before="0" w:beforeAutospacing="0" w:after="0" w:afterAutospacing="0"/>
              <w:ind w:firstLine="448"/>
              <w:jc w:val="both"/>
            </w:pPr>
            <w:r>
              <w:rPr>
                <w:b/>
                <w:bCs/>
                <w:i/>
                <w:iCs/>
                <w:color w:val="000000"/>
              </w:rPr>
              <w:t>Положення відсутнє</w:t>
            </w:r>
          </w:p>
          <w:p w:rsidR="00811F23" w:rsidRDefault="00811F23">
            <w:pPr>
              <w:spacing w:line="216" w:lineRule="auto"/>
              <w:ind w:firstLine="709"/>
              <w:jc w:val="both"/>
              <w:rPr>
                <w:rFonts w:ascii="Times New Roman" w:eastAsia="Times New Roman" w:hAnsi="Times New Roman" w:cs="Times New Roman"/>
                <w:color w:val="000000"/>
                <w:sz w:val="24"/>
                <w:szCs w:val="24"/>
              </w:rPr>
            </w:pPr>
          </w:p>
        </w:tc>
        <w:tc>
          <w:tcPr>
            <w:tcW w:w="7564" w:type="dxa"/>
          </w:tcPr>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Замовник послуг транспортування природного газу може надавати торгове сповіщення на газову добу незалежно від надання номінації/</w:t>
            </w:r>
            <w:proofErr w:type="spellStart"/>
            <w:r>
              <w:rPr>
                <w:rFonts w:ascii="Times New Roman" w:eastAsia="Times New Roman" w:hAnsi="Times New Roman" w:cs="Times New Roman"/>
                <w:color w:val="000000"/>
                <w:sz w:val="24"/>
                <w:szCs w:val="24"/>
              </w:rPr>
              <w:t>реномінації</w:t>
            </w:r>
            <w:proofErr w:type="spellEnd"/>
            <w:r>
              <w:rPr>
                <w:rFonts w:ascii="Times New Roman" w:eastAsia="Times New Roman" w:hAnsi="Times New Roman" w:cs="Times New Roman"/>
                <w:color w:val="000000"/>
                <w:sz w:val="24"/>
                <w:szCs w:val="24"/>
              </w:rPr>
              <w:t xml:space="preserve"> на таку газову добу.</w:t>
            </w:r>
          </w:p>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bookmarkStart w:id="0" w:name="bookmark=id.30j0zll" w:colFirst="0" w:colLast="0"/>
            <w:bookmarkEnd w:id="0"/>
            <w:r>
              <w:rPr>
                <w:rFonts w:ascii="Times New Roman" w:eastAsia="Times New Roman" w:hAnsi="Times New Roman" w:cs="Times New Roman"/>
                <w:color w:val="000000"/>
                <w:sz w:val="24"/>
                <w:szCs w:val="24"/>
              </w:rPr>
              <w:t>Замовник послуг транспортування природного газу може надавати необмежену кількість торгових сповіщень протягом газової доби (D).</w:t>
            </w:r>
          </w:p>
          <w:p w:rsidR="00BA04D3" w:rsidRDefault="00DC58CB">
            <w:pPr>
              <w:shd w:val="clear" w:color="auto" w:fill="FFFFFF"/>
              <w:spacing w:line="216" w:lineRule="auto"/>
              <w:ind w:firstLine="450"/>
              <w:jc w:val="both"/>
              <w:rPr>
                <w:rFonts w:ascii="Times New Roman" w:eastAsia="Times New Roman" w:hAnsi="Times New Roman" w:cs="Times New Roman"/>
                <w:color w:val="000000"/>
                <w:sz w:val="24"/>
                <w:szCs w:val="24"/>
              </w:rPr>
            </w:pPr>
            <w:bookmarkStart w:id="1" w:name="bookmark=id.1fob9te" w:colFirst="0" w:colLast="0"/>
            <w:bookmarkEnd w:id="1"/>
            <w:r>
              <w:rPr>
                <w:rFonts w:ascii="Times New Roman" w:eastAsia="Times New Roman" w:hAnsi="Times New Roman" w:cs="Times New Roman"/>
                <w:color w:val="000000"/>
                <w:sz w:val="24"/>
                <w:szCs w:val="24"/>
              </w:rPr>
              <w:t>Обробка торгових сповіщень оператором газотранспортної системи здійснюється цілодобово не довше тридцяти хвилин, крім випадку якщо замовником послуг транспортування не визначено інший строк набрання чинності торговим сповіщенням, що дає можливість подовжити термін обробки торгового сповіщення до двох годин.</w:t>
            </w:r>
          </w:p>
          <w:p w:rsidR="00635C52" w:rsidRPr="00635C52" w:rsidRDefault="00635C52" w:rsidP="00635C52">
            <w:pPr>
              <w:spacing w:line="216" w:lineRule="auto"/>
              <w:ind w:firstLine="709"/>
              <w:jc w:val="both"/>
              <w:rPr>
                <w:rFonts w:ascii="Times New Roman" w:eastAsia="Times New Roman" w:hAnsi="Times New Roman" w:cs="Times New Roman"/>
                <w:b/>
                <w:color w:val="000000"/>
                <w:sz w:val="24"/>
                <w:szCs w:val="24"/>
              </w:rPr>
            </w:pPr>
            <w:bookmarkStart w:id="2" w:name="_heading=h.3znysh7" w:colFirst="0" w:colLast="0"/>
            <w:bookmarkEnd w:id="2"/>
            <w:r w:rsidRPr="00635C52">
              <w:rPr>
                <w:rFonts w:ascii="Times New Roman" w:eastAsia="Times New Roman" w:hAnsi="Times New Roman" w:cs="Times New Roman"/>
                <w:b/>
                <w:color w:val="000000"/>
                <w:sz w:val="24"/>
                <w:szCs w:val="24"/>
              </w:rPr>
              <w:t>Під час обробки торгових сповіщень оператор газотранспортної системи перевіряє наявність замовників послуг транспортування, які подали торгові сповіщення на відчуження та на набуття природного газу, у реєстрі учасників оптового енергетичного ринку, оприлюдненого Регулятором у день подання торгових сповіщень.</w:t>
            </w:r>
          </w:p>
          <w:p w:rsidR="00BA04D3" w:rsidRDefault="00635C52" w:rsidP="00635C52">
            <w:pPr>
              <w:spacing w:line="216" w:lineRule="auto"/>
              <w:ind w:firstLine="709"/>
              <w:jc w:val="both"/>
              <w:rPr>
                <w:rFonts w:ascii="Times New Roman" w:eastAsia="Times New Roman" w:hAnsi="Times New Roman" w:cs="Times New Roman"/>
                <w:b/>
                <w:color w:val="000000"/>
                <w:sz w:val="24"/>
                <w:szCs w:val="24"/>
              </w:rPr>
            </w:pPr>
            <w:r w:rsidRPr="00635C52">
              <w:rPr>
                <w:rFonts w:ascii="Times New Roman" w:eastAsia="Times New Roman" w:hAnsi="Times New Roman" w:cs="Times New Roman"/>
                <w:b/>
                <w:color w:val="000000"/>
                <w:sz w:val="24"/>
                <w:szCs w:val="24"/>
              </w:rPr>
              <w:t>У випадку коли замовник/замовники послуг транспортування, між якими відбувається передача природного газу, не включені до такого реєстру, оператор газотранспортної системи щомісяця у строк до 5-го числа поточного місяця інформує про це Регулятора, у розрізі погоджених/відхилених торгових сповіщень із зазначенням інформації, передбаченої пунктом 5 цієї глави</w:t>
            </w:r>
            <w:r w:rsidR="00DC58CB">
              <w:rPr>
                <w:rFonts w:ascii="Times New Roman" w:eastAsia="Times New Roman" w:hAnsi="Times New Roman" w:cs="Times New Roman"/>
                <w:b/>
                <w:color w:val="000000"/>
                <w:sz w:val="24"/>
                <w:szCs w:val="24"/>
              </w:rPr>
              <w:t>.</w:t>
            </w:r>
          </w:p>
        </w:tc>
      </w:tr>
      <w:tr w:rsidR="00BA04D3">
        <w:tc>
          <w:tcPr>
            <w:tcW w:w="7564" w:type="dxa"/>
          </w:tcPr>
          <w:p w:rsidR="00BA04D3" w:rsidRDefault="00DC58CB">
            <w:pPr>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КОДЕКС ГАЗОСХОВИЩ</w:t>
            </w:r>
          </w:p>
        </w:tc>
        <w:tc>
          <w:tcPr>
            <w:tcW w:w="7564" w:type="dxa"/>
          </w:tcPr>
          <w:p w:rsidR="00BA04D3" w:rsidRDefault="00DC58CB">
            <w:pPr>
              <w:spacing w:line="216" w:lineRule="auto"/>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ЗМІНИ ДО КОДЕКСУ ГАЗОСХОВИЩ</w:t>
            </w:r>
          </w:p>
        </w:tc>
      </w:tr>
      <w:tr w:rsidR="00BA04D3">
        <w:tc>
          <w:tcPr>
            <w:tcW w:w="7564" w:type="dxa"/>
          </w:tcPr>
          <w:p w:rsidR="00BA04D3" w:rsidRDefault="00DC58CB">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VIII. Адміністрування передачі природного газу, що зберігається в газосховищах, та адміністрування передачі розподілених </w:t>
            </w:r>
            <w:proofErr w:type="spellStart"/>
            <w:r>
              <w:rPr>
                <w:rFonts w:ascii="Times New Roman" w:eastAsia="Times New Roman" w:hAnsi="Times New Roman" w:cs="Times New Roman"/>
                <w:b/>
                <w:color w:val="000000"/>
                <w:sz w:val="24"/>
                <w:szCs w:val="24"/>
              </w:rPr>
              <w:t>потужностей</w:t>
            </w:r>
            <w:proofErr w:type="spellEnd"/>
          </w:p>
        </w:tc>
        <w:tc>
          <w:tcPr>
            <w:tcW w:w="7564" w:type="dxa"/>
          </w:tcPr>
          <w:p w:rsidR="00BA04D3" w:rsidRDefault="00DC58CB">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VIII. Адміністрування передачі природного газу, що зберігається в газосховищах, та адміністрування передачі розподілених </w:t>
            </w:r>
            <w:proofErr w:type="spellStart"/>
            <w:r>
              <w:rPr>
                <w:rFonts w:ascii="Times New Roman" w:eastAsia="Times New Roman" w:hAnsi="Times New Roman" w:cs="Times New Roman"/>
                <w:b/>
                <w:color w:val="000000"/>
                <w:sz w:val="24"/>
                <w:szCs w:val="24"/>
              </w:rPr>
              <w:t>потужностей</w:t>
            </w:r>
            <w:proofErr w:type="spellEnd"/>
          </w:p>
        </w:tc>
      </w:tr>
      <w:tr w:rsidR="00BA04D3">
        <w:tc>
          <w:tcPr>
            <w:tcW w:w="7564" w:type="dxa"/>
          </w:tcPr>
          <w:p w:rsidR="00BA04D3" w:rsidRDefault="00DC58CB">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1. Адміністрування передачі природного газу, що зберігається в газосховищах</w:t>
            </w:r>
          </w:p>
        </w:tc>
        <w:tc>
          <w:tcPr>
            <w:tcW w:w="7564" w:type="dxa"/>
          </w:tcPr>
          <w:p w:rsidR="00BA04D3" w:rsidRDefault="00DC58CB">
            <w:pPr>
              <w:spacing w:line="21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Адміністрування передачі природного газу, що зберігається в газосховищах</w:t>
            </w:r>
          </w:p>
        </w:tc>
      </w:tr>
      <w:tr w:rsidR="00BA04D3">
        <w:tc>
          <w:tcPr>
            <w:tcW w:w="7564" w:type="dxa"/>
          </w:tcPr>
          <w:p w:rsidR="001308F5" w:rsidRDefault="001308F5" w:rsidP="001308F5">
            <w:pPr>
              <w:pStyle w:val="ae"/>
              <w:spacing w:before="0" w:beforeAutospacing="0" w:after="0" w:afterAutospacing="0"/>
              <w:ind w:firstLine="448"/>
              <w:jc w:val="both"/>
            </w:pPr>
            <w:bookmarkStart w:id="3" w:name="bookmark=id.2et92p0" w:colFirst="0" w:colLast="0"/>
            <w:bookmarkEnd w:id="3"/>
            <w:r>
              <w:rPr>
                <w:b/>
                <w:bCs/>
                <w:i/>
                <w:iCs/>
                <w:color w:val="000000"/>
              </w:rPr>
              <w:t>Положення відсутнє</w:t>
            </w:r>
          </w:p>
          <w:p w:rsidR="00BA04D3" w:rsidRPr="00635C52" w:rsidRDefault="00BA04D3" w:rsidP="00635C52">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b/>
                <w:color w:val="000000"/>
                <w:sz w:val="24"/>
                <w:szCs w:val="24"/>
              </w:rPr>
            </w:pPr>
          </w:p>
        </w:tc>
        <w:tc>
          <w:tcPr>
            <w:tcW w:w="7564" w:type="dxa"/>
          </w:tcPr>
          <w:p w:rsidR="00635C52" w:rsidRPr="00635C52" w:rsidRDefault="00635C52" w:rsidP="00635C52">
            <w:pPr>
              <w:ind w:firstLine="709"/>
              <w:jc w:val="both"/>
              <w:rPr>
                <w:rFonts w:ascii="Times New Roman" w:eastAsia="Times New Roman" w:hAnsi="Times New Roman" w:cs="Times New Roman"/>
                <w:b/>
                <w:color w:val="000000"/>
                <w:sz w:val="24"/>
                <w:szCs w:val="24"/>
              </w:rPr>
            </w:pPr>
            <w:r w:rsidRPr="00635C52">
              <w:rPr>
                <w:rFonts w:ascii="Times New Roman" w:eastAsia="Times New Roman" w:hAnsi="Times New Roman" w:cs="Times New Roman"/>
                <w:b/>
                <w:color w:val="000000"/>
                <w:sz w:val="24"/>
                <w:szCs w:val="24"/>
              </w:rPr>
              <w:t>12. Під час обробки торгових сповіщень оператор газосховища перевіряє наявність замовника, що передає природний газ, та замовника, що приймає природний газ, у реєстрі учасників оптового енергетичного ринку, оприлюдненого Регулятором у день подання торгових сповіщень.</w:t>
            </w:r>
          </w:p>
          <w:p w:rsidR="00BA04D3" w:rsidRPr="00635C52" w:rsidRDefault="00635C52" w:rsidP="00635C52">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b/>
                <w:color w:val="000000"/>
                <w:sz w:val="24"/>
                <w:szCs w:val="24"/>
              </w:rPr>
            </w:pPr>
            <w:r w:rsidRPr="00635C52">
              <w:rPr>
                <w:rFonts w:ascii="Times New Roman" w:eastAsia="Times New Roman" w:hAnsi="Times New Roman" w:cs="Times New Roman"/>
                <w:b/>
                <w:color w:val="000000"/>
                <w:sz w:val="24"/>
                <w:szCs w:val="24"/>
              </w:rPr>
              <w:t>У випадку коли замовник/замовники, між якими відбувається передача природного газу, не включені до такого реєстру, оператор газосховища щомісяця у строк до 5-го числа поточного місяця інформує про це Регулятора, у розрізі підтверджених/не підтверджених торгових сповіщень із зазначенням інформації, передбаченої пунктом 4 цієї глави.</w:t>
            </w:r>
          </w:p>
        </w:tc>
      </w:tr>
      <w:tr w:rsidR="00BA04D3">
        <w:tc>
          <w:tcPr>
            <w:tcW w:w="7564" w:type="dxa"/>
            <w:shd w:val="clear" w:color="auto" w:fill="FFFFFF"/>
          </w:tcPr>
          <w:p w:rsidR="00BA04D3" w:rsidRDefault="00DC58CB">
            <w:pPr>
              <w:spacing w:line="21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КОДЕКС ГАЗОРОЗПОДІЛЬНИХ СИСТЕМ</w:t>
            </w:r>
          </w:p>
        </w:tc>
        <w:tc>
          <w:tcPr>
            <w:tcW w:w="7564" w:type="dxa"/>
            <w:shd w:val="clear" w:color="auto" w:fill="FFFFFF"/>
          </w:tcPr>
          <w:p w:rsidR="00BA04D3" w:rsidRDefault="00DC58CB">
            <w:pPr>
              <w:spacing w:line="216" w:lineRule="auto"/>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ЗМІНИ ДО КОДЕКСУ ГАЗОРОЗПОДІЛЬНИХ СИСТЕМ</w:t>
            </w:r>
          </w:p>
        </w:tc>
      </w:tr>
      <w:tr w:rsidR="00BA04D3">
        <w:tc>
          <w:tcPr>
            <w:tcW w:w="7564" w:type="dxa"/>
            <w:shd w:val="clear" w:color="auto" w:fill="FFFFFF"/>
          </w:tcPr>
          <w:p w:rsidR="00BA04D3" w:rsidRDefault="00DC58CB">
            <w:pPr>
              <w:spacing w:line="216" w:lineRule="auto"/>
              <w:ind w:firstLine="709"/>
              <w:jc w:val="center"/>
              <w:rPr>
                <w:rFonts w:ascii="Times New Roman" w:eastAsia="Times New Roman" w:hAnsi="Times New Roman" w:cs="Times New Roman"/>
                <w:b/>
                <w:i/>
                <w:color w:val="000000"/>
                <w:sz w:val="24"/>
                <w:szCs w:val="24"/>
                <w:highlight w:val="yellow"/>
              </w:rPr>
            </w:pPr>
            <w:r>
              <w:rPr>
                <w:rFonts w:ascii="Times New Roman" w:eastAsia="Times New Roman" w:hAnsi="Times New Roman" w:cs="Times New Roman"/>
                <w:b/>
                <w:color w:val="000000"/>
                <w:sz w:val="24"/>
                <w:szCs w:val="24"/>
                <w:highlight w:val="white"/>
              </w:rPr>
              <w:t>I. Загальні положення</w:t>
            </w:r>
          </w:p>
        </w:tc>
        <w:tc>
          <w:tcPr>
            <w:tcW w:w="7564" w:type="dxa"/>
            <w:shd w:val="clear" w:color="auto" w:fill="FFFFFF"/>
          </w:tcPr>
          <w:p w:rsidR="00BA04D3" w:rsidRDefault="00DC58CB">
            <w:pPr>
              <w:spacing w:line="216" w:lineRule="auto"/>
              <w:ind w:firstLine="709"/>
              <w:jc w:val="center"/>
              <w:rPr>
                <w:rFonts w:ascii="Times New Roman" w:eastAsia="Times New Roman" w:hAnsi="Times New Roman" w:cs="Times New Roman"/>
                <w:b/>
                <w:i/>
                <w:color w:val="000000"/>
                <w:sz w:val="24"/>
                <w:szCs w:val="24"/>
                <w:highlight w:val="yellow"/>
              </w:rPr>
            </w:pPr>
            <w:r>
              <w:rPr>
                <w:rFonts w:ascii="Times New Roman" w:eastAsia="Times New Roman" w:hAnsi="Times New Roman" w:cs="Times New Roman"/>
                <w:b/>
                <w:color w:val="000000"/>
                <w:sz w:val="24"/>
                <w:szCs w:val="24"/>
                <w:highlight w:val="white"/>
              </w:rPr>
              <w:t>I. Загальні положення</w:t>
            </w:r>
          </w:p>
        </w:tc>
      </w:tr>
      <w:tr w:rsidR="00BA04D3">
        <w:tc>
          <w:tcPr>
            <w:tcW w:w="7564" w:type="dxa"/>
            <w:shd w:val="clear" w:color="auto" w:fill="FFFFFF"/>
          </w:tcPr>
          <w:p w:rsidR="00BA04D3" w:rsidRDefault="00DC58CB">
            <w:pPr>
              <w:spacing w:line="216" w:lineRule="auto"/>
              <w:ind w:firstLine="709"/>
              <w:jc w:val="center"/>
              <w:rPr>
                <w:rFonts w:ascii="Times New Roman" w:eastAsia="Times New Roman" w:hAnsi="Times New Roman" w:cs="Times New Roman"/>
                <w:b/>
                <w:i/>
                <w:color w:val="000000"/>
                <w:sz w:val="24"/>
                <w:szCs w:val="24"/>
                <w:highlight w:val="yellow"/>
              </w:rPr>
            </w:pPr>
            <w:r>
              <w:rPr>
                <w:rFonts w:ascii="Times New Roman" w:eastAsia="Times New Roman" w:hAnsi="Times New Roman" w:cs="Times New Roman"/>
                <w:b/>
                <w:color w:val="000000"/>
                <w:sz w:val="24"/>
                <w:szCs w:val="24"/>
                <w:highlight w:val="white"/>
              </w:rPr>
              <w:t>3. Основні засади доступу до газорозподільної системи</w:t>
            </w:r>
          </w:p>
        </w:tc>
        <w:tc>
          <w:tcPr>
            <w:tcW w:w="7564" w:type="dxa"/>
            <w:shd w:val="clear" w:color="auto" w:fill="FFFFFF"/>
          </w:tcPr>
          <w:p w:rsidR="00BA04D3" w:rsidRDefault="00DC58CB">
            <w:pPr>
              <w:spacing w:line="216" w:lineRule="auto"/>
              <w:ind w:firstLine="709"/>
              <w:jc w:val="center"/>
              <w:rPr>
                <w:rFonts w:ascii="Times New Roman" w:eastAsia="Times New Roman" w:hAnsi="Times New Roman" w:cs="Times New Roman"/>
                <w:b/>
                <w:i/>
                <w:color w:val="000000"/>
                <w:sz w:val="24"/>
                <w:szCs w:val="24"/>
                <w:highlight w:val="yellow"/>
              </w:rPr>
            </w:pPr>
            <w:r>
              <w:rPr>
                <w:rFonts w:ascii="Times New Roman" w:eastAsia="Times New Roman" w:hAnsi="Times New Roman" w:cs="Times New Roman"/>
                <w:b/>
                <w:color w:val="000000"/>
                <w:sz w:val="24"/>
                <w:szCs w:val="24"/>
                <w:highlight w:val="white"/>
              </w:rPr>
              <w:t>3. Основні засади доступу до газорозподільної системи</w:t>
            </w:r>
          </w:p>
        </w:tc>
      </w:tr>
      <w:tr w:rsidR="00BA04D3">
        <w:tc>
          <w:tcPr>
            <w:tcW w:w="7564" w:type="dxa"/>
            <w:shd w:val="clear" w:color="auto" w:fill="FFFFFF"/>
          </w:tcPr>
          <w:p w:rsidR="00BA04D3" w:rsidRDefault="00DC58CB">
            <w:pPr>
              <w:shd w:val="clear" w:color="auto" w:fill="FFFFFF"/>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Для забезпечення цілодобового доступу до газорозподільної системи та можливості розподілу (переміщення) належного споживачу (суміжному суб’єкту ринку природного газу) природного газу ГРМ обов’язковою умовою є наявність фізичного підключення об’єкта споживача (суміжного суб’єкта ринку природного газу) до ГРМ.</w:t>
            </w:r>
          </w:p>
          <w:p w:rsidR="00BA04D3" w:rsidRDefault="00DC58CB">
            <w:pPr>
              <w:shd w:val="clear" w:color="auto" w:fill="FFFFFF"/>
              <w:spacing w:line="216" w:lineRule="auto"/>
              <w:ind w:firstLine="709"/>
              <w:jc w:val="both"/>
              <w:rPr>
                <w:rFonts w:ascii="Times New Roman" w:eastAsia="Times New Roman" w:hAnsi="Times New Roman" w:cs="Times New Roman"/>
                <w:color w:val="000000"/>
                <w:sz w:val="24"/>
                <w:szCs w:val="24"/>
              </w:rPr>
            </w:pPr>
            <w:bookmarkStart w:id="4" w:name="bookmark=id.lnxbz9" w:colFirst="0" w:colLast="0"/>
            <w:bookmarkEnd w:id="4"/>
            <w:r>
              <w:rPr>
                <w:rFonts w:ascii="Times New Roman" w:eastAsia="Times New Roman" w:hAnsi="Times New Roman" w:cs="Times New Roman"/>
                <w:color w:val="000000"/>
                <w:sz w:val="24"/>
                <w:szCs w:val="24"/>
              </w:rPr>
              <w:t>Власники об’єктів будівництва або існуючих об’єктів (земельних ділянок), які фізично не підключені до ГРМ, для набуття права на цілодобовий доступ до ГРМ та розподіл (переміщення) природного газу ГРМ повинні здійснити заходи щодо підключення (приєднання) власних об’єктів до ГРМ у порядку, визначеному в </w:t>
            </w:r>
            <w:hyperlink r:id="rId7" w:anchor="n398">
              <w:r>
                <w:rPr>
                  <w:rFonts w:ascii="Times New Roman" w:eastAsia="Times New Roman" w:hAnsi="Times New Roman" w:cs="Times New Roman"/>
                  <w:color w:val="000000"/>
                  <w:sz w:val="24"/>
                  <w:szCs w:val="24"/>
                </w:rPr>
                <w:t>розділі V</w:t>
              </w:r>
            </w:hyperlink>
            <w:r>
              <w:rPr>
                <w:rFonts w:ascii="Times New Roman" w:eastAsia="Times New Roman" w:hAnsi="Times New Roman" w:cs="Times New Roman"/>
                <w:color w:val="000000"/>
                <w:sz w:val="24"/>
                <w:szCs w:val="24"/>
              </w:rPr>
              <w:t> цього Кодексу.</w:t>
            </w:r>
          </w:p>
          <w:p w:rsidR="00BA04D3" w:rsidRDefault="00DC58CB">
            <w:pPr>
              <w:shd w:val="clear" w:color="auto" w:fill="FFFFFF"/>
              <w:spacing w:line="216" w:lineRule="auto"/>
              <w:ind w:firstLine="709"/>
              <w:jc w:val="both"/>
              <w:rPr>
                <w:rFonts w:ascii="Times New Roman" w:eastAsia="Times New Roman" w:hAnsi="Times New Roman" w:cs="Times New Roman"/>
                <w:color w:val="000000"/>
                <w:sz w:val="24"/>
                <w:szCs w:val="24"/>
              </w:rPr>
            </w:pPr>
            <w:bookmarkStart w:id="5" w:name="bookmark=id.35nkun2" w:colFirst="0" w:colLast="0"/>
            <w:bookmarkEnd w:id="5"/>
            <w:r>
              <w:rPr>
                <w:rFonts w:ascii="Times New Roman" w:eastAsia="Times New Roman" w:hAnsi="Times New Roman" w:cs="Times New Roman"/>
                <w:color w:val="000000"/>
                <w:sz w:val="24"/>
                <w:szCs w:val="24"/>
              </w:rPr>
              <w:t>Споживачі, у тому числі побутові, та суміжні суб’єкти ринку природного газу, які фізично підключені до ГРМ, забезпечуються цілодобовим доступом до ГРМ та можливістю розподілу (переміщення) природного газу ГРМ у порядку, визначеному в </w:t>
            </w:r>
            <w:hyperlink r:id="rId8" w:anchor="n531">
              <w:r>
                <w:rPr>
                  <w:rFonts w:ascii="Times New Roman" w:eastAsia="Times New Roman" w:hAnsi="Times New Roman" w:cs="Times New Roman"/>
                  <w:color w:val="000000"/>
                  <w:sz w:val="24"/>
                  <w:szCs w:val="24"/>
                </w:rPr>
                <w:t>розділі VІ</w:t>
              </w:r>
            </w:hyperlink>
            <w:r>
              <w:rPr>
                <w:rFonts w:ascii="Times New Roman" w:eastAsia="Times New Roman" w:hAnsi="Times New Roman" w:cs="Times New Roman"/>
                <w:color w:val="000000"/>
                <w:sz w:val="24"/>
                <w:szCs w:val="24"/>
              </w:rPr>
              <w:t> цього Кодексу.</w:t>
            </w:r>
          </w:p>
          <w:p w:rsidR="00BA04D3" w:rsidRDefault="00BA04D3">
            <w:pPr>
              <w:spacing w:line="216" w:lineRule="auto"/>
              <w:ind w:firstLine="709"/>
              <w:jc w:val="both"/>
              <w:rPr>
                <w:rFonts w:ascii="Times New Roman" w:eastAsia="Times New Roman" w:hAnsi="Times New Roman" w:cs="Times New Roman"/>
                <w:b/>
                <w:i/>
                <w:color w:val="000000"/>
                <w:sz w:val="24"/>
                <w:szCs w:val="24"/>
                <w:highlight w:val="yellow"/>
              </w:rPr>
            </w:pPr>
          </w:p>
          <w:p w:rsidR="00811F23" w:rsidRDefault="00811F23" w:rsidP="00811F23">
            <w:pPr>
              <w:pStyle w:val="ae"/>
              <w:spacing w:before="0" w:beforeAutospacing="0" w:after="0" w:afterAutospacing="0"/>
              <w:ind w:firstLine="448"/>
              <w:jc w:val="both"/>
            </w:pPr>
            <w:r>
              <w:rPr>
                <w:b/>
                <w:bCs/>
                <w:i/>
                <w:iCs/>
                <w:color w:val="000000"/>
              </w:rPr>
              <w:t>Положення відсутнє</w:t>
            </w:r>
          </w:p>
          <w:p w:rsidR="00811F23" w:rsidRDefault="00811F23">
            <w:pPr>
              <w:spacing w:line="216" w:lineRule="auto"/>
              <w:ind w:firstLine="709"/>
              <w:jc w:val="both"/>
              <w:rPr>
                <w:rFonts w:ascii="Times New Roman" w:eastAsia="Times New Roman" w:hAnsi="Times New Roman" w:cs="Times New Roman"/>
                <w:b/>
                <w:i/>
                <w:color w:val="000000"/>
                <w:sz w:val="24"/>
                <w:szCs w:val="24"/>
                <w:highlight w:val="yellow"/>
              </w:rPr>
            </w:pPr>
          </w:p>
        </w:tc>
        <w:tc>
          <w:tcPr>
            <w:tcW w:w="7564" w:type="dxa"/>
            <w:shd w:val="clear" w:color="auto" w:fill="FFFFFF"/>
          </w:tcPr>
          <w:p w:rsidR="00BA04D3" w:rsidRDefault="00DC58CB">
            <w:pPr>
              <w:shd w:val="clear" w:color="auto" w:fill="FFFFFF"/>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Для забезпечення цілодобового доступу до газорозподільної системи та можливості розподілу (переміщення) належного споживачу (суміжному суб’єкту ринку природного газу) природного газу ГРМ обов’язковою умовою є наявність фізичного підключення об’єкта споживача (суміжного суб’єкта ринку природного газу) до ГРМ.</w:t>
            </w:r>
          </w:p>
          <w:p w:rsidR="00BA04D3" w:rsidRDefault="00DC58CB">
            <w:pPr>
              <w:shd w:val="clear" w:color="auto" w:fill="FFFFFF"/>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Власники об’єктів будівництва або існуючих об’єктів (земельних ділянок), які фізично не підключені до ГРМ, для набуття права на цілодобовий доступ до ГРМ та розподіл (переміщення) природного газу ГРМ повинні здійснити заходи щодо підключення (приєднання) власних об’єктів до ГРМ у порядку, визначеному в </w:t>
            </w:r>
            <w:hyperlink r:id="rId9" w:anchor="n398">
              <w:r>
                <w:rPr>
                  <w:rFonts w:ascii="Times New Roman" w:eastAsia="Times New Roman" w:hAnsi="Times New Roman" w:cs="Times New Roman"/>
                  <w:color w:val="000000"/>
                  <w:sz w:val="24"/>
                  <w:szCs w:val="24"/>
                </w:rPr>
                <w:t>розділі V</w:t>
              </w:r>
            </w:hyperlink>
            <w:r>
              <w:rPr>
                <w:rFonts w:ascii="Times New Roman" w:eastAsia="Times New Roman" w:hAnsi="Times New Roman" w:cs="Times New Roman"/>
                <w:color w:val="000000"/>
                <w:sz w:val="24"/>
                <w:szCs w:val="24"/>
              </w:rPr>
              <w:t> цього Кодексу.</w:t>
            </w:r>
          </w:p>
          <w:p w:rsidR="00BA04D3" w:rsidRDefault="00DC58CB">
            <w:pPr>
              <w:shd w:val="clear" w:color="auto" w:fill="FFFFFF"/>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Споживачі, у тому числі побутові, та суміжні суб’єкти ринку природного газу, які фізично підключені до ГРМ, забезпечуються цілодобовим доступом до ГРМ та можливістю розподілу (переміщення) природного газу ГРМ у порядку, визначеному в </w:t>
            </w:r>
            <w:hyperlink r:id="rId10" w:anchor="n531">
              <w:r>
                <w:rPr>
                  <w:rFonts w:ascii="Times New Roman" w:eastAsia="Times New Roman" w:hAnsi="Times New Roman" w:cs="Times New Roman"/>
                  <w:color w:val="000000"/>
                  <w:sz w:val="24"/>
                  <w:szCs w:val="24"/>
                </w:rPr>
                <w:t>розділі VІ</w:t>
              </w:r>
            </w:hyperlink>
            <w:r>
              <w:rPr>
                <w:rFonts w:ascii="Times New Roman" w:eastAsia="Times New Roman" w:hAnsi="Times New Roman" w:cs="Times New Roman"/>
                <w:color w:val="000000"/>
                <w:sz w:val="24"/>
                <w:szCs w:val="24"/>
              </w:rPr>
              <w:t> цього Кодексу.</w:t>
            </w:r>
          </w:p>
          <w:p w:rsidR="00BA04D3" w:rsidRDefault="00635C52">
            <w:pPr>
              <w:spacing w:line="216" w:lineRule="auto"/>
              <w:ind w:firstLine="709"/>
              <w:jc w:val="both"/>
              <w:rPr>
                <w:rFonts w:ascii="Times New Roman" w:eastAsia="Times New Roman" w:hAnsi="Times New Roman" w:cs="Times New Roman"/>
                <w:b/>
                <w:color w:val="000000"/>
                <w:sz w:val="24"/>
                <w:szCs w:val="24"/>
              </w:rPr>
            </w:pPr>
            <w:r w:rsidRPr="00635C52">
              <w:rPr>
                <w:rFonts w:ascii="Times New Roman" w:eastAsia="Times New Roman" w:hAnsi="Times New Roman" w:cs="Times New Roman"/>
                <w:b/>
                <w:color w:val="000000"/>
                <w:sz w:val="24"/>
                <w:szCs w:val="24"/>
              </w:rPr>
              <w:t xml:space="preserve">Споживач, що не є побутовим, зобов’язаний  зареєструватись як учасник оптового енергетичного ринку відповідно до Порядку реєстрації учасників оптового енергетичного ринку затвердженого постановою Національної комісії, що здійснює державне регулювання у сферах енергетики та комунальних послуг, від 04 жовтня 2023 року № 1812, у разі якщо сумарна номінальна </w:t>
            </w:r>
            <w:r w:rsidRPr="00635C52">
              <w:rPr>
                <w:rFonts w:ascii="Times New Roman" w:eastAsia="Times New Roman" w:hAnsi="Times New Roman" w:cs="Times New Roman"/>
                <w:b/>
                <w:color w:val="000000"/>
                <w:sz w:val="24"/>
                <w:szCs w:val="24"/>
              </w:rPr>
              <w:lastRenderedPageBreak/>
              <w:t xml:space="preserve">потужність газового обладнання споживача забезпечує технічну спроможність споживання природного газу в обсязі 600 </w:t>
            </w:r>
            <w:proofErr w:type="spellStart"/>
            <w:r w:rsidRPr="00635C52">
              <w:rPr>
                <w:rFonts w:ascii="Times New Roman" w:eastAsia="Times New Roman" w:hAnsi="Times New Roman" w:cs="Times New Roman"/>
                <w:b/>
                <w:color w:val="000000"/>
                <w:sz w:val="24"/>
                <w:szCs w:val="24"/>
              </w:rPr>
              <w:t>ГВт·год</w:t>
            </w:r>
            <w:proofErr w:type="spellEnd"/>
            <w:r w:rsidRPr="00635C52">
              <w:rPr>
                <w:rFonts w:ascii="Times New Roman" w:eastAsia="Times New Roman" w:hAnsi="Times New Roman" w:cs="Times New Roman"/>
                <w:b/>
                <w:color w:val="000000"/>
                <w:sz w:val="24"/>
                <w:szCs w:val="24"/>
              </w:rPr>
              <w:t xml:space="preserve"> (56 391 тис. м</w:t>
            </w:r>
            <w:r w:rsidRPr="00E1261D">
              <w:rPr>
                <w:rFonts w:ascii="Times New Roman" w:eastAsia="Times New Roman" w:hAnsi="Times New Roman" w:cs="Times New Roman"/>
                <w:b/>
                <w:color w:val="000000"/>
                <w:sz w:val="24"/>
                <w:szCs w:val="24"/>
                <w:vertAlign w:val="superscript"/>
              </w:rPr>
              <w:t>3</w:t>
            </w:r>
            <w:r w:rsidRPr="00635C52">
              <w:rPr>
                <w:rFonts w:ascii="Times New Roman" w:eastAsia="Times New Roman" w:hAnsi="Times New Roman" w:cs="Times New Roman"/>
                <w:b/>
                <w:color w:val="000000"/>
                <w:sz w:val="24"/>
                <w:szCs w:val="24"/>
              </w:rPr>
              <w:t>) на рік та вище</w:t>
            </w:r>
            <w:r w:rsidR="00DC58CB">
              <w:rPr>
                <w:rFonts w:ascii="Times New Roman" w:eastAsia="Times New Roman" w:hAnsi="Times New Roman" w:cs="Times New Roman"/>
                <w:b/>
                <w:color w:val="000000"/>
                <w:sz w:val="24"/>
                <w:szCs w:val="24"/>
              </w:rPr>
              <w:t>.</w:t>
            </w:r>
          </w:p>
        </w:tc>
      </w:tr>
      <w:tr w:rsidR="00BA04D3">
        <w:trPr>
          <w:trHeight w:val="500"/>
        </w:trPr>
        <w:tc>
          <w:tcPr>
            <w:tcW w:w="7564" w:type="dxa"/>
            <w:shd w:val="clear" w:color="auto" w:fill="FFFFFF"/>
          </w:tcPr>
          <w:p w:rsidR="00BA04D3" w:rsidRDefault="00DC58CB">
            <w:pPr>
              <w:spacing w:line="216" w:lineRule="auto"/>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lastRenderedPageBreak/>
              <w:t xml:space="preserve">ПРАВИЛА ПОСТАЧАННЯ ПРИРОДНОГО ГАЗУ </w:t>
            </w:r>
          </w:p>
        </w:tc>
        <w:tc>
          <w:tcPr>
            <w:tcW w:w="7564" w:type="dxa"/>
            <w:shd w:val="clear" w:color="auto" w:fill="FFFFFF"/>
          </w:tcPr>
          <w:p w:rsidR="00BA04D3" w:rsidRDefault="00DC58CB">
            <w:pPr>
              <w:spacing w:line="216" w:lineRule="auto"/>
              <w:ind w:firstLine="709"/>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ЗМІНИ ДО ПРАВИЛ ПОСТАЧАННЯ ПРИРОДНОГО ГАЗУ</w:t>
            </w:r>
          </w:p>
        </w:tc>
      </w:tr>
      <w:tr w:rsidR="00BA04D3">
        <w:tc>
          <w:tcPr>
            <w:tcW w:w="7564" w:type="dxa"/>
            <w:shd w:val="clear" w:color="auto" w:fill="FFFFFF"/>
          </w:tcPr>
          <w:p w:rsidR="00BA04D3" w:rsidRDefault="00DC58CB">
            <w:pPr>
              <w:spacing w:line="216"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ІІ. </w:t>
            </w:r>
            <w:r>
              <w:rPr>
                <w:rFonts w:ascii="Times New Roman" w:eastAsia="Times New Roman" w:hAnsi="Times New Roman" w:cs="Times New Roman"/>
                <w:b/>
                <w:color w:val="000000"/>
                <w:sz w:val="24"/>
                <w:szCs w:val="24"/>
                <w:highlight w:val="white"/>
              </w:rPr>
              <w:t>Порядок постачання природного газу споживачам, що не є побутовими</w:t>
            </w:r>
          </w:p>
        </w:tc>
        <w:tc>
          <w:tcPr>
            <w:tcW w:w="7564" w:type="dxa"/>
            <w:shd w:val="clear" w:color="auto" w:fill="FFFFFF"/>
          </w:tcPr>
          <w:p w:rsidR="00BA04D3" w:rsidRDefault="00DC58CB">
            <w:pPr>
              <w:spacing w:line="216" w:lineRule="auto"/>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ІІ. </w:t>
            </w:r>
            <w:r>
              <w:rPr>
                <w:rFonts w:ascii="Times New Roman" w:eastAsia="Times New Roman" w:hAnsi="Times New Roman" w:cs="Times New Roman"/>
                <w:b/>
                <w:color w:val="000000"/>
                <w:sz w:val="24"/>
                <w:szCs w:val="24"/>
                <w:highlight w:val="white"/>
              </w:rPr>
              <w:t>Порядок постачання природного газу споживачам, що не є побутовими</w:t>
            </w:r>
          </w:p>
        </w:tc>
      </w:tr>
      <w:tr w:rsidR="00BA04D3">
        <w:tc>
          <w:tcPr>
            <w:tcW w:w="7564" w:type="dxa"/>
            <w:shd w:val="clear" w:color="auto" w:fill="FFFFFF"/>
          </w:tcPr>
          <w:p w:rsidR="00BA04D3" w:rsidRDefault="00DC58CB">
            <w:pPr>
              <w:spacing w:line="216" w:lineRule="auto"/>
              <w:ind w:firstLine="709"/>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21. Споживач зобов'язується:</w:t>
            </w:r>
          </w:p>
          <w:p w:rsidR="00BA04D3" w:rsidRDefault="00DC58CB">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дотримуватись вимог цих Правил;</w:t>
            </w:r>
          </w:p>
          <w:p w:rsidR="00BA04D3" w:rsidRDefault="00DC58CB">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bookmarkStart w:id="6" w:name="bookmark=id.1ksv4uv" w:colFirst="0" w:colLast="0"/>
            <w:bookmarkEnd w:id="6"/>
            <w:r>
              <w:rPr>
                <w:rFonts w:ascii="Times New Roman" w:eastAsia="Times New Roman" w:hAnsi="Times New Roman" w:cs="Times New Roman"/>
                <w:color w:val="000000"/>
                <w:sz w:val="24"/>
                <w:szCs w:val="24"/>
              </w:rPr>
              <w:t>забезпечувати дотримання дисципліни відбору (споживання) природного газу в обсягах та на умовах, визначених договорами;</w:t>
            </w:r>
          </w:p>
          <w:p w:rsidR="00811F23" w:rsidRDefault="00811F23">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p>
          <w:p w:rsidR="00811F23" w:rsidRDefault="00811F23" w:rsidP="00811F23">
            <w:pPr>
              <w:pStyle w:val="ae"/>
              <w:spacing w:before="0" w:beforeAutospacing="0" w:after="0" w:afterAutospacing="0"/>
              <w:ind w:firstLine="448"/>
              <w:jc w:val="both"/>
            </w:pPr>
            <w:r>
              <w:rPr>
                <w:b/>
                <w:bCs/>
                <w:i/>
                <w:iCs/>
                <w:color w:val="000000"/>
              </w:rPr>
              <w:t>Положення відсутнє</w:t>
            </w:r>
          </w:p>
          <w:p w:rsidR="00811F23" w:rsidRDefault="00811F23">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p>
          <w:p w:rsidR="00BA04D3" w:rsidRDefault="00DC58CB">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bookmarkStart w:id="7" w:name="_GoBack"/>
            <w:bookmarkEnd w:id="7"/>
          </w:p>
          <w:p w:rsidR="00BA04D3" w:rsidRDefault="00BA04D3">
            <w:pPr>
              <w:spacing w:line="216" w:lineRule="auto"/>
              <w:ind w:firstLine="709"/>
              <w:jc w:val="both"/>
              <w:rPr>
                <w:rFonts w:ascii="Times New Roman" w:eastAsia="Times New Roman" w:hAnsi="Times New Roman" w:cs="Times New Roman"/>
                <w:color w:val="000000"/>
                <w:sz w:val="24"/>
                <w:szCs w:val="24"/>
              </w:rPr>
            </w:pPr>
          </w:p>
        </w:tc>
        <w:tc>
          <w:tcPr>
            <w:tcW w:w="7564" w:type="dxa"/>
            <w:shd w:val="clear" w:color="auto" w:fill="FFFFFF"/>
          </w:tcPr>
          <w:p w:rsidR="00BA04D3" w:rsidRDefault="00DC58CB">
            <w:pPr>
              <w:spacing w:line="216" w:lineRule="auto"/>
              <w:ind w:firstLine="709"/>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21. Споживач зобов'язується:</w:t>
            </w:r>
          </w:p>
          <w:p w:rsidR="00BA04D3" w:rsidRDefault="00DC58CB">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дотримуватись вимог цих Правил;</w:t>
            </w:r>
          </w:p>
          <w:p w:rsidR="00BA04D3" w:rsidRDefault="00DC58CB">
            <w:pPr>
              <w:pBdr>
                <w:top w:val="nil"/>
                <w:left w:val="nil"/>
                <w:bottom w:val="nil"/>
                <w:right w:val="nil"/>
                <w:between w:val="nil"/>
              </w:pBdr>
              <w:shd w:val="clear" w:color="auto" w:fill="FFFFFF"/>
              <w:spacing w:line="21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забезпечувати дотримання дисципліни відбору (споживання) природного газу в обсягах та на умовах, визначених договорами;</w:t>
            </w:r>
          </w:p>
          <w:p w:rsidR="00635C52" w:rsidRPr="00635C52" w:rsidRDefault="00DC58CB" w:rsidP="00635C52">
            <w:pPr>
              <w:ind w:firstLine="709"/>
              <w:jc w:val="both"/>
              <w:rPr>
                <w:rFonts w:ascii="Times New Roman" w:eastAsia="Times New Roman" w:hAnsi="Times New Roman" w:cs="Times New Roman"/>
                <w:b/>
                <w:color w:val="000000"/>
                <w:sz w:val="24"/>
                <w:szCs w:val="24"/>
              </w:rPr>
            </w:pPr>
            <w:bookmarkStart w:id="8" w:name="_heading=h.44sinio" w:colFirst="0" w:colLast="0"/>
            <w:bookmarkEnd w:id="8"/>
            <w:r>
              <w:rPr>
                <w:rFonts w:ascii="Times New Roman" w:eastAsia="Times New Roman" w:hAnsi="Times New Roman" w:cs="Times New Roman"/>
                <w:color w:val="000000"/>
                <w:sz w:val="24"/>
                <w:szCs w:val="24"/>
              </w:rPr>
              <w:t> </w:t>
            </w:r>
            <w:r w:rsidR="00635C52" w:rsidRPr="00635C52">
              <w:rPr>
                <w:rFonts w:ascii="Times New Roman" w:eastAsia="Times New Roman" w:hAnsi="Times New Roman" w:cs="Times New Roman"/>
                <w:b/>
                <w:color w:val="000000"/>
                <w:sz w:val="24"/>
                <w:szCs w:val="24"/>
              </w:rPr>
              <w:t xml:space="preserve">зареєструватись як учасник оптового енергетичного ринку, відповідно до Порядку реєстрації учасників оптового енергетичного ринку, затвердженого постановою Національної комісії, що здійснює державне регулювання у сферах енергетики та комунальних послуг, від 04 жовтня 2023 року № 1812, у разі якщо сумарна номінальна потужність газового обладнання споживача забезпечує технічну спроможність споживання природного газу в обсязі 600 </w:t>
            </w:r>
            <w:proofErr w:type="spellStart"/>
            <w:r w:rsidR="00635C52" w:rsidRPr="00635C52">
              <w:rPr>
                <w:rFonts w:ascii="Times New Roman" w:eastAsia="Times New Roman" w:hAnsi="Times New Roman" w:cs="Times New Roman"/>
                <w:b/>
                <w:color w:val="000000"/>
                <w:sz w:val="24"/>
                <w:szCs w:val="24"/>
              </w:rPr>
              <w:t>ГВт·год</w:t>
            </w:r>
            <w:proofErr w:type="spellEnd"/>
            <w:r w:rsidR="00635C52" w:rsidRPr="00635C52">
              <w:rPr>
                <w:rFonts w:ascii="Times New Roman" w:eastAsia="Times New Roman" w:hAnsi="Times New Roman" w:cs="Times New Roman"/>
                <w:b/>
                <w:color w:val="000000"/>
                <w:sz w:val="24"/>
                <w:szCs w:val="24"/>
              </w:rPr>
              <w:t xml:space="preserve"> </w:t>
            </w:r>
            <w:r w:rsidR="00635C52" w:rsidRPr="00635C52">
              <w:rPr>
                <w:rFonts w:ascii="Times New Roman" w:eastAsia="Times New Roman" w:hAnsi="Times New Roman" w:cs="Times New Roman"/>
                <w:b/>
                <w:color w:val="000000"/>
                <w:sz w:val="24"/>
                <w:szCs w:val="24"/>
              </w:rPr>
              <w:br/>
              <w:t>(56 391 тис. м</w:t>
            </w:r>
            <w:r w:rsidR="00635C52" w:rsidRPr="00E1261D">
              <w:rPr>
                <w:rFonts w:ascii="Times New Roman" w:eastAsia="Times New Roman" w:hAnsi="Times New Roman" w:cs="Times New Roman"/>
                <w:b/>
                <w:color w:val="000000"/>
                <w:sz w:val="24"/>
                <w:szCs w:val="24"/>
                <w:vertAlign w:val="superscript"/>
              </w:rPr>
              <w:t>3</w:t>
            </w:r>
            <w:r w:rsidR="00635C52" w:rsidRPr="00635C52">
              <w:rPr>
                <w:rFonts w:ascii="Times New Roman" w:eastAsia="Times New Roman" w:hAnsi="Times New Roman" w:cs="Times New Roman"/>
                <w:b/>
                <w:color w:val="000000"/>
                <w:sz w:val="24"/>
                <w:szCs w:val="24"/>
              </w:rPr>
              <w:t>) на рік та вище;</w:t>
            </w:r>
          </w:p>
          <w:p w:rsidR="00BA04D3" w:rsidRDefault="00635C52" w:rsidP="00635C52">
            <w:pPr>
              <w:spacing w:line="216" w:lineRule="auto"/>
              <w:ind w:firstLine="709"/>
              <w:jc w:val="both"/>
              <w:rPr>
                <w:rFonts w:ascii="Times New Roman" w:eastAsia="Times New Roman" w:hAnsi="Times New Roman" w:cs="Times New Roman"/>
                <w:b/>
                <w:color w:val="000000"/>
                <w:sz w:val="24"/>
                <w:szCs w:val="24"/>
              </w:rPr>
            </w:pPr>
            <w:r w:rsidRPr="00635C52">
              <w:rPr>
                <w:rFonts w:ascii="Times New Roman" w:eastAsia="Times New Roman" w:hAnsi="Times New Roman" w:cs="Times New Roman"/>
                <w:b/>
                <w:color w:val="000000"/>
                <w:sz w:val="24"/>
                <w:szCs w:val="24"/>
              </w:rPr>
              <w:t xml:space="preserve">надати постачальнику розмір сумарної номінальної потужності свого газового обладнання, якщо технічна спроможність такого обладнання може забезпечити споживання газу в обсязі 600 </w:t>
            </w:r>
            <w:proofErr w:type="spellStart"/>
            <w:r w:rsidRPr="00635C52">
              <w:rPr>
                <w:rFonts w:ascii="Times New Roman" w:eastAsia="Times New Roman" w:hAnsi="Times New Roman" w:cs="Times New Roman"/>
                <w:b/>
                <w:color w:val="000000"/>
                <w:sz w:val="24"/>
                <w:szCs w:val="24"/>
              </w:rPr>
              <w:t>ГВт·год</w:t>
            </w:r>
            <w:proofErr w:type="spellEnd"/>
            <w:r w:rsidRPr="00635C52">
              <w:rPr>
                <w:rFonts w:ascii="Times New Roman" w:eastAsia="Times New Roman" w:hAnsi="Times New Roman" w:cs="Times New Roman"/>
                <w:b/>
                <w:color w:val="000000"/>
                <w:sz w:val="24"/>
                <w:szCs w:val="24"/>
              </w:rPr>
              <w:t xml:space="preserve"> (56 391 тис. м</w:t>
            </w:r>
            <w:r w:rsidRPr="00E1261D">
              <w:rPr>
                <w:rFonts w:ascii="Times New Roman" w:eastAsia="Times New Roman" w:hAnsi="Times New Roman" w:cs="Times New Roman"/>
                <w:b/>
                <w:color w:val="000000"/>
                <w:sz w:val="24"/>
                <w:szCs w:val="24"/>
                <w:vertAlign w:val="superscript"/>
              </w:rPr>
              <w:t>3</w:t>
            </w:r>
            <w:r w:rsidRPr="00635C52">
              <w:rPr>
                <w:rFonts w:ascii="Times New Roman" w:eastAsia="Times New Roman" w:hAnsi="Times New Roman" w:cs="Times New Roman"/>
                <w:b/>
                <w:color w:val="000000"/>
                <w:sz w:val="24"/>
                <w:szCs w:val="24"/>
              </w:rPr>
              <w:t>) на рік та вище</w:t>
            </w:r>
            <w:r w:rsidR="00DC58CB">
              <w:rPr>
                <w:rFonts w:ascii="Times New Roman" w:eastAsia="Times New Roman" w:hAnsi="Times New Roman" w:cs="Times New Roman"/>
                <w:b/>
                <w:color w:val="000000"/>
                <w:sz w:val="24"/>
                <w:szCs w:val="24"/>
              </w:rPr>
              <w:t>;</w:t>
            </w:r>
          </w:p>
          <w:p w:rsidR="00BA04D3" w:rsidRDefault="00BA04D3">
            <w:pPr>
              <w:pBdr>
                <w:top w:val="nil"/>
                <w:left w:val="nil"/>
                <w:bottom w:val="nil"/>
                <w:right w:val="nil"/>
                <w:between w:val="nil"/>
              </w:pBdr>
              <w:shd w:val="clear" w:color="auto" w:fill="FFFFFF"/>
              <w:spacing w:line="216" w:lineRule="auto"/>
              <w:jc w:val="both"/>
              <w:rPr>
                <w:rFonts w:ascii="Times New Roman" w:eastAsia="Times New Roman" w:hAnsi="Times New Roman" w:cs="Times New Roman"/>
                <w:b/>
                <w:color w:val="000000"/>
                <w:sz w:val="24"/>
                <w:szCs w:val="24"/>
              </w:rPr>
            </w:pPr>
          </w:p>
          <w:p w:rsidR="00BA04D3" w:rsidRDefault="00DC58CB">
            <w:pPr>
              <w:spacing w:line="21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r>
    </w:tbl>
    <w:p w:rsidR="00BA04D3" w:rsidRDefault="00BA04D3">
      <w:pPr>
        <w:rPr>
          <w:color w:val="000000"/>
        </w:rPr>
      </w:pPr>
    </w:p>
    <w:p w:rsidR="007C7ADE" w:rsidRPr="007C7ADE" w:rsidRDefault="007C7ADE" w:rsidP="007C7ADE">
      <w:pPr>
        <w:spacing w:after="0" w:line="240" w:lineRule="auto"/>
        <w:rPr>
          <w:rFonts w:ascii="Times New Roman" w:eastAsia="Times New Roman" w:hAnsi="Times New Roman" w:cs="Times New Roman"/>
          <w:sz w:val="24"/>
          <w:szCs w:val="24"/>
        </w:rPr>
      </w:pPr>
      <w:r w:rsidRPr="007C7ADE">
        <w:rPr>
          <w:rFonts w:ascii="Times New Roman" w:eastAsia="Times New Roman" w:hAnsi="Times New Roman" w:cs="Times New Roman"/>
          <w:b/>
          <w:bCs/>
          <w:color w:val="000000"/>
          <w:sz w:val="28"/>
          <w:szCs w:val="28"/>
        </w:rPr>
        <w:t>Директор Департаменту із регулювання</w:t>
      </w:r>
    </w:p>
    <w:p w:rsidR="00BA04D3" w:rsidRDefault="007C7ADE" w:rsidP="007C7ADE">
      <w:pPr>
        <w:rPr>
          <w:rFonts w:ascii="Times New Roman" w:eastAsia="Times New Roman" w:hAnsi="Times New Roman" w:cs="Times New Roman"/>
          <w:b/>
          <w:color w:val="000000"/>
          <w:sz w:val="28"/>
          <w:szCs w:val="28"/>
        </w:rPr>
      </w:pPr>
      <w:r w:rsidRPr="007C7ADE">
        <w:rPr>
          <w:rFonts w:ascii="Times New Roman" w:eastAsia="Times New Roman" w:hAnsi="Times New Roman" w:cs="Times New Roman"/>
          <w:b/>
          <w:bCs/>
          <w:color w:val="000000"/>
          <w:sz w:val="28"/>
          <w:szCs w:val="28"/>
        </w:rPr>
        <w:t xml:space="preserve">відносин у нафтогазовій сфері </w:t>
      </w:r>
      <w:r w:rsidRPr="007C7ADE">
        <w:rPr>
          <w:rFonts w:ascii="Times New Roman" w:eastAsia="Times New Roman" w:hAnsi="Times New Roman" w:cs="Times New Roman"/>
          <w:b/>
          <w:bCs/>
          <w:color w:val="000000"/>
          <w:sz w:val="28"/>
          <w:szCs w:val="28"/>
        </w:rPr>
        <w:tab/>
      </w:r>
      <w:r w:rsidRPr="007C7ADE">
        <w:rPr>
          <w:rFonts w:ascii="Times New Roman" w:eastAsia="Times New Roman" w:hAnsi="Times New Roman" w:cs="Times New Roman"/>
          <w:b/>
          <w:bCs/>
          <w:color w:val="000000"/>
          <w:sz w:val="28"/>
          <w:szCs w:val="28"/>
        </w:rPr>
        <w:tab/>
      </w:r>
      <w:r w:rsidRPr="007C7ADE">
        <w:rPr>
          <w:rFonts w:ascii="Times New Roman" w:eastAsia="Times New Roman" w:hAnsi="Times New Roman" w:cs="Times New Roman"/>
          <w:b/>
          <w:bCs/>
          <w:color w:val="000000"/>
          <w:sz w:val="28"/>
          <w:szCs w:val="28"/>
        </w:rPr>
        <w:tab/>
      </w:r>
      <w:r w:rsidRPr="007C7ADE">
        <w:rPr>
          <w:rFonts w:ascii="Times New Roman" w:eastAsia="Times New Roman" w:hAnsi="Times New Roman" w:cs="Times New Roman"/>
          <w:b/>
          <w:bCs/>
          <w:color w:val="000000"/>
          <w:sz w:val="28"/>
          <w:szCs w:val="28"/>
        </w:rPr>
        <w:tab/>
      </w:r>
      <w:r w:rsidRPr="007C7ADE">
        <w:rPr>
          <w:rFonts w:ascii="Times New Roman" w:eastAsia="Times New Roman" w:hAnsi="Times New Roman" w:cs="Times New Roman"/>
          <w:b/>
          <w:bCs/>
          <w:color w:val="000000"/>
          <w:sz w:val="28"/>
          <w:szCs w:val="28"/>
        </w:rPr>
        <w:tab/>
      </w:r>
      <w:r w:rsidRPr="007C7ADE">
        <w:rPr>
          <w:rFonts w:ascii="Times New Roman" w:eastAsia="Times New Roman" w:hAnsi="Times New Roman" w:cs="Times New Roman"/>
          <w:b/>
          <w:bCs/>
          <w:color w:val="000000"/>
          <w:sz w:val="28"/>
          <w:szCs w:val="28"/>
        </w:rPr>
        <w:tab/>
      </w:r>
      <w:r w:rsidRPr="007C7ADE">
        <w:rPr>
          <w:rFonts w:ascii="Times New Roman" w:eastAsia="Times New Roman" w:hAnsi="Times New Roman" w:cs="Times New Roman"/>
          <w:b/>
          <w:bCs/>
          <w:color w:val="000000"/>
          <w:sz w:val="28"/>
          <w:szCs w:val="28"/>
        </w:rPr>
        <w:tab/>
      </w:r>
      <w:r w:rsidRPr="007C7ADE">
        <w:rPr>
          <w:rFonts w:ascii="Times New Roman" w:eastAsia="Times New Roman" w:hAnsi="Times New Roman" w:cs="Times New Roman"/>
          <w:b/>
          <w:bCs/>
          <w:color w:val="000000"/>
          <w:sz w:val="28"/>
          <w:szCs w:val="28"/>
        </w:rPr>
        <w:tab/>
      </w:r>
      <w:r w:rsidR="00A361BC">
        <w:rPr>
          <w:rFonts w:ascii="Times New Roman" w:eastAsia="Times New Roman" w:hAnsi="Times New Roman" w:cs="Times New Roman"/>
          <w:b/>
          <w:bCs/>
          <w:color w:val="000000"/>
          <w:sz w:val="28"/>
          <w:szCs w:val="28"/>
        </w:rPr>
        <w:tab/>
      </w:r>
      <w:r w:rsidR="00DC58CB">
        <w:rPr>
          <w:rFonts w:ascii="Times New Roman" w:eastAsia="Times New Roman" w:hAnsi="Times New Roman" w:cs="Times New Roman"/>
          <w:b/>
          <w:color w:val="000000"/>
          <w:sz w:val="28"/>
          <w:szCs w:val="28"/>
        </w:rPr>
        <w:tab/>
      </w:r>
      <w:r w:rsidR="00DC58CB">
        <w:rPr>
          <w:rFonts w:ascii="Times New Roman" w:eastAsia="Times New Roman" w:hAnsi="Times New Roman" w:cs="Times New Roman"/>
          <w:b/>
          <w:color w:val="000000"/>
          <w:sz w:val="28"/>
          <w:szCs w:val="28"/>
        </w:rPr>
        <w:tab/>
      </w:r>
      <w:r w:rsidR="00A361BC">
        <w:rPr>
          <w:rFonts w:ascii="Times New Roman" w:eastAsia="Times New Roman" w:hAnsi="Times New Roman" w:cs="Times New Roman"/>
          <w:b/>
          <w:color w:val="000000"/>
          <w:sz w:val="28"/>
          <w:szCs w:val="28"/>
        </w:rPr>
        <w:t xml:space="preserve">      </w:t>
      </w:r>
      <w:r w:rsidR="00DC58CB">
        <w:rPr>
          <w:rFonts w:ascii="Times New Roman" w:eastAsia="Times New Roman" w:hAnsi="Times New Roman" w:cs="Times New Roman"/>
          <w:b/>
          <w:color w:val="000000"/>
          <w:sz w:val="28"/>
          <w:szCs w:val="28"/>
        </w:rPr>
        <w:t>Олександр КОСЯНЧУК</w:t>
      </w:r>
    </w:p>
    <w:sectPr w:rsidR="00BA04D3">
      <w:footerReference w:type="default" r:id="rId11"/>
      <w:pgSz w:w="16838" w:h="11906" w:orient="landscape"/>
      <w:pgMar w:top="850" w:right="850" w:bottom="1276" w:left="85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0009" w:rsidRDefault="006F0009">
      <w:pPr>
        <w:spacing w:after="0" w:line="240" w:lineRule="auto"/>
      </w:pPr>
      <w:r>
        <w:separator/>
      </w:r>
    </w:p>
  </w:endnote>
  <w:endnote w:type="continuationSeparator" w:id="0">
    <w:p w:rsidR="006F0009" w:rsidRDefault="006F0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entury Gothic"/>
    <w:panose1 w:val="020F0502020204030204"/>
    <w:charset w:val="CC"/>
    <w:family w:val="swiss"/>
    <w:pitch w:val="variable"/>
    <w:sig w:usb0="E0002AFF" w:usb1="4000ACFF" w:usb2="00000001" w:usb3="00000000" w:csb0="000001FF" w:csb1="00000000"/>
  </w:font>
  <w:font w:name="Times New Roman">
    <w:altName w:val="Times New Roman PSMT"/>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1002AFF" w:usb1="C000E47F" w:usb2="0000002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4D3" w:rsidRDefault="00DC58CB">
    <w:pPr>
      <w:pBdr>
        <w:top w:val="nil"/>
        <w:left w:val="nil"/>
        <w:bottom w:val="nil"/>
        <w:right w:val="nil"/>
        <w:between w:val="nil"/>
      </w:pBdr>
      <w:tabs>
        <w:tab w:val="center" w:pos="4819"/>
        <w:tab w:val="right" w:pos="9639"/>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E35BF">
      <w:rPr>
        <w:noProof/>
        <w:color w:val="000000"/>
      </w:rPr>
      <w:t>1</w:t>
    </w:r>
    <w:r>
      <w:rPr>
        <w:color w:val="000000"/>
      </w:rPr>
      <w:fldChar w:fldCharType="end"/>
    </w:r>
  </w:p>
  <w:p w:rsidR="00BA04D3" w:rsidRDefault="00BA04D3">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0009" w:rsidRDefault="006F0009">
      <w:pPr>
        <w:spacing w:after="0" w:line="240" w:lineRule="auto"/>
      </w:pPr>
      <w:r>
        <w:separator/>
      </w:r>
    </w:p>
  </w:footnote>
  <w:footnote w:type="continuationSeparator" w:id="0">
    <w:p w:rsidR="006F0009" w:rsidRDefault="006F00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4D3"/>
    <w:rsid w:val="001308F5"/>
    <w:rsid w:val="004A2C03"/>
    <w:rsid w:val="004F302A"/>
    <w:rsid w:val="00635C52"/>
    <w:rsid w:val="006F0009"/>
    <w:rsid w:val="007B794E"/>
    <w:rsid w:val="007C7ADE"/>
    <w:rsid w:val="00811F23"/>
    <w:rsid w:val="00A31A67"/>
    <w:rsid w:val="00A361BC"/>
    <w:rsid w:val="00A578C7"/>
    <w:rsid w:val="00BA04D3"/>
    <w:rsid w:val="00DC58CB"/>
    <w:rsid w:val="00E1261D"/>
    <w:rsid w:val="00F80D0A"/>
    <w:rsid w:val="00FE35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AE0AD"/>
  <w15:docId w15:val="{EC6B8DBD-2714-4787-9ABE-711420852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294A"/>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412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D4D8D"/>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D4D8D"/>
  </w:style>
  <w:style w:type="paragraph" w:styleId="a7">
    <w:name w:val="footer"/>
    <w:basedOn w:val="a"/>
    <w:link w:val="a8"/>
    <w:uiPriority w:val="99"/>
    <w:unhideWhenUsed/>
    <w:rsid w:val="00ED4D8D"/>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D4D8D"/>
  </w:style>
  <w:style w:type="character" w:customStyle="1" w:styleId="rvts80">
    <w:name w:val="rvts80"/>
    <w:basedOn w:val="a0"/>
    <w:rsid w:val="009D1E33"/>
  </w:style>
  <w:style w:type="paragraph" w:customStyle="1" w:styleId="rvps2">
    <w:name w:val="rvps2"/>
    <w:basedOn w:val="a"/>
    <w:rsid w:val="009D1E33"/>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semiHidden/>
    <w:unhideWhenUsed/>
    <w:rsid w:val="00CE56C3"/>
    <w:rPr>
      <w:color w:val="0000FF"/>
      <w:u w:val="single"/>
    </w:rPr>
  </w:style>
  <w:style w:type="character" w:customStyle="1" w:styleId="rvts46">
    <w:name w:val="rvts46"/>
    <w:basedOn w:val="a0"/>
    <w:rsid w:val="00CE56C3"/>
  </w:style>
  <w:style w:type="paragraph" w:styleId="aa">
    <w:name w:val="Balloon Text"/>
    <w:basedOn w:val="a"/>
    <w:link w:val="ab"/>
    <w:uiPriority w:val="99"/>
    <w:semiHidden/>
    <w:unhideWhenUsed/>
    <w:rsid w:val="004647D1"/>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4647D1"/>
    <w:rPr>
      <w:rFonts w:ascii="Segoe UI" w:hAnsi="Segoe UI" w:cs="Segoe UI"/>
      <w:sz w:val="18"/>
      <w:szCs w:val="18"/>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paragraph" w:styleId="ae">
    <w:name w:val="Normal (Web)"/>
    <w:basedOn w:val="a"/>
    <w:uiPriority w:val="99"/>
    <w:semiHidden/>
    <w:unhideWhenUsed/>
    <w:rsid w:val="001308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7C7A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031428">
      <w:bodyDiv w:val="1"/>
      <w:marLeft w:val="0"/>
      <w:marRight w:val="0"/>
      <w:marTop w:val="0"/>
      <w:marBottom w:val="0"/>
      <w:divBdr>
        <w:top w:val="none" w:sz="0" w:space="0" w:color="auto"/>
        <w:left w:val="none" w:sz="0" w:space="0" w:color="auto"/>
        <w:bottom w:val="none" w:sz="0" w:space="0" w:color="auto"/>
        <w:right w:val="none" w:sz="0" w:space="0" w:color="auto"/>
      </w:divBdr>
    </w:div>
    <w:div w:id="852914794">
      <w:bodyDiv w:val="1"/>
      <w:marLeft w:val="0"/>
      <w:marRight w:val="0"/>
      <w:marTop w:val="0"/>
      <w:marBottom w:val="0"/>
      <w:divBdr>
        <w:top w:val="none" w:sz="0" w:space="0" w:color="auto"/>
        <w:left w:val="none" w:sz="0" w:space="0" w:color="auto"/>
        <w:bottom w:val="none" w:sz="0" w:space="0" w:color="auto"/>
        <w:right w:val="none" w:sz="0" w:space="0" w:color="auto"/>
      </w:divBdr>
    </w:div>
    <w:div w:id="1422726565">
      <w:bodyDiv w:val="1"/>
      <w:marLeft w:val="0"/>
      <w:marRight w:val="0"/>
      <w:marTop w:val="0"/>
      <w:marBottom w:val="0"/>
      <w:divBdr>
        <w:top w:val="none" w:sz="0" w:space="0" w:color="auto"/>
        <w:left w:val="none" w:sz="0" w:space="0" w:color="auto"/>
        <w:bottom w:val="none" w:sz="0" w:space="0" w:color="auto"/>
        <w:right w:val="none" w:sz="0" w:space="0" w:color="auto"/>
      </w:divBdr>
    </w:div>
    <w:div w:id="1429695932">
      <w:bodyDiv w:val="1"/>
      <w:marLeft w:val="0"/>
      <w:marRight w:val="0"/>
      <w:marTop w:val="0"/>
      <w:marBottom w:val="0"/>
      <w:divBdr>
        <w:top w:val="none" w:sz="0" w:space="0" w:color="auto"/>
        <w:left w:val="none" w:sz="0" w:space="0" w:color="auto"/>
        <w:bottom w:val="none" w:sz="0" w:space="0" w:color="auto"/>
        <w:right w:val="none" w:sz="0" w:space="0" w:color="auto"/>
      </w:divBdr>
    </w:div>
    <w:div w:id="1476802342">
      <w:bodyDiv w:val="1"/>
      <w:marLeft w:val="0"/>
      <w:marRight w:val="0"/>
      <w:marTop w:val="0"/>
      <w:marBottom w:val="0"/>
      <w:divBdr>
        <w:top w:val="none" w:sz="0" w:space="0" w:color="auto"/>
        <w:left w:val="none" w:sz="0" w:space="0" w:color="auto"/>
        <w:bottom w:val="none" w:sz="0" w:space="0" w:color="auto"/>
        <w:right w:val="none" w:sz="0" w:space="0" w:color="auto"/>
      </w:divBdr>
    </w:div>
    <w:div w:id="1974285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379-1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z1379-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zakon.rada.gov.ua/laws/show/z1379-15" TargetMode="External"/><Relationship Id="rId4" Type="http://schemas.openxmlformats.org/officeDocument/2006/relationships/webSettings" Target="webSettings.xml"/><Relationship Id="rId9" Type="http://schemas.openxmlformats.org/officeDocument/2006/relationships/hyperlink" Target="https://zakon.rada.gov.ua/laws/show/z1379-1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mV6Jc6j4HSO2rGv+RQBfvVwUmA==">CgMxLjAyCGguZ2pkZ3hzMgppZC4zMGowemxsMgppZC4xZm9iOXRlMgloLjN6bnlzaDcyCmlkLjJldDkycDAyCWlkLnR5amN3dDIKaWQuM2R5NnZrbTIKaWQuMXQzaDVzZjIKaWQuNGQzNG9nODIKaWQuMnM4ZXlvMTIKaWQuMTdkcDh2dTIJaC4zcmRjcmpuMgppZC4yNmluMXJnMglpZC5sbnhiejkyCmlkLjM1bmt1bjIyCmlkLjFrc3Y0dXYyCWguNDRzaW5pbzIJaC4yanhzeHFoOAByITF6NXRhY2Zsejc3bDdKazRvbzYtMnBaSzA0akU2aklL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6750</Words>
  <Characters>3848</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10577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Tetiana Kryvonoh</dc:creator>
  <cp:lastModifiedBy>Марина Різанова</cp:lastModifiedBy>
  <cp:revision>2</cp:revision>
  <dcterms:created xsi:type="dcterms:W3CDTF">2024-02-19T13:59:00Z</dcterms:created>
  <dcterms:modified xsi:type="dcterms:W3CDTF">2024-02-19T13:59:00Z</dcterms:modified>
</cp:coreProperties>
</file>