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0CC9" w:rsidRDefault="00C26B7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ПОРІВНЯЛЬНА ТАБЛИЦЯ</w:t>
      </w:r>
    </w:p>
    <w:p w:rsidR="00D90CC9" w:rsidRDefault="00C26B7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рішення НКРЕКП, що має ознаки регуляторного акта, – постанови НКРЕКП «Про </w:t>
      </w:r>
      <w:r w:rsidRPr="00C26B72">
        <w:rPr>
          <w:rFonts w:ascii="Times New Roman" w:eastAsia="Times New Roman" w:hAnsi="Times New Roman" w:cs="Times New Roman"/>
          <w:b/>
          <w:sz w:val="24"/>
          <w:szCs w:val="24"/>
        </w:rPr>
        <w:t>внесення змін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до Методики визначення істотного коливання цін та встановлення граничних цін на ринку «на добу наперед», внутрішньодобовому ринку та балансуючому ринку»</w:t>
      </w:r>
    </w:p>
    <w:p w:rsidR="00D90CC9" w:rsidRDefault="00D90CC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c"/>
        <w:tblW w:w="14885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8"/>
        <w:gridCol w:w="7797"/>
      </w:tblGrid>
      <w:tr w:rsidR="00D90CC9">
        <w:tc>
          <w:tcPr>
            <w:tcW w:w="7088" w:type="dxa"/>
            <w:vAlign w:val="center"/>
          </w:tcPr>
          <w:p w:rsidR="00D90CC9" w:rsidRDefault="00C26B7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Чинна редакція</w:t>
            </w:r>
          </w:p>
          <w:p w:rsidR="00D90CC9" w:rsidRDefault="00D90C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vAlign w:val="center"/>
          </w:tcPr>
          <w:p w:rsidR="00D90CC9" w:rsidRDefault="00C26B7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Редакція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рішення НКРЕКП</w:t>
            </w:r>
          </w:p>
          <w:p w:rsidR="00D90CC9" w:rsidRDefault="00D90C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90CC9">
        <w:tc>
          <w:tcPr>
            <w:tcW w:w="7088" w:type="dxa"/>
          </w:tcPr>
          <w:p w:rsidR="00D90CC9" w:rsidRDefault="00C26B72" w:rsidP="005963F1">
            <w:pPr>
              <w:shd w:val="clear" w:color="auto" w:fill="FFFFFF"/>
              <w:spacing w:after="225"/>
              <w:ind w:left="129" w:right="1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НКРЕКП після отримання від ОР та АР інформації про наявність істотного коливання цін на РДН, ВДР та балансуючому ринку, визначеного підпунктом 2 пункту 2.1, підпунктом 2 пункту 2.2 та підпунктом 2 пункту 2.3 глави 2 цієї Методики, у разі відсутності граничних цін встановлених НКРЕКП або за умови, що термін дії рішення НКРЕКП щодо встановлення граничних цін спливає протягом наступних 30 днів, у випадку доцільності встановлення граничних цін направляє до ОР, АР та центрального органу виконавчої влади, що забезпечує формування та реалізацію державної політики в електроенергетичному комплексі, запит на отримання пропозицій щодо встановлення граничних цін.</w:t>
            </w:r>
          </w:p>
          <w:p w:rsidR="00D90CC9" w:rsidRDefault="00C26B72" w:rsidP="005963F1">
            <w:pPr>
              <w:shd w:val="clear" w:color="auto" w:fill="FFFFFF"/>
              <w:spacing w:after="225"/>
              <w:ind w:left="129" w:right="12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НКРЕКП після отримання від ОР та АР інформації про наявність істотного коливання цін на РДН, ВДР та балансуючому ринку, визначеного підпунктом 1 пункту 2.1, підпунктом 1 пункту 2.2 та підпунктом 1 пункту 2.3 глави 2 цієї Методики, та у випадку доцільності перегляду граничних цін направляє до ОР, АР та центрального органу виконавчої влади, що забезпечує формування та реалізацію державної політики в електроенергетичному комплексі, запит на отримання пропозицій щодо перегляду граничних цін.</w:t>
            </w:r>
          </w:p>
        </w:tc>
        <w:tc>
          <w:tcPr>
            <w:tcW w:w="7797" w:type="dxa"/>
          </w:tcPr>
          <w:p w:rsidR="00D90CC9" w:rsidRDefault="00C26B72" w:rsidP="005963F1">
            <w:pPr>
              <w:shd w:val="clear" w:color="auto" w:fill="FFFFFF"/>
              <w:spacing w:after="225"/>
              <w:ind w:left="126" w:right="1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heading=h.30j0zll" w:colFirst="0" w:colLast="0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НКРЕКП після отримання від ОР 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 інформації про наявність істотного коливання цін на РДН, ВДР 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балансуючому ринку, визначеного підпунктом 2 пункту 2.1, підпунктом 2 пункту 2.2 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підпунктом 2 пункту 2.3 глави 2 цієї Методики, у разі відсутності граничних цін встановлених НКРЕКП або за умови, що термін дії рішення НКРЕКП щодо встановлення граничних цін спливає протягом наступних 30 днів, у випадку доцільності встановлення граничних цін направляє до ОР</w:t>
            </w:r>
            <w:r w:rsidR="00277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 та центрального органу виконавчої влади, що забезпечує формування та реалізацію державної політики в електроенергетичному комплексі, запит на отримання пропозицій щодо встановлення граничних цін.</w:t>
            </w:r>
          </w:p>
          <w:p w:rsidR="00D90CC9" w:rsidRPr="00714F2B" w:rsidRDefault="00C26B72" w:rsidP="005963F1">
            <w:pPr>
              <w:shd w:val="clear" w:color="auto" w:fill="FFFFFF"/>
              <w:spacing w:after="225"/>
              <w:ind w:left="126" w:right="1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НКРЕКП після отримання від ОР 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 інформації про наявність істотного коливання цін на РДН, ВДР 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балансуючому ринку, визначеного підпунктом 1 пункту 2.1, підпунктом 1 пункту 2.2 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підпунктом 1 пункту 2.3 глави 2 цієї Методики, та у випадку доцільності перегляду граничних цін направляє до ОР</w:t>
            </w:r>
            <w:r w:rsidR="00277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центрального органу виконавчої влади, що забезпечує формування та реалізацію державної політики в електроенергетичному комплексі, запит на отримання пропозицій щодо перегляду граничних цін.</w:t>
            </w:r>
          </w:p>
        </w:tc>
      </w:tr>
    </w:tbl>
    <w:p w:rsidR="00D90CC9" w:rsidRDefault="00D90C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heading=h.gjdgxs" w:colFirst="0" w:colLast="0"/>
      <w:bookmarkEnd w:id="2"/>
    </w:p>
    <w:sectPr w:rsidR="00D90CC9">
      <w:pgSz w:w="15840" w:h="12240" w:orient="landscape"/>
      <w:pgMar w:top="284" w:right="1381" w:bottom="1134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C1020"/>
    <w:multiLevelType w:val="multilevel"/>
    <w:tmpl w:val="8A5EC178"/>
    <w:lvl w:ilvl="0">
      <w:start w:val="1"/>
      <w:numFmt w:val="decimal"/>
      <w:pStyle w:val="Heading1applica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application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ormalapplication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ormalnumberingapplication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CC9"/>
    <w:rsid w:val="000D08A1"/>
    <w:rsid w:val="002775E7"/>
    <w:rsid w:val="005963F1"/>
    <w:rsid w:val="00714F2B"/>
    <w:rsid w:val="008E1B93"/>
    <w:rsid w:val="00C26B72"/>
    <w:rsid w:val="00D9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1C3CB"/>
  <w15:docId w15:val="{FAA686A6-2AEE-43A4-8246-226B7DFCC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BE2"/>
  </w:style>
  <w:style w:type="paragraph" w:styleId="1">
    <w:name w:val="heading 1"/>
    <w:basedOn w:val="a"/>
    <w:next w:val="a"/>
    <w:link w:val="10"/>
    <w:uiPriority w:val="9"/>
    <w:qFormat/>
    <w:rsid w:val="00ED6F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6F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E53DB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ED6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ED6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"/>
    <w:rsid w:val="00ED6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ED6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numberingapplication">
    <w:name w:val="Normal numbering application"/>
    <w:basedOn w:val="a"/>
    <w:rsid w:val="00ED6F38"/>
    <w:pPr>
      <w:widowControl w:val="0"/>
      <w:numPr>
        <w:ilvl w:val="3"/>
        <w:numId w:val="1"/>
      </w:numPr>
      <w:spacing w:before="240" w:after="240" w:line="240" w:lineRule="auto"/>
      <w:ind w:left="0"/>
      <w:jc w:val="both"/>
      <w:outlineLvl w:val="2"/>
    </w:pPr>
    <w:rPr>
      <w:rFonts w:ascii="Times New Roman" w:hAnsi="Times New Roman" w:cs="Helvetica"/>
      <w:sz w:val="28"/>
      <w:szCs w:val="24"/>
    </w:rPr>
  </w:style>
  <w:style w:type="paragraph" w:customStyle="1" w:styleId="Heading2application">
    <w:name w:val="Heading 2 application"/>
    <w:basedOn w:val="2"/>
    <w:qFormat/>
    <w:rsid w:val="00ED6F38"/>
    <w:pPr>
      <w:widowControl w:val="0"/>
      <w:numPr>
        <w:ilvl w:val="1"/>
        <w:numId w:val="1"/>
      </w:numPr>
      <w:tabs>
        <w:tab w:val="clear" w:pos="1440"/>
        <w:tab w:val="num" w:pos="360"/>
        <w:tab w:val="left" w:pos="1418"/>
      </w:tabs>
      <w:spacing w:before="120" w:after="120" w:line="240" w:lineRule="auto"/>
      <w:ind w:left="7240"/>
      <w:jc w:val="center"/>
    </w:pPr>
    <w:rPr>
      <w:rFonts w:ascii="Times New Roman" w:eastAsia="Calibri" w:hAnsi="Times New Roman" w:cs="Times New Roman"/>
      <w:b/>
      <w:color w:val="000000"/>
      <w:sz w:val="28"/>
    </w:rPr>
  </w:style>
  <w:style w:type="paragraph" w:customStyle="1" w:styleId="Heading1application">
    <w:name w:val="Heading 1 application"/>
    <w:basedOn w:val="1"/>
    <w:qFormat/>
    <w:rsid w:val="00ED6F38"/>
    <w:pPr>
      <w:widowControl w:val="0"/>
      <w:numPr>
        <w:numId w:val="1"/>
      </w:numPr>
      <w:tabs>
        <w:tab w:val="num" w:pos="360"/>
      </w:tabs>
      <w:spacing w:before="120" w:after="120" w:line="240" w:lineRule="auto"/>
      <w:ind w:left="450" w:hanging="450"/>
      <w:jc w:val="center"/>
    </w:pPr>
    <w:rPr>
      <w:rFonts w:ascii="Times New Roman" w:eastAsia="Calibri" w:hAnsi="Times New Roman" w:cs="Helvetica"/>
      <w:b/>
      <w:color w:val="000000"/>
      <w:sz w:val="28"/>
    </w:rPr>
  </w:style>
  <w:style w:type="paragraph" w:customStyle="1" w:styleId="Normalapplication">
    <w:name w:val="Normal application"/>
    <w:basedOn w:val="a"/>
    <w:qFormat/>
    <w:rsid w:val="00ED6F38"/>
    <w:pPr>
      <w:widowControl w:val="0"/>
      <w:numPr>
        <w:ilvl w:val="2"/>
        <w:numId w:val="1"/>
      </w:numPr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hAnsi="Times New Roman" w:cs="Helvetica"/>
      <w:sz w:val="28"/>
      <w:szCs w:val="24"/>
    </w:rPr>
  </w:style>
  <w:style w:type="numbering" w:customStyle="1" w:styleId="newnumberingapplications">
    <w:name w:val="new numbering applications"/>
    <w:rsid w:val="00ED6F38"/>
  </w:style>
  <w:style w:type="character" w:customStyle="1" w:styleId="st42">
    <w:name w:val="st42"/>
    <w:uiPriority w:val="99"/>
    <w:rsid w:val="00ED6F38"/>
    <w:rPr>
      <w:color w:val="000000"/>
    </w:rPr>
  </w:style>
  <w:style w:type="character" w:customStyle="1" w:styleId="20">
    <w:name w:val="Заголовок 2 Знак"/>
    <w:basedOn w:val="a0"/>
    <w:link w:val="2"/>
    <w:uiPriority w:val="9"/>
    <w:semiHidden/>
    <w:rsid w:val="00ED6F3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/>
    </w:rPr>
  </w:style>
  <w:style w:type="character" w:customStyle="1" w:styleId="10">
    <w:name w:val="Заголовок 1 Знак"/>
    <w:basedOn w:val="a0"/>
    <w:link w:val="1"/>
    <w:uiPriority w:val="9"/>
    <w:rsid w:val="00ED6F3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/>
    </w:rPr>
  </w:style>
  <w:style w:type="paragraph" w:customStyle="1" w:styleId="Default">
    <w:name w:val="Default"/>
    <w:rsid w:val="00FC5C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rvts0">
    <w:name w:val="rvts0"/>
    <w:basedOn w:val="a0"/>
    <w:rsid w:val="00FC5CA8"/>
  </w:style>
  <w:style w:type="paragraph" w:styleId="a7">
    <w:name w:val="List Paragraph"/>
    <w:basedOn w:val="a"/>
    <w:uiPriority w:val="34"/>
    <w:qFormat/>
    <w:rsid w:val="00B65B21"/>
    <w:pPr>
      <w:ind w:left="720"/>
      <w:contextualSpacing/>
    </w:pPr>
  </w:style>
  <w:style w:type="paragraph" w:styleId="a8">
    <w:name w:val="Body Text"/>
    <w:basedOn w:val="a"/>
    <w:link w:val="a9"/>
    <w:uiPriority w:val="99"/>
    <w:unhideWhenUsed/>
    <w:rsid w:val="008000C6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rsid w:val="008000C6"/>
    <w:rPr>
      <w:lang w:val="uk-UA"/>
    </w:rPr>
  </w:style>
  <w:style w:type="paragraph" w:styleId="aa">
    <w:name w:val="footer"/>
    <w:basedOn w:val="a"/>
    <w:link w:val="ab"/>
    <w:uiPriority w:val="99"/>
    <w:unhideWhenUsed/>
    <w:rsid w:val="00800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8000C6"/>
    <w:rPr>
      <w:lang w:val="uk-UA"/>
    </w:rPr>
  </w:style>
  <w:style w:type="paragraph" w:customStyle="1" w:styleId="Normalnumbering">
    <w:name w:val="Normal numbering"/>
    <w:basedOn w:val="a"/>
    <w:uiPriority w:val="99"/>
    <w:rsid w:val="007043B2"/>
    <w:pPr>
      <w:widowControl w:val="0"/>
      <w:tabs>
        <w:tab w:val="num" w:pos="2211"/>
      </w:tabs>
      <w:spacing w:before="120" w:after="120" w:line="240" w:lineRule="auto"/>
      <w:ind w:firstLine="851"/>
      <w:jc w:val="both"/>
      <w:outlineLvl w:val="0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customStyle="1" w:styleId="ac">
    <w:name w:val="Обычный буквенный список"/>
    <w:basedOn w:val="a"/>
    <w:link w:val="ad"/>
    <w:uiPriority w:val="99"/>
    <w:rsid w:val="007043B2"/>
    <w:pPr>
      <w:widowControl w:val="0"/>
      <w:tabs>
        <w:tab w:val="left" w:pos="1701"/>
      </w:tabs>
      <w:spacing w:after="0" w:line="240" w:lineRule="auto"/>
      <w:ind w:firstLine="851"/>
      <w:jc w:val="both"/>
      <w:outlineLvl w:val="2"/>
    </w:pPr>
    <w:rPr>
      <w:rFonts w:ascii="Times New Roman" w:hAnsi="Times New Roman" w:cs="Times New Roman"/>
      <w:sz w:val="28"/>
      <w:szCs w:val="28"/>
      <w:lang w:val="ru-RU" w:eastAsia="ru-RU"/>
    </w:rPr>
  </w:style>
  <w:style w:type="character" w:customStyle="1" w:styleId="ad">
    <w:name w:val="Обычный буквенный список Знак"/>
    <w:link w:val="ac"/>
    <w:uiPriority w:val="99"/>
    <w:locked/>
    <w:rsid w:val="007043B2"/>
    <w:rPr>
      <w:rFonts w:ascii="Times New Roman" w:eastAsia="Calibri" w:hAnsi="Times New Roman" w:cs="Times New Roman"/>
      <w:sz w:val="28"/>
      <w:szCs w:val="28"/>
      <w:lang w:val="ru-RU" w:eastAsia="ru-RU"/>
    </w:rPr>
  </w:style>
  <w:style w:type="numbering" w:customStyle="1" w:styleId="newnumbering">
    <w:name w:val="new numbering"/>
    <w:rsid w:val="007043B2"/>
  </w:style>
  <w:style w:type="paragraph" w:styleId="ae">
    <w:name w:val="Body Text Indent"/>
    <w:basedOn w:val="a"/>
    <w:link w:val="af"/>
    <w:uiPriority w:val="99"/>
    <w:semiHidden/>
    <w:unhideWhenUsed/>
    <w:rsid w:val="007043B2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semiHidden/>
    <w:rsid w:val="007043B2"/>
    <w:rPr>
      <w:lang w:val="uk-UA"/>
    </w:rPr>
  </w:style>
  <w:style w:type="character" w:styleId="af0">
    <w:name w:val="Hyperlink"/>
    <w:basedOn w:val="a0"/>
    <w:uiPriority w:val="99"/>
    <w:semiHidden/>
    <w:unhideWhenUsed/>
    <w:rsid w:val="005C0E37"/>
    <w:rPr>
      <w:color w:val="0000FF"/>
      <w:u w:val="single"/>
    </w:rPr>
  </w:style>
  <w:style w:type="character" w:customStyle="1" w:styleId="rvts46">
    <w:name w:val="rvts46"/>
    <w:basedOn w:val="a0"/>
    <w:rsid w:val="008E6B67"/>
  </w:style>
  <w:style w:type="paragraph" w:customStyle="1" w:styleId="rvps14">
    <w:name w:val="rvps14"/>
    <w:basedOn w:val="a"/>
    <w:rsid w:val="00EF5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">
    <w:name w:val="rvps7"/>
    <w:basedOn w:val="a"/>
    <w:rsid w:val="00A42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A42DAC"/>
  </w:style>
  <w:style w:type="character" w:customStyle="1" w:styleId="rvts11">
    <w:name w:val="rvts11"/>
    <w:basedOn w:val="a0"/>
    <w:rsid w:val="00A42DAC"/>
  </w:style>
  <w:style w:type="character" w:customStyle="1" w:styleId="rvts9">
    <w:name w:val="rvts9"/>
    <w:basedOn w:val="a0"/>
    <w:rsid w:val="004519FE"/>
  </w:style>
  <w:style w:type="character" w:customStyle="1" w:styleId="rvts40">
    <w:name w:val="rvts40"/>
    <w:basedOn w:val="a0"/>
    <w:rsid w:val="004519FE"/>
  </w:style>
  <w:style w:type="character" w:customStyle="1" w:styleId="rvts37">
    <w:name w:val="rvts37"/>
    <w:basedOn w:val="a0"/>
    <w:rsid w:val="00445989"/>
  </w:style>
  <w:style w:type="paragraph" w:customStyle="1" w:styleId="tj">
    <w:name w:val="tj"/>
    <w:basedOn w:val="a"/>
    <w:rsid w:val="00E46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469E8"/>
  </w:style>
  <w:style w:type="character" w:customStyle="1" w:styleId="a4">
    <w:name w:val="Назва Знак"/>
    <w:basedOn w:val="a0"/>
    <w:link w:val="a3"/>
    <w:uiPriority w:val="10"/>
    <w:rsid w:val="00E53DB0"/>
    <w:rPr>
      <w:rFonts w:ascii="Calibri" w:eastAsia="Calibri" w:hAnsi="Calibri" w:cs="Calibri"/>
      <w:b/>
      <w:sz w:val="72"/>
      <w:szCs w:val="72"/>
      <w:lang w:val="uk-UA" w:eastAsia="uk-UA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tblPr>
      <w:tblStyleRowBandSize w:val="1"/>
      <w:tblStyleColBandSize w:val="1"/>
    </w:tblPr>
  </w:style>
  <w:style w:type="table" w:customStyle="1" w:styleId="af9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eQoa38YX8yJZX23Cd7/654+9zw==">CgMxLjAyCWguMzBqMHpsbDIIaC5namRneHM4AHIhMVQ4clRILUZ6WW1lUWhrQUp0LXRxU0d0bV9wQVBXU1Aw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Olexandr Gavva</dc:creator>
  <cp:lastModifiedBy>Оксана Литвин</cp:lastModifiedBy>
  <cp:revision>3</cp:revision>
  <dcterms:created xsi:type="dcterms:W3CDTF">2024-02-06T10:22:00Z</dcterms:created>
  <dcterms:modified xsi:type="dcterms:W3CDTF">2024-02-06T10:22:00Z</dcterms:modified>
</cp:coreProperties>
</file>