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BD9" w:rsidRDefault="00DE0BD9" w:rsidP="00EE7401">
      <w:pPr>
        <w:pStyle w:val="af1"/>
        <w:framePr w:hSpace="45" w:wrap="around" w:vAnchor="text" w:hAnchor="page" w:x="1532" w:y="319"/>
        <w:tabs>
          <w:tab w:val="left" w:pos="9072"/>
        </w:tabs>
        <w:spacing w:before="0" w:beforeAutospacing="0" w:after="0" w:afterAutospacing="0"/>
        <w:ind w:left="5812"/>
        <w:rPr>
          <w:sz w:val="28"/>
          <w:szCs w:val="28"/>
        </w:rPr>
      </w:pPr>
      <w:bookmarkStart w:id="0" w:name="_Hlk153963625"/>
      <w:r w:rsidRPr="00DE0BD9">
        <w:rPr>
          <w:sz w:val="28"/>
          <w:szCs w:val="28"/>
        </w:rPr>
        <w:t>ЗАТВЕРДЖЕНО</w:t>
      </w:r>
      <w:r w:rsidRPr="00DE0BD9">
        <w:rPr>
          <w:sz w:val="28"/>
          <w:szCs w:val="28"/>
        </w:rPr>
        <w:br/>
        <w:t>Постанова Національної комісії, що здійснює державне регулювання у сферах</w:t>
      </w:r>
      <w:r w:rsidRPr="00DE0BD9">
        <w:rPr>
          <w:sz w:val="28"/>
          <w:szCs w:val="28"/>
          <w:lang w:val="ru-RU"/>
        </w:rPr>
        <w:t xml:space="preserve"> </w:t>
      </w:r>
      <w:r w:rsidRPr="00DE0BD9">
        <w:rPr>
          <w:sz w:val="28"/>
          <w:szCs w:val="28"/>
        </w:rPr>
        <w:t>енергетики та комунальних</w:t>
      </w:r>
      <w:r w:rsidRPr="00DE0BD9">
        <w:rPr>
          <w:sz w:val="28"/>
          <w:szCs w:val="28"/>
          <w:lang w:val="ru-RU"/>
        </w:rPr>
        <w:t xml:space="preserve"> </w:t>
      </w:r>
      <w:r w:rsidRPr="00DE0BD9">
        <w:rPr>
          <w:sz w:val="28"/>
          <w:szCs w:val="28"/>
        </w:rPr>
        <w:t xml:space="preserve">послуг </w:t>
      </w:r>
    </w:p>
    <w:p w:rsidR="00EE7401" w:rsidRPr="0063599D" w:rsidRDefault="00EE7401" w:rsidP="00EE7401">
      <w:pPr>
        <w:pStyle w:val="af1"/>
        <w:framePr w:hSpace="45" w:wrap="around" w:vAnchor="text" w:hAnchor="page" w:x="1532" w:y="319"/>
        <w:spacing w:before="0" w:beforeAutospacing="0" w:after="0" w:afterAutospacing="0"/>
        <w:ind w:left="5812"/>
        <w:rPr>
          <w:sz w:val="28"/>
          <w:szCs w:val="28"/>
        </w:rPr>
      </w:pPr>
      <w:r w:rsidRPr="0063599D">
        <w:rPr>
          <w:sz w:val="28"/>
          <w:szCs w:val="28"/>
        </w:rPr>
        <w:t>(у редакції постанови НКРЕКП</w:t>
      </w:r>
    </w:p>
    <w:p w:rsidR="00EE7401" w:rsidRPr="0063599D" w:rsidRDefault="00EE7401" w:rsidP="00EE7401">
      <w:pPr>
        <w:pStyle w:val="af1"/>
        <w:framePr w:hSpace="45" w:wrap="around" w:vAnchor="text" w:hAnchor="page" w:x="1532" w:y="319"/>
        <w:spacing w:before="0" w:beforeAutospacing="0" w:after="0" w:afterAutospacing="0"/>
        <w:ind w:left="5812"/>
        <w:rPr>
          <w:b/>
          <w:sz w:val="28"/>
          <w:szCs w:val="28"/>
        </w:rPr>
      </w:pPr>
      <w:r>
        <w:rPr>
          <w:sz w:val="28"/>
          <w:szCs w:val="28"/>
        </w:rPr>
        <w:t>від __________ №____</w:t>
      </w:r>
      <w:r w:rsidRPr="0063599D">
        <w:rPr>
          <w:sz w:val="28"/>
          <w:szCs w:val="28"/>
        </w:rPr>
        <w:t>)</w:t>
      </w:r>
      <w:bookmarkEnd w:id="0"/>
      <w:r w:rsidRPr="0063599D">
        <w:rPr>
          <w:sz w:val="28"/>
          <w:szCs w:val="28"/>
        </w:rPr>
        <w:br w:type="textWrapping" w:clear="all"/>
      </w:r>
    </w:p>
    <w:p w:rsidR="00EE7401" w:rsidRPr="00DE0BD9" w:rsidRDefault="00EE7401" w:rsidP="00DE0BD9">
      <w:pPr>
        <w:pStyle w:val="af1"/>
        <w:framePr w:hSpace="45" w:wrap="around" w:vAnchor="text" w:hAnchor="page" w:x="1532" w:y="319"/>
        <w:tabs>
          <w:tab w:val="left" w:pos="9072"/>
        </w:tabs>
        <w:spacing w:before="0" w:beforeAutospacing="0" w:after="0" w:afterAutospacing="0"/>
        <w:ind w:left="5954"/>
        <w:rPr>
          <w:sz w:val="28"/>
          <w:szCs w:val="28"/>
        </w:rPr>
      </w:pPr>
    </w:p>
    <w:p w:rsidR="00DE0BD9" w:rsidRDefault="00DE0BD9" w:rsidP="00C62C1F">
      <w:pPr>
        <w:pStyle w:val="af1"/>
        <w:tabs>
          <w:tab w:val="left" w:pos="9072"/>
        </w:tabs>
        <w:spacing w:before="0" w:beforeAutospacing="0" w:after="0" w:afterAutospacing="0"/>
        <w:rPr>
          <w:b/>
          <w:sz w:val="28"/>
          <w:szCs w:val="28"/>
        </w:rPr>
      </w:pPr>
    </w:p>
    <w:p w:rsidR="006506C0" w:rsidRPr="00DE0BD9" w:rsidRDefault="006506C0" w:rsidP="00DE0BD9">
      <w:pPr>
        <w:tabs>
          <w:tab w:val="left" w:pos="5940"/>
        </w:tabs>
        <w:spacing w:after="0" w:line="276" w:lineRule="auto"/>
        <w:rPr>
          <w:rFonts w:ascii="Times New Roman" w:hAnsi="Times New Roman" w:cs="Times New Roman"/>
          <w:b/>
          <w:sz w:val="28"/>
          <w:szCs w:val="28"/>
          <w:lang w:val="uk-UA"/>
        </w:rPr>
      </w:pP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 xml:space="preserve">ІНСТРУКЦІЯ </w:t>
      </w: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 xml:space="preserve">щодо заповнення форми звітності № 11-НКРЕКП-моніторинг-передача (річна) «Звіт про зміну споживачами </w:t>
      </w:r>
      <w:proofErr w:type="spellStart"/>
      <w:r w:rsidRPr="00DE0BD9">
        <w:rPr>
          <w:rFonts w:ascii="Times New Roman" w:hAnsi="Times New Roman" w:cs="Times New Roman"/>
          <w:b/>
          <w:sz w:val="28"/>
          <w:szCs w:val="28"/>
          <w:lang w:val="uk-UA"/>
        </w:rPr>
        <w:t>електропостачальника</w:t>
      </w:r>
      <w:proofErr w:type="spellEnd"/>
      <w:r w:rsidRPr="00DE0BD9">
        <w:rPr>
          <w:rFonts w:ascii="Times New Roman" w:hAnsi="Times New Roman" w:cs="Times New Roman"/>
          <w:b/>
          <w:sz w:val="28"/>
          <w:szCs w:val="28"/>
          <w:lang w:val="uk-UA"/>
        </w:rPr>
        <w:t>»</w:t>
      </w:r>
    </w:p>
    <w:p w:rsidR="00DE0BD9" w:rsidRPr="00DE0BD9" w:rsidRDefault="00DE0BD9" w:rsidP="00DE0BD9">
      <w:pPr>
        <w:spacing w:after="0" w:line="276" w:lineRule="auto"/>
        <w:jc w:val="center"/>
        <w:rPr>
          <w:rFonts w:ascii="Times New Roman" w:hAnsi="Times New Roman" w:cs="Times New Roman"/>
          <w:b/>
          <w:sz w:val="28"/>
          <w:szCs w:val="28"/>
          <w:lang w:val="uk-UA"/>
        </w:rPr>
      </w:pP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1. Загальні положення</w:t>
      </w:r>
    </w:p>
    <w:p w:rsidR="00DE0BD9" w:rsidRPr="00DE0BD9" w:rsidRDefault="00DE0BD9" w:rsidP="00DE0BD9">
      <w:pPr>
        <w:spacing w:after="0" w:line="276" w:lineRule="auto"/>
        <w:jc w:val="both"/>
        <w:rPr>
          <w:rFonts w:ascii="Times New Roman" w:hAnsi="Times New Roman" w:cs="Times New Roman"/>
          <w:sz w:val="28"/>
          <w:szCs w:val="28"/>
          <w:lang w:val="uk-UA"/>
        </w:rPr>
      </w:pP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bookmarkStart w:id="1" w:name="_Hlk153963645"/>
      <w:r w:rsidR="00EE7401">
        <w:rPr>
          <w:rFonts w:ascii="Times New Roman" w:hAnsi="Times New Roman" w:cs="Times New Roman"/>
          <w:sz w:val="28"/>
          <w:szCs w:val="28"/>
          <w:lang w:val="uk-UA"/>
        </w:rPr>
        <w:t>, ліцензіат</w:t>
      </w:r>
      <w:bookmarkEnd w:id="1"/>
      <w:r w:rsidRPr="00DE0BD9">
        <w:rPr>
          <w:rFonts w:ascii="Times New Roman" w:hAnsi="Times New Roman" w:cs="Times New Roman"/>
          <w:sz w:val="28"/>
          <w:szCs w:val="28"/>
          <w:lang w:val="uk-UA"/>
        </w:rPr>
        <w:t>).</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1.2. Ця Інструкція визначає порядок заповнення форми звітності № 11</w:t>
      </w:r>
      <w:r w:rsidRPr="00DE0BD9">
        <w:rPr>
          <w:rFonts w:ascii="Times New Roman" w:hAnsi="Times New Roman" w:cs="Times New Roman"/>
          <w:sz w:val="28"/>
          <w:szCs w:val="28"/>
          <w:lang w:val="uk-UA"/>
        </w:rPr>
        <w:noBreakHyphen/>
        <w:t xml:space="preserve">НКРЕКП-моніторинг-передача (річна) «Звіт про зміну споживачами </w:t>
      </w:r>
      <w:proofErr w:type="spellStart"/>
      <w:r w:rsidRPr="00DE0BD9">
        <w:rPr>
          <w:rFonts w:ascii="Times New Roman" w:hAnsi="Times New Roman" w:cs="Times New Roman"/>
          <w:sz w:val="28"/>
          <w:szCs w:val="28"/>
          <w:lang w:val="uk-UA"/>
        </w:rPr>
        <w:t>електропостачальника</w:t>
      </w:r>
      <w:proofErr w:type="spellEnd"/>
      <w:r w:rsidRPr="00DE0BD9">
        <w:rPr>
          <w:rFonts w:ascii="Times New Roman" w:hAnsi="Times New Roman" w:cs="Times New Roman"/>
          <w:sz w:val="28"/>
          <w:szCs w:val="28"/>
          <w:lang w:val="uk-UA"/>
        </w:rPr>
        <w:t>» (далі – форма звітності № 11) та додатків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1.3. Цю Інструкцію розроблено відповідно до:</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DE0BD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DE0BD9">
        <w:rPr>
          <w:rFonts w:ascii="Times New Roman" w:hAnsi="Times New Roman" w:cs="Times New Roman"/>
          <w:sz w:val="28"/>
          <w:szCs w:val="28"/>
          <w:lang w:val="uk-UA"/>
        </w:rPr>
        <w:t>, </w:t>
      </w:r>
      <w:hyperlink r:id="rId9" w:tgtFrame="_blank" w:history="1">
        <w:r w:rsidRPr="00DE0BD9">
          <w:rPr>
            <w:rFonts w:ascii="Times New Roman" w:hAnsi="Times New Roman" w:cs="Times New Roman"/>
            <w:sz w:val="28"/>
            <w:szCs w:val="28"/>
            <w:lang w:val="uk-UA"/>
          </w:rPr>
          <w:t>«Про інформацію»</w:t>
        </w:r>
      </w:hyperlink>
      <w:r w:rsidRPr="00DE0BD9">
        <w:rPr>
          <w:rFonts w:ascii="Times New Roman" w:hAnsi="Times New Roman" w:cs="Times New Roman"/>
          <w:sz w:val="28"/>
          <w:szCs w:val="28"/>
          <w:lang w:val="uk-UA"/>
        </w:rPr>
        <w:t>, </w:t>
      </w:r>
      <w:hyperlink r:id="rId10" w:tgtFrame="_blank" w:history="1">
        <w:r w:rsidRPr="00DE0BD9">
          <w:rPr>
            <w:rFonts w:ascii="Times New Roman" w:hAnsi="Times New Roman" w:cs="Times New Roman"/>
            <w:sz w:val="28"/>
            <w:szCs w:val="28"/>
            <w:lang w:val="uk-UA"/>
          </w:rPr>
          <w:t>«Про доступ до публічної інформації»</w:t>
        </w:r>
      </w:hyperlink>
      <w:r w:rsidRPr="00DE0BD9">
        <w:rPr>
          <w:rFonts w:ascii="Times New Roman" w:hAnsi="Times New Roman" w:cs="Times New Roman"/>
          <w:sz w:val="28"/>
          <w:szCs w:val="28"/>
          <w:lang w:val="uk-UA"/>
        </w:rPr>
        <w:t>;</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DE0BD9">
        <w:rPr>
          <w:rFonts w:ascii="Times New Roman" w:hAnsi="Times New Roman" w:cs="Times New Roman"/>
          <w:sz w:val="28"/>
          <w:szCs w:val="28"/>
        </w:rPr>
        <w:t xml:space="preserve"> </w:t>
      </w:r>
      <w:r w:rsidRPr="00DE0BD9">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2. Порядок та термін надання інформації</w:t>
      </w:r>
    </w:p>
    <w:p w:rsidR="00DE0BD9" w:rsidRPr="00DE0BD9" w:rsidRDefault="00DE0BD9" w:rsidP="00DE0BD9">
      <w:pPr>
        <w:spacing w:after="0" w:line="276" w:lineRule="auto"/>
        <w:jc w:val="both"/>
        <w:rPr>
          <w:rFonts w:ascii="Times New Roman" w:hAnsi="Times New Roman" w:cs="Times New Roman"/>
          <w:sz w:val="24"/>
          <w:szCs w:val="28"/>
          <w:lang w:val="uk-UA"/>
        </w:rPr>
      </w:pPr>
    </w:p>
    <w:p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bookmarkStart w:id="2" w:name="_Hlk153963669"/>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p>
    <w:p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11</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rPr>
      </w:pP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w:t>
      </w:r>
      <w:r w:rsidRPr="00665D42">
        <w:rPr>
          <w:rFonts w:ascii="Times New Roman" w:eastAsia="Calibri" w:hAnsi="Times New Roman" w:cs="Times New Roman"/>
          <w:sz w:val="28"/>
          <w:szCs w:val="28"/>
          <w:shd w:val="clear" w:color="auto" w:fill="FFFFFF"/>
          <w:lang w:val="uk-UA"/>
        </w:rPr>
        <w:lastRenderedPageBreak/>
        <w:t xml:space="preserve">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до НКРЕКП.</w:t>
      </w:r>
    </w:p>
    <w:p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p>
    <w:p w:rsidR="00EE7401" w:rsidRPr="00665D42" w:rsidRDefault="00EE7401" w:rsidP="00EE7401">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11</w:t>
      </w:r>
      <w:r w:rsidRPr="00665D42">
        <w:rPr>
          <w:rFonts w:ascii="Times New Roman" w:eastAsia="Times New Roman" w:hAnsi="Times New Roman" w:cs="Times New Roman"/>
          <w:sz w:val="28"/>
          <w:szCs w:val="28"/>
          <w:lang w:val="uk-UA" w:eastAsia="uk-UA"/>
        </w:rPr>
        <w:t xml:space="preserve">. </w:t>
      </w:r>
    </w:p>
    <w:p w:rsidR="00EE7401" w:rsidRPr="00665D42" w:rsidRDefault="00EE7401" w:rsidP="00EE7401">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11</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EE7401" w:rsidRPr="000B2A6D" w:rsidRDefault="00EE7401" w:rsidP="00EE7401">
      <w:pPr>
        <w:tabs>
          <w:tab w:val="left" w:pos="993"/>
        </w:tabs>
        <w:spacing w:after="0" w:line="276" w:lineRule="auto"/>
        <w:ind w:firstLine="567"/>
        <w:jc w:val="both"/>
        <w:rPr>
          <w:sz w:val="28"/>
          <w:szCs w:val="28"/>
        </w:rPr>
      </w:pPr>
    </w:p>
    <w:p w:rsidR="00EE7401" w:rsidRPr="00665D42"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84720A">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11</w:t>
      </w:r>
      <w:r w:rsidRPr="0084720A">
        <w:rPr>
          <w:rFonts w:ascii="Times New Roman" w:hAnsi="Times New Roman" w:cs="Times New Roman"/>
          <w:sz w:val="28"/>
          <w:szCs w:val="28"/>
          <w:lang w:val="uk-UA"/>
        </w:rPr>
        <w:t xml:space="preserve"> наводяться без урахування податку на додану вартість (далі – ПДВ).</w:t>
      </w:r>
    </w:p>
    <w:p w:rsidR="00EE7401" w:rsidRPr="006031A3" w:rsidRDefault="00EE7401" w:rsidP="00EE7401">
      <w:pPr>
        <w:tabs>
          <w:tab w:val="left" w:pos="993"/>
        </w:tabs>
        <w:spacing w:after="0" w:line="276" w:lineRule="auto"/>
        <w:ind w:firstLine="567"/>
        <w:jc w:val="both"/>
        <w:rPr>
          <w:rFonts w:ascii="Times New Roman" w:hAnsi="Times New Roman" w:cs="Times New Roman"/>
          <w:sz w:val="28"/>
          <w:szCs w:val="28"/>
          <w:lang w:val="uk-UA"/>
        </w:rPr>
      </w:pPr>
    </w:p>
    <w:p w:rsidR="00EE7401" w:rsidRPr="00665D42"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EE7401" w:rsidRPr="00454176" w:rsidRDefault="00EE7401" w:rsidP="00EE7401">
      <w:pPr>
        <w:tabs>
          <w:tab w:val="left" w:pos="993"/>
        </w:tabs>
        <w:spacing w:after="0" w:line="276" w:lineRule="auto"/>
        <w:ind w:firstLine="709"/>
        <w:jc w:val="both"/>
        <w:rPr>
          <w:sz w:val="28"/>
          <w:szCs w:val="28"/>
          <w:lang w:val="uk-UA"/>
        </w:rPr>
      </w:pPr>
    </w:p>
    <w:p w:rsidR="00EE7401" w:rsidRPr="00665D42"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3" w:name="_Hlk86242544"/>
      <w:bookmarkStart w:id="4"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Pr="00665D42">
        <w:rPr>
          <w:rFonts w:ascii="Times New Roman" w:hAnsi="Times New Roman" w:cs="Times New Roman"/>
          <w:sz w:val="28"/>
          <w:szCs w:val="28"/>
          <w:lang w:val="uk-UA"/>
        </w:rPr>
        <w:t xml:space="preserve"> </w:t>
      </w:r>
      <w:bookmarkEnd w:id="4"/>
      <w:r w:rsidRPr="00665D42">
        <w:rPr>
          <w:rFonts w:ascii="Times New Roman" w:hAnsi="Times New Roman" w:cs="Times New Roman"/>
          <w:sz w:val="28"/>
          <w:szCs w:val="28"/>
          <w:lang w:val="uk-UA"/>
        </w:rPr>
        <w:t>в якому зазначаються причини внесення змін.</w:t>
      </w:r>
    </w:p>
    <w:p w:rsidR="00DE0BD9" w:rsidRPr="00DE0BD9" w:rsidRDefault="00DE0BD9" w:rsidP="00DE0BD9">
      <w:pPr>
        <w:spacing w:after="0" w:line="276" w:lineRule="auto"/>
        <w:jc w:val="both"/>
        <w:rPr>
          <w:rFonts w:ascii="Times New Roman" w:hAnsi="Times New Roman" w:cs="Times New Roman"/>
          <w:sz w:val="20"/>
          <w:szCs w:val="28"/>
          <w:lang w:val="uk-UA"/>
        </w:rPr>
      </w:pPr>
      <w:bookmarkStart w:id="5" w:name="_GoBack"/>
      <w:bookmarkEnd w:id="2"/>
      <w:bookmarkEnd w:id="5"/>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3. Порядок заповнення форми звітності № 11</w:t>
      </w:r>
    </w:p>
    <w:p w:rsidR="00DE0BD9" w:rsidRPr="00DE0BD9" w:rsidRDefault="00DE0BD9" w:rsidP="00DE0BD9">
      <w:pPr>
        <w:spacing w:after="0" w:line="276" w:lineRule="auto"/>
        <w:jc w:val="center"/>
        <w:rPr>
          <w:rFonts w:ascii="Times New Roman" w:hAnsi="Times New Roman" w:cs="Times New Roman"/>
          <w:b/>
          <w:sz w:val="20"/>
          <w:szCs w:val="28"/>
          <w:lang w:val="uk-UA"/>
        </w:rPr>
      </w:pP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en-US"/>
        </w:rPr>
        <w:t>3</w:t>
      </w:r>
      <w:r>
        <w:rPr>
          <w:rFonts w:ascii="Times New Roman" w:hAnsi="Times New Roman" w:cs="Times New Roman"/>
          <w:sz w:val="28"/>
          <w:szCs w:val="28"/>
          <w:lang w:val="uk-UA"/>
        </w:rPr>
        <w:t>.1. У розділі І «</w:t>
      </w:r>
      <w:r w:rsidRPr="00454176">
        <w:rPr>
          <w:rFonts w:ascii="Times New Roman" w:hAnsi="Times New Roman" w:cs="Times New Roman"/>
          <w:sz w:val="28"/>
          <w:szCs w:val="28"/>
          <w:lang w:val="uk-UA"/>
        </w:rPr>
        <w:t xml:space="preserve">Інформація щодо зміни </w:t>
      </w:r>
      <w:proofErr w:type="spellStart"/>
      <w:r w:rsidRPr="00454176">
        <w:rPr>
          <w:rFonts w:ascii="Times New Roman" w:hAnsi="Times New Roman" w:cs="Times New Roman"/>
          <w:sz w:val="28"/>
          <w:szCs w:val="28"/>
          <w:lang w:val="uk-UA"/>
        </w:rPr>
        <w:t>електропостачальника</w:t>
      </w:r>
      <w:proofErr w:type="spellEnd"/>
      <w:r w:rsidRPr="00454176">
        <w:rPr>
          <w:rFonts w:ascii="Times New Roman" w:hAnsi="Times New Roman" w:cs="Times New Roman"/>
          <w:sz w:val="28"/>
          <w:szCs w:val="28"/>
          <w:lang w:val="uk-UA"/>
        </w:rPr>
        <w:t xml:space="preserve"> на постачальника «останньої надії»</w:t>
      </w:r>
      <w:r>
        <w:rPr>
          <w:rFonts w:ascii="Times New Roman" w:hAnsi="Times New Roman" w:cs="Times New Roman"/>
          <w:sz w:val="28"/>
          <w:szCs w:val="28"/>
          <w:lang w:val="uk-UA"/>
        </w:rPr>
        <w:t xml:space="preserve"> в</w:t>
      </w:r>
      <w:r w:rsidRPr="0063599D">
        <w:rPr>
          <w:rFonts w:ascii="Times New Roman" w:hAnsi="Times New Roman" w:cs="Times New Roman"/>
          <w:sz w:val="28"/>
          <w:szCs w:val="28"/>
          <w:lang w:val="uk-UA"/>
        </w:rPr>
        <w:t xml:space="preserve">ідображається інформація щодо зміни </w:t>
      </w:r>
      <w:proofErr w:type="spellStart"/>
      <w:r w:rsidRPr="0063599D">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відповідно до глави 6.2 розділу </w:t>
      </w:r>
      <w:r>
        <w:rPr>
          <w:rFonts w:ascii="Times New Roman" w:hAnsi="Times New Roman" w:cs="Times New Roman"/>
          <w:sz w:val="28"/>
          <w:szCs w:val="28"/>
          <w:lang w:val="en-US"/>
        </w:rPr>
        <w:t>VI</w:t>
      </w:r>
      <w:r>
        <w:rPr>
          <w:rFonts w:ascii="Times New Roman" w:hAnsi="Times New Roman" w:cs="Times New Roman"/>
          <w:sz w:val="28"/>
          <w:szCs w:val="28"/>
          <w:lang w:val="uk-UA"/>
        </w:rPr>
        <w:t xml:space="preserve"> ПРРЕЕ, які були реалізовані протягом звітного року та адмініструвалися адміністратором комерційного обліку:</w:t>
      </w: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t>1) у графі 1</w:t>
      </w:r>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 xml:space="preserve">Кількість </w:t>
      </w:r>
      <w:r>
        <w:rPr>
          <w:rFonts w:ascii="Times New Roman" w:hAnsi="Times New Roman" w:cs="Times New Roman"/>
          <w:sz w:val="28"/>
          <w:szCs w:val="28"/>
          <w:lang w:val="uk-UA"/>
        </w:rPr>
        <w:t xml:space="preserve">переведень </w:t>
      </w:r>
      <w:r w:rsidRPr="00454176">
        <w:rPr>
          <w:rFonts w:ascii="Times New Roman" w:hAnsi="Times New Roman" w:cs="Times New Roman"/>
          <w:sz w:val="28"/>
          <w:szCs w:val="28"/>
          <w:lang w:val="uk-UA"/>
        </w:rPr>
        <w:t>споживачів, яких було переведено на постачальника «останньої надії</w:t>
      </w:r>
      <w:r>
        <w:rPr>
          <w:rFonts w:ascii="Times New Roman" w:hAnsi="Times New Roman" w:cs="Times New Roman"/>
          <w:sz w:val="28"/>
          <w:szCs w:val="28"/>
          <w:lang w:val="uk-UA"/>
        </w:rPr>
        <w:t>» зазначається кількість здійснених переведень споживачів на постачальника «останньої надії». У випадку переведення одного і того ж споживача декілька разів на постачальника «останньої надії» протягом звітного року, у графі 1 вказується кількість таких переведень;</w:t>
      </w:r>
    </w:p>
    <w:p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t>2) у графі 2</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Кількість точок комерційного обліку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кількість точок комерційного обліку споживачів</w:t>
      </w:r>
      <w:r w:rsidRPr="00513D35">
        <w:rPr>
          <w:rFonts w:ascii="Times New Roman" w:hAnsi="Times New Roman" w:cs="Times New Roman"/>
          <w:sz w:val="28"/>
          <w:szCs w:val="28"/>
          <w:lang w:val="uk-UA"/>
        </w:rPr>
        <w:t>, 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2 кількість точок комерційного обліку такого споживача вказуються один раз;</w:t>
      </w:r>
    </w:p>
    <w:p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3) у графі 3</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Річний (фактичний) обсяг споживання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w:t>
      </w:r>
      <w:r w:rsidRPr="0063599D">
        <w:rPr>
          <w:rFonts w:ascii="Times New Roman" w:hAnsi="Times New Roman" w:cs="Times New Roman"/>
          <w:sz w:val="28"/>
          <w:szCs w:val="28"/>
          <w:lang w:val="uk-UA"/>
        </w:rPr>
        <w:t>фактичний річний обсяг споживання споживачами,</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3 </w:t>
      </w:r>
      <w:r w:rsidRPr="0063599D">
        <w:rPr>
          <w:rFonts w:ascii="Times New Roman" w:hAnsi="Times New Roman" w:cs="Times New Roman"/>
          <w:sz w:val="28"/>
          <w:szCs w:val="28"/>
          <w:lang w:val="uk-UA"/>
        </w:rPr>
        <w:t xml:space="preserve">фактичний річний обсяг споживання </w:t>
      </w:r>
      <w:r>
        <w:rPr>
          <w:rFonts w:ascii="Times New Roman" w:hAnsi="Times New Roman" w:cs="Times New Roman"/>
          <w:sz w:val="28"/>
          <w:szCs w:val="28"/>
          <w:lang w:val="uk-UA"/>
        </w:rPr>
        <w:t>такого споживача вказуються один раз;</w:t>
      </w:r>
    </w:p>
    <w:p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4) у граф</w:t>
      </w:r>
      <w:r>
        <w:rPr>
          <w:rFonts w:ascii="Times New Roman" w:hAnsi="Times New Roman" w:cs="Times New Roman"/>
          <w:sz w:val="28"/>
          <w:szCs w:val="28"/>
          <w:lang w:val="uk-UA"/>
        </w:rPr>
        <w:t>ах</w:t>
      </w:r>
      <w:r w:rsidRPr="00513D35">
        <w:rPr>
          <w:rFonts w:ascii="Times New Roman" w:hAnsi="Times New Roman" w:cs="Times New Roman"/>
          <w:sz w:val="28"/>
          <w:szCs w:val="28"/>
          <w:lang w:val="uk-UA"/>
        </w:rPr>
        <w:t xml:space="preserve"> 4</w:t>
      </w:r>
      <w:r>
        <w:rPr>
          <w:rFonts w:ascii="Times New Roman" w:hAnsi="Times New Roman" w:cs="Times New Roman"/>
          <w:sz w:val="28"/>
          <w:szCs w:val="28"/>
          <w:lang w:val="uk-UA"/>
        </w:rPr>
        <w:t xml:space="preserve"> – 8 «</w:t>
      </w:r>
      <w:r w:rsidRPr="00513D35">
        <w:rPr>
          <w:rFonts w:ascii="Times New Roman" w:hAnsi="Times New Roman" w:cs="Times New Roman"/>
          <w:sz w:val="28"/>
          <w:szCs w:val="28"/>
          <w:lang w:val="uk-UA"/>
        </w:rPr>
        <w:t>Підстави для переведення споживачів на постачальника «останньої надії»:</w:t>
      </w:r>
      <w:r>
        <w:rPr>
          <w:rFonts w:ascii="Times New Roman" w:hAnsi="Times New Roman" w:cs="Times New Roman"/>
          <w:sz w:val="28"/>
          <w:szCs w:val="28"/>
          <w:lang w:val="uk-UA"/>
        </w:rPr>
        <w:t xml:space="preserve">» зазначаються підстави з яких споживачів було переведено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w:t>
      </w:r>
    </w:p>
    <w:p w:rsidR="00EE7401" w:rsidRDefault="00EE7401" w:rsidP="00EE7401">
      <w:pPr>
        <w:pStyle w:val="a4"/>
        <w:spacing w:after="0" w:line="276" w:lineRule="auto"/>
        <w:ind w:left="0"/>
        <w:jc w:val="both"/>
        <w:rPr>
          <w:rFonts w:ascii="Times New Roman" w:hAnsi="Times New Roman" w:cs="Times New Roman"/>
          <w:sz w:val="28"/>
          <w:szCs w:val="28"/>
          <w:lang w:val="uk-UA"/>
        </w:rPr>
      </w:pPr>
    </w:p>
    <w:p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4720A">
        <w:rPr>
          <w:rFonts w:ascii="Times New Roman" w:hAnsi="Times New Roman" w:cs="Times New Roman"/>
          <w:sz w:val="28"/>
          <w:szCs w:val="28"/>
          <w:lang w:val="uk-UA"/>
        </w:rPr>
        <w:t xml:space="preserve">у рядку 005 «Споживачі, усього, у тому числі:» відображається сумарна інформація щодо зміни споживачами </w:t>
      </w:r>
      <w:proofErr w:type="spellStart"/>
      <w:r w:rsidRPr="0084720A">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на постачальника «останньої надії»</w:t>
      </w:r>
      <w:r w:rsidRPr="0084720A">
        <w:rPr>
          <w:rFonts w:ascii="Times New Roman" w:hAnsi="Times New Roman" w:cs="Times New Roman"/>
          <w:sz w:val="28"/>
          <w:szCs w:val="28"/>
          <w:lang w:val="uk-UA"/>
        </w:rPr>
        <w:t>. Значення цього рядка дорівнює сумі значень рядків 010 та 025;</w:t>
      </w:r>
    </w:p>
    <w:p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p>
    <w:p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63599D">
        <w:rPr>
          <w:rFonts w:ascii="Times New Roman" w:hAnsi="Times New Roman" w:cs="Times New Roman"/>
          <w:sz w:val="28"/>
          <w:szCs w:val="28"/>
          <w:lang w:val="uk-UA"/>
        </w:rPr>
        <w:t xml:space="preserve">у рядку 010 «побутові, з них:» відображаються сумарні дані щодо зміни </w:t>
      </w:r>
      <w:proofErr w:type="spellStart"/>
      <w:r w:rsidRPr="0063599D">
        <w:rPr>
          <w:rFonts w:ascii="Times New Roman" w:hAnsi="Times New Roman" w:cs="Times New Roman"/>
          <w:sz w:val="28"/>
          <w:szCs w:val="28"/>
          <w:lang w:val="uk-UA"/>
        </w:rPr>
        <w:t>електропостачальника</w:t>
      </w:r>
      <w:proofErr w:type="spellEnd"/>
      <w:r w:rsidRPr="0063599D">
        <w:rPr>
          <w:rFonts w:ascii="Times New Roman" w:hAnsi="Times New Roman" w:cs="Times New Roman"/>
          <w:sz w:val="28"/>
          <w:szCs w:val="28"/>
          <w:lang w:val="uk-UA"/>
        </w:rPr>
        <w:t xml:space="preserve"> побутовими споживачами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w:t>
      </w:r>
      <w:r w:rsidRPr="0063599D">
        <w:rPr>
          <w:rFonts w:ascii="Times New Roman" w:hAnsi="Times New Roman" w:cs="Times New Roman"/>
          <w:sz w:val="28"/>
          <w:szCs w:val="28"/>
          <w:lang w:val="uk-UA"/>
        </w:rPr>
        <w:t>та за категоріями побутових споживачів (рядки 015 – 020). Значення цього рядка дорівнює сумі значень рядків 015 та 020;</w:t>
      </w:r>
    </w:p>
    <w:p w:rsidR="00EE7401" w:rsidRDefault="00EE7401" w:rsidP="00EE7401">
      <w:pPr>
        <w:tabs>
          <w:tab w:val="left" w:pos="1134"/>
        </w:tabs>
        <w:spacing w:after="0" w:line="276" w:lineRule="auto"/>
        <w:jc w:val="both"/>
        <w:rPr>
          <w:rFonts w:ascii="Times New Roman" w:hAnsi="Times New Roman" w:cs="Times New Roman"/>
          <w:sz w:val="28"/>
          <w:szCs w:val="28"/>
          <w:lang w:val="uk-UA"/>
        </w:rPr>
      </w:pPr>
    </w:p>
    <w:p w:rsidR="00EE7401" w:rsidRPr="0084720A"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84720A">
        <w:rPr>
          <w:rFonts w:ascii="Times New Roman" w:hAnsi="Times New Roman" w:cs="Times New Roman"/>
          <w:sz w:val="28"/>
          <w:szCs w:val="28"/>
          <w:lang w:val="uk-UA"/>
        </w:rPr>
        <w:t xml:space="preserve">7) у рядку 025 «непобутові» відображаються сумарні дані щодо зміни </w:t>
      </w:r>
      <w:proofErr w:type="spellStart"/>
      <w:r w:rsidRPr="0084720A">
        <w:rPr>
          <w:rFonts w:ascii="Times New Roman" w:hAnsi="Times New Roman" w:cs="Times New Roman"/>
          <w:sz w:val="28"/>
          <w:szCs w:val="28"/>
          <w:lang w:val="uk-UA"/>
        </w:rPr>
        <w:t>електропостачальника</w:t>
      </w:r>
      <w:proofErr w:type="spellEnd"/>
      <w:r w:rsidRPr="0084720A">
        <w:rPr>
          <w:rFonts w:ascii="Times New Roman" w:hAnsi="Times New Roman" w:cs="Times New Roman"/>
          <w:sz w:val="28"/>
          <w:szCs w:val="28"/>
          <w:lang w:val="uk-UA"/>
        </w:rPr>
        <w:t xml:space="preserve"> непобутовими споживачами </w:t>
      </w:r>
      <w:r w:rsidRPr="00513D35">
        <w:rPr>
          <w:rFonts w:ascii="Times New Roman" w:hAnsi="Times New Roman" w:cs="Times New Roman"/>
          <w:sz w:val="28"/>
          <w:szCs w:val="28"/>
          <w:lang w:val="uk-UA"/>
        </w:rPr>
        <w:t xml:space="preserve">на постачальника </w:t>
      </w:r>
      <w:r w:rsidRPr="00513D35">
        <w:rPr>
          <w:rFonts w:ascii="Times New Roman" w:hAnsi="Times New Roman" w:cs="Times New Roman"/>
          <w:sz w:val="28"/>
          <w:szCs w:val="28"/>
          <w:lang w:val="uk-UA"/>
        </w:rPr>
        <w:lastRenderedPageBreak/>
        <w:t>«останньої надії»</w:t>
      </w:r>
      <w:r>
        <w:rPr>
          <w:rFonts w:ascii="Times New Roman" w:hAnsi="Times New Roman" w:cs="Times New Roman"/>
          <w:sz w:val="28"/>
          <w:szCs w:val="28"/>
          <w:lang w:val="uk-UA"/>
        </w:rPr>
        <w:t xml:space="preserve"> </w:t>
      </w:r>
      <w:r w:rsidRPr="0084720A">
        <w:rPr>
          <w:rFonts w:ascii="Times New Roman" w:hAnsi="Times New Roman" w:cs="Times New Roman"/>
          <w:sz w:val="28"/>
          <w:szCs w:val="28"/>
          <w:lang w:val="uk-UA"/>
        </w:rPr>
        <w:t>та  за категоріями непобутових споживачів (рядки 030 – 055). Значення цього рядка дорівнює сумі значень рядків 030 та 045.</w:t>
      </w:r>
    </w:p>
    <w:p w:rsidR="00EE7401" w:rsidRPr="0084720A"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Pr="0063599D">
        <w:rPr>
          <w:rFonts w:ascii="Times New Roman" w:hAnsi="Times New Roman" w:cs="Times New Roman"/>
          <w:sz w:val="28"/>
          <w:szCs w:val="28"/>
          <w:lang w:val="uk-UA"/>
        </w:rPr>
        <w:t>У розділі І</w:t>
      </w:r>
      <w:r>
        <w:rPr>
          <w:rFonts w:ascii="Times New Roman" w:hAnsi="Times New Roman" w:cs="Times New Roman"/>
          <w:sz w:val="28"/>
          <w:szCs w:val="28"/>
          <w:lang w:val="uk-UA"/>
        </w:rPr>
        <w:t>І</w:t>
      </w:r>
      <w:r w:rsidRPr="0063599D">
        <w:rPr>
          <w:rFonts w:ascii="Times New Roman" w:hAnsi="Times New Roman" w:cs="Times New Roman"/>
          <w:sz w:val="28"/>
          <w:szCs w:val="28"/>
          <w:lang w:val="uk-UA"/>
        </w:rPr>
        <w:t xml:space="preserve"> «</w:t>
      </w:r>
      <w:r w:rsidRPr="006031A3">
        <w:rPr>
          <w:rFonts w:ascii="Times New Roman" w:hAnsi="Times New Roman" w:cs="Times New Roman"/>
          <w:sz w:val="28"/>
          <w:szCs w:val="28"/>
          <w:lang w:val="uk-UA"/>
        </w:rPr>
        <w:t xml:space="preserve">Інформація щодо зміни </w:t>
      </w:r>
      <w:proofErr w:type="spellStart"/>
      <w:r w:rsidRPr="006031A3">
        <w:rPr>
          <w:rFonts w:ascii="Times New Roman" w:hAnsi="Times New Roman" w:cs="Times New Roman"/>
          <w:sz w:val="28"/>
          <w:szCs w:val="28"/>
          <w:lang w:val="uk-UA"/>
        </w:rPr>
        <w:t>електропостачальника</w:t>
      </w:r>
      <w:proofErr w:type="spellEnd"/>
      <w:r w:rsidRPr="006031A3">
        <w:rPr>
          <w:rFonts w:ascii="Times New Roman" w:hAnsi="Times New Roman" w:cs="Times New Roman"/>
          <w:sz w:val="28"/>
          <w:szCs w:val="28"/>
          <w:lang w:val="uk-UA"/>
        </w:rPr>
        <w:t xml:space="preserve">  за ініціативою споживачів</w:t>
      </w:r>
      <w:r w:rsidRPr="0063599D">
        <w:rPr>
          <w:rFonts w:ascii="Times New Roman" w:hAnsi="Times New Roman" w:cs="Times New Roman"/>
          <w:sz w:val="28"/>
          <w:szCs w:val="28"/>
          <w:lang w:val="uk-UA"/>
        </w:rPr>
        <w:t xml:space="preserve">»  відображається інформація щодо </w:t>
      </w:r>
      <w:r>
        <w:rPr>
          <w:rFonts w:ascii="Times New Roman" w:hAnsi="Times New Roman" w:cs="Times New Roman"/>
          <w:sz w:val="28"/>
          <w:szCs w:val="28"/>
          <w:lang w:val="uk-UA"/>
        </w:rPr>
        <w:t xml:space="preserve">кожного повідомлення про </w:t>
      </w:r>
      <w:r w:rsidRPr="0063599D">
        <w:rPr>
          <w:rFonts w:ascii="Times New Roman" w:hAnsi="Times New Roman" w:cs="Times New Roman"/>
          <w:sz w:val="28"/>
          <w:szCs w:val="28"/>
          <w:lang w:val="uk-UA"/>
        </w:rPr>
        <w:t>змін</w:t>
      </w:r>
      <w:r>
        <w:rPr>
          <w:rFonts w:ascii="Times New Roman" w:hAnsi="Times New Roman" w:cs="Times New Roman"/>
          <w:sz w:val="28"/>
          <w:szCs w:val="28"/>
          <w:lang w:val="uk-UA"/>
        </w:rPr>
        <w:t>у</w:t>
      </w:r>
      <w:r w:rsidRPr="0063599D">
        <w:rPr>
          <w:rFonts w:ascii="Times New Roman" w:hAnsi="Times New Roman" w:cs="Times New Roman"/>
          <w:sz w:val="28"/>
          <w:szCs w:val="28"/>
          <w:lang w:val="uk-UA"/>
        </w:rPr>
        <w:t xml:space="preserve"> </w:t>
      </w:r>
      <w:proofErr w:type="spellStart"/>
      <w:r w:rsidRPr="0063599D">
        <w:rPr>
          <w:rFonts w:ascii="Times New Roman" w:hAnsi="Times New Roman" w:cs="Times New Roman"/>
          <w:sz w:val="28"/>
          <w:szCs w:val="28"/>
          <w:lang w:val="uk-UA"/>
        </w:rPr>
        <w:t>електропостачальника</w:t>
      </w:r>
      <w:proofErr w:type="spellEnd"/>
      <w:r w:rsidRPr="004541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ініціативою споживача відповідно до глави 6.1 розділу </w:t>
      </w:r>
      <w:r>
        <w:rPr>
          <w:rFonts w:ascii="Times New Roman" w:hAnsi="Times New Roman" w:cs="Times New Roman"/>
          <w:sz w:val="28"/>
          <w:szCs w:val="28"/>
          <w:lang w:val="en-US"/>
        </w:rPr>
        <w:t>VI</w:t>
      </w:r>
      <w:r>
        <w:rPr>
          <w:rFonts w:ascii="Times New Roman" w:hAnsi="Times New Roman" w:cs="Times New Roman"/>
          <w:sz w:val="28"/>
          <w:szCs w:val="28"/>
          <w:lang w:val="uk-UA"/>
        </w:rPr>
        <w:t xml:space="preserve"> ПРРЕЕ, які були реалізовані протягом звітного року та адмініструвалися адміністратором комерційного обліку:</w:t>
      </w:r>
    </w:p>
    <w:p w:rsidR="00EE7401" w:rsidRPr="0084720A" w:rsidRDefault="00EE7401" w:rsidP="00EE7401">
      <w:pPr>
        <w:pStyle w:val="a4"/>
        <w:tabs>
          <w:tab w:val="left" w:pos="851"/>
        </w:tabs>
        <w:spacing w:after="0" w:line="276" w:lineRule="auto"/>
        <w:ind w:left="0" w:firstLine="709"/>
        <w:jc w:val="both"/>
        <w:rPr>
          <w:rFonts w:ascii="Times New Roman" w:hAnsi="Times New Roman" w:cs="Times New Roman"/>
          <w:sz w:val="24"/>
          <w:szCs w:val="28"/>
          <w:lang w:val="uk-UA"/>
        </w:rPr>
      </w:pPr>
    </w:p>
    <w:p w:rsidR="00EE7401" w:rsidRDefault="00EE7401" w:rsidP="00EE7401">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 </w:t>
      </w:r>
      <w:r w:rsidRPr="0084720A">
        <w:rPr>
          <w:rFonts w:ascii="Times New Roman" w:hAnsi="Times New Roman" w:cs="Times New Roman"/>
          <w:sz w:val="28"/>
          <w:szCs w:val="28"/>
          <w:lang w:val="uk-UA"/>
        </w:rPr>
        <w:t xml:space="preserve">у графі Б «ПІБ споживача/найменування компанії, який(-а) подав(-ла) повідомлення про намір укласти новий договір з новим </w:t>
      </w:r>
      <w:proofErr w:type="spellStart"/>
      <w:r w:rsidRPr="0084720A">
        <w:rPr>
          <w:rFonts w:ascii="Times New Roman" w:hAnsi="Times New Roman" w:cs="Times New Roman"/>
          <w:sz w:val="28"/>
          <w:szCs w:val="28"/>
          <w:lang w:val="uk-UA"/>
        </w:rPr>
        <w:t>електропостачальником</w:t>
      </w:r>
      <w:proofErr w:type="spellEnd"/>
      <w:r w:rsidRPr="0084720A">
        <w:rPr>
          <w:rFonts w:ascii="Times New Roman" w:hAnsi="Times New Roman" w:cs="Times New Roman"/>
          <w:sz w:val="28"/>
          <w:szCs w:val="28"/>
          <w:lang w:val="uk-UA"/>
        </w:rPr>
        <w:t xml:space="preserve">» зазначається прізвище, ім’я, по батькові споживача (для фізичних осіб) або найменування компанії (для юридичних осіб), які подали повідомлення про намір укласти новий договір з новим </w:t>
      </w:r>
      <w:proofErr w:type="spellStart"/>
      <w:r w:rsidRPr="0084720A">
        <w:rPr>
          <w:rFonts w:ascii="Times New Roman" w:hAnsi="Times New Roman" w:cs="Times New Roman"/>
          <w:sz w:val="28"/>
          <w:szCs w:val="28"/>
          <w:lang w:val="uk-UA"/>
        </w:rPr>
        <w:t>електропостачальником</w:t>
      </w:r>
      <w:proofErr w:type="spellEnd"/>
      <w:r w:rsidRPr="0084720A">
        <w:rPr>
          <w:rFonts w:ascii="Times New Roman" w:hAnsi="Times New Roman" w:cs="Times New Roman"/>
          <w:sz w:val="28"/>
          <w:szCs w:val="28"/>
          <w:lang w:val="uk-UA"/>
        </w:rPr>
        <w:t xml:space="preserve"> за даними запитів щодо зміни </w:t>
      </w:r>
      <w:proofErr w:type="spellStart"/>
      <w:r w:rsidRPr="0084720A">
        <w:rPr>
          <w:rFonts w:ascii="Times New Roman" w:hAnsi="Times New Roman" w:cs="Times New Roman"/>
          <w:sz w:val="28"/>
          <w:szCs w:val="28"/>
          <w:lang w:val="uk-UA"/>
        </w:rPr>
        <w:t>електропостачальника</w:t>
      </w:r>
      <w:proofErr w:type="spellEnd"/>
      <w:r w:rsidRPr="0084720A">
        <w:rPr>
          <w:rFonts w:ascii="Times New Roman" w:hAnsi="Times New Roman" w:cs="Times New Roman"/>
          <w:sz w:val="28"/>
          <w:szCs w:val="28"/>
          <w:lang w:val="uk-UA"/>
        </w:rPr>
        <w:t xml:space="preserve"> від нових електропостачальників. У випадку ініціювання зміни </w:t>
      </w:r>
      <w:proofErr w:type="spellStart"/>
      <w:r w:rsidRPr="0084720A">
        <w:rPr>
          <w:rFonts w:ascii="Times New Roman" w:hAnsi="Times New Roman" w:cs="Times New Roman"/>
          <w:sz w:val="28"/>
          <w:szCs w:val="28"/>
          <w:lang w:val="uk-UA"/>
        </w:rPr>
        <w:t>електропостачальника</w:t>
      </w:r>
      <w:proofErr w:type="spellEnd"/>
      <w:r w:rsidRPr="0084720A">
        <w:rPr>
          <w:rFonts w:ascii="Times New Roman" w:hAnsi="Times New Roman" w:cs="Times New Roman"/>
          <w:sz w:val="28"/>
          <w:szCs w:val="28"/>
          <w:lang w:val="uk-UA"/>
        </w:rPr>
        <w:t xml:space="preserve"> одним і тим же споживачем декілька разів, у графі Б вказується кількість таких повідомлень (ініціювань);</w:t>
      </w:r>
    </w:p>
    <w:p w:rsidR="00EE7401" w:rsidRPr="0084720A" w:rsidRDefault="00EE7401" w:rsidP="00EE7401">
      <w:pPr>
        <w:tabs>
          <w:tab w:val="left" w:pos="0"/>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2) </w:t>
      </w:r>
      <w:r w:rsidRPr="00B62544">
        <w:rPr>
          <w:rFonts w:ascii="Times New Roman" w:hAnsi="Times New Roman" w:cs="Times New Roman"/>
          <w:sz w:val="28"/>
          <w:szCs w:val="28"/>
          <w:lang w:val="uk-UA"/>
        </w:rPr>
        <w:t xml:space="preserve">у графі 1 «РНОКПП/код ЄДРПОУ» </w:t>
      </w:r>
      <w:r>
        <w:rPr>
          <w:rFonts w:ascii="Times New Roman" w:hAnsi="Times New Roman" w:cs="Times New Roman"/>
          <w:sz w:val="28"/>
          <w:szCs w:val="28"/>
          <w:lang w:val="uk-UA"/>
        </w:rPr>
        <w:t>зазначається р</w:t>
      </w:r>
      <w:r w:rsidRPr="00EA61C3">
        <w:rPr>
          <w:rFonts w:ascii="Times New Roman" w:hAnsi="Times New Roman" w:cs="Times New Roman"/>
          <w:sz w:val="28"/>
          <w:szCs w:val="28"/>
          <w:lang w:val="uk-UA"/>
        </w:rPr>
        <w:t>еєстраційний номер облікової картки платника податків</w:t>
      </w:r>
      <w:r>
        <w:rPr>
          <w:rFonts w:ascii="Times New Roman" w:hAnsi="Times New Roman" w:cs="Times New Roman"/>
          <w:sz w:val="28"/>
          <w:szCs w:val="28"/>
          <w:lang w:val="uk-UA"/>
        </w:rPr>
        <w:t xml:space="preserve"> </w:t>
      </w:r>
      <w:r w:rsidRPr="00B62544">
        <w:rPr>
          <w:rFonts w:ascii="Times New Roman" w:hAnsi="Times New Roman" w:cs="Times New Roman"/>
          <w:sz w:val="28"/>
          <w:szCs w:val="28"/>
          <w:lang w:val="uk-UA"/>
        </w:rPr>
        <w:t>(для фізичних осіб)</w:t>
      </w:r>
      <w:r>
        <w:rPr>
          <w:rFonts w:ascii="Times New Roman" w:hAnsi="Times New Roman" w:cs="Times New Roman"/>
          <w:sz w:val="28"/>
          <w:szCs w:val="28"/>
          <w:lang w:val="uk-UA"/>
        </w:rPr>
        <w:t xml:space="preserve"> або код ЄДРПОУ </w:t>
      </w:r>
      <w:r w:rsidRPr="00B62544">
        <w:rPr>
          <w:rFonts w:ascii="Times New Roman" w:hAnsi="Times New Roman" w:cs="Times New Roman"/>
          <w:sz w:val="28"/>
          <w:szCs w:val="28"/>
          <w:lang w:val="uk-UA"/>
        </w:rPr>
        <w:t>(для юридичних осіб)</w:t>
      </w:r>
      <w:r>
        <w:rPr>
          <w:rFonts w:ascii="Times New Roman" w:hAnsi="Times New Roman" w:cs="Times New Roman"/>
          <w:sz w:val="28"/>
          <w:szCs w:val="28"/>
          <w:lang w:val="uk-UA"/>
        </w:rPr>
        <w:t xml:space="preserve"> відповідного споживача;</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3) у графі 2 «</w:t>
      </w:r>
      <w:r w:rsidRPr="00E56875">
        <w:rPr>
          <w:rFonts w:ascii="Times New Roman" w:hAnsi="Times New Roman" w:cs="Times New Roman"/>
          <w:sz w:val="28"/>
          <w:szCs w:val="28"/>
          <w:lang w:val="uk-UA"/>
        </w:rPr>
        <w:t>EIC-код(-и) площадки(-</w:t>
      </w:r>
      <w:proofErr w:type="spellStart"/>
      <w:r w:rsidRPr="00E56875">
        <w:rPr>
          <w:rFonts w:ascii="Times New Roman" w:hAnsi="Times New Roman" w:cs="Times New Roman"/>
          <w:sz w:val="28"/>
          <w:szCs w:val="28"/>
          <w:lang w:val="uk-UA"/>
        </w:rPr>
        <w:t>ок</w:t>
      </w:r>
      <w:proofErr w:type="spellEnd"/>
      <w:r w:rsidRPr="00E56875">
        <w:rPr>
          <w:rFonts w:ascii="Times New Roman" w:hAnsi="Times New Roman" w:cs="Times New Roman"/>
          <w:sz w:val="28"/>
          <w:szCs w:val="28"/>
          <w:lang w:val="uk-UA"/>
        </w:rPr>
        <w:t>) вимірювання споживача</w:t>
      </w:r>
      <w:r>
        <w:rPr>
          <w:rFonts w:ascii="Times New Roman" w:hAnsi="Times New Roman" w:cs="Times New Roman"/>
          <w:sz w:val="28"/>
          <w:szCs w:val="28"/>
          <w:lang w:val="uk-UA"/>
        </w:rPr>
        <w:t xml:space="preserve">» зазначається </w:t>
      </w:r>
      <w:r w:rsidRPr="00E56875">
        <w:rPr>
          <w:rFonts w:ascii="Times New Roman" w:hAnsi="Times New Roman" w:cs="Times New Roman"/>
          <w:sz w:val="28"/>
          <w:szCs w:val="28"/>
          <w:lang w:val="uk-UA"/>
        </w:rPr>
        <w:t>EIC-код(-и) площадки(-</w:t>
      </w:r>
      <w:proofErr w:type="spellStart"/>
      <w:r w:rsidRPr="00E56875">
        <w:rPr>
          <w:rFonts w:ascii="Times New Roman" w:hAnsi="Times New Roman" w:cs="Times New Roman"/>
          <w:sz w:val="28"/>
          <w:szCs w:val="28"/>
          <w:lang w:val="uk-UA"/>
        </w:rPr>
        <w:t>ок</w:t>
      </w:r>
      <w:proofErr w:type="spellEnd"/>
      <w:r w:rsidRPr="00E56875">
        <w:rPr>
          <w:rFonts w:ascii="Times New Roman" w:hAnsi="Times New Roman" w:cs="Times New Roman"/>
          <w:sz w:val="28"/>
          <w:szCs w:val="28"/>
          <w:lang w:val="uk-UA"/>
        </w:rPr>
        <w:t xml:space="preserve">) вимірювання </w:t>
      </w:r>
      <w:r>
        <w:rPr>
          <w:rFonts w:ascii="Times New Roman" w:hAnsi="Times New Roman" w:cs="Times New Roman"/>
          <w:sz w:val="28"/>
          <w:szCs w:val="28"/>
          <w:lang w:val="uk-UA"/>
        </w:rPr>
        <w:t xml:space="preserve">відповідного </w:t>
      </w:r>
      <w:r w:rsidRPr="00E56875">
        <w:rPr>
          <w:rFonts w:ascii="Times New Roman" w:hAnsi="Times New Roman" w:cs="Times New Roman"/>
          <w:sz w:val="28"/>
          <w:szCs w:val="28"/>
          <w:lang w:val="uk-UA"/>
        </w:rPr>
        <w:t>споживача</w:t>
      </w:r>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4) у графі 3 «</w:t>
      </w:r>
      <w:r w:rsidRPr="00E56875">
        <w:rPr>
          <w:rFonts w:ascii="Times New Roman" w:hAnsi="Times New Roman" w:cs="Times New Roman"/>
          <w:sz w:val="28"/>
          <w:szCs w:val="28"/>
          <w:lang w:val="uk-UA"/>
        </w:rPr>
        <w:t>Категорія споживача</w:t>
      </w:r>
      <w:r>
        <w:rPr>
          <w:rFonts w:ascii="Times New Roman" w:hAnsi="Times New Roman" w:cs="Times New Roman"/>
          <w:sz w:val="28"/>
          <w:szCs w:val="28"/>
          <w:lang w:val="uk-UA"/>
        </w:rPr>
        <w:t xml:space="preserve">» зазначається категорія відповідного споживача: </w:t>
      </w:r>
      <w:r w:rsidRPr="00E56875">
        <w:rPr>
          <w:rFonts w:ascii="Times New Roman" w:hAnsi="Times New Roman" w:cs="Times New Roman"/>
          <w:sz w:val="28"/>
          <w:szCs w:val="28"/>
          <w:lang w:val="uk-UA"/>
        </w:rPr>
        <w:t>індивідуальний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колективний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малий непобутовий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інший непобутовий споживач з потужністю вище 50 кВт</w:t>
      </w:r>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5) у графі 4 «</w:t>
      </w:r>
      <w:r w:rsidRPr="00E56875">
        <w:rPr>
          <w:rFonts w:ascii="Times New Roman" w:hAnsi="Times New Roman" w:cs="Times New Roman"/>
          <w:sz w:val="28"/>
          <w:szCs w:val="28"/>
          <w:lang w:val="uk-UA"/>
        </w:rPr>
        <w:t>Кількість точок комерційного обліку, од.</w:t>
      </w:r>
      <w:r>
        <w:rPr>
          <w:rFonts w:ascii="Times New Roman" w:hAnsi="Times New Roman" w:cs="Times New Roman"/>
          <w:sz w:val="28"/>
          <w:szCs w:val="28"/>
          <w:lang w:val="uk-UA"/>
        </w:rPr>
        <w:t>» зазначається кількість точок комерційного обліку відповідного споживача;</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6) у графі 5 «</w:t>
      </w:r>
      <w:r w:rsidRPr="00E56875">
        <w:rPr>
          <w:rFonts w:ascii="Times New Roman" w:hAnsi="Times New Roman" w:cs="Times New Roman"/>
          <w:sz w:val="28"/>
          <w:szCs w:val="28"/>
          <w:lang w:val="uk-UA"/>
        </w:rPr>
        <w:t xml:space="preserve">Річний (фактичний) обсяг споживання, тис. </w:t>
      </w:r>
      <w:proofErr w:type="spellStart"/>
      <w:r w:rsidRPr="00E56875">
        <w:rPr>
          <w:rFonts w:ascii="Times New Roman" w:hAnsi="Times New Roman" w:cs="Times New Roman"/>
          <w:sz w:val="28"/>
          <w:szCs w:val="28"/>
          <w:lang w:val="uk-UA"/>
        </w:rPr>
        <w:t>кВт·год</w:t>
      </w:r>
      <w:proofErr w:type="spellEnd"/>
      <w:r>
        <w:rPr>
          <w:rFonts w:ascii="Times New Roman" w:hAnsi="Times New Roman" w:cs="Times New Roman"/>
          <w:sz w:val="28"/>
          <w:szCs w:val="28"/>
          <w:lang w:val="uk-UA"/>
        </w:rPr>
        <w:t xml:space="preserve">» зазначається </w:t>
      </w:r>
      <w:r w:rsidRPr="00B62544">
        <w:rPr>
          <w:rFonts w:ascii="Times New Roman" w:hAnsi="Times New Roman" w:cs="Times New Roman"/>
          <w:sz w:val="28"/>
          <w:szCs w:val="28"/>
          <w:lang w:val="uk-UA"/>
        </w:rPr>
        <w:t>фактичний річний обсяг споживання</w:t>
      </w:r>
      <w:r>
        <w:rPr>
          <w:rFonts w:ascii="Times New Roman" w:hAnsi="Times New Roman" w:cs="Times New Roman"/>
          <w:sz w:val="28"/>
          <w:szCs w:val="28"/>
          <w:lang w:val="uk-UA"/>
        </w:rPr>
        <w:t xml:space="preserve"> електричної енергії відповідним споживачем;</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7) у графах 6 – 8 «</w:t>
      </w:r>
      <w:r w:rsidRPr="00E56875">
        <w:rPr>
          <w:rFonts w:ascii="Times New Roman" w:hAnsi="Times New Roman" w:cs="Times New Roman"/>
          <w:sz w:val="28"/>
          <w:szCs w:val="28"/>
          <w:lang w:val="uk-UA"/>
        </w:rPr>
        <w:t xml:space="preserve">Чинний (попередній) </w:t>
      </w:r>
      <w:proofErr w:type="spellStart"/>
      <w:r w:rsidRPr="00E56875">
        <w:rPr>
          <w:rFonts w:ascii="Times New Roman" w:hAnsi="Times New Roman" w:cs="Times New Roman"/>
          <w:sz w:val="28"/>
          <w:szCs w:val="28"/>
          <w:lang w:val="uk-UA"/>
        </w:rPr>
        <w:t>електропостачальник</w:t>
      </w:r>
      <w:proofErr w:type="spellEnd"/>
      <w:r>
        <w:rPr>
          <w:rFonts w:ascii="Times New Roman" w:hAnsi="Times New Roman" w:cs="Times New Roman"/>
          <w:sz w:val="28"/>
          <w:szCs w:val="28"/>
          <w:lang w:val="uk-UA"/>
        </w:rPr>
        <w:t xml:space="preserve">» зазначаються дані щодо чинного (попереднього)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 xml:space="preserve">відповідного споживача: найменування (графа 6), код ЄДРПОУ (графа 7) та </w:t>
      </w:r>
      <w:r>
        <w:rPr>
          <w:rFonts w:ascii="Times New Roman" w:hAnsi="Times New Roman" w:cs="Times New Roman"/>
          <w:sz w:val="28"/>
          <w:szCs w:val="28"/>
          <w:lang w:val="en-US"/>
        </w:rPr>
        <w:t>EIC-</w:t>
      </w:r>
      <w:r>
        <w:rPr>
          <w:rFonts w:ascii="Times New Roman" w:hAnsi="Times New Roman" w:cs="Times New Roman"/>
          <w:sz w:val="28"/>
          <w:szCs w:val="28"/>
          <w:lang w:val="uk-UA"/>
        </w:rPr>
        <w:t>код (графа 8);</w:t>
      </w:r>
    </w:p>
    <w:p w:rsidR="00EE7401" w:rsidRDefault="00EE7401" w:rsidP="00EE7401">
      <w:pPr>
        <w:tabs>
          <w:tab w:val="left" w:pos="709"/>
        </w:tabs>
        <w:spacing w:after="0" w:line="276" w:lineRule="auto"/>
        <w:jc w:val="both"/>
        <w:rPr>
          <w:rFonts w:ascii="Times New Roman" w:hAnsi="Times New Roman" w:cs="Times New Roman"/>
          <w:sz w:val="28"/>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8) у графах 9 – 10 «</w:t>
      </w:r>
      <w:r w:rsidRPr="00E56875">
        <w:rPr>
          <w:rFonts w:ascii="Times New Roman" w:hAnsi="Times New Roman" w:cs="Times New Roman"/>
          <w:sz w:val="28"/>
          <w:szCs w:val="28"/>
          <w:lang w:val="uk-UA"/>
        </w:rPr>
        <w:t xml:space="preserve">Новий </w:t>
      </w:r>
      <w:proofErr w:type="spellStart"/>
      <w:r w:rsidRPr="00E56875">
        <w:rPr>
          <w:rFonts w:ascii="Times New Roman" w:hAnsi="Times New Roman" w:cs="Times New Roman"/>
          <w:sz w:val="28"/>
          <w:szCs w:val="28"/>
          <w:lang w:val="uk-UA"/>
        </w:rPr>
        <w:t>електропостачальник</w:t>
      </w:r>
      <w:proofErr w:type="spellEnd"/>
      <w:r>
        <w:rPr>
          <w:rFonts w:ascii="Times New Roman" w:hAnsi="Times New Roman" w:cs="Times New Roman"/>
          <w:sz w:val="28"/>
          <w:szCs w:val="28"/>
          <w:lang w:val="uk-UA"/>
        </w:rPr>
        <w:t xml:space="preserve">» зазначаються дані щодо нового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відповідного споживача: найменування (графа 9), код ЄДРПОУ (графа 10) та </w:t>
      </w:r>
      <w:r>
        <w:rPr>
          <w:rFonts w:ascii="Times New Roman" w:hAnsi="Times New Roman" w:cs="Times New Roman"/>
          <w:sz w:val="28"/>
          <w:szCs w:val="28"/>
          <w:lang w:val="en-US"/>
        </w:rPr>
        <w:t>EIC-</w:t>
      </w:r>
      <w:r>
        <w:rPr>
          <w:rFonts w:ascii="Times New Roman" w:hAnsi="Times New Roman" w:cs="Times New Roman"/>
          <w:sz w:val="28"/>
          <w:szCs w:val="28"/>
          <w:lang w:val="uk-UA"/>
        </w:rPr>
        <w:t>код (графа 11);</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9) у графі 12 «</w:t>
      </w:r>
      <w:r w:rsidRPr="000B0C02">
        <w:rPr>
          <w:rFonts w:ascii="Times New Roman" w:hAnsi="Times New Roman" w:cs="Times New Roman"/>
          <w:sz w:val="28"/>
          <w:szCs w:val="28"/>
          <w:lang w:val="uk-UA"/>
        </w:rPr>
        <w:t xml:space="preserve">Тип процедури зміни </w:t>
      </w:r>
      <w:proofErr w:type="spellStart"/>
      <w:r w:rsidRPr="000B0C02">
        <w:rPr>
          <w:rFonts w:ascii="Times New Roman" w:hAnsi="Times New Roman" w:cs="Times New Roman"/>
          <w:sz w:val="28"/>
          <w:szCs w:val="28"/>
          <w:lang w:val="uk-UA"/>
        </w:rPr>
        <w:t>електропостачальника</w:t>
      </w:r>
      <w:proofErr w:type="spellEnd"/>
      <w:r w:rsidRPr="000B0C02">
        <w:rPr>
          <w:rFonts w:ascii="Times New Roman" w:hAnsi="Times New Roman" w:cs="Times New Roman"/>
          <w:sz w:val="28"/>
          <w:szCs w:val="28"/>
          <w:lang w:val="uk-UA"/>
        </w:rPr>
        <w:t xml:space="preserve"> (за загальним правилом/за скороченим правилом)</w:t>
      </w:r>
      <w:r>
        <w:rPr>
          <w:rFonts w:ascii="Times New Roman" w:hAnsi="Times New Roman" w:cs="Times New Roman"/>
          <w:sz w:val="28"/>
          <w:szCs w:val="28"/>
          <w:lang w:val="uk-UA"/>
        </w:rPr>
        <w:t xml:space="preserve">» вказується тип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повідомленням споживача: </w:t>
      </w:r>
      <w:r w:rsidRPr="000B0C02">
        <w:rPr>
          <w:rFonts w:ascii="Times New Roman" w:hAnsi="Times New Roman" w:cs="Times New Roman"/>
          <w:sz w:val="28"/>
          <w:szCs w:val="28"/>
          <w:lang w:val="uk-UA"/>
        </w:rPr>
        <w:t>за загальним правилом</w:t>
      </w:r>
      <w:r>
        <w:rPr>
          <w:rFonts w:ascii="Times New Roman" w:hAnsi="Times New Roman" w:cs="Times New Roman"/>
          <w:sz w:val="28"/>
          <w:szCs w:val="28"/>
          <w:lang w:val="uk-UA"/>
        </w:rPr>
        <w:t xml:space="preserve"> або </w:t>
      </w:r>
      <w:r w:rsidRPr="000B0C02">
        <w:rPr>
          <w:rFonts w:ascii="Times New Roman" w:hAnsi="Times New Roman" w:cs="Times New Roman"/>
          <w:sz w:val="28"/>
          <w:szCs w:val="28"/>
          <w:lang w:val="uk-UA"/>
        </w:rPr>
        <w:t>за скороченим правилом</w:t>
      </w:r>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10) у графі 13 «</w:t>
      </w:r>
      <w:r w:rsidRPr="000B0C02">
        <w:rPr>
          <w:rFonts w:ascii="Times New Roman" w:hAnsi="Times New Roman" w:cs="Times New Roman"/>
          <w:sz w:val="28"/>
          <w:szCs w:val="28"/>
          <w:lang w:val="uk-UA"/>
        </w:rPr>
        <w:t xml:space="preserve">Результат реалізації процедури зміни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вказується </w:t>
      </w:r>
      <w:r w:rsidRPr="000B0C02">
        <w:rPr>
          <w:rFonts w:ascii="Times New Roman" w:hAnsi="Times New Roman" w:cs="Times New Roman"/>
          <w:sz w:val="28"/>
          <w:szCs w:val="28"/>
          <w:lang w:val="uk-UA"/>
        </w:rPr>
        <w:t xml:space="preserve">результат реалізації процедури зміни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кожним повідомленням споживача: </w:t>
      </w:r>
      <w:r w:rsidRPr="000B0C02">
        <w:rPr>
          <w:rFonts w:ascii="Times New Roman" w:hAnsi="Times New Roman" w:cs="Times New Roman"/>
          <w:sz w:val="28"/>
          <w:szCs w:val="28"/>
          <w:lang w:val="uk-UA"/>
        </w:rPr>
        <w:t>реалізовано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відмовлено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скасовано за бажанням споживача</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скасовано за бажанням нового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скасовано у зв'язку із набуттям новим </w:t>
      </w:r>
      <w:proofErr w:type="spellStart"/>
      <w:r w:rsidRPr="000B0C02">
        <w:rPr>
          <w:rFonts w:ascii="Times New Roman" w:hAnsi="Times New Roman" w:cs="Times New Roman"/>
          <w:sz w:val="28"/>
          <w:szCs w:val="28"/>
          <w:lang w:val="uk-UA"/>
        </w:rPr>
        <w:t>електропостачальником</w:t>
      </w:r>
      <w:proofErr w:type="spellEnd"/>
      <w:r w:rsidRPr="000B0C02">
        <w:rPr>
          <w:rFonts w:ascii="Times New Roman" w:hAnsi="Times New Roman" w:cs="Times New Roman"/>
          <w:sz w:val="28"/>
          <w:szCs w:val="28"/>
          <w:lang w:val="uk-UA"/>
        </w:rPr>
        <w:t xml:space="preserve"> статусу </w:t>
      </w:r>
      <w:r>
        <w:rPr>
          <w:rFonts w:ascii="Times New Roman" w:hAnsi="Times New Roman" w:cs="Times New Roman"/>
          <w:sz w:val="28"/>
          <w:szCs w:val="28"/>
          <w:lang w:val="uk-UA"/>
        </w:rPr>
        <w:t>«</w:t>
      </w:r>
      <w:proofErr w:type="spellStart"/>
      <w:r w:rsidRPr="000B0C02">
        <w:rPr>
          <w:rFonts w:ascii="Times New Roman" w:hAnsi="Times New Roman" w:cs="Times New Roman"/>
          <w:sz w:val="28"/>
          <w:szCs w:val="28"/>
          <w:lang w:val="uk-UA"/>
        </w:rPr>
        <w:t>Дефолтний</w:t>
      </w:r>
      <w:proofErr w:type="spellEnd"/>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11) у графі 14 «</w:t>
      </w:r>
      <w:r w:rsidRPr="000B0C02">
        <w:rPr>
          <w:rFonts w:ascii="Times New Roman" w:hAnsi="Times New Roman" w:cs="Times New Roman"/>
          <w:sz w:val="28"/>
          <w:szCs w:val="28"/>
          <w:lang w:val="uk-UA"/>
        </w:rPr>
        <w:t xml:space="preserve">Причина відмови у забезпеченні зміни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у випадку зазначення «відмовлено» у графі 13 –   зазначаються причини, передбачені ПРРЕЕ, з яких споживачу на відповідне повідомлення </w:t>
      </w:r>
      <w:r w:rsidRPr="00074C24">
        <w:rPr>
          <w:rFonts w:ascii="Times New Roman" w:hAnsi="Times New Roman" w:cs="Times New Roman"/>
          <w:sz w:val="28"/>
          <w:szCs w:val="28"/>
          <w:lang w:val="uk-UA"/>
        </w:rPr>
        <w:t xml:space="preserve">про намір укласти новий договір з новим </w:t>
      </w:r>
      <w:proofErr w:type="spellStart"/>
      <w:r w:rsidRPr="00074C24">
        <w:rPr>
          <w:rFonts w:ascii="Times New Roman" w:hAnsi="Times New Roman" w:cs="Times New Roman"/>
          <w:sz w:val="28"/>
          <w:szCs w:val="28"/>
          <w:lang w:val="uk-UA"/>
        </w:rPr>
        <w:t>електропостачальником</w:t>
      </w:r>
      <w:proofErr w:type="spellEnd"/>
      <w:r w:rsidRPr="00074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було відмовлено у зміні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в іншому випадку зазначається «–»;</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12) у графі 15 «</w:t>
      </w:r>
      <w:r w:rsidRPr="00074C24">
        <w:rPr>
          <w:rFonts w:ascii="Times New Roman" w:hAnsi="Times New Roman" w:cs="Times New Roman"/>
          <w:sz w:val="28"/>
          <w:szCs w:val="28"/>
          <w:lang w:val="uk-UA"/>
        </w:rPr>
        <w:t xml:space="preserve">Дата початку процедури зміни </w:t>
      </w:r>
      <w:proofErr w:type="spellStart"/>
      <w:r w:rsidRPr="00074C24">
        <w:rPr>
          <w:rFonts w:ascii="Times New Roman" w:hAnsi="Times New Roman" w:cs="Times New Roman"/>
          <w:sz w:val="28"/>
          <w:szCs w:val="28"/>
          <w:lang w:val="uk-UA"/>
        </w:rPr>
        <w:t>електропостачальника</w:t>
      </w:r>
      <w:proofErr w:type="spellEnd"/>
      <w:r w:rsidRPr="00074C24">
        <w:rPr>
          <w:rFonts w:ascii="Times New Roman" w:hAnsi="Times New Roman" w:cs="Times New Roman"/>
          <w:sz w:val="28"/>
          <w:szCs w:val="28"/>
          <w:lang w:val="uk-UA"/>
        </w:rPr>
        <w:t xml:space="preserve"> (</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 xml:space="preserve">» вказується дата початку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повідомленням споживача;</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13) у графі 16 «</w:t>
      </w:r>
      <w:r w:rsidRPr="00074C24">
        <w:rPr>
          <w:rFonts w:ascii="Times New Roman" w:hAnsi="Times New Roman" w:cs="Times New Roman"/>
          <w:sz w:val="28"/>
          <w:szCs w:val="28"/>
          <w:lang w:val="uk-UA"/>
        </w:rPr>
        <w:t xml:space="preserve">Дата завершення процедури зміни </w:t>
      </w:r>
      <w:proofErr w:type="spellStart"/>
      <w:r w:rsidRPr="00074C24">
        <w:rPr>
          <w:rFonts w:ascii="Times New Roman" w:hAnsi="Times New Roman" w:cs="Times New Roman"/>
          <w:sz w:val="28"/>
          <w:szCs w:val="28"/>
          <w:lang w:val="uk-UA"/>
        </w:rPr>
        <w:t>електропостачальника</w:t>
      </w:r>
      <w:proofErr w:type="spellEnd"/>
      <w:r w:rsidRPr="00074C24">
        <w:rPr>
          <w:rFonts w:ascii="Times New Roman" w:hAnsi="Times New Roman" w:cs="Times New Roman"/>
          <w:sz w:val="28"/>
          <w:szCs w:val="28"/>
          <w:lang w:val="uk-UA"/>
        </w:rPr>
        <w:t xml:space="preserve"> (</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w:t>
      </w:r>
      <w:r w:rsidRPr="00074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вказується дата завершення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у звітному році за відповідним повідомленням споживача. Графа 16 заповнюється у випадку зазначення «реалізовано» у графі 13, в інших випадках зазначається «–»;</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14) у графі 17 «</w:t>
      </w:r>
      <w:r w:rsidRPr="00AE3464">
        <w:rPr>
          <w:rFonts w:ascii="Times New Roman" w:hAnsi="Times New Roman" w:cs="Times New Roman"/>
          <w:sz w:val="28"/>
          <w:szCs w:val="28"/>
          <w:lang w:val="uk-UA"/>
        </w:rPr>
        <w:t xml:space="preserve">Тривалість зміни </w:t>
      </w:r>
      <w:proofErr w:type="spellStart"/>
      <w:r w:rsidRPr="00AE3464">
        <w:rPr>
          <w:rFonts w:ascii="Times New Roman" w:hAnsi="Times New Roman" w:cs="Times New Roman"/>
          <w:sz w:val="28"/>
          <w:szCs w:val="28"/>
          <w:lang w:val="uk-UA"/>
        </w:rPr>
        <w:t>електропостачальника</w:t>
      </w:r>
      <w:proofErr w:type="spellEnd"/>
      <w:r w:rsidRPr="00AE3464">
        <w:rPr>
          <w:rFonts w:ascii="Times New Roman" w:hAnsi="Times New Roman" w:cs="Times New Roman"/>
          <w:sz w:val="28"/>
          <w:szCs w:val="28"/>
          <w:lang w:val="uk-UA"/>
        </w:rPr>
        <w:t>, днів</w:t>
      </w:r>
      <w:r>
        <w:rPr>
          <w:rFonts w:ascii="Times New Roman" w:hAnsi="Times New Roman" w:cs="Times New Roman"/>
          <w:sz w:val="28"/>
          <w:szCs w:val="28"/>
          <w:lang w:val="uk-UA"/>
        </w:rPr>
        <w:t xml:space="preserve">» вказується тривалість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повідомленням споживача. Графа 17 заповнюється у випадку зазначення «реалізовано» у графі 13, в інших випадках зазначається «–».</w:t>
      </w:r>
    </w:p>
    <w:p w:rsidR="00C62C1F" w:rsidRDefault="00C62C1F" w:rsidP="00EE7401">
      <w:pPr>
        <w:tabs>
          <w:tab w:val="left" w:pos="0"/>
        </w:tabs>
        <w:spacing w:after="0" w:line="276" w:lineRule="auto"/>
        <w:jc w:val="both"/>
        <w:rPr>
          <w:rFonts w:ascii="Times New Roman" w:hAnsi="Times New Roman" w:cs="Times New Roman"/>
          <w:sz w:val="28"/>
          <w:szCs w:val="28"/>
          <w:lang w:val="uk-UA"/>
        </w:rPr>
      </w:pPr>
    </w:p>
    <w:p w:rsidR="00C62C1F" w:rsidRDefault="00C62C1F" w:rsidP="00C62C1F">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C62C1F" w:rsidRPr="00353F2A" w:rsidRDefault="00C62C1F" w:rsidP="00C62C1F">
      <w:pPr>
        <w:spacing w:after="0" w:line="240" w:lineRule="auto"/>
        <w:ind w:firstLine="567"/>
        <w:jc w:val="center"/>
        <w:rPr>
          <w:rFonts w:ascii="Times New Roman" w:hAnsi="Times New Roman" w:cs="Times New Roman"/>
          <w:sz w:val="28"/>
          <w:szCs w:val="28"/>
          <w:lang w:val="uk-UA"/>
        </w:rPr>
      </w:pPr>
    </w:p>
    <w:p w:rsidR="00C62C1F" w:rsidRDefault="00C62C1F" w:rsidP="00C62C1F">
      <w:pPr>
        <w:pStyle w:val="af6"/>
        <w:ind w:firstLine="709"/>
        <w:rPr>
          <w:szCs w:val="28"/>
        </w:rPr>
      </w:pPr>
      <w:r w:rsidRPr="00353F2A">
        <w:rPr>
          <w:szCs w:val="28"/>
        </w:rPr>
        <w:t xml:space="preserve">4.1. </w:t>
      </w:r>
      <w:r>
        <w:rPr>
          <w:szCs w:val="28"/>
        </w:rPr>
        <w:t>Електронний бланк форми звітності № 11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C62C1F" w:rsidRDefault="00C62C1F" w:rsidP="00C62C1F">
      <w:pPr>
        <w:pStyle w:val="af6"/>
        <w:ind w:firstLine="709"/>
        <w:rPr>
          <w:szCs w:val="28"/>
        </w:rPr>
      </w:pPr>
    </w:p>
    <w:p w:rsidR="00C62C1F" w:rsidRPr="00CB35BE" w:rsidRDefault="00C62C1F" w:rsidP="00C62C1F">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11 </w:t>
      </w:r>
      <w:r w:rsidRPr="00CB35BE">
        <w:rPr>
          <w:szCs w:val="28"/>
        </w:rPr>
        <w:t xml:space="preserve">здійснюється </w:t>
      </w:r>
      <w:r>
        <w:rPr>
          <w:szCs w:val="28"/>
        </w:rPr>
        <w:t>таким чином:</w:t>
      </w:r>
    </w:p>
    <w:p w:rsidR="00C62C1F" w:rsidRPr="00422C0D" w:rsidRDefault="00C62C1F" w:rsidP="00C62C1F">
      <w:pPr>
        <w:pStyle w:val="af6"/>
        <w:ind w:firstLine="709"/>
        <w:rPr>
          <w:szCs w:val="28"/>
        </w:rPr>
      </w:pPr>
      <w:r w:rsidRPr="00422C0D">
        <w:rPr>
          <w:szCs w:val="28"/>
        </w:rPr>
        <w:t>ХХХХХХХХ_1</w:t>
      </w:r>
      <w:r>
        <w:rPr>
          <w:szCs w:val="28"/>
        </w:rPr>
        <w:t>1Т</w:t>
      </w:r>
      <w:r>
        <w:rPr>
          <w:szCs w:val="28"/>
          <w:lang w:val="en-US"/>
        </w:rPr>
        <w:t>_</w:t>
      </w:r>
      <w:r w:rsidRPr="00422C0D">
        <w:rPr>
          <w:szCs w:val="28"/>
          <w:lang w:val="en-US"/>
        </w:rPr>
        <w:t>YY</w:t>
      </w:r>
      <w:r w:rsidRPr="00422C0D">
        <w:rPr>
          <w:szCs w:val="28"/>
        </w:rPr>
        <w:t xml:space="preserve">, </w:t>
      </w:r>
    </w:p>
    <w:p w:rsidR="00C62C1F" w:rsidRPr="00CB59B1" w:rsidRDefault="00C62C1F" w:rsidP="00C62C1F">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C62C1F" w:rsidRDefault="00C62C1F" w:rsidP="00C62C1F">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C62C1F" w:rsidRDefault="00C62C1F" w:rsidP="00C62C1F">
      <w:pPr>
        <w:pStyle w:val="af6"/>
        <w:ind w:firstLine="709"/>
        <w:rPr>
          <w:szCs w:val="28"/>
        </w:rPr>
      </w:pPr>
    </w:p>
    <w:p w:rsidR="00C62C1F" w:rsidRPr="00581FDF" w:rsidRDefault="00C62C1F" w:rsidP="00C62C1F">
      <w:pPr>
        <w:pStyle w:val="af6"/>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11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p w:rsidR="00C62C1F" w:rsidRPr="00121192" w:rsidRDefault="00C62C1F" w:rsidP="00C62C1F">
      <w:pPr>
        <w:spacing w:after="0" w:line="240" w:lineRule="auto"/>
        <w:ind w:firstLine="709"/>
        <w:jc w:val="both"/>
        <w:rPr>
          <w:rFonts w:ascii="Times New Roman" w:hAnsi="Times New Roman" w:cs="Times New Roman"/>
          <w:sz w:val="28"/>
          <w:szCs w:val="28"/>
          <w:lang w:val="uk-UA"/>
        </w:rPr>
      </w:pPr>
    </w:p>
    <w:p w:rsidR="00EE7401" w:rsidRDefault="00EE7401" w:rsidP="00EE7401">
      <w:pPr>
        <w:tabs>
          <w:tab w:val="left" w:pos="0"/>
        </w:tabs>
        <w:spacing w:after="0" w:line="276" w:lineRule="auto"/>
        <w:jc w:val="both"/>
        <w:rPr>
          <w:rFonts w:ascii="Times New Roman" w:hAnsi="Times New Roman" w:cs="Times New Roman"/>
          <w:sz w:val="28"/>
          <w:szCs w:val="28"/>
          <w:lang w:val="uk-UA"/>
        </w:rPr>
      </w:pPr>
    </w:p>
    <w:p w:rsidR="00EE7401" w:rsidRPr="0084720A" w:rsidRDefault="00EE7401" w:rsidP="00EE7401">
      <w:pPr>
        <w:tabs>
          <w:tab w:val="left" w:pos="0"/>
        </w:tabs>
        <w:spacing w:after="0" w:line="276" w:lineRule="auto"/>
        <w:jc w:val="both"/>
        <w:rPr>
          <w:rFonts w:ascii="Times New Roman" w:hAnsi="Times New Roman" w:cs="Times New Roman"/>
          <w:sz w:val="18"/>
          <w:szCs w:val="28"/>
          <w:lang w:val="uk-UA"/>
        </w:rPr>
      </w:pPr>
    </w:p>
    <w:p w:rsidR="00EE7401" w:rsidRPr="0063599D" w:rsidRDefault="00EE7401" w:rsidP="00EE7401">
      <w:pPr>
        <w:spacing w:after="0" w:line="276" w:lineRule="auto"/>
        <w:jc w:val="both"/>
        <w:rPr>
          <w:rFonts w:ascii="Times New Roman" w:hAnsi="Times New Roman"/>
          <w:sz w:val="28"/>
          <w:szCs w:val="28"/>
          <w:lang w:val="uk-UA"/>
        </w:rPr>
      </w:pPr>
      <w:r w:rsidRPr="0063599D">
        <w:rPr>
          <w:rFonts w:ascii="Times New Roman" w:hAnsi="Times New Roman"/>
          <w:sz w:val="28"/>
          <w:szCs w:val="28"/>
          <w:lang w:val="uk-UA"/>
        </w:rPr>
        <w:t xml:space="preserve">Директор Департаменту                                                                            </w:t>
      </w:r>
    </w:p>
    <w:p w:rsidR="00EE7401" w:rsidRDefault="00EE7401" w:rsidP="00EE7401">
      <w:pPr>
        <w:spacing w:after="0" w:line="276" w:lineRule="auto"/>
        <w:jc w:val="both"/>
        <w:rPr>
          <w:rFonts w:ascii="Calibri" w:hAnsi="Calibri"/>
          <w:lang w:val="uk-UA"/>
        </w:rPr>
      </w:pPr>
      <w:r w:rsidRPr="0063599D">
        <w:rPr>
          <w:rFonts w:ascii="Times New Roman" w:hAnsi="Times New Roman"/>
          <w:sz w:val="28"/>
          <w:szCs w:val="28"/>
          <w:lang w:val="uk-UA"/>
        </w:rPr>
        <w:t xml:space="preserve">ліцензійного контролю                                                             </w:t>
      </w:r>
      <w:r>
        <w:rPr>
          <w:rFonts w:ascii="Times New Roman" w:hAnsi="Times New Roman"/>
          <w:sz w:val="28"/>
          <w:szCs w:val="28"/>
          <w:lang w:val="uk-UA"/>
        </w:rPr>
        <w:t xml:space="preserve">  </w:t>
      </w:r>
      <w:r w:rsidRPr="0063599D">
        <w:rPr>
          <w:rFonts w:ascii="Times New Roman" w:hAnsi="Times New Roman"/>
          <w:sz w:val="28"/>
          <w:szCs w:val="28"/>
          <w:lang w:val="uk-UA"/>
        </w:rPr>
        <w:t>Я</w:t>
      </w:r>
      <w:r>
        <w:rPr>
          <w:rFonts w:ascii="Times New Roman" w:hAnsi="Times New Roman"/>
          <w:sz w:val="28"/>
          <w:szCs w:val="28"/>
          <w:lang w:val="uk-UA"/>
        </w:rPr>
        <w:t>рослав</w:t>
      </w:r>
      <w:r w:rsidRPr="0063599D">
        <w:rPr>
          <w:rFonts w:ascii="Times New Roman" w:hAnsi="Times New Roman"/>
          <w:sz w:val="28"/>
          <w:szCs w:val="28"/>
          <w:lang w:val="uk-UA"/>
        </w:rPr>
        <w:t xml:space="preserve"> ЗЕЛЕНЮК</w:t>
      </w:r>
    </w:p>
    <w:p w:rsidR="00EE7401" w:rsidRPr="000A6EC5" w:rsidRDefault="00EE7401" w:rsidP="00EE7401">
      <w:pPr>
        <w:spacing w:after="0" w:line="276" w:lineRule="auto"/>
        <w:jc w:val="both"/>
        <w:rPr>
          <w:lang w:val="uk-UA"/>
        </w:rPr>
      </w:pPr>
    </w:p>
    <w:p w:rsidR="00CB03F3" w:rsidRPr="00DE0BD9" w:rsidRDefault="00CB03F3" w:rsidP="00EE7401">
      <w:pPr>
        <w:spacing w:after="0" w:line="276" w:lineRule="auto"/>
        <w:ind w:firstLine="709"/>
        <w:jc w:val="both"/>
        <w:rPr>
          <w:lang w:val="uk-UA"/>
        </w:rPr>
      </w:pPr>
    </w:p>
    <w:sectPr w:rsidR="00CB03F3" w:rsidRPr="00DE0BD9"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70E5" w:rsidRDefault="00AA70E5" w:rsidP="00F737E8">
      <w:pPr>
        <w:spacing w:after="0" w:line="240" w:lineRule="auto"/>
      </w:pPr>
      <w:r>
        <w:separator/>
      </w:r>
    </w:p>
  </w:endnote>
  <w:endnote w:type="continuationSeparator" w:id="0">
    <w:p w:rsidR="00AA70E5" w:rsidRDefault="00AA70E5"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70E5" w:rsidRDefault="00AA70E5" w:rsidP="00F737E8">
      <w:pPr>
        <w:spacing w:after="0" w:line="240" w:lineRule="auto"/>
      </w:pPr>
      <w:r>
        <w:separator/>
      </w:r>
    </w:p>
  </w:footnote>
  <w:footnote w:type="continuationSeparator" w:id="0">
    <w:p w:rsidR="00AA70E5" w:rsidRDefault="00AA70E5"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4C7B58">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A945D2" w:rsidRPr="00A945D2">
          <w:rPr>
            <w:rFonts w:ascii="Times New Roman" w:hAnsi="Times New Roman" w:cs="Times New Roman"/>
            <w:noProof/>
            <w:sz w:val="28"/>
            <w:szCs w:val="28"/>
            <w:lang w:val="uk-UA"/>
          </w:rPr>
          <w:t>6</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A5073F5"/>
    <w:multiLevelType w:val="hybridMultilevel"/>
    <w:tmpl w:val="F31059D0"/>
    <w:lvl w:ilvl="0" w:tplc="30521D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49B6B6E"/>
    <w:multiLevelType w:val="hybridMultilevel"/>
    <w:tmpl w:val="3792596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4"/>
  </w:num>
  <w:num w:numId="2">
    <w:abstractNumId w:val="19"/>
  </w:num>
  <w:num w:numId="3">
    <w:abstractNumId w:val="14"/>
  </w:num>
  <w:num w:numId="4">
    <w:abstractNumId w:val="12"/>
  </w:num>
  <w:num w:numId="5">
    <w:abstractNumId w:val="3"/>
  </w:num>
  <w:num w:numId="6">
    <w:abstractNumId w:val="23"/>
  </w:num>
  <w:num w:numId="7">
    <w:abstractNumId w:val="2"/>
  </w:num>
  <w:num w:numId="8">
    <w:abstractNumId w:val="25"/>
  </w:num>
  <w:num w:numId="9">
    <w:abstractNumId w:val="9"/>
  </w:num>
  <w:num w:numId="10">
    <w:abstractNumId w:val="1"/>
  </w:num>
  <w:num w:numId="11">
    <w:abstractNumId w:val="4"/>
  </w:num>
  <w:num w:numId="12">
    <w:abstractNumId w:val="21"/>
  </w:num>
  <w:num w:numId="13">
    <w:abstractNumId w:val="22"/>
  </w:num>
  <w:num w:numId="14">
    <w:abstractNumId w:val="5"/>
  </w:num>
  <w:num w:numId="15">
    <w:abstractNumId w:val="7"/>
  </w:num>
  <w:num w:numId="16">
    <w:abstractNumId w:val="17"/>
  </w:num>
  <w:num w:numId="17">
    <w:abstractNumId w:val="15"/>
  </w:num>
  <w:num w:numId="18">
    <w:abstractNumId w:val="13"/>
  </w:num>
  <w:num w:numId="19">
    <w:abstractNumId w:val="10"/>
  </w:num>
  <w:num w:numId="20">
    <w:abstractNumId w:val="0"/>
  </w:num>
  <w:num w:numId="21">
    <w:abstractNumId w:val="18"/>
  </w:num>
  <w:num w:numId="22">
    <w:abstractNumId w:val="8"/>
  </w:num>
  <w:num w:numId="23">
    <w:abstractNumId w:val="26"/>
  </w:num>
  <w:num w:numId="24">
    <w:abstractNumId w:val="16"/>
  </w:num>
  <w:num w:numId="25">
    <w:abstractNumId w:val="11"/>
  </w:num>
  <w:num w:numId="26">
    <w:abstractNumId w:val="20"/>
  </w:num>
  <w:num w:numId="2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12D3E"/>
    <w:rsid w:val="000337D6"/>
    <w:rsid w:val="00055A0D"/>
    <w:rsid w:val="00061FE3"/>
    <w:rsid w:val="00083D32"/>
    <w:rsid w:val="000A630A"/>
    <w:rsid w:val="000D0B77"/>
    <w:rsid w:val="000D16E9"/>
    <w:rsid w:val="000E676F"/>
    <w:rsid w:val="001142E0"/>
    <w:rsid w:val="001175D8"/>
    <w:rsid w:val="00120BD6"/>
    <w:rsid w:val="00121192"/>
    <w:rsid w:val="00142BD9"/>
    <w:rsid w:val="00162DD5"/>
    <w:rsid w:val="00164775"/>
    <w:rsid w:val="00167F64"/>
    <w:rsid w:val="001748BC"/>
    <w:rsid w:val="0018315D"/>
    <w:rsid w:val="001A5FA5"/>
    <w:rsid w:val="001B0836"/>
    <w:rsid w:val="001B31FF"/>
    <w:rsid w:val="001D722B"/>
    <w:rsid w:val="001F2511"/>
    <w:rsid w:val="00211E9D"/>
    <w:rsid w:val="002127C0"/>
    <w:rsid w:val="002210DF"/>
    <w:rsid w:val="00243EB7"/>
    <w:rsid w:val="002670C7"/>
    <w:rsid w:val="0028473B"/>
    <w:rsid w:val="002A010B"/>
    <w:rsid w:val="002A34EF"/>
    <w:rsid w:val="002B0159"/>
    <w:rsid w:val="002B577E"/>
    <w:rsid w:val="002B6015"/>
    <w:rsid w:val="002C79D5"/>
    <w:rsid w:val="002D06C3"/>
    <w:rsid w:val="002E1060"/>
    <w:rsid w:val="002E3E34"/>
    <w:rsid w:val="00327BC7"/>
    <w:rsid w:val="00336388"/>
    <w:rsid w:val="003371B7"/>
    <w:rsid w:val="00375038"/>
    <w:rsid w:val="003823F6"/>
    <w:rsid w:val="003A1AC9"/>
    <w:rsid w:val="003B1ACB"/>
    <w:rsid w:val="003B2098"/>
    <w:rsid w:val="003F6084"/>
    <w:rsid w:val="00411E2A"/>
    <w:rsid w:val="00427933"/>
    <w:rsid w:val="0043049E"/>
    <w:rsid w:val="00447F04"/>
    <w:rsid w:val="004702DD"/>
    <w:rsid w:val="00473B75"/>
    <w:rsid w:val="004A076D"/>
    <w:rsid w:val="004B4829"/>
    <w:rsid w:val="004C7B58"/>
    <w:rsid w:val="004E28A0"/>
    <w:rsid w:val="004E55C9"/>
    <w:rsid w:val="00505620"/>
    <w:rsid w:val="005065CF"/>
    <w:rsid w:val="005113C3"/>
    <w:rsid w:val="00523958"/>
    <w:rsid w:val="0053535A"/>
    <w:rsid w:val="005374DD"/>
    <w:rsid w:val="0054282B"/>
    <w:rsid w:val="00544346"/>
    <w:rsid w:val="00554B57"/>
    <w:rsid w:val="0057682F"/>
    <w:rsid w:val="0058688B"/>
    <w:rsid w:val="005A7D7F"/>
    <w:rsid w:val="005B29E0"/>
    <w:rsid w:val="005B2B01"/>
    <w:rsid w:val="005C38DE"/>
    <w:rsid w:val="005C655F"/>
    <w:rsid w:val="00603196"/>
    <w:rsid w:val="006506C0"/>
    <w:rsid w:val="00651E47"/>
    <w:rsid w:val="00657C8B"/>
    <w:rsid w:val="006620A8"/>
    <w:rsid w:val="00680C50"/>
    <w:rsid w:val="006B1B62"/>
    <w:rsid w:val="006B7A0B"/>
    <w:rsid w:val="0070109B"/>
    <w:rsid w:val="0072299A"/>
    <w:rsid w:val="007319CE"/>
    <w:rsid w:val="007671A8"/>
    <w:rsid w:val="00772C25"/>
    <w:rsid w:val="0077466D"/>
    <w:rsid w:val="00796ECA"/>
    <w:rsid w:val="007B539D"/>
    <w:rsid w:val="007C584B"/>
    <w:rsid w:val="007D1F89"/>
    <w:rsid w:val="007D5746"/>
    <w:rsid w:val="007D6549"/>
    <w:rsid w:val="007F1B3E"/>
    <w:rsid w:val="008440B3"/>
    <w:rsid w:val="00854BDA"/>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A3458E"/>
    <w:rsid w:val="00A55862"/>
    <w:rsid w:val="00A668C1"/>
    <w:rsid w:val="00A7297D"/>
    <w:rsid w:val="00A945D2"/>
    <w:rsid w:val="00AA70E5"/>
    <w:rsid w:val="00AA7E0A"/>
    <w:rsid w:val="00AB7F4F"/>
    <w:rsid w:val="00AD0E9B"/>
    <w:rsid w:val="00AE3968"/>
    <w:rsid w:val="00AE4F88"/>
    <w:rsid w:val="00B30AB8"/>
    <w:rsid w:val="00B339D5"/>
    <w:rsid w:val="00B52B5D"/>
    <w:rsid w:val="00B621FF"/>
    <w:rsid w:val="00B6728D"/>
    <w:rsid w:val="00B70D8C"/>
    <w:rsid w:val="00B854E2"/>
    <w:rsid w:val="00B90991"/>
    <w:rsid w:val="00BA534A"/>
    <w:rsid w:val="00BB6C0F"/>
    <w:rsid w:val="00BB7497"/>
    <w:rsid w:val="00BB7819"/>
    <w:rsid w:val="00BC327D"/>
    <w:rsid w:val="00BD4C68"/>
    <w:rsid w:val="00BD786C"/>
    <w:rsid w:val="00BE2E15"/>
    <w:rsid w:val="00BE3747"/>
    <w:rsid w:val="00BE6ADA"/>
    <w:rsid w:val="00BF40C6"/>
    <w:rsid w:val="00BF57DC"/>
    <w:rsid w:val="00C21107"/>
    <w:rsid w:val="00C344F9"/>
    <w:rsid w:val="00C50497"/>
    <w:rsid w:val="00C62C1F"/>
    <w:rsid w:val="00C67356"/>
    <w:rsid w:val="00C843D0"/>
    <w:rsid w:val="00CA0BAD"/>
    <w:rsid w:val="00CA0EE2"/>
    <w:rsid w:val="00CB03F3"/>
    <w:rsid w:val="00CB608D"/>
    <w:rsid w:val="00CE2247"/>
    <w:rsid w:val="00CF5CDC"/>
    <w:rsid w:val="00D114F3"/>
    <w:rsid w:val="00D25DCF"/>
    <w:rsid w:val="00D31384"/>
    <w:rsid w:val="00D33A98"/>
    <w:rsid w:val="00D42CF8"/>
    <w:rsid w:val="00D57676"/>
    <w:rsid w:val="00D74BCD"/>
    <w:rsid w:val="00D95F0F"/>
    <w:rsid w:val="00DA4EFC"/>
    <w:rsid w:val="00DA5569"/>
    <w:rsid w:val="00DC09B9"/>
    <w:rsid w:val="00DD3283"/>
    <w:rsid w:val="00DD3441"/>
    <w:rsid w:val="00DD38E3"/>
    <w:rsid w:val="00DD68EE"/>
    <w:rsid w:val="00DE0BD9"/>
    <w:rsid w:val="00DF32C8"/>
    <w:rsid w:val="00E1018A"/>
    <w:rsid w:val="00E16A4D"/>
    <w:rsid w:val="00E30EFD"/>
    <w:rsid w:val="00E60736"/>
    <w:rsid w:val="00E76469"/>
    <w:rsid w:val="00E87922"/>
    <w:rsid w:val="00EC25F4"/>
    <w:rsid w:val="00EC2801"/>
    <w:rsid w:val="00ED084E"/>
    <w:rsid w:val="00EE710C"/>
    <w:rsid w:val="00EE7401"/>
    <w:rsid w:val="00EF3964"/>
    <w:rsid w:val="00EF61DB"/>
    <w:rsid w:val="00F048F3"/>
    <w:rsid w:val="00F320E3"/>
    <w:rsid w:val="00F33359"/>
    <w:rsid w:val="00F369A7"/>
    <w:rsid w:val="00F37E8A"/>
    <w:rsid w:val="00F725DC"/>
    <w:rsid w:val="00F737E8"/>
    <w:rsid w:val="00F971F2"/>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E71B904-22B6-45BC-88D4-2D129E7F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EE740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C62C1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C62C1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670134263">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E77FF-08E9-41FB-AC20-85B72315B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8535</Words>
  <Characters>4866</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24</cp:revision>
  <cp:lastPrinted>2019-10-01T11:10:00Z</cp:lastPrinted>
  <dcterms:created xsi:type="dcterms:W3CDTF">2019-09-18T07:49:00Z</dcterms:created>
  <dcterms:modified xsi:type="dcterms:W3CDTF">2023-12-21T10:33:00Z</dcterms:modified>
</cp:coreProperties>
</file>