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45A42" w14:textId="77777777" w:rsidR="00913219" w:rsidRPr="00913219" w:rsidRDefault="00913219" w:rsidP="009132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3219">
        <w:rPr>
          <w:rFonts w:ascii="Times New Roman" w:hAnsi="Times New Roman" w:cs="Times New Roman"/>
          <w:b/>
          <w:sz w:val="28"/>
          <w:szCs w:val="28"/>
          <w:lang w:val="uk-UA"/>
        </w:rPr>
        <w:t>Аналіз регуляторного впливу</w:t>
      </w:r>
    </w:p>
    <w:p w14:paraId="00976D92" w14:textId="77777777" w:rsidR="00000000" w:rsidRDefault="00913219" w:rsidP="009132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32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</w:t>
      </w:r>
      <w:proofErr w:type="spellStart"/>
      <w:r w:rsidRPr="00913219">
        <w:rPr>
          <w:rFonts w:ascii="Times New Roman" w:hAnsi="Times New Roman" w:cs="Times New Roman"/>
          <w:b/>
          <w:sz w:val="28"/>
          <w:szCs w:val="28"/>
          <w:lang w:val="uk-UA"/>
        </w:rPr>
        <w:t>проєкту</w:t>
      </w:r>
      <w:proofErr w:type="spellEnd"/>
      <w:r w:rsidRPr="009132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Закону України «Про внесення змін до деяких законів України щодо посилення незалежності Регулятора у сферах енергетики та комунальних послуг»</w:t>
      </w:r>
    </w:p>
    <w:p w14:paraId="4C533A7A" w14:textId="77777777" w:rsidR="00913219" w:rsidRDefault="00913219" w:rsidP="009132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FF73C41" w14:textId="77777777" w:rsidR="00913219" w:rsidRDefault="00913219" w:rsidP="00244AE8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3219">
        <w:rPr>
          <w:rFonts w:ascii="Times New Roman" w:hAnsi="Times New Roman" w:cs="Times New Roman"/>
          <w:b/>
          <w:sz w:val="28"/>
          <w:szCs w:val="28"/>
          <w:lang w:val="uk-UA"/>
        </w:rPr>
        <w:t>І. Визначення проблеми</w:t>
      </w:r>
    </w:p>
    <w:p w14:paraId="3ACF5810" w14:textId="77777777" w:rsidR="00913219" w:rsidRDefault="00913219" w:rsidP="00913219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F723E78" w14:textId="77777777" w:rsidR="00D63043" w:rsidRPr="00D63043" w:rsidRDefault="00D63043" w:rsidP="00D6304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3043">
        <w:rPr>
          <w:rFonts w:ascii="Times New Roman" w:hAnsi="Times New Roman" w:cs="Times New Roman"/>
          <w:sz w:val="28"/>
          <w:szCs w:val="28"/>
          <w:lang w:val="uk-UA"/>
        </w:rPr>
        <w:t xml:space="preserve">Рада Європейського Союзу </w:t>
      </w:r>
      <w:r w:rsidR="00BC1F8B" w:rsidRPr="00BC1F8B">
        <w:rPr>
          <w:rFonts w:ascii="Times New Roman" w:hAnsi="Times New Roman" w:cs="Times New Roman"/>
          <w:sz w:val="28"/>
          <w:szCs w:val="28"/>
          <w:lang w:val="uk-UA"/>
        </w:rPr>
        <w:t xml:space="preserve">14 грудня </w:t>
      </w:r>
      <w:r w:rsidR="00BC1F8B">
        <w:rPr>
          <w:rFonts w:ascii="Times New Roman" w:hAnsi="Times New Roman" w:cs="Times New Roman"/>
          <w:sz w:val="28"/>
          <w:szCs w:val="28"/>
          <w:lang w:val="uk-UA"/>
        </w:rPr>
        <w:t>2023</w:t>
      </w:r>
      <w:r w:rsidR="00BC1F8B" w:rsidRPr="00BC1F8B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D63043">
        <w:rPr>
          <w:rFonts w:ascii="Times New Roman" w:hAnsi="Times New Roman" w:cs="Times New Roman"/>
          <w:sz w:val="28"/>
          <w:szCs w:val="28"/>
          <w:lang w:val="uk-UA"/>
        </w:rPr>
        <w:t xml:space="preserve">ухвалила рішення </w:t>
      </w:r>
      <w:r w:rsidR="00BC1F8B">
        <w:rPr>
          <w:rFonts w:ascii="Times New Roman" w:hAnsi="Times New Roman" w:cs="Times New Roman"/>
          <w:sz w:val="28"/>
          <w:szCs w:val="28"/>
          <w:lang w:val="uk-UA"/>
        </w:rPr>
        <w:t xml:space="preserve">про офіційний початок перемовин </w:t>
      </w:r>
      <w:bookmarkStart w:id="0" w:name="_Hlk153872881"/>
      <w:r w:rsidR="00BC1F8B" w:rsidRPr="00DC7CDE">
        <w:rPr>
          <w:rFonts w:ascii="Times New Roman" w:hAnsi="Times New Roman" w:cs="Times New Roman"/>
          <w:bCs/>
          <w:sz w:val="28"/>
          <w:szCs w:val="28"/>
        </w:rPr>
        <w:fldChar w:fldCharType="begin"/>
      </w:r>
      <w:r w:rsidR="00BC1F8B" w:rsidRPr="00BC1F8B">
        <w:rPr>
          <w:rFonts w:ascii="Times New Roman" w:hAnsi="Times New Roman" w:cs="Times New Roman"/>
          <w:bCs/>
          <w:sz w:val="28"/>
          <w:szCs w:val="28"/>
          <w:lang w:val="uk-UA"/>
        </w:rPr>
        <w:instrText xml:space="preserve"> </w:instrText>
      </w:r>
      <w:r w:rsidR="00BC1F8B" w:rsidRPr="00DC7CDE">
        <w:rPr>
          <w:rFonts w:ascii="Times New Roman" w:hAnsi="Times New Roman" w:cs="Times New Roman"/>
          <w:bCs/>
          <w:sz w:val="28"/>
          <w:szCs w:val="28"/>
        </w:rPr>
        <w:instrText>HYPERLINK</w:instrText>
      </w:r>
      <w:r w:rsidR="00BC1F8B" w:rsidRPr="00BC1F8B">
        <w:rPr>
          <w:rFonts w:ascii="Times New Roman" w:hAnsi="Times New Roman" w:cs="Times New Roman"/>
          <w:bCs/>
          <w:sz w:val="28"/>
          <w:szCs w:val="28"/>
          <w:lang w:val="uk-UA"/>
        </w:rPr>
        <w:instrText xml:space="preserve"> "</w:instrText>
      </w:r>
      <w:r w:rsidR="00BC1F8B" w:rsidRPr="00DC7CDE">
        <w:rPr>
          <w:rFonts w:ascii="Times New Roman" w:hAnsi="Times New Roman" w:cs="Times New Roman"/>
          <w:bCs/>
          <w:sz w:val="28"/>
          <w:szCs w:val="28"/>
        </w:rPr>
        <w:instrText>https</w:instrText>
      </w:r>
      <w:r w:rsidR="00BC1F8B" w:rsidRPr="00BC1F8B">
        <w:rPr>
          <w:rFonts w:ascii="Times New Roman" w:hAnsi="Times New Roman" w:cs="Times New Roman"/>
          <w:bCs/>
          <w:sz w:val="28"/>
          <w:szCs w:val="28"/>
          <w:lang w:val="uk-UA"/>
        </w:rPr>
        <w:instrText>://</w:instrText>
      </w:r>
      <w:r w:rsidR="00BC1F8B" w:rsidRPr="00DC7CDE">
        <w:rPr>
          <w:rFonts w:ascii="Times New Roman" w:hAnsi="Times New Roman" w:cs="Times New Roman"/>
          <w:bCs/>
          <w:sz w:val="28"/>
          <w:szCs w:val="28"/>
        </w:rPr>
        <w:instrText>suspilne</w:instrText>
      </w:r>
      <w:r w:rsidR="00BC1F8B" w:rsidRPr="00BC1F8B">
        <w:rPr>
          <w:rFonts w:ascii="Times New Roman" w:hAnsi="Times New Roman" w:cs="Times New Roman"/>
          <w:bCs/>
          <w:sz w:val="28"/>
          <w:szCs w:val="28"/>
          <w:lang w:val="uk-UA"/>
        </w:rPr>
        <w:instrText>.</w:instrText>
      </w:r>
      <w:r w:rsidR="00BC1F8B" w:rsidRPr="00DC7CDE">
        <w:rPr>
          <w:rFonts w:ascii="Times New Roman" w:hAnsi="Times New Roman" w:cs="Times New Roman"/>
          <w:bCs/>
          <w:sz w:val="28"/>
          <w:szCs w:val="28"/>
        </w:rPr>
        <w:instrText>media</w:instrText>
      </w:r>
      <w:r w:rsidR="00BC1F8B" w:rsidRPr="00BC1F8B">
        <w:rPr>
          <w:rFonts w:ascii="Times New Roman" w:hAnsi="Times New Roman" w:cs="Times New Roman"/>
          <w:bCs/>
          <w:sz w:val="28"/>
          <w:szCs w:val="28"/>
          <w:lang w:val="uk-UA"/>
        </w:rPr>
        <w:instrText>/612217-</w:instrText>
      </w:r>
      <w:r w:rsidR="00BC1F8B" w:rsidRPr="00DC7CDE">
        <w:rPr>
          <w:rFonts w:ascii="Times New Roman" w:hAnsi="Times New Roman" w:cs="Times New Roman"/>
          <w:bCs/>
          <w:sz w:val="28"/>
          <w:szCs w:val="28"/>
        </w:rPr>
        <w:instrText>zvit</w:instrText>
      </w:r>
      <w:r w:rsidR="00BC1F8B" w:rsidRPr="00BC1F8B">
        <w:rPr>
          <w:rFonts w:ascii="Times New Roman" w:hAnsi="Times New Roman" w:cs="Times New Roman"/>
          <w:bCs/>
          <w:sz w:val="28"/>
          <w:szCs w:val="28"/>
          <w:lang w:val="uk-UA"/>
        </w:rPr>
        <w:instrText>-</w:instrText>
      </w:r>
      <w:r w:rsidR="00BC1F8B" w:rsidRPr="00DC7CDE">
        <w:rPr>
          <w:rFonts w:ascii="Times New Roman" w:hAnsi="Times New Roman" w:cs="Times New Roman"/>
          <w:bCs/>
          <w:sz w:val="28"/>
          <w:szCs w:val="28"/>
        </w:rPr>
        <w:instrText>evrokomisii</w:instrText>
      </w:r>
      <w:r w:rsidR="00BC1F8B" w:rsidRPr="00BC1F8B">
        <w:rPr>
          <w:rFonts w:ascii="Times New Roman" w:hAnsi="Times New Roman" w:cs="Times New Roman"/>
          <w:bCs/>
          <w:sz w:val="28"/>
          <w:szCs w:val="28"/>
          <w:lang w:val="uk-UA"/>
        </w:rPr>
        <w:instrText>-</w:instrText>
      </w:r>
      <w:r w:rsidR="00BC1F8B" w:rsidRPr="00DC7CDE">
        <w:rPr>
          <w:rFonts w:ascii="Times New Roman" w:hAnsi="Times New Roman" w:cs="Times New Roman"/>
          <w:bCs/>
          <w:sz w:val="28"/>
          <w:szCs w:val="28"/>
        </w:rPr>
        <w:instrText>es</w:instrText>
      </w:r>
      <w:r w:rsidR="00BC1F8B" w:rsidRPr="00BC1F8B">
        <w:rPr>
          <w:rFonts w:ascii="Times New Roman" w:hAnsi="Times New Roman" w:cs="Times New Roman"/>
          <w:bCs/>
          <w:sz w:val="28"/>
          <w:szCs w:val="28"/>
          <w:lang w:val="uk-UA"/>
        </w:rPr>
        <w:instrText>-</w:instrText>
      </w:r>
      <w:r w:rsidR="00BC1F8B" w:rsidRPr="00DC7CDE">
        <w:rPr>
          <w:rFonts w:ascii="Times New Roman" w:hAnsi="Times New Roman" w:cs="Times New Roman"/>
          <w:bCs/>
          <w:sz w:val="28"/>
          <w:szCs w:val="28"/>
        </w:rPr>
        <w:instrText>pocne</w:instrText>
      </w:r>
      <w:r w:rsidR="00BC1F8B" w:rsidRPr="00BC1F8B">
        <w:rPr>
          <w:rFonts w:ascii="Times New Roman" w:hAnsi="Times New Roman" w:cs="Times New Roman"/>
          <w:bCs/>
          <w:sz w:val="28"/>
          <w:szCs w:val="28"/>
          <w:lang w:val="uk-UA"/>
        </w:rPr>
        <w:instrText>-</w:instrText>
      </w:r>
      <w:r w:rsidR="00BC1F8B" w:rsidRPr="00DC7CDE">
        <w:rPr>
          <w:rFonts w:ascii="Times New Roman" w:hAnsi="Times New Roman" w:cs="Times New Roman"/>
          <w:bCs/>
          <w:sz w:val="28"/>
          <w:szCs w:val="28"/>
        </w:rPr>
        <w:instrText>peregovori</w:instrText>
      </w:r>
      <w:r w:rsidR="00BC1F8B" w:rsidRPr="00BC1F8B">
        <w:rPr>
          <w:rFonts w:ascii="Times New Roman" w:hAnsi="Times New Roman" w:cs="Times New Roman"/>
          <w:bCs/>
          <w:sz w:val="28"/>
          <w:szCs w:val="28"/>
          <w:lang w:val="uk-UA"/>
        </w:rPr>
        <w:instrText>-</w:instrText>
      </w:r>
      <w:r w:rsidR="00BC1F8B" w:rsidRPr="00DC7CDE">
        <w:rPr>
          <w:rFonts w:ascii="Times New Roman" w:hAnsi="Times New Roman" w:cs="Times New Roman"/>
          <w:bCs/>
          <w:sz w:val="28"/>
          <w:szCs w:val="28"/>
        </w:rPr>
        <w:instrText>z</w:instrText>
      </w:r>
      <w:r w:rsidR="00BC1F8B" w:rsidRPr="00BC1F8B">
        <w:rPr>
          <w:rFonts w:ascii="Times New Roman" w:hAnsi="Times New Roman" w:cs="Times New Roman"/>
          <w:bCs/>
          <w:sz w:val="28"/>
          <w:szCs w:val="28"/>
          <w:lang w:val="uk-UA"/>
        </w:rPr>
        <w:instrText>-</w:instrText>
      </w:r>
      <w:r w:rsidR="00BC1F8B" w:rsidRPr="00DC7CDE">
        <w:rPr>
          <w:rFonts w:ascii="Times New Roman" w:hAnsi="Times New Roman" w:cs="Times New Roman"/>
          <w:bCs/>
          <w:sz w:val="28"/>
          <w:szCs w:val="28"/>
        </w:rPr>
        <w:instrText>ukrainou</w:instrText>
      </w:r>
      <w:r w:rsidR="00BC1F8B" w:rsidRPr="00BC1F8B">
        <w:rPr>
          <w:rFonts w:ascii="Times New Roman" w:hAnsi="Times New Roman" w:cs="Times New Roman"/>
          <w:bCs/>
          <w:sz w:val="28"/>
          <w:szCs w:val="28"/>
          <w:lang w:val="uk-UA"/>
        </w:rPr>
        <w:instrText>-</w:instrText>
      </w:r>
      <w:r w:rsidR="00BC1F8B" w:rsidRPr="00DC7CDE">
        <w:rPr>
          <w:rFonts w:ascii="Times New Roman" w:hAnsi="Times New Roman" w:cs="Times New Roman"/>
          <w:bCs/>
          <w:sz w:val="28"/>
          <w:szCs w:val="28"/>
        </w:rPr>
        <w:instrText>pro</w:instrText>
      </w:r>
      <w:r w:rsidR="00BC1F8B" w:rsidRPr="00BC1F8B">
        <w:rPr>
          <w:rFonts w:ascii="Times New Roman" w:hAnsi="Times New Roman" w:cs="Times New Roman"/>
          <w:bCs/>
          <w:sz w:val="28"/>
          <w:szCs w:val="28"/>
          <w:lang w:val="uk-UA"/>
        </w:rPr>
        <w:instrText>-</w:instrText>
      </w:r>
      <w:r w:rsidR="00BC1F8B" w:rsidRPr="00DC7CDE">
        <w:rPr>
          <w:rFonts w:ascii="Times New Roman" w:hAnsi="Times New Roman" w:cs="Times New Roman"/>
          <w:bCs/>
          <w:sz w:val="28"/>
          <w:szCs w:val="28"/>
        </w:rPr>
        <w:instrText>vstup</w:instrText>
      </w:r>
      <w:r w:rsidR="00BC1F8B" w:rsidRPr="00BC1F8B">
        <w:rPr>
          <w:rFonts w:ascii="Times New Roman" w:hAnsi="Times New Roman" w:cs="Times New Roman"/>
          <w:bCs/>
          <w:sz w:val="28"/>
          <w:szCs w:val="28"/>
          <w:lang w:val="uk-UA"/>
        </w:rPr>
        <w:instrText>/" \</w:instrText>
      </w:r>
      <w:r w:rsidR="00BC1F8B" w:rsidRPr="00DC7CDE">
        <w:rPr>
          <w:rFonts w:ascii="Times New Roman" w:hAnsi="Times New Roman" w:cs="Times New Roman"/>
          <w:bCs/>
          <w:sz w:val="28"/>
          <w:szCs w:val="28"/>
        </w:rPr>
        <w:instrText>t</w:instrText>
      </w:r>
      <w:r w:rsidR="00BC1F8B" w:rsidRPr="00BC1F8B">
        <w:rPr>
          <w:rFonts w:ascii="Times New Roman" w:hAnsi="Times New Roman" w:cs="Times New Roman"/>
          <w:bCs/>
          <w:sz w:val="28"/>
          <w:szCs w:val="28"/>
          <w:lang w:val="uk-UA"/>
        </w:rPr>
        <w:instrText xml:space="preserve"> "_</w:instrText>
      </w:r>
      <w:r w:rsidR="00BC1F8B" w:rsidRPr="00DC7CDE">
        <w:rPr>
          <w:rFonts w:ascii="Times New Roman" w:hAnsi="Times New Roman" w:cs="Times New Roman"/>
          <w:bCs/>
          <w:sz w:val="28"/>
          <w:szCs w:val="28"/>
        </w:rPr>
        <w:instrText>blank</w:instrText>
      </w:r>
      <w:r w:rsidR="00BC1F8B" w:rsidRPr="00BC1F8B">
        <w:rPr>
          <w:rFonts w:ascii="Times New Roman" w:hAnsi="Times New Roman" w:cs="Times New Roman"/>
          <w:bCs/>
          <w:sz w:val="28"/>
          <w:szCs w:val="28"/>
          <w:lang w:val="uk-UA"/>
        </w:rPr>
        <w:instrText xml:space="preserve">" </w:instrText>
      </w:r>
      <w:r w:rsidR="00BC1F8B" w:rsidRPr="00DC7CDE">
        <w:rPr>
          <w:rFonts w:ascii="Times New Roman" w:hAnsi="Times New Roman" w:cs="Times New Roman"/>
          <w:bCs/>
          <w:sz w:val="28"/>
          <w:szCs w:val="28"/>
        </w:rPr>
      </w:r>
      <w:r w:rsidR="00BC1F8B" w:rsidRPr="00DC7CDE">
        <w:rPr>
          <w:rFonts w:ascii="Times New Roman" w:hAnsi="Times New Roman" w:cs="Times New Roman"/>
          <w:bCs/>
          <w:sz w:val="28"/>
          <w:szCs w:val="28"/>
        </w:rPr>
        <w:fldChar w:fldCharType="separate"/>
      </w:r>
      <w:r w:rsidR="00BC1F8B" w:rsidRPr="00BC1F8B">
        <w:rPr>
          <w:rFonts w:ascii="Times New Roman" w:hAnsi="Times New Roman" w:cs="Times New Roman"/>
          <w:bCs/>
          <w:sz w:val="28"/>
          <w:szCs w:val="28"/>
          <w:lang w:val="uk-UA"/>
        </w:rPr>
        <w:t>про вступ України</w:t>
      </w:r>
      <w:r w:rsidR="00BC1F8B" w:rsidRPr="00DC7CDE">
        <w:rPr>
          <w:rFonts w:ascii="Times New Roman" w:hAnsi="Times New Roman" w:cs="Times New Roman"/>
          <w:bCs/>
          <w:sz w:val="28"/>
          <w:szCs w:val="28"/>
        </w:rPr>
        <w:fldChar w:fldCharType="end"/>
      </w:r>
      <w:r w:rsidR="00BC1F8B" w:rsidRPr="00BC1F8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до Євросоюзу</w:t>
      </w:r>
      <w:bookmarkEnd w:id="0"/>
      <w:r w:rsidR="00BC1F8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63043">
        <w:rPr>
          <w:rFonts w:ascii="Times New Roman" w:hAnsi="Times New Roman" w:cs="Times New Roman"/>
          <w:sz w:val="28"/>
          <w:szCs w:val="28"/>
          <w:lang w:val="uk-UA"/>
        </w:rPr>
        <w:t xml:space="preserve"> НКРЕКП прагне в межах своєї компетенції забезпечити повне виконання всіх вимог та рекомендацій європейської сторони з тим, щоб посилити переговорні п</w:t>
      </w:r>
      <w:r>
        <w:rPr>
          <w:rFonts w:ascii="Times New Roman" w:hAnsi="Times New Roman" w:cs="Times New Roman"/>
          <w:sz w:val="28"/>
          <w:szCs w:val="28"/>
          <w:lang w:val="uk-UA"/>
        </w:rPr>
        <w:t>озиції України в цьому процесі.</w:t>
      </w:r>
    </w:p>
    <w:p w14:paraId="1CD36793" w14:textId="05A7CE93" w:rsidR="00D63043" w:rsidRPr="00D63043" w:rsidRDefault="00D63043" w:rsidP="00D6304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3043">
        <w:rPr>
          <w:rFonts w:ascii="Times New Roman" w:hAnsi="Times New Roman" w:cs="Times New Roman"/>
          <w:sz w:val="28"/>
          <w:szCs w:val="28"/>
          <w:lang w:val="uk-UA"/>
        </w:rPr>
        <w:t xml:space="preserve">Так, у своєму </w:t>
      </w:r>
      <w:r w:rsidR="00BC1F8B" w:rsidRPr="00BC1F8B">
        <w:rPr>
          <w:rFonts w:ascii="Times New Roman" w:hAnsi="Times New Roman" w:cs="Times New Roman"/>
          <w:sz w:val="28"/>
          <w:szCs w:val="28"/>
          <w:lang w:val="uk-UA"/>
        </w:rPr>
        <w:t>звіт</w:t>
      </w:r>
      <w:r w:rsidR="00DA2DE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C1F8B" w:rsidRPr="00BC1F8B">
        <w:rPr>
          <w:rFonts w:ascii="Times New Roman" w:hAnsi="Times New Roman" w:cs="Times New Roman"/>
          <w:sz w:val="28"/>
          <w:szCs w:val="28"/>
          <w:lang w:val="uk-UA"/>
        </w:rPr>
        <w:t xml:space="preserve"> 2023 року щодо розширення ЄС в контексті подання української заявки на членство в Європейському Союзі</w:t>
      </w:r>
      <w:r w:rsidR="00BC1F8B">
        <w:rPr>
          <w:rFonts w:ascii="Times New Roman" w:hAnsi="Times New Roman" w:cs="Times New Roman"/>
          <w:sz w:val="28"/>
          <w:szCs w:val="28"/>
          <w:lang w:val="uk-UA"/>
        </w:rPr>
        <w:t xml:space="preserve"> (далі – Звіт)</w:t>
      </w:r>
      <w:r w:rsidRPr="00D63043">
        <w:rPr>
          <w:rFonts w:ascii="Times New Roman" w:hAnsi="Times New Roman" w:cs="Times New Roman"/>
          <w:sz w:val="28"/>
          <w:szCs w:val="28"/>
          <w:lang w:val="uk-UA"/>
        </w:rPr>
        <w:t xml:space="preserve"> Єврокомісія надала в цілому позитивну оцінку готовності енергетичного сектору до інтеграції, та відзначила важливість нещодавніх енергетичних реформ, які Україна продовжує послідовно здійснювати навіть в умовах постійних атак країни-агресора на енергетичну інфраструктуру. </w:t>
      </w:r>
    </w:p>
    <w:p w14:paraId="75392E0B" w14:textId="77777777" w:rsidR="00D63043" w:rsidRPr="00D63043" w:rsidRDefault="00D63043" w:rsidP="00D6304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3043">
        <w:rPr>
          <w:rFonts w:ascii="Times New Roman" w:hAnsi="Times New Roman" w:cs="Times New Roman"/>
          <w:sz w:val="28"/>
          <w:szCs w:val="28"/>
          <w:lang w:val="uk-UA"/>
        </w:rPr>
        <w:t>Разом із тим в Звіті окреслені певні заходи, що повинні бути виконані в найближчій перспективі, зокрема зазначається необхідність: «покращити незалежну і ефективну роботу енергетичного регулятора, що у підсумку призведе до практики чесного і прозорого прийняття рішень для забезпечення належного функціонування енергетичних ринків», що є зобов’язанням, взятим Україною при приєднанні до Договору про Заснування Енергетичного Співтовариства.</w:t>
      </w:r>
    </w:p>
    <w:p w14:paraId="2DA84C51" w14:textId="4413F84E" w:rsidR="00D63043" w:rsidRPr="00D63043" w:rsidRDefault="00652EBF" w:rsidP="00D6304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63043" w:rsidRPr="00D63043">
        <w:rPr>
          <w:rFonts w:ascii="Times New Roman" w:hAnsi="Times New Roman" w:cs="Times New Roman"/>
          <w:sz w:val="28"/>
          <w:szCs w:val="28"/>
          <w:lang w:val="uk-UA"/>
        </w:rPr>
        <w:t xml:space="preserve"> свою чергу Секретаріат Енергетичного Співтовариства здійснив та оприлюднив на власному </w:t>
      </w:r>
      <w:proofErr w:type="spellStart"/>
      <w:r w:rsidR="00D63043" w:rsidRPr="00D63043">
        <w:rPr>
          <w:rFonts w:ascii="Times New Roman" w:hAnsi="Times New Roman" w:cs="Times New Roman"/>
          <w:sz w:val="28"/>
          <w:szCs w:val="28"/>
          <w:lang w:val="uk-UA"/>
        </w:rPr>
        <w:t>вебсайті</w:t>
      </w:r>
      <w:proofErr w:type="spellEnd"/>
      <w:r w:rsidR="00D63043" w:rsidRPr="00D63043">
        <w:rPr>
          <w:rFonts w:ascii="Times New Roman" w:hAnsi="Times New Roman" w:cs="Times New Roman"/>
          <w:sz w:val="28"/>
          <w:szCs w:val="28"/>
          <w:lang w:val="uk-UA"/>
        </w:rPr>
        <w:t xml:space="preserve"> оцінку незалежності та відповідності енергетичного Регулятора України нормам </w:t>
      </w:r>
      <w:proofErr w:type="spellStart"/>
      <w:r w:rsidR="00D63043" w:rsidRPr="00D63043">
        <w:rPr>
          <w:rFonts w:ascii="Times New Roman" w:hAnsi="Times New Roman" w:cs="Times New Roman"/>
          <w:sz w:val="28"/>
          <w:szCs w:val="28"/>
          <w:lang w:val="uk-UA"/>
        </w:rPr>
        <w:t>acquis</w:t>
      </w:r>
      <w:proofErr w:type="spellEnd"/>
      <w:r w:rsidR="00D63043" w:rsidRPr="00D63043">
        <w:rPr>
          <w:rFonts w:ascii="Times New Roman" w:hAnsi="Times New Roman" w:cs="Times New Roman"/>
          <w:sz w:val="28"/>
          <w:szCs w:val="28"/>
          <w:lang w:val="uk-UA"/>
        </w:rPr>
        <w:t xml:space="preserve"> Енергетичного Співтовариства (далі – Оцінка), яка вказує на порушення Україною цих вимог у частині незалежного статусу та роботи Регулятора, що особливо загострилось внаслідок законодавчих змін, що відбулися після рішення Конституційного Суду України щодо неконституційності окремих положень Закону України від 22 вересня 2016 року № 1540–VIII «Про Національну комісію, що здійснює державне регулювання у сферах енергетики та комунальних послуг» (далі – Закон про НКРЕКП).</w:t>
      </w:r>
    </w:p>
    <w:p w14:paraId="2C847DB1" w14:textId="66E6A4EF" w:rsidR="00D63043" w:rsidRPr="00D63043" w:rsidRDefault="00D63043" w:rsidP="00D6304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3043">
        <w:rPr>
          <w:rFonts w:ascii="Times New Roman" w:hAnsi="Times New Roman" w:cs="Times New Roman"/>
          <w:sz w:val="28"/>
          <w:szCs w:val="28"/>
          <w:lang w:val="uk-UA"/>
        </w:rPr>
        <w:t xml:space="preserve">На думку Секретаріату, деякі положення українського законодавства, у тому числі Закону про НКРЕКП, не гарантують незалежності Регулятора, і ці структурні занепокоєння є серйозними. Це зокрема стосується підпорядкування НКРЕКП Уряду, що не відповідає </w:t>
      </w:r>
      <w:proofErr w:type="spellStart"/>
      <w:r w:rsidRPr="00D63043">
        <w:rPr>
          <w:rFonts w:ascii="Times New Roman" w:hAnsi="Times New Roman" w:cs="Times New Roman"/>
          <w:sz w:val="28"/>
          <w:szCs w:val="28"/>
          <w:lang w:val="uk-UA"/>
        </w:rPr>
        <w:t>acquis</w:t>
      </w:r>
      <w:proofErr w:type="spellEnd"/>
      <w:r w:rsidRPr="00D63043">
        <w:rPr>
          <w:rFonts w:ascii="Times New Roman" w:hAnsi="Times New Roman" w:cs="Times New Roman"/>
          <w:sz w:val="28"/>
          <w:szCs w:val="28"/>
          <w:lang w:val="uk-UA"/>
        </w:rPr>
        <w:t xml:space="preserve"> Енергетичного Співтовариства. Так само не відповідає </w:t>
      </w:r>
      <w:proofErr w:type="spellStart"/>
      <w:r w:rsidRPr="00D63043">
        <w:rPr>
          <w:rFonts w:ascii="Times New Roman" w:hAnsi="Times New Roman" w:cs="Times New Roman"/>
          <w:sz w:val="28"/>
          <w:szCs w:val="28"/>
          <w:lang w:val="uk-UA"/>
        </w:rPr>
        <w:t>acquis</w:t>
      </w:r>
      <w:proofErr w:type="spellEnd"/>
      <w:r w:rsidRPr="00D63043">
        <w:rPr>
          <w:rFonts w:ascii="Times New Roman" w:hAnsi="Times New Roman" w:cs="Times New Roman"/>
          <w:sz w:val="28"/>
          <w:szCs w:val="28"/>
          <w:lang w:val="uk-UA"/>
        </w:rPr>
        <w:t xml:space="preserve"> відсутність повної фінансової незалежності, пов’язаної із управлінням кошторисом та штатною чисельністю НКРЕКП, вимога державної реєстрації рішень Регулятора</w:t>
      </w:r>
      <w:r w:rsidR="00652EBF">
        <w:rPr>
          <w:rFonts w:ascii="Times New Roman" w:hAnsi="Times New Roman" w:cs="Times New Roman"/>
          <w:sz w:val="28"/>
          <w:szCs w:val="28"/>
          <w:lang w:val="uk-UA"/>
        </w:rPr>
        <w:t xml:space="preserve"> Міністерством </w:t>
      </w:r>
      <w:r w:rsidR="00652EBF">
        <w:rPr>
          <w:rFonts w:ascii="Times New Roman" w:hAnsi="Times New Roman" w:cs="Times New Roman"/>
          <w:sz w:val="28"/>
          <w:szCs w:val="28"/>
          <w:lang w:val="uk-UA"/>
        </w:rPr>
        <w:lastRenderedPageBreak/>
        <w:t>юстиції</w:t>
      </w:r>
      <w:r w:rsidRPr="00D63043">
        <w:rPr>
          <w:rFonts w:ascii="Times New Roman" w:hAnsi="Times New Roman" w:cs="Times New Roman"/>
          <w:sz w:val="28"/>
          <w:szCs w:val="28"/>
          <w:lang w:val="uk-UA"/>
        </w:rPr>
        <w:t xml:space="preserve">, що значно обмежує функціональну незалежність НКРЕКП. Крім того численні ініціативи оптимізації функціонування НКРЕКП, неодноразове відхилення пропозицій щодо збільшення граничної чисельності працівників НКРЕКП, необхідного для забезпечення реалізації нових зобов’язань, спроби державного втручання </w:t>
      </w:r>
      <w:r w:rsidR="00652EB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63043">
        <w:rPr>
          <w:rFonts w:ascii="Times New Roman" w:hAnsi="Times New Roman" w:cs="Times New Roman"/>
          <w:sz w:val="28"/>
          <w:szCs w:val="28"/>
          <w:lang w:val="uk-UA"/>
        </w:rPr>
        <w:t xml:space="preserve"> автономію прийняття Регулятором рішень переконливо демонструють недостатнє розуміння іншими державними органами особливої ролі та спеціального статусу НКРЕКП як це визначено еталоном </w:t>
      </w:r>
      <w:proofErr w:type="spellStart"/>
      <w:r w:rsidRPr="00D63043">
        <w:rPr>
          <w:rFonts w:ascii="Times New Roman" w:hAnsi="Times New Roman" w:cs="Times New Roman"/>
          <w:sz w:val="28"/>
          <w:szCs w:val="28"/>
          <w:lang w:val="uk-UA"/>
        </w:rPr>
        <w:t>acquis</w:t>
      </w:r>
      <w:proofErr w:type="spellEnd"/>
      <w:r w:rsidRPr="00D63043">
        <w:rPr>
          <w:rFonts w:ascii="Times New Roman" w:hAnsi="Times New Roman" w:cs="Times New Roman"/>
          <w:sz w:val="28"/>
          <w:szCs w:val="28"/>
          <w:lang w:val="uk-UA"/>
        </w:rPr>
        <w:t xml:space="preserve"> Енергетичного Співтовариства та Європейського Союзу. </w:t>
      </w:r>
    </w:p>
    <w:p w14:paraId="71D6C6F7" w14:textId="77777777" w:rsidR="00D63043" w:rsidRPr="00D63043" w:rsidRDefault="00D63043" w:rsidP="00D6304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3043">
        <w:rPr>
          <w:rFonts w:ascii="Times New Roman" w:hAnsi="Times New Roman" w:cs="Times New Roman"/>
          <w:sz w:val="28"/>
          <w:szCs w:val="28"/>
          <w:lang w:val="uk-UA"/>
        </w:rPr>
        <w:t>В своїй Оцінці Секретаріат надає чіткі рекомендації, які мають бути реалізовані для забезпечення виконання Україною загальноєвропейських вимог у питаннях статусу, незалежності та завдань національного енергетичного регулятора. Крім того Секретаріат наголошує, що повага до незалежності НКРЕКП та її розбудова – не просто юридичне зобов’язання, а фундамент, на якому Україна має вибудовувати свою майбутню інтеграцію із європейськими енергетичними ринками і який слугуватиме гарантією впевненості публічних донорів та приватних інвесторів. Останнє має особливо важливе значення для України в контексті нагальної потреби залучати інвестиції, необхідні українській економіці в цілому та енергетичному сектору зокрема, націлені на допомогу Україні як під час дії воєнного стану, так і для майбутньої відбудови.</w:t>
      </w:r>
    </w:p>
    <w:p w14:paraId="579BDF80" w14:textId="77777777" w:rsidR="00D63043" w:rsidRPr="00D63043" w:rsidRDefault="00D63043" w:rsidP="00D6304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3043">
        <w:rPr>
          <w:rFonts w:ascii="Times New Roman" w:hAnsi="Times New Roman" w:cs="Times New Roman"/>
          <w:sz w:val="28"/>
          <w:szCs w:val="28"/>
          <w:lang w:val="uk-UA"/>
        </w:rPr>
        <w:t>Варто зауважити, що саме інтеграція країн в енергетичній сфері передувала подальшим інтеграційним процесам та створенню єдиного Європейського економічного простору. І сьогодні амбітні енергетичні та кліматичні цілі із «зеленої» трансформації Європейського континенту є важливим інтеграційним чинником для досягнення спільних прагнень Європи щодо сталого розвитку.</w:t>
      </w:r>
    </w:p>
    <w:p w14:paraId="11DA0F63" w14:textId="77777777" w:rsidR="00D63043" w:rsidRDefault="00D63043" w:rsidP="00D6304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3043">
        <w:rPr>
          <w:rFonts w:ascii="Times New Roman" w:hAnsi="Times New Roman" w:cs="Times New Roman"/>
          <w:sz w:val="28"/>
          <w:szCs w:val="28"/>
          <w:lang w:val="uk-UA"/>
        </w:rPr>
        <w:t xml:space="preserve">Відтак, для реалізації своїх євроінтеграційних цілей Україні необхідно вже зараз гарантувати беззастережне виконання зобов’язань щодо імплементації </w:t>
      </w:r>
      <w:proofErr w:type="spellStart"/>
      <w:r w:rsidRPr="00D63043">
        <w:rPr>
          <w:rFonts w:ascii="Times New Roman" w:hAnsi="Times New Roman" w:cs="Times New Roman"/>
          <w:sz w:val="28"/>
          <w:szCs w:val="28"/>
          <w:lang w:val="uk-UA"/>
        </w:rPr>
        <w:t>acquis</w:t>
      </w:r>
      <w:proofErr w:type="spellEnd"/>
      <w:r w:rsidRPr="00D63043">
        <w:rPr>
          <w:rFonts w:ascii="Times New Roman" w:hAnsi="Times New Roman" w:cs="Times New Roman"/>
          <w:sz w:val="28"/>
          <w:szCs w:val="28"/>
          <w:lang w:val="uk-UA"/>
        </w:rPr>
        <w:t xml:space="preserve"> ЄС в енергетичній сфері, що дозволить в умовах безпрецедентних викликів краще забезпечувати економічну стабільність, енергетичну безпеку України та поглибити співпрацю з ЄС.</w:t>
      </w:r>
    </w:p>
    <w:p w14:paraId="758D134A" w14:textId="4E6C4577" w:rsidR="007E47DA" w:rsidRDefault="007E47DA" w:rsidP="00D6304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47DA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зазначене та </w:t>
      </w:r>
      <w:r w:rsidR="003D2032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Pr="007E47DA">
        <w:rPr>
          <w:rFonts w:ascii="Times New Roman" w:hAnsi="Times New Roman" w:cs="Times New Roman"/>
          <w:sz w:val="28"/>
          <w:szCs w:val="28"/>
          <w:lang w:val="uk-UA"/>
        </w:rPr>
        <w:t xml:space="preserve"> якнайшвидшого подолання прогалин в українському законодавстві, </w:t>
      </w:r>
      <w:r w:rsidR="00474FA5">
        <w:rPr>
          <w:rFonts w:ascii="Times New Roman" w:hAnsi="Times New Roman" w:cs="Times New Roman"/>
          <w:sz w:val="28"/>
          <w:szCs w:val="28"/>
          <w:lang w:val="uk-UA"/>
        </w:rPr>
        <w:t xml:space="preserve">НКРЕКП </w:t>
      </w:r>
      <w:r w:rsidRPr="007E47DA">
        <w:rPr>
          <w:rFonts w:ascii="Times New Roman" w:hAnsi="Times New Roman" w:cs="Times New Roman"/>
          <w:sz w:val="28"/>
          <w:szCs w:val="28"/>
          <w:lang w:val="uk-UA"/>
        </w:rPr>
        <w:t>підгот</w:t>
      </w:r>
      <w:r w:rsidR="00297104">
        <w:rPr>
          <w:rFonts w:ascii="Times New Roman" w:hAnsi="Times New Roman" w:cs="Times New Roman"/>
          <w:sz w:val="28"/>
          <w:szCs w:val="28"/>
          <w:lang w:val="uk-UA"/>
        </w:rPr>
        <w:t xml:space="preserve">овлено </w:t>
      </w:r>
      <w:proofErr w:type="spellStart"/>
      <w:r w:rsidR="00297104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Pr="007E47DA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Pr="007E47D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внесення змін до деяких законів України щодо посилення незалежності Регулятора у сферах енергетики та комунал</w:t>
      </w:r>
      <w:r w:rsidR="00297104">
        <w:rPr>
          <w:rFonts w:ascii="Times New Roman" w:hAnsi="Times New Roman" w:cs="Times New Roman"/>
          <w:sz w:val="28"/>
          <w:szCs w:val="28"/>
          <w:lang w:val="uk-UA"/>
        </w:rPr>
        <w:t xml:space="preserve">ьних послуг» (далі – </w:t>
      </w:r>
      <w:proofErr w:type="spellStart"/>
      <w:r w:rsidR="00297104">
        <w:rPr>
          <w:rFonts w:ascii="Times New Roman" w:hAnsi="Times New Roman" w:cs="Times New Roman"/>
          <w:sz w:val="28"/>
          <w:szCs w:val="28"/>
          <w:lang w:val="uk-UA"/>
        </w:rPr>
        <w:t>законопроє</w:t>
      </w:r>
      <w:r w:rsidRPr="007E47DA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Pr="007E47DA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402A0547" w14:textId="77777777" w:rsidR="00D0519B" w:rsidRDefault="00D0519B" w:rsidP="00D6304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341899" w14:paraId="4534AC49" w14:textId="77777777" w:rsidTr="00341899">
        <w:tc>
          <w:tcPr>
            <w:tcW w:w="3115" w:type="dxa"/>
          </w:tcPr>
          <w:p w14:paraId="27195753" w14:textId="77777777" w:rsidR="00341899" w:rsidRPr="00341899" w:rsidRDefault="00341899" w:rsidP="003418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41899">
              <w:rPr>
                <w:rFonts w:ascii="Times New Roman" w:hAnsi="Times New Roman" w:cs="Times New Roman"/>
                <w:b/>
                <w:sz w:val="28"/>
                <w:szCs w:val="28"/>
              </w:rPr>
              <w:t>Групи</w:t>
            </w:r>
            <w:proofErr w:type="spellEnd"/>
            <w:r w:rsidRPr="00341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proofErr w:type="spellStart"/>
            <w:r w:rsidRPr="00341899">
              <w:rPr>
                <w:rFonts w:ascii="Times New Roman" w:hAnsi="Times New Roman" w:cs="Times New Roman"/>
                <w:b/>
                <w:sz w:val="28"/>
                <w:szCs w:val="28"/>
              </w:rPr>
              <w:t>підгрупи</w:t>
            </w:r>
            <w:proofErr w:type="spellEnd"/>
            <w:r w:rsidRPr="00341899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3115" w:type="dxa"/>
          </w:tcPr>
          <w:p w14:paraId="1237DF86" w14:textId="77777777" w:rsidR="00341899" w:rsidRPr="00341899" w:rsidRDefault="00341899" w:rsidP="003418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899">
              <w:rPr>
                <w:rFonts w:ascii="Times New Roman" w:hAnsi="Times New Roman" w:cs="Times New Roman"/>
                <w:b/>
                <w:sz w:val="28"/>
                <w:szCs w:val="28"/>
              </w:rPr>
              <w:t>Так</w:t>
            </w:r>
          </w:p>
        </w:tc>
        <w:tc>
          <w:tcPr>
            <w:tcW w:w="3115" w:type="dxa"/>
          </w:tcPr>
          <w:p w14:paraId="0486DF64" w14:textId="77777777" w:rsidR="00341899" w:rsidRPr="00341899" w:rsidRDefault="00341899" w:rsidP="003418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41899">
              <w:rPr>
                <w:rFonts w:ascii="Times New Roman" w:hAnsi="Times New Roman" w:cs="Times New Roman"/>
                <w:b/>
                <w:sz w:val="28"/>
                <w:szCs w:val="28"/>
              </w:rPr>
              <w:t>Ні</w:t>
            </w:r>
            <w:proofErr w:type="spellEnd"/>
          </w:p>
        </w:tc>
      </w:tr>
      <w:tr w:rsidR="00EF4A1F" w:rsidRPr="00EF4A1F" w14:paraId="2461F9C7" w14:textId="77777777" w:rsidTr="00341899">
        <w:tc>
          <w:tcPr>
            <w:tcW w:w="3115" w:type="dxa"/>
          </w:tcPr>
          <w:p w14:paraId="10C245C3" w14:textId="77777777" w:rsidR="00EF4A1F" w:rsidRPr="00EF4A1F" w:rsidRDefault="00EF4A1F" w:rsidP="00EF4A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4A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Громадяни</w:t>
            </w:r>
          </w:p>
        </w:tc>
        <w:tc>
          <w:tcPr>
            <w:tcW w:w="3115" w:type="dxa"/>
          </w:tcPr>
          <w:p w14:paraId="07FB0A22" w14:textId="77777777" w:rsidR="00EF4A1F" w:rsidRPr="00044119" w:rsidRDefault="00EF4A1F" w:rsidP="00EF4A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5" w:type="dxa"/>
          </w:tcPr>
          <w:p w14:paraId="44C067FC" w14:textId="77777777" w:rsidR="00EF4A1F" w:rsidRPr="00EF4A1F" w:rsidRDefault="00A25175" w:rsidP="00EF4A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</w:tr>
      <w:tr w:rsidR="00EF4A1F" w:rsidRPr="00EF4A1F" w14:paraId="3F18EFA5" w14:textId="77777777" w:rsidTr="00341899">
        <w:tc>
          <w:tcPr>
            <w:tcW w:w="3115" w:type="dxa"/>
          </w:tcPr>
          <w:p w14:paraId="5DB808DB" w14:textId="77777777" w:rsidR="00EF4A1F" w:rsidRPr="00EF4A1F" w:rsidRDefault="00EF4A1F" w:rsidP="00EF4A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4A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Держава</w:t>
            </w:r>
          </w:p>
        </w:tc>
        <w:tc>
          <w:tcPr>
            <w:tcW w:w="3115" w:type="dxa"/>
          </w:tcPr>
          <w:p w14:paraId="783890EC" w14:textId="77777777" w:rsidR="00EF4A1F" w:rsidRPr="00EF4A1F" w:rsidRDefault="00EF4A1F" w:rsidP="00EF4A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</w:p>
        </w:tc>
        <w:tc>
          <w:tcPr>
            <w:tcW w:w="3115" w:type="dxa"/>
          </w:tcPr>
          <w:p w14:paraId="2D1CA5FF" w14:textId="77777777" w:rsidR="00EF4A1F" w:rsidRPr="00EF4A1F" w:rsidRDefault="00EF4A1F" w:rsidP="00EF4A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A1F" w:rsidRPr="00EF4A1F" w14:paraId="660E5F7A" w14:textId="77777777" w:rsidTr="00341899">
        <w:tc>
          <w:tcPr>
            <w:tcW w:w="3115" w:type="dxa"/>
          </w:tcPr>
          <w:p w14:paraId="3AAE55C6" w14:textId="77777777" w:rsidR="00EF4A1F" w:rsidRPr="00EF4A1F" w:rsidRDefault="00EF4A1F" w:rsidP="00EF4A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4A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Суб’єкти господарювання </w:t>
            </w:r>
          </w:p>
        </w:tc>
        <w:tc>
          <w:tcPr>
            <w:tcW w:w="3115" w:type="dxa"/>
          </w:tcPr>
          <w:p w14:paraId="4D1D55AF" w14:textId="77777777" w:rsidR="00EF4A1F" w:rsidRPr="00EF4A1F" w:rsidRDefault="00EF4A1F" w:rsidP="00EF4A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15" w:type="dxa"/>
          </w:tcPr>
          <w:p w14:paraId="796D02B9" w14:textId="77777777" w:rsidR="00EF4A1F" w:rsidRPr="00EF4A1F" w:rsidRDefault="00A25175" w:rsidP="00EF4A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</w:tr>
      <w:tr w:rsidR="00EF4A1F" w:rsidRPr="00EF4A1F" w14:paraId="5C5C4E78" w14:textId="77777777" w:rsidTr="00341899">
        <w:tc>
          <w:tcPr>
            <w:tcW w:w="3115" w:type="dxa"/>
          </w:tcPr>
          <w:p w14:paraId="5071B74B" w14:textId="77777777" w:rsidR="00EF4A1F" w:rsidRPr="00EF4A1F" w:rsidRDefault="00EF4A1F" w:rsidP="00EF4A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4A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у тому числі суб’єкти малого підприємництва</w:t>
            </w:r>
          </w:p>
        </w:tc>
        <w:tc>
          <w:tcPr>
            <w:tcW w:w="3115" w:type="dxa"/>
          </w:tcPr>
          <w:p w14:paraId="35918845" w14:textId="77777777" w:rsidR="00EF4A1F" w:rsidRPr="005F2DB0" w:rsidRDefault="00EF4A1F" w:rsidP="00EF4A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2B25989B" w14:textId="77777777" w:rsidR="00EF4A1F" w:rsidRPr="00EF4A1F" w:rsidRDefault="00662982" w:rsidP="00EF4A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51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</w:tr>
    </w:tbl>
    <w:p w14:paraId="5C3B3B77" w14:textId="77777777" w:rsidR="00D0519B" w:rsidRDefault="00D0519B" w:rsidP="00D6304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653751" w14:textId="77777777" w:rsidR="003108A9" w:rsidRDefault="003108A9" w:rsidP="00244AE8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08A9">
        <w:rPr>
          <w:rFonts w:ascii="Times New Roman" w:hAnsi="Times New Roman" w:cs="Times New Roman"/>
          <w:b/>
          <w:sz w:val="28"/>
          <w:szCs w:val="28"/>
          <w:lang w:val="uk-UA"/>
        </w:rPr>
        <w:t>II. Цілі державного регулювання</w:t>
      </w:r>
    </w:p>
    <w:p w14:paraId="31081EA1" w14:textId="77777777" w:rsidR="00F97512" w:rsidRDefault="00F97512" w:rsidP="00D6304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F8BD82A" w14:textId="011F38D6" w:rsidR="00F97512" w:rsidRDefault="00F97512" w:rsidP="00D6304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7512">
        <w:rPr>
          <w:rFonts w:ascii="Times New Roman" w:hAnsi="Times New Roman" w:cs="Times New Roman"/>
          <w:sz w:val="28"/>
          <w:szCs w:val="28"/>
          <w:lang w:val="uk-UA"/>
        </w:rPr>
        <w:t>Метою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законопроєкт</w:t>
      </w:r>
      <w:r w:rsidR="00474FA5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 </w:t>
      </w:r>
      <w:r w:rsidRPr="00F97512">
        <w:rPr>
          <w:rFonts w:ascii="Times New Roman" w:hAnsi="Times New Roman" w:cs="Times New Roman"/>
          <w:sz w:val="28"/>
          <w:szCs w:val="28"/>
          <w:lang w:val="uk-UA"/>
        </w:rPr>
        <w:t>посилення незалежного статусу національного енергетичного регулятора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97512">
        <w:rPr>
          <w:rFonts w:ascii="Times New Roman" w:hAnsi="Times New Roman" w:cs="Times New Roman"/>
          <w:sz w:val="28"/>
          <w:szCs w:val="28"/>
          <w:lang w:val="uk-UA"/>
        </w:rPr>
        <w:t xml:space="preserve"> як того вимагає </w:t>
      </w:r>
      <w:proofErr w:type="spellStart"/>
      <w:r w:rsidRPr="00F97512">
        <w:rPr>
          <w:rFonts w:ascii="Times New Roman" w:hAnsi="Times New Roman" w:cs="Times New Roman"/>
          <w:sz w:val="28"/>
          <w:szCs w:val="28"/>
          <w:lang w:val="uk-UA"/>
        </w:rPr>
        <w:t>acquis</w:t>
      </w:r>
      <w:proofErr w:type="spellEnd"/>
      <w:r w:rsidRPr="00F97512">
        <w:rPr>
          <w:rFonts w:ascii="Times New Roman" w:hAnsi="Times New Roman" w:cs="Times New Roman"/>
          <w:sz w:val="28"/>
          <w:szCs w:val="28"/>
          <w:lang w:val="uk-UA"/>
        </w:rPr>
        <w:t xml:space="preserve"> ЄС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97512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зміцнення </w:t>
      </w:r>
      <w:r w:rsidRPr="00F97512">
        <w:rPr>
          <w:rFonts w:ascii="Times New Roman" w:hAnsi="Times New Roman" w:cs="Times New Roman"/>
          <w:sz w:val="28"/>
          <w:szCs w:val="28"/>
          <w:lang w:val="uk-UA"/>
        </w:rPr>
        <w:t>переговорної позиції України під час процес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97512">
        <w:rPr>
          <w:rFonts w:ascii="Times New Roman" w:hAnsi="Times New Roman" w:cs="Times New Roman"/>
          <w:sz w:val="28"/>
          <w:szCs w:val="28"/>
          <w:lang w:val="uk-UA"/>
        </w:rPr>
        <w:t xml:space="preserve"> перемовин про вступ України до Євросоюзу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2F07648" w14:textId="77777777" w:rsidR="009A6BAF" w:rsidRDefault="009A6BAF" w:rsidP="00D6304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6BAF">
        <w:rPr>
          <w:rFonts w:ascii="Times New Roman" w:hAnsi="Times New Roman" w:cs="Times New Roman"/>
          <w:sz w:val="28"/>
          <w:szCs w:val="28"/>
          <w:lang w:val="uk-UA"/>
        </w:rPr>
        <w:t xml:space="preserve">Прийняття </w:t>
      </w:r>
      <w:proofErr w:type="spellStart"/>
      <w:r w:rsidRPr="009A6BAF">
        <w:rPr>
          <w:rFonts w:ascii="Times New Roman" w:hAnsi="Times New Roman" w:cs="Times New Roman"/>
          <w:sz w:val="28"/>
          <w:szCs w:val="28"/>
          <w:lang w:val="uk-UA"/>
        </w:rPr>
        <w:t>законопроєкта</w:t>
      </w:r>
      <w:proofErr w:type="spellEnd"/>
      <w:r w:rsidRPr="009A6BAF">
        <w:rPr>
          <w:rFonts w:ascii="Times New Roman" w:hAnsi="Times New Roman" w:cs="Times New Roman"/>
          <w:sz w:val="28"/>
          <w:szCs w:val="28"/>
          <w:lang w:val="uk-UA"/>
        </w:rPr>
        <w:t xml:space="preserve"> необхідне для виконання Україною зобов’язань за Договором про заснування Енергетичного Співтовариства та Угодою про асоціацію між Україною, з однієї сторони, та Європейським Союзом, Європейським співтовариством з атомної енергії і їхніми державами-членами, з іншої сторони.</w:t>
      </w:r>
    </w:p>
    <w:p w14:paraId="6DF69CBE" w14:textId="52C59DCC" w:rsidR="00DB3268" w:rsidRDefault="00B21D15" w:rsidP="00D6304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Прийняття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DB3268" w:rsidRPr="00DB3268">
        <w:rPr>
          <w:rFonts w:ascii="Times New Roman" w:hAnsi="Times New Roman" w:cs="Times New Roman"/>
          <w:sz w:val="28"/>
          <w:szCs w:val="28"/>
          <w:lang w:val="uk-UA"/>
        </w:rPr>
        <w:t>аконопроєкт</w:t>
      </w:r>
      <w:r w:rsidR="00474FA5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DB3268" w:rsidRPr="00DB32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60A5">
        <w:rPr>
          <w:rFonts w:ascii="Times New Roman" w:hAnsi="Times New Roman" w:cs="Times New Roman"/>
          <w:sz w:val="28"/>
          <w:szCs w:val="28"/>
          <w:lang w:val="uk-UA"/>
        </w:rPr>
        <w:t>забезпечить імплементацію</w:t>
      </w:r>
      <w:r w:rsidR="00DB3268" w:rsidRPr="00DB3268">
        <w:rPr>
          <w:rFonts w:ascii="Times New Roman" w:hAnsi="Times New Roman" w:cs="Times New Roman"/>
          <w:sz w:val="28"/>
          <w:szCs w:val="28"/>
          <w:lang w:val="uk-UA"/>
        </w:rPr>
        <w:t xml:space="preserve"> нормативно-правової бази Енергетичного Співтовариства шляхом уточнення норм Закону про НКРЕКП щодо підконтрольності та підзвітності Регулятора, непоширення статусу державних службовців на працівників НКРЕКП, удосконалення процедури та строків проведення заходів контролю Регулятором</w:t>
      </w:r>
      <w:r w:rsidR="00BF60A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B3268" w:rsidRPr="00DB3268">
        <w:rPr>
          <w:rFonts w:ascii="Times New Roman" w:hAnsi="Times New Roman" w:cs="Times New Roman"/>
          <w:sz w:val="28"/>
          <w:szCs w:val="28"/>
          <w:lang w:val="uk-UA"/>
        </w:rPr>
        <w:t xml:space="preserve"> внесення змін до законів України «Про Кабінет Міністрів України», «Про центральні органи виконавчої влади» щодо уточнення спеціального статусу НКРЕКП як центрального органу виконавчої влади.</w:t>
      </w:r>
    </w:p>
    <w:p w14:paraId="28E81724" w14:textId="77777777" w:rsidR="00CE0F1E" w:rsidRDefault="00CE0F1E" w:rsidP="00D6304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ACC8C21" w14:textId="77777777" w:rsidR="00CE0F1E" w:rsidRPr="00CE0F1E" w:rsidRDefault="00CE0F1E" w:rsidP="00244AE8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E0F1E">
        <w:rPr>
          <w:rFonts w:ascii="Times New Roman" w:hAnsi="Times New Roman" w:cs="Times New Roman"/>
          <w:b/>
          <w:sz w:val="28"/>
          <w:szCs w:val="28"/>
          <w:lang w:val="uk-UA"/>
        </w:rPr>
        <w:t>ІІІ. Визначення та оцінка альтернативних способів досягнення цілей</w:t>
      </w:r>
    </w:p>
    <w:p w14:paraId="4428B5D7" w14:textId="77777777" w:rsidR="00CE0F1E" w:rsidRPr="00CE0F1E" w:rsidRDefault="00CE0F1E" w:rsidP="00CE0F1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0F1E">
        <w:rPr>
          <w:rFonts w:ascii="Times New Roman" w:hAnsi="Times New Roman" w:cs="Times New Roman"/>
          <w:sz w:val="28"/>
          <w:szCs w:val="28"/>
          <w:lang w:val="uk-UA"/>
        </w:rPr>
        <w:t>Визначення альтернативних способів</w:t>
      </w:r>
    </w:p>
    <w:p w14:paraId="68D4C9A7" w14:textId="77777777" w:rsidR="00CE0F1E" w:rsidRDefault="00CE0F1E" w:rsidP="00CE0F1E">
      <w:pPr>
        <w:pStyle w:val="a4"/>
        <w:spacing w:after="0"/>
        <w:ind w:left="140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969"/>
        <w:gridCol w:w="5387"/>
      </w:tblGrid>
      <w:tr w:rsidR="00CE0F1E" w14:paraId="43A1912F" w14:textId="77777777" w:rsidTr="00D33ADE">
        <w:tc>
          <w:tcPr>
            <w:tcW w:w="3969" w:type="dxa"/>
          </w:tcPr>
          <w:p w14:paraId="4648EF9F" w14:textId="77777777" w:rsidR="00CE0F1E" w:rsidRPr="00CE0F1E" w:rsidRDefault="00CE0F1E" w:rsidP="00CE0F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Вид </w:t>
            </w:r>
            <w:proofErr w:type="spellStart"/>
            <w:r w:rsidRPr="00CE0F1E">
              <w:rPr>
                <w:rFonts w:ascii="Times New Roman" w:hAnsi="Times New Roman" w:cs="Times New Roman"/>
                <w:b/>
                <w:sz w:val="28"/>
                <w:szCs w:val="28"/>
              </w:rPr>
              <w:t>альтернативи</w:t>
            </w:r>
            <w:proofErr w:type="spellEnd"/>
          </w:p>
        </w:tc>
        <w:tc>
          <w:tcPr>
            <w:tcW w:w="5387" w:type="dxa"/>
          </w:tcPr>
          <w:p w14:paraId="771D8C70" w14:textId="77777777" w:rsidR="00CE0F1E" w:rsidRPr="00CE0F1E" w:rsidRDefault="00CE0F1E" w:rsidP="00CE0F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E0F1E">
              <w:rPr>
                <w:rFonts w:ascii="Times New Roman" w:hAnsi="Times New Roman" w:cs="Times New Roman"/>
                <w:b/>
                <w:sz w:val="28"/>
                <w:szCs w:val="28"/>
              </w:rPr>
              <w:t>Опис</w:t>
            </w:r>
            <w:proofErr w:type="spellEnd"/>
            <w:r w:rsidRPr="00CE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E0F1E">
              <w:rPr>
                <w:rFonts w:ascii="Times New Roman" w:hAnsi="Times New Roman" w:cs="Times New Roman"/>
                <w:b/>
                <w:sz w:val="28"/>
                <w:szCs w:val="28"/>
              </w:rPr>
              <w:t>альтернативи</w:t>
            </w:r>
            <w:proofErr w:type="spellEnd"/>
          </w:p>
        </w:tc>
      </w:tr>
      <w:tr w:rsidR="00CE0F1E" w:rsidRPr="00DA2DE2" w14:paraId="7FE666DD" w14:textId="77777777" w:rsidTr="00D33ADE">
        <w:tc>
          <w:tcPr>
            <w:tcW w:w="3969" w:type="dxa"/>
          </w:tcPr>
          <w:p w14:paraId="284B9284" w14:textId="77777777" w:rsidR="008163BB" w:rsidRDefault="008163BB" w:rsidP="00CE0F1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63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Альтернатива 1. </w:t>
            </w:r>
          </w:p>
          <w:p w14:paraId="76408EA4" w14:textId="77777777" w:rsidR="00CE0F1E" w:rsidRDefault="008163BB" w:rsidP="00CE0F1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Залишення ситуації без змін</w:t>
            </w:r>
          </w:p>
        </w:tc>
        <w:tc>
          <w:tcPr>
            <w:tcW w:w="5387" w:type="dxa"/>
          </w:tcPr>
          <w:p w14:paraId="25AD2EBA" w14:textId="77777777" w:rsidR="00CE0F1E" w:rsidRDefault="008163BB" w:rsidP="00CE0F1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63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Залишення ситуації без змін</w:t>
            </w:r>
            <w:r w:rsidR="00D33A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 забезпечить </w:t>
            </w:r>
            <w:r w:rsidR="00D33ADE" w:rsidRPr="00D33A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імплементацію нормативно-правової бази </w:t>
            </w:r>
            <w:proofErr w:type="spellStart"/>
            <w:r w:rsidR="00D33ADE" w:rsidRPr="00D33A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acquis</w:t>
            </w:r>
            <w:proofErr w:type="spellEnd"/>
            <w:r w:rsidR="00D33ADE" w:rsidRPr="00D33A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ЄС в енергетичній сфері</w:t>
            </w:r>
            <w:r w:rsidR="00D33A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не сприятиме виконанню</w:t>
            </w:r>
            <w:r w:rsidR="00D33ADE" w:rsidRPr="009A6B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Україною зобов’язань за Договором про заснування Енергетичного Співтовариства та Угодою про асоціацію між Україною, з однієї сторони, та Європейським Союзом, Європейським співтовариством з атомної енергії і їхніми державами-членами, з іншої сторони</w:t>
            </w:r>
            <w:r w:rsidR="00D33A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відповідно не призведе до посилення </w:t>
            </w:r>
            <w:r w:rsidR="00D33ADE" w:rsidRPr="00D33A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незалежного статусу національного енергетичного регулятора</w:t>
            </w:r>
            <w:r w:rsidR="00D33A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D33ADE" w:rsidRPr="00F975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як того вимагає </w:t>
            </w:r>
            <w:proofErr w:type="spellStart"/>
            <w:r w:rsidR="00D33ADE" w:rsidRPr="00F975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acquis</w:t>
            </w:r>
            <w:proofErr w:type="spellEnd"/>
            <w:r w:rsidR="00D33ADE" w:rsidRPr="00F975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ЄС</w:t>
            </w:r>
          </w:p>
        </w:tc>
      </w:tr>
      <w:tr w:rsidR="00CE0F1E" w:rsidRPr="00DA2DE2" w14:paraId="48489A81" w14:textId="77777777" w:rsidTr="00D33ADE">
        <w:tc>
          <w:tcPr>
            <w:tcW w:w="3969" w:type="dxa"/>
          </w:tcPr>
          <w:p w14:paraId="45052F8F" w14:textId="77777777" w:rsidR="001601D7" w:rsidRDefault="001601D7" w:rsidP="00CE0F1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1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Альтернатива 2.</w:t>
            </w:r>
          </w:p>
          <w:p w14:paraId="72FE63C7" w14:textId="77777777" w:rsidR="00CE0F1E" w:rsidRDefault="001601D7" w:rsidP="001601D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1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Прийняття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законопроєкту</w:t>
            </w:r>
            <w:proofErr w:type="spellEnd"/>
          </w:p>
        </w:tc>
        <w:tc>
          <w:tcPr>
            <w:tcW w:w="5387" w:type="dxa"/>
          </w:tcPr>
          <w:p w14:paraId="2446B98A" w14:textId="77777777" w:rsidR="00CE0F1E" w:rsidRDefault="002409EB" w:rsidP="000A718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Прийняття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законопроєкту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A7181" w:rsidRPr="000A71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забезпечить імплементацію нормативно-правової бази </w:t>
            </w:r>
            <w:proofErr w:type="spellStart"/>
            <w:r w:rsidR="000A7181" w:rsidRPr="000A71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acquis</w:t>
            </w:r>
            <w:proofErr w:type="spellEnd"/>
            <w:r w:rsidR="000A7181" w:rsidRPr="000A71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ЄС в енергетичній сфері, сприятиме виконанню Україною зобов’язань за Договором про заснування Енергетичного Співтовариства та Угодою про асоціацію між Україною, з однієї сторони, та Європейським Союзом, Європейським співтовариством з атомної енергії і їхніми державами-членами, з іншої сторони та відповідно </w:t>
            </w:r>
            <w:r w:rsidR="000A71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сприятиме посиленню</w:t>
            </w:r>
            <w:r w:rsidR="000A7181" w:rsidRPr="000A71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незалежного статусу національного енергетичного регуля</w:t>
            </w:r>
            <w:r w:rsidR="00833F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тора, як того вимагає </w:t>
            </w:r>
            <w:proofErr w:type="spellStart"/>
            <w:r w:rsidR="00833F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acquis</w:t>
            </w:r>
            <w:proofErr w:type="spellEnd"/>
            <w:r w:rsidR="00833F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ЄС</w:t>
            </w:r>
          </w:p>
        </w:tc>
      </w:tr>
    </w:tbl>
    <w:p w14:paraId="245C299F" w14:textId="77777777" w:rsidR="00CE0F1E" w:rsidRDefault="00CE0F1E" w:rsidP="00F34007">
      <w:pPr>
        <w:pStyle w:val="a4"/>
        <w:spacing w:after="0"/>
        <w:ind w:left="1407" w:hanging="69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EB57BAB" w14:textId="77777777" w:rsidR="00F34007" w:rsidRDefault="00F34007" w:rsidP="00F34007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4007">
        <w:rPr>
          <w:rFonts w:ascii="Times New Roman" w:hAnsi="Times New Roman" w:cs="Times New Roman"/>
          <w:sz w:val="28"/>
          <w:szCs w:val="28"/>
          <w:lang w:val="uk-UA"/>
        </w:rPr>
        <w:t>Оцінка вибраних альтернативних способів досягнення цілей</w:t>
      </w:r>
    </w:p>
    <w:p w14:paraId="13565732" w14:textId="77777777" w:rsidR="00F34007" w:rsidRDefault="00F34007" w:rsidP="00F34007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4007">
        <w:rPr>
          <w:rFonts w:ascii="Times New Roman" w:hAnsi="Times New Roman" w:cs="Times New Roman"/>
          <w:sz w:val="28"/>
          <w:szCs w:val="28"/>
          <w:lang w:val="uk-UA"/>
        </w:rPr>
        <w:t>Оцінка впливу на сферу інтересів держави</w:t>
      </w:r>
      <w:r w:rsidR="006E687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25BC73E" w14:textId="77777777" w:rsidR="00F34007" w:rsidRDefault="00F34007" w:rsidP="00F3400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689"/>
        <w:gridCol w:w="3260"/>
        <w:gridCol w:w="3402"/>
      </w:tblGrid>
      <w:tr w:rsidR="00F34007" w14:paraId="326C9DCE" w14:textId="77777777" w:rsidTr="00FB2D8E">
        <w:tc>
          <w:tcPr>
            <w:tcW w:w="2689" w:type="dxa"/>
          </w:tcPr>
          <w:p w14:paraId="45F78A90" w14:textId="77777777" w:rsidR="00F34007" w:rsidRPr="00F34007" w:rsidRDefault="00F34007" w:rsidP="00F340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Вид </w:t>
            </w:r>
            <w:proofErr w:type="spellStart"/>
            <w:r w:rsidRPr="00F34007">
              <w:rPr>
                <w:rFonts w:ascii="Times New Roman" w:hAnsi="Times New Roman" w:cs="Times New Roman"/>
                <w:b/>
                <w:sz w:val="28"/>
                <w:szCs w:val="28"/>
              </w:rPr>
              <w:t>альтернативи</w:t>
            </w:r>
            <w:proofErr w:type="spellEnd"/>
          </w:p>
        </w:tc>
        <w:tc>
          <w:tcPr>
            <w:tcW w:w="3260" w:type="dxa"/>
          </w:tcPr>
          <w:p w14:paraId="448B85A9" w14:textId="77777777" w:rsidR="00F34007" w:rsidRPr="00F34007" w:rsidRDefault="00F34007" w:rsidP="00F340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34007">
              <w:rPr>
                <w:rFonts w:ascii="Times New Roman" w:hAnsi="Times New Roman" w:cs="Times New Roman"/>
                <w:b/>
                <w:sz w:val="28"/>
                <w:szCs w:val="28"/>
              </w:rPr>
              <w:t>Вигоди</w:t>
            </w:r>
            <w:proofErr w:type="spellEnd"/>
          </w:p>
        </w:tc>
        <w:tc>
          <w:tcPr>
            <w:tcW w:w="3402" w:type="dxa"/>
          </w:tcPr>
          <w:p w14:paraId="37938BF2" w14:textId="77777777" w:rsidR="00F34007" w:rsidRPr="00F34007" w:rsidRDefault="00F34007" w:rsidP="00F340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34007">
              <w:rPr>
                <w:rFonts w:ascii="Times New Roman" w:hAnsi="Times New Roman" w:cs="Times New Roman"/>
                <w:b/>
                <w:sz w:val="28"/>
                <w:szCs w:val="28"/>
              </w:rPr>
              <w:t>Витрати</w:t>
            </w:r>
            <w:proofErr w:type="spellEnd"/>
          </w:p>
        </w:tc>
      </w:tr>
      <w:tr w:rsidR="00F34007" w14:paraId="50CC785F" w14:textId="77777777" w:rsidTr="00FB2D8E">
        <w:trPr>
          <w:trHeight w:val="465"/>
        </w:trPr>
        <w:tc>
          <w:tcPr>
            <w:tcW w:w="2689" w:type="dxa"/>
          </w:tcPr>
          <w:p w14:paraId="0BEEA7FA" w14:textId="77777777" w:rsidR="009B6E24" w:rsidRPr="009B6E24" w:rsidRDefault="009B6E24" w:rsidP="009B6E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6E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Альтернатива 1</w:t>
            </w:r>
          </w:p>
          <w:p w14:paraId="5DAEE7E0" w14:textId="77777777" w:rsidR="00F34007" w:rsidRDefault="009B6E24" w:rsidP="009B6E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6E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Збереження чинного регулювання</w:t>
            </w:r>
          </w:p>
        </w:tc>
        <w:tc>
          <w:tcPr>
            <w:tcW w:w="3260" w:type="dxa"/>
          </w:tcPr>
          <w:p w14:paraId="1A027636" w14:textId="77777777" w:rsidR="00F34007" w:rsidRDefault="009B6E24" w:rsidP="00F340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</w:t>
            </w:r>
          </w:p>
        </w:tc>
        <w:tc>
          <w:tcPr>
            <w:tcW w:w="3402" w:type="dxa"/>
          </w:tcPr>
          <w:p w14:paraId="6B7DB66E" w14:textId="77777777" w:rsidR="00F34007" w:rsidRDefault="002B329B" w:rsidP="00F340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відбудеться посилення незалежності</w:t>
            </w:r>
            <w:r w:rsidR="009B6E24" w:rsidRPr="009B6E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статусу національного енергетичного регулятора, як того вимагає </w:t>
            </w:r>
            <w:proofErr w:type="spellStart"/>
            <w:r w:rsidR="009B6E24" w:rsidRPr="009B6E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acquis</w:t>
            </w:r>
            <w:proofErr w:type="spellEnd"/>
            <w:r w:rsidR="009B6E24" w:rsidRPr="009B6E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ЄС, та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відповідно </w:t>
            </w:r>
            <w:r w:rsidR="00FB2D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 станеться </w:t>
            </w:r>
            <w:r w:rsidR="009B6E24" w:rsidRPr="009B6E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зміцнення переговорної позиції України під час процесу перемовин про вступ України до Євросоюзу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F34007" w14:paraId="5261A715" w14:textId="77777777" w:rsidTr="00FB2D8E">
        <w:trPr>
          <w:trHeight w:val="848"/>
        </w:trPr>
        <w:tc>
          <w:tcPr>
            <w:tcW w:w="2689" w:type="dxa"/>
          </w:tcPr>
          <w:p w14:paraId="4F32A941" w14:textId="77777777" w:rsidR="00FB2D8E" w:rsidRPr="00FB2D8E" w:rsidRDefault="00FB2D8E" w:rsidP="00FB2D8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2D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Альтернатива 2</w:t>
            </w:r>
          </w:p>
          <w:p w14:paraId="65940D29" w14:textId="77777777" w:rsidR="00F34007" w:rsidRDefault="00FB2D8E" w:rsidP="00FB2D8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2D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FB2D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акта</w:t>
            </w:r>
            <w:proofErr w:type="spellEnd"/>
          </w:p>
        </w:tc>
        <w:tc>
          <w:tcPr>
            <w:tcW w:w="3260" w:type="dxa"/>
          </w:tcPr>
          <w:p w14:paraId="7BC9C2F8" w14:textId="680789BB" w:rsidR="00F34007" w:rsidRDefault="00FB2D8E" w:rsidP="00FB2D8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Сприятиме </w:t>
            </w:r>
            <w:r w:rsidR="00474FA5" w:rsidRPr="00474F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імплементаці</w:t>
            </w:r>
            <w:r w:rsidR="00474F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="00474FA5" w:rsidRPr="00474F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нормативно-правової бази </w:t>
            </w:r>
            <w:proofErr w:type="spellStart"/>
            <w:r w:rsidR="00474FA5" w:rsidRPr="00474F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acquis</w:t>
            </w:r>
            <w:proofErr w:type="spellEnd"/>
            <w:r w:rsidR="00474FA5" w:rsidRPr="00474F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ЄС в енергетичній сфері</w:t>
            </w:r>
            <w:r w:rsidR="00474F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474FA5" w:rsidRPr="00474F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посиленню</w:t>
            </w:r>
            <w:r w:rsidRPr="00FB2D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незалежності статусу національного енергетичного регулятора, як того вимагає </w:t>
            </w:r>
            <w:proofErr w:type="spellStart"/>
            <w:r w:rsidRPr="00FB2D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acquis</w:t>
            </w:r>
            <w:proofErr w:type="spellEnd"/>
            <w:r w:rsidRPr="00FB2D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ЄС, та відповідно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зміцненню</w:t>
            </w:r>
            <w:r w:rsidRPr="00FB2D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переговорної позиції України під час процесу перемовин про вступ України до Євросоюзу</w:t>
            </w:r>
          </w:p>
        </w:tc>
        <w:tc>
          <w:tcPr>
            <w:tcW w:w="3402" w:type="dxa"/>
          </w:tcPr>
          <w:p w14:paraId="0649A593" w14:textId="77777777" w:rsidR="00F34007" w:rsidRDefault="00FB2D8E" w:rsidP="00F340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</w:t>
            </w:r>
          </w:p>
        </w:tc>
      </w:tr>
    </w:tbl>
    <w:p w14:paraId="0753B0B1" w14:textId="77777777" w:rsidR="00F34007" w:rsidRDefault="00F34007" w:rsidP="00F3400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AE2488" w14:textId="77777777" w:rsidR="006E6876" w:rsidRPr="006E6876" w:rsidRDefault="006E6876" w:rsidP="006E6876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6876">
        <w:rPr>
          <w:rFonts w:ascii="Times New Roman" w:hAnsi="Times New Roman" w:cs="Times New Roman"/>
          <w:sz w:val="28"/>
          <w:szCs w:val="28"/>
          <w:lang w:val="uk-UA"/>
        </w:rPr>
        <w:lastRenderedPageBreak/>
        <w:t>Оцінка впливу на сферу інтересів громадян:</w:t>
      </w:r>
    </w:p>
    <w:p w14:paraId="23BC5205" w14:textId="77777777" w:rsidR="006E6876" w:rsidRDefault="006E6876" w:rsidP="006E68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3260"/>
        <w:gridCol w:w="3396"/>
      </w:tblGrid>
      <w:tr w:rsidR="00C65806" w14:paraId="5354BB30" w14:textId="77777777" w:rsidTr="00C65806">
        <w:tc>
          <w:tcPr>
            <w:tcW w:w="2689" w:type="dxa"/>
          </w:tcPr>
          <w:p w14:paraId="65B89755" w14:textId="77777777" w:rsidR="00C65806" w:rsidRPr="00C65806" w:rsidRDefault="00C65806" w:rsidP="00C658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8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Вид </w:t>
            </w:r>
            <w:proofErr w:type="spellStart"/>
            <w:r w:rsidRPr="00C65806">
              <w:rPr>
                <w:rFonts w:ascii="Times New Roman" w:hAnsi="Times New Roman" w:cs="Times New Roman"/>
                <w:b/>
                <w:sz w:val="28"/>
                <w:szCs w:val="28"/>
              </w:rPr>
              <w:t>альтернативи</w:t>
            </w:r>
            <w:proofErr w:type="spellEnd"/>
          </w:p>
        </w:tc>
        <w:tc>
          <w:tcPr>
            <w:tcW w:w="3260" w:type="dxa"/>
          </w:tcPr>
          <w:p w14:paraId="75927AC8" w14:textId="77777777" w:rsidR="00C65806" w:rsidRPr="00C65806" w:rsidRDefault="00C65806" w:rsidP="00C658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65806">
              <w:rPr>
                <w:rFonts w:ascii="Times New Roman" w:hAnsi="Times New Roman" w:cs="Times New Roman"/>
                <w:b/>
                <w:sz w:val="28"/>
                <w:szCs w:val="28"/>
              </w:rPr>
              <w:t>Вигоди</w:t>
            </w:r>
            <w:proofErr w:type="spellEnd"/>
          </w:p>
        </w:tc>
        <w:tc>
          <w:tcPr>
            <w:tcW w:w="3396" w:type="dxa"/>
          </w:tcPr>
          <w:p w14:paraId="0F7D41DF" w14:textId="77777777" w:rsidR="00C65806" w:rsidRPr="00C65806" w:rsidRDefault="00C65806" w:rsidP="00C658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65806">
              <w:rPr>
                <w:rFonts w:ascii="Times New Roman" w:hAnsi="Times New Roman" w:cs="Times New Roman"/>
                <w:b/>
                <w:sz w:val="28"/>
                <w:szCs w:val="28"/>
              </w:rPr>
              <w:t>Витрати</w:t>
            </w:r>
            <w:proofErr w:type="spellEnd"/>
          </w:p>
        </w:tc>
      </w:tr>
      <w:tr w:rsidR="00C65806" w:rsidRPr="00A25175" w14:paraId="352391DE" w14:textId="77777777" w:rsidTr="00C65806">
        <w:tc>
          <w:tcPr>
            <w:tcW w:w="2689" w:type="dxa"/>
          </w:tcPr>
          <w:p w14:paraId="749DFC99" w14:textId="77777777" w:rsidR="00A14E43" w:rsidRPr="00A14E43" w:rsidRDefault="00A14E43" w:rsidP="00A14E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4E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Альтернатива 1</w:t>
            </w:r>
          </w:p>
          <w:p w14:paraId="6BF06374" w14:textId="77777777" w:rsidR="00C65806" w:rsidRDefault="00A14E43" w:rsidP="00A14E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4E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Збереження чинного регулювання</w:t>
            </w:r>
          </w:p>
        </w:tc>
        <w:tc>
          <w:tcPr>
            <w:tcW w:w="3260" w:type="dxa"/>
          </w:tcPr>
          <w:p w14:paraId="00244C4F" w14:textId="77777777" w:rsidR="00C65806" w:rsidRDefault="00BA0D9D" w:rsidP="006E68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0D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</w:t>
            </w:r>
          </w:p>
        </w:tc>
        <w:tc>
          <w:tcPr>
            <w:tcW w:w="3396" w:type="dxa"/>
          </w:tcPr>
          <w:p w14:paraId="0B902D39" w14:textId="77777777" w:rsidR="00C65806" w:rsidRDefault="00A25175" w:rsidP="00676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</w:t>
            </w:r>
          </w:p>
        </w:tc>
      </w:tr>
      <w:tr w:rsidR="00C65806" w14:paraId="3723470C" w14:textId="77777777" w:rsidTr="00C65806">
        <w:tc>
          <w:tcPr>
            <w:tcW w:w="2689" w:type="dxa"/>
          </w:tcPr>
          <w:p w14:paraId="309FAF4E" w14:textId="77777777" w:rsidR="003478AE" w:rsidRPr="003478AE" w:rsidRDefault="003478AE" w:rsidP="003478A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478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Альтернатива 2</w:t>
            </w:r>
          </w:p>
          <w:p w14:paraId="791520BB" w14:textId="77777777" w:rsidR="00C65806" w:rsidRDefault="003478AE" w:rsidP="003478A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478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3478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акта</w:t>
            </w:r>
            <w:proofErr w:type="spellEnd"/>
          </w:p>
        </w:tc>
        <w:tc>
          <w:tcPr>
            <w:tcW w:w="3260" w:type="dxa"/>
          </w:tcPr>
          <w:p w14:paraId="3A95A2E1" w14:textId="77777777" w:rsidR="00C65806" w:rsidRDefault="00A25175" w:rsidP="00676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</w:t>
            </w:r>
          </w:p>
        </w:tc>
        <w:tc>
          <w:tcPr>
            <w:tcW w:w="3396" w:type="dxa"/>
          </w:tcPr>
          <w:p w14:paraId="1996540D" w14:textId="77777777" w:rsidR="00C65806" w:rsidRDefault="003478AE" w:rsidP="006E68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</w:t>
            </w:r>
          </w:p>
        </w:tc>
      </w:tr>
    </w:tbl>
    <w:p w14:paraId="5F696668" w14:textId="77777777" w:rsidR="006E6876" w:rsidRDefault="006E6876" w:rsidP="006E68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98A95D2" w14:textId="77777777" w:rsidR="00C361A9" w:rsidRDefault="00C361A9" w:rsidP="00C361A9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61A9">
        <w:rPr>
          <w:rFonts w:ascii="Times New Roman" w:hAnsi="Times New Roman" w:cs="Times New Roman"/>
          <w:sz w:val="28"/>
          <w:szCs w:val="28"/>
          <w:lang w:val="uk-UA"/>
        </w:rPr>
        <w:t>Оцінка впливу на сферу інтересів суб’єктів господарювання:</w:t>
      </w:r>
    </w:p>
    <w:p w14:paraId="04A284AA" w14:textId="77777777" w:rsidR="00C361A9" w:rsidRDefault="00C361A9" w:rsidP="00C361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1134"/>
        <w:gridCol w:w="1204"/>
        <w:gridCol w:w="1041"/>
        <w:gridCol w:w="1016"/>
        <w:gridCol w:w="986"/>
      </w:tblGrid>
      <w:tr w:rsidR="000A270A" w14:paraId="529EDE1E" w14:textId="77777777" w:rsidTr="000A270A">
        <w:tc>
          <w:tcPr>
            <w:tcW w:w="3964" w:type="dxa"/>
          </w:tcPr>
          <w:p w14:paraId="69C82C65" w14:textId="77777777" w:rsidR="000A270A" w:rsidRPr="004604C7" w:rsidRDefault="000A270A" w:rsidP="000A27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04C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Показник</w:t>
            </w:r>
          </w:p>
        </w:tc>
        <w:tc>
          <w:tcPr>
            <w:tcW w:w="1134" w:type="dxa"/>
          </w:tcPr>
          <w:p w14:paraId="3F5C1933" w14:textId="77777777" w:rsidR="000A270A" w:rsidRPr="004604C7" w:rsidRDefault="000A270A" w:rsidP="000A27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04C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Великі</w:t>
            </w:r>
          </w:p>
        </w:tc>
        <w:tc>
          <w:tcPr>
            <w:tcW w:w="1204" w:type="dxa"/>
          </w:tcPr>
          <w:p w14:paraId="4B3F92B1" w14:textId="77777777" w:rsidR="000A270A" w:rsidRPr="004604C7" w:rsidRDefault="000A270A" w:rsidP="000A27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04C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Середні</w:t>
            </w:r>
          </w:p>
        </w:tc>
        <w:tc>
          <w:tcPr>
            <w:tcW w:w="1041" w:type="dxa"/>
          </w:tcPr>
          <w:p w14:paraId="60EB6FFC" w14:textId="77777777" w:rsidR="000A270A" w:rsidRPr="004604C7" w:rsidRDefault="000A270A" w:rsidP="000A27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04C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Малі</w:t>
            </w:r>
          </w:p>
        </w:tc>
        <w:tc>
          <w:tcPr>
            <w:tcW w:w="1016" w:type="dxa"/>
          </w:tcPr>
          <w:p w14:paraId="4333EEAA" w14:textId="77777777" w:rsidR="000A270A" w:rsidRPr="004604C7" w:rsidRDefault="000A270A" w:rsidP="000A27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04C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Мікро</w:t>
            </w:r>
          </w:p>
        </w:tc>
        <w:tc>
          <w:tcPr>
            <w:tcW w:w="986" w:type="dxa"/>
          </w:tcPr>
          <w:p w14:paraId="3A57BA9D" w14:textId="77777777" w:rsidR="000A270A" w:rsidRPr="004604C7" w:rsidRDefault="000A270A" w:rsidP="000A27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04C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</w:t>
            </w:r>
          </w:p>
        </w:tc>
      </w:tr>
      <w:tr w:rsidR="004604C7" w:rsidRPr="004604C7" w14:paraId="64803A72" w14:textId="77777777" w:rsidTr="00A25175">
        <w:tc>
          <w:tcPr>
            <w:tcW w:w="3964" w:type="dxa"/>
          </w:tcPr>
          <w:p w14:paraId="33BC10DF" w14:textId="77777777" w:rsidR="000A270A" w:rsidRPr="000A270A" w:rsidRDefault="000A270A" w:rsidP="000A2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суб</w:t>
            </w:r>
            <w:r w:rsidRPr="000A2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’єктів</w:t>
            </w:r>
          </w:p>
          <w:p w14:paraId="50E00B09" w14:textId="77777777" w:rsidR="000A270A" w:rsidRPr="000A270A" w:rsidRDefault="000A270A" w:rsidP="000A2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2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господарювання, що</w:t>
            </w:r>
          </w:p>
          <w:p w14:paraId="3E1431CF" w14:textId="77777777" w:rsidR="000A270A" w:rsidRPr="000A270A" w:rsidRDefault="000A270A" w:rsidP="000A2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2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підпадають під дію</w:t>
            </w:r>
          </w:p>
          <w:p w14:paraId="27C7AE5D" w14:textId="77777777" w:rsidR="000A270A" w:rsidRDefault="000A270A" w:rsidP="000A2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2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регулювання, одиниць</w:t>
            </w:r>
          </w:p>
        </w:tc>
        <w:tc>
          <w:tcPr>
            <w:tcW w:w="1134" w:type="dxa"/>
            <w:shd w:val="clear" w:color="auto" w:fill="auto"/>
          </w:tcPr>
          <w:p w14:paraId="3278E94C" w14:textId="77777777" w:rsidR="000A270A" w:rsidRPr="004604C7" w:rsidRDefault="004604C7" w:rsidP="004604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04" w:type="dxa"/>
            <w:shd w:val="clear" w:color="auto" w:fill="auto"/>
          </w:tcPr>
          <w:p w14:paraId="639AD556" w14:textId="77777777" w:rsidR="000A270A" w:rsidRPr="004604C7" w:rsidRDefault="004604C7" w:rsidP="00A25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14:paraId="45F71E15" w14:textId="77777777" w:rsidR="00A25175" w:rsidRPr="004604C7" w:rsidRDefault="004604C7" w:rsidP="00A25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14:paraId="3449DD4D" w14:textId="77777777" w:rsidR="00A25175" w:rsidRPr="004604C7" w:rsidRDefault="00A25175" w:rsidP="00A251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10BBAC5E" w14:textId="77777777" w:rsidR="000A270A" w:rsidRPr="004604C7" w:rsidRDefault="000A270A" w:rsidP="00A251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16" w:type="dxa"/>
            <w:shd w:val="clear" w:color="auto" w:fill="auto"/>
          </w:tcPr>
          <w:p w14:paraId="0AD03A04" w14:textId="77777777" w:rsidR="000A270A" w:rsidRPr="004604C7" w:rsidRDefault="004604C7" w:rsidP="00A25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86" w:type="dxa"/>
            <w:shd w:val="clear" w:color="auto" w:fill="auto"/>
          </w:tcPr>
          <w:p w14:paraId="714E50D7" w14:textId="77777777" w:rsidR="000A270A" w:rsidRPr="004604C7" w:rsidRDefault="004604C7" w:rsidP="00A25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4604C7" w:rsidRPr="004604C7" w14:paraId="351C066C" w14:textId="77777777" w:rsidTr="00A25175">
        <w:tc>
          <w:tcPr>
            <w:tcW w:w="3964" w:type="dxa"/>
          </w:tcPr>
          <w:p w14:paraId="264F0873" w14:textId="77777777" w:rsidR="000A270A" w:rsidRDefault="000A270A" w:rsidP="00C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2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Питома вага групи у загальній кількості, відсотків</w:t>
            </w:r>
          </w:p>
        </w:tc>
        <w:tc>
          <w:tcPr>
            <w:tcW w:w="1134" w:type="dxa"/>
            <w:shd w:val="clear" w:color="auto" w:fill="auto"/>
          </w:tcPr>
          <w:p w14:paraId="4103DFDF" w14:textId="77777777" w:rsidR="000A270A" w:rsidRPr="004604C7" w:rsidRDefault="004604C7" w:rsidP="00A25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04" w:type="dxa"/>
            <w:shd w:val="clear" w:color="auto" w:fill="auto"/>
          </w:tcPr>
          <w:p w14:paraId="4CB03B6A" w14:textId="77777777" w:rsidR="000A270A" w:rsidRPr="004604C7" w:rsidRDefault="004604C7" w:rsidP="00A25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14:paraId="1FE41D56" w14:textId="77777777" w:rsidR="000A270A" w:rsidRPr="004604C7" w:rsidRDefault="004604C7" w:rsidP="00A25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14:paraId="0D463F31" w14:textId="77777777" w:rsidR="000A270A" w:rsidRPr="004604C7" w:rsidRDefault="004604C7" w:rsidP="00A25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86" w:type="dxa"/>
            <w:shd w:val="clear" w:color="auto" w:fill="auto"/>
          </w:tcPr>
          <w:p w14:paraId="5AF2F133" w14:textId="77777777" w:rsidR="000A270A" w:rsidRPr="004604C7" w:rsidRDefault="004604C7" w:rsidP="00A25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0F2F2F5C" w14:textId="77777777" w:rsidR="000A270A" w:rsidRDefault="000A270A" w:rsidP="00C361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03892E6" w14:textId="77777777" w:rsidR="00DE6C90" w:rsidRPr="00BF41EF" w:rsidRDefault="00BF41EF" w:rsidP="00BF41EF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r w:rsidRPr="00BF41EF">
        <w:rPr>
          <w:rFonts w:ascii="Times New Roman" w:hAnsi="Times New Roman" w:cs="Times New Roman"/>
          <w:sz w:val="28"/>
          <w:szCs w:val="28"/>
          <w:lang w:val="uk-UA"/>
        </w:rPr>
        <w:t>Зазначений регуляторний акт</w:t>
      </w:r>
      <w:r w:rsidR="00DE6C90" w:rsidRPr="00BF41EF">
        <w:rPr>
          <w:rFonts w:ascii="Times New Roman" w:hAnsi="Times New Roman" w:cs="Times New Roman"/>
          <w:sz w:val="28"/>
          <w:szCs w:val="28"/>
          <w:lang w:val="uk-UA"/>
        </w:rPr>
        <w:t xml:space="preserve"> спрямован</w:t>
      </w:r>
      <w:r w:rsidRPr="00BF41EF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DE6C90" w:rsidRPr="00BF41EF">
        <w:rPr>
          <w:rFonts w:ascii="Times New Roman" w:hAnsi="Times New Roman" w:cs="Times New Roman"/>
          <w:sz w:val="28"/>
          <w:szCs w:val="28"/>
          <w:lang w:val="uk-UA"/>
        </w:rPr>
        <w:t xml:space="preserve"> на правове регулювання адміністративних відносин між </w:t>
      </w:r>
      <w:r w:rsidR="000160B1">
        <w:rPr>
          <w:rFonts w:ascii="Times New Roman" w:hAnsi="Times New Roman" w:cs="Times New Roman"/>
          <w:sz w:val="28"/>
          <w:szCs w:val="28"/>
          <w:lang w:val="uk-UA"/>
        </w:rPr>
        <w:t xml:space="preserve">державними </w:t>
      </w:r>
      <w:r w:rsidR="00DE6C90" w:rsidRPr="00BF41EF">
        <w:rPr>
          <w:rFonts w:ascii="Times New Roman" w:hAnsi="Times New Roman" w:cs="Times New Roman"/>
          <w:sz w:val="28"/>
          <w:szCs w:val="28"/>
          <w:lang w:val="uk-UA"/>
        </w:rPr>
        <w:t>регуляторними органами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568370E" w14:textId="77777777" w:rsidR="00DE6C90" w:rsidRDefault="00DE6C90" w:rsidP="00C361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3260"/>
        <w:gridCol w:w="3396"/>
      </w:tblGrid>
      <w:tr w:rsidR="00C361A9" w14:paraId="3FB48931" w14:textId="77777777" w:rsidTr="00C361A9">
        <w:tc>
          <w:tcPr>
            <w:tcW w:w="2689" w:type="dxa"/>
          </w:tcPr>
          <w:p w14:paraId="7A14E215" w14:textId="77777777" w:rsidR="00C361A9" w:rsidRPr="004604C7" w:rsidRDefault="00C361A9" w:rsidP="00C361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04C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Вид альтернативи</w:t>
            </w:r>
          </w:p>
        </w:tc>
        <w:tc>
          <w:tcPr>
            <w:tcW w:w="3260" w:type="dxa"/>
          </w:tcPr>
          <w:p w14:paraId="0E324335" w14:textId="77777777" w:rsidR="00C361A9" w:rsidRPr="004604C7" w:rsidRDefault="00C361A9" w:rsidP="00C361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04C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Вигоди</w:t>
            </w:r>
          </w:p>
        </w:tc>
        <w:tc>
          <w:tcPr>
            <w:tcW w:w="3396" w:type="dxa"/>
          </w:tcPr>
          <w:p w14:paraId="3948FA3B" w14:textId="77777777" w:rsidR="00C361A9" w:rsidRPr="004604C7" w:rsidRDefault="00C361A9" w:rsidP="00C361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04C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</w:t>
            </w:r>
          </w:p>
        </w:tc>
      </w:tr>
      <w:tr w:rsidR="00C361A9" w:rsidRPr="00A25175" w14:paraId="3F066A4A" w14:textId="77777777" w:rsidTr="00C361A9">
        <w:tc>
          <w:tcPr>
            <w:tcW w:w="2689" w:type="dxa"/>
          </w:tcPr>
          <w:p w14:paraId="0BFFFBE3" w14:textId="77777777" w:rsidR="00F40E9D" w:rsidRPr="00F40E9D" w:rsidRDefault="00F40E9D" w:rsidP="00F4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0E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Альтернатива 1</w:t>
            </w:r>
          </w:p>
          <w:p w14:paraId="766EFA32" w14:textId="77777777" w:rsidR="00C361A9" w:rsidRDefault="00F40E9D" w:rsidP="00F4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Збереження чинного регулювання</w:t>
            </w:r>
          </w:p>
        </w:tc>
        <w:tc>
          <w:tcPr>
            <w:tcW w:w="3260" w:type="dxa"/>
          </w:tcPr>
          <w:p w14:paraId="1A813BFD" w14:textId="77777777" w:rsidR="00C361A9" w:rsidRDefault="007A309D" w:rsidP="00C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</w:t>
            </w:r>
          </w:p>
        </w:tc>
        <w:tc>
          <w:tcPr>
            <w:tcW w:w="3396" w:type="dxa"/>
          </w:tcPr>
          <w:p w14:paraId="6AE71B12" w14:textId="77777777" w:rsidR="00C361A9" w:rsidRDefault="00BF5599" w:rsidP="006763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</w:t>
            </w:r>
          </w:p>
        </w:tc>
      </w:tr>
      <w:tr w:rsidR="00C361A9" w14:paraId="4F944EB5" w14:textId="77777777" w:rsidTr="00C361A9">
        <w:tc>
          <w:tcPr>
            <w:tcW w:w="2689" w:type="dxa"/>
          </w:tcPr>
          <w:p w14:paraId="74287052" w14:textId="77777777" w:rsidR="00F40E9D" w:rsidRPr="00F40E9D" w:rsidRDefault="00F40E9D" w:rsidP="00F4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0E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Альтернатива 2</w:t>
            </w:r>
          </w:p>
          <w:p w14:paraId="4E69F904" w14:textId="77777777" w:rsidR="00C361A9" w:rsidRDefault="00F40E9D" w:rsidP="00F4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0E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F40E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акта</w:t>
            </w:r>
            <w:proofErr w:type="spellEnd"/>
          </w:p>
        </w:tc>
        <w:tc>
          <w:tcPr>
            <w:tcW w:w="3260" w:type="dxa"/>
          </w:tcPr>
          <w:p w14:paraId="5282F8C7" w14:textId="77777777" w:rsidR="00C361A9" w:rsidRDefault="00BF5599" w:rsidP="00A63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</w:t>
            </w:r>
          </w:p>
        </w:tc>
        <w:tc>
          <w:tcPr>
            <w:tcW w:w="3396" w:type="dxa"/>
          </w:tcPr>
          <w:p w14:paraId="058EBA78" w14:textId="77777777" w:rsidR="00C361A9" w:rsidRDefault="007A309D" w:rsidP="00C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</w:t>
            </w:r>
          </w:p>
        </w:tc>
      </w:tr>
    </w:tbl>
    <w:p w14:paraId="079C49AD" w14:textId="77777777" w:rsidR="00C361A9" w:rsidRPr="00C361A9" w:rsidRDefault="00C361A9" w:rsidP="00C361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1C3361C" w14:textId="77777777" w:rsidR="00244AE8" w:rsidRDefault="00244AE8" w:rsidP="00244AE8">
      <w:pPr>
        <w:pStyle w:val="a4"/>
        <w:spacing w:after="0"/>
        <w:ind w:left="1414" w:hanging="113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4AE8">
        <w:rPr>
          <w:rFonts w:ascii="Times New Roman" w:hAnsi="Times New Roman" w:cs="Times New Roman"/>
          <w:b/>
          <w:sz w:val="28"/>
          <w:szCs w:val="28"/>
          <w:lang w:val="uk-UA"/>
        </w:rPr>
        <w:t>ІV. Вибір найбільш оптимального альтернативного</w:t>
      </w:r>
    </w:p>
    <w:p w14:paraId="08FF95DC" w14:textId="77777777" w:rsidR="00C361A9" w:rsidRDefault="00244AE8" w:rsidP="00244AE8">
      <w:pPr>
        <w:pStyle w:val="a4"/>
        <w:spacing w:after="0"/>
        <w:ind w:left="1414" w:hanging="113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4AE8">
        <w:rPr>
          <w:rFonts w:ascii="Times New Roman" w:hAnsi="Times New Roman" w:cs="Times New Roman"/>
          <w:b/>
          <w:sz w:val="28"/>
          <w:szCs w:val="28"/>
          <w:lang w:val="uk-UA"/>
        </w:rPr>
        <w:t>способу досягнення цілей</w:t>
      </w:r>
    </w:p>
    <w:p w14:paraId="5024C98D" w14:textId="77777777" w:rsidR="00E9266D" w:rsidRDefault="00E9266D" w:rsidP="00244AE8">
      <w:pPr>
        <w:pStyle w:val="a4"/>
        <w:spacing w:after="0"/>
        <w:ind w:left="1414" w:hanging="113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119"/>
        <w:gridCol w:w="2835"/>
        <w:gridCol w:w="3396"/>
      </w:tblGrid>
      <w:tr w:rsidR="00164C74" w14:paraId="29AE28FE" w14:textId="77777777" w:rsidTr="00164C74">
        <w:tc>
          <w:tcPr>
            <w:tcW w:w="3119" w:type="dxa"/>
          </w:tcPr>
          <w:p w14:paraId="2E54FBA4" w14:textId="77777777" w:rsidR="00164C74" w:rsidRPr="00164C74" w:rsidRDefault="00164C74" w:rsidP="00164C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64C7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835" w:type="dxa"/>
          </w:tcPr>
          <w:p w14:paraId="0D469F1E" w14:textId="77777777" w:rsidR="00164C74" w:rsidRPr="00164C74" w:rsidRDefault="00164C74" w:rsidP="00164C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64C7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Бал результативності</w:t>
            </w:r>
          </w:p>
          <w:p w14:paraId="695301E3" w14:textId="77777777" w:rsidR="00164C74" w:rsidRPr="00164C74" w:rsidRDefault="00164C74" w:rsidP="00164C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64C7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(за чотирибальною системою оцінки)</w:t>
            </w:r>
          </w:p>
        </w:tc>
        <w:tc>
          <w:tcPr>
            <w:tcW w:w="3396" w:type="dxa"/>
          </w:tcPr>
          <w:p w14:paraId="307C3FF3" w14:textId="77777777" w:rsidR="00164C74" w:rsidRPr="00164C74" w:rsidRDefault="00164C74" w:rsidP="00164C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64C7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164C7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бала</w:t>
            </w:r>
            <w:proofErr w:type="spellEnd"/>
          </w:p>
        </w:tc>
      </w:tr>
      <w:tr w:rsidR="00E9266D" w14:paraId="1EB0BC71" w14:textId="77777777" w:rsidTr="00164C74">
        <w:tc>
          <w:tcPr>
            <w:tcW w:w="3119" w:type="dxa"/>
          </w:tcPr>
          <w:p w14:paraId="19675857" w14:textId="77777777" w:rsidR="00164C74" w:rsidRPr="00164C74" w:rsidRDefault="00164C74" w:rsidP="00164C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4C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Альтернатива 1</w:t>
            </w:r>
          </w:p>
          <w:p w14:paraId="2CB4C0B2" w14:textId="77777777" w:rsidR="00E9266D" w:rsidRPr="00164C74" w:rsidRDefault="00164C74" w:rsidP="00164C7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4C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Збереження чинного регулювання</w:t>
            </w:r>
          </w:p>
        </w:tc>
        <w:tc>
          <w:tcPr>
            <w:tcW w:w="2835" w:type="dxa"/>
          </w:tcPr>
          <w:p w14:paraId="2D514442" w14:textId="77777777" w:rsidR="00E9266D" w:rsidRPr="00164C74" w:rsidRDefault="00D50DBB" w:rsidP="00D50DB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396" w:type="dxa"/>
          </w:tcPr>
          <w:p w14:paraId="21B4586B" w14:textId="77777777" w:rsidR="00E9266D" w:rsidRPr="00164C74" w:rsidRDefault="007459E8" w:rsidP="00164C7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 сприяє подоланню </w:t>
            </w:r>
            <w:r w:rsidR="001119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відповідних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прогалин в законодавстві</w:t>
            </w:r>
          </w:p>
        </w:tc>
      </w:tr>
      <w:tr w:rsidR="00E9266D" w14:paraId="324CEB30" w14:textId="77777777" w:rsidTr="00164C74">
        <w:tc>
          <w:tcPr>
            <w:tcW w:w="3119" w:type="dxa"/>
          </w:tcPr>
          <w:p w14:paraId="7D39FE09" w14:textId="77777777" w:rsidR="00164C74" w:rsidRPr="00164C74" w:rsidRDefault="00164C74" w:rsidP="00164C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4C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Обрана альтернатива 2</w:t>
            </w:r>
          </w:p>
          <w:p w14:paraId="34D387F2" w14:textId="77777777" w:rsidR="00E9266D" w:rsidRPr="00164C74" w:rsidRDefault="00164C74" w:rsidP="00164C7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4C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164C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акта</w:t>
            </w:r>
            <w:proofErr w:type="spellEnd"/>
          </w:p>
        </w:tc>
        <w:tc>
          <w:tcPr>
            <w:tcW w:w="2835" w:type="dxa"/>
          </w:tcPr>
          <w:p w14:paraId="32131F50" w14:textId="77777777" w:rsidR="00E9266D" w:rsidRPr="00164C74" w:rsidRDefault="00D50DBB" w:rsidP="00D50DB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396" w:type="dxa"/>
          </w:tcPr>
          <w:p w14:paraId="22A51615" w14:textId="757C29A9" w:rsidR="00E9266D" w:rsidRPr="00164C74" w:rsidRDefault="00BB77F1" w:rsidP="00164C7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77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Дозволяє вирішити п</w:t>
            </w:r>
            <w:r w:rsidR="00E825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роблему </w:t>
            </w:r>
            <w:r w:rsidR="00474F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</w:t>
            </w:r>
            <w:r w:rsidR="00E825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ефективн</w:t>
            </w:r>
            <w:r w:rsidR="00474F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іши</w:t>
            </w:r>
            <w:r w:rsidR="00E825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 шляхом</w:t>
            </w:r>
          </w:p>
        </w:tc>
      </w:tr>
    </w:tbl>
    <w:p w14:paraId="4BE755D2" w14:textId="77777777" w:rsidR="00E9266D" w:rsidRDefault="00E9266D" w:rsidP="00244AE8">
      <w:pPr>
        <w:pStyle w:val="a4"/>
        <w:spacing w:after="0"/>
        <w:ind w:left="1414" w:hanging="113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4D43AC6" w14:textId="77777777" w:rsidR="00B03C3A" w:rsidRDefault="00B03C3A" w:rsidP="00244AE8">
      <w:pPr>
        <w:pStyle w:val="a4"/>
        <w:spacing w:after="0"/>
        <w:ind w:left="1414" w:hanging="113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552"/>
        <w:gridCol w:w="2977"/>
        <w:gridCol w:w="1638"/>
        <w:gridCol w:w="2183"/>
      </w:tblGrid>
      <w:tr w:rsidR="00926182" w:rsidRPr="00926182" w14:paraId="25882F04" w14:textId="77777777" w:rsidTr="00926182">
        <w:tc>
          <w:tcPr>
            <w:tcW w:w="2552" w:type="dxa"/>
          </w:tcPr>
          <w:p w14:paraId="5CDF7D78" w14:textId="77777777" w:rsidR="00926182" w:rsidRPr="00926182" w:rsidRDefault="00926182" w:rsidP="009261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261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Рейтинг результативності</w:t>
            </w:r>
          </w:p>
        </w:tc>
        <w:tc>
          <w:tcPr>
            <w:tcW w:w="2977" w:type="dxa"/>
          </w:tcPr>
          <w:p w14:paraId="04DD3FA3" w14:textId="77777777" w:rsidR="00926182" w:rsidRPr="00926182" w:rsidRDefault="00926182" w:rsidP="009261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261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Вигоди (підсумок)</w:t>
            </w:r>
          </w:p>
        </w:tc>
        <w:tc>
          <w:tcPr>
            <w:tcW w:w="1638" w:type="dxa"/>
          </w:tcPr>
          <w:p w14:paraId="36DEF7ED" w14:textId="77777777" w:rsidR="00926182" w:rsidRPr="00926182" w:rsidRDefault="00926182" w:rsidP="009261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261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 (підсумок)</w:t>
            </w:r>
          </w:p>
        </w:tc>
        <w:tc>
          <w:tcPr>
            <w:tcW w:w="2183" w:type="dxa"/>
          </w:tcPr>
          <w:p w14:paraId="22DA2347" w14:textId="77777777" w:rsidR="00926182" w:rsidRPr="00926182" w:rsidRDefault="00926182" w:rsidP="009261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261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Обґрунтування відповідного місця альтернативи</w:t>
            </w:r>
          </w:p>
        </w:tc>
      </w:tr>
      <w:tr w:rsidR="00926182" w14:paraId="31D1C0BA" w14:textId="77777777" w:rsidTr="00926182">
        <w:tc>
          <w:tcPr>
            <w:tcW w:w="2552" w:type="dxa"/>
          </w:tcPr>
          <w:p w14:paraId="74806638" w14:textId="77777777" w:rsidR="00926182" w:rsidRPr="00926182" w:rsidRDefault="00926182" w:rsidP="00926182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Альтернатива 1</w:t>
            </w:r>
            <w:r w:rsidRPr="009261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Залишення ситуації без змін</w:t>
            </w:r>
          </w:p>
        </w:tc>
        <w:tc>
          <w:tcPr>
            <w:tcW w:w="2977" w:type="dxa"/>
          </w:tcPr>
          <w:p w14:paraId="7CDE7444" w14:textId="77777777" w:rsidR="00926182" w:rsidRPr="00926182" w:rsidRDefault="00926182" w:rsidP="00926182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61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Відсутні. Не призведе до досягнення поставлених цілей.</w:t>
            </w:r>
          </w:p>
        </w:tc>
        <w:tc>
          <w:tcPr>
            <w:tcW w:w="1638" w:type="dxa"/>
          </w:tcPr>
          <w:p w14:paraId="7D1F53B4" w14:textId="77777777" w:rsidR="00926182" w:rsidRPr="00926182" w:rsidRDefault="00926182" w:rsidP="00926182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</w:t>
            </w:r>
          </w:p>
        </w:tc>
        <w:tc>
          <w:tcPr>
            <w:tcW w:w="2183" w:type="dxa"/>
          </w:tcPr>
          <w:p w14:paraId="35DB1C19" w14:textId="77777777" w:rsidR="00926182" w:rsidRPr="00926182" w:rsidRDefault="00926182" w:rsidP="00926182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Запровадження а</w:t>
            </w:r>
            <w:r w:rsidRPr="009261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льтернативи 1 не буде сприяти досягненню встановлених цілей</w:t>
            </w:r>
          </w:p>
        </w:tc>
      </w:tr>
      <w:tr w:rsidR="00926182" w:rsidRPr="00926182" w14:paraId="6B60FACA" w14:textId="77777777" w:rsidTr="00926182">
        <w:tc>
          <w:tcPr>
            <w:tcW w:w="2552" w:type="dxa"/>
          </w:tcPr>
          <w:p w14:paraId="56DB6AA6" w14:textId="77777777" w:rsidR="00926182" w:rsidRPr="00926182" w:rsidRDefault="00926182" w:rsidP="00926182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61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Альтернатива 2 Прийняття </w:t>
            </w:r>
            <w:proofErr w:type="spellStart"/>
            <w:r w:rsidRPr="009261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9261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Закону</w:t>
            </w:r>
          </w:p>
        </w:tc>
        <w:tc>
          <w:tcPr>
            <w:tcW w:w="2977" w:type="dxa"/>
          </w:tcPr>
          <w:p w14:paraId="3A973C4B" w14:textId="77777777" w:rsidR="00417CB2" w:rsidRDefault="00417CB2" w:rsidP="002877D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Імплементація</w:t>
            </w:r>
            <w:r w:rsidRPr="00417C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нормативно-правової бази </w:t>
            </w:r>
            <w:proofErr w:type="spellStart"/>
            <w:r w:rsidRPr="00417C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acquis</w:t>
            </w:r>
            <w:proofErr w:type="spellEnd"/>
            <w:r w:rsidRPr="00417C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ЄС в енергетичній сфері, виконанн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  <w:r w:rsidRPr="00417C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Україною зобов’язань за Договором про заснування Енергетичного Співтовариства та Угодою про асоціацію між Україною, з однієї сторони, та Європейським Союзом, Європейським співтовариством з атомної енергії і їхніми державами-членами, з іншої сторони та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посилення</w:t>
            </w:r>
            <w:r w:rsidRPr="00417C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незалежного статусу національного енергетичного регулятора, як того вимагає </w:t>
            </w:r>
            <w:proofErr w:type="spellStart"/>
            <w:r w:rsidRPr="00417C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acquis</w:t>
            </w:r>
            <w:proofErr w:type="spellEnd"/>
            <w:r w:rsidRPr="00417C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14:paraId="56F0E8DB" w14:textId="77777777" w:rsidR="00926182" w:rsidRPr="00926182" w:rsidRDefault="00A21DB9" w:rsidP="00BF559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Підвищення</w:t>
            </w:r>
            <w:r w:rsidRPr="00A21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ефективності </w:t>
            </w:r>
            <w:r w:rsidRPr="00A21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Регулятора під час здійснення державного регулювання</w:t>
            </w:r>
            <w:r w:rsidR="00BF55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638" w:type="dxa"/>
          </w:tcPr>
          <w:p w14:paraId="7321EAB4" w14:textId="77777777" w:rsidR="00926182" w:rsidRPr="00926182" w:rsidRDefault="006E44EA" w:rsidP="006E44E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Відсутні</w:t>
            </w:r>
          </w:p>
        </w:tc>
        <w:tc>
          <w:tcPr>
            <w:tcW w:w="2183" w:type="dxa"/>
          </w:tcPr>
          <w:p w14:paraId="7735F0BA" w14:textId="77777777" w:rsidR="00926182" w:rsidRPr="006E44EA" w:rsidRDefault="006E44EA" w:rsidP="006E44E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44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Запровадження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6E44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льтернативи 2 найкращим чином сприятиме досягненню встановлених цілей</w:t>
            </w:r>
          </w:p>
        </w:tc>
      </w:tr>
    </w:tbl>
    <w:p w14:paraId="028214E4" w14:textId="77777777" w:rsidR="00926182" w:rsidRDefault="00926182" w:rsidP="00926182">
      <w:pPr>
        <w:pStyle w:val="a4"/>
        <w:spacing w:after="0"/>
        <w:ind w:left="1414" w:hanging="113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071"/>
        <w:gridCol w:w="3190"/>
        <w:gridCol w:w="3089"/>
      </w:tblGrid>
      <w:tr w:rsidR="00351050" w14:paraId="69E7695F" w14:textId="77777777" w:rsidTr="00B03C3A">
        <w:tc>
          <w:tcPr>
            <w:tcW w:w="3116" w:type="dxa"/>
          </w:tcPr>
          <w:p w14:paraId="53682BE5" w14:textId="77777777" w:rsidR="00351050" w:rsidRPr="00351050" w:rsidRDefault="00351050" w:rsidP="003510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5105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Рейтинг</w:t>
            </w:r>
          </w:p>
        </w:tc>
        <w:tc>
          <w:tcPr>
            <w:tcW w:w="3117" w:type="dxa"/>
          </w:tcPr>
          <w:p w14:paraId="5E68CB74" w14:textId="77777777" w:rsidR="00351050" w:rsidRPr="00351050" w:rsidRDefault="00351050" w:rsidP="003510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5105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Аргументи щодо переваги обраної альтернативи/причини відмови від альтернативи</w:t>
            </w:r>
          </w:p>
        </w:tc>
        <w:tc>
          <w:tcPr>
            <w:tcW w:w="3117" w:type="dxa"/>
          </w:tcPr>
          <w:p w14:paraId="75521B1F" w14:textId="77777777" w:rsidR="00351050" w:rsidRPr="00351050" w:rsidRDefault="00351050" w:rsidP="003510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5105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35105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акта</w:t>
            </w:r>
            <w:proofErr w:type="spellEnd"/>
          </w:p>
        </w:tc>
      </w:tr>
      <w:tr w:rsidR="00B03C3A" w:rsidRPr="00B03C3A" w14:paraId="4A1B282B" w14:textId="77777777" w:rsidTr="00B03C3A">
        <w:tc>
          <w:tcPr>
            <w:tcW w:w="3116" w:type="dxa"/>
          </w:tcPr>
          <w:p w14:paraId="6DC25E1D" w14:textId="77777777" w:rsidR="002A2077" w:rsidRDefault="00B03C3A" w:rsidP="00B03C3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3C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Альтернатива 1</w:t>
            </w:r>
          </w:p>
          <w:p w14:paraId="54A1815C" w14:textId="77777777" w:rsidR="00B03C3A" w:rsidRPr="00B03C3A" w:rsidRDefault="002A2077" w:rsidP="00B03C3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20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Збереження чинного регулювання</w:t>
            </w:r>
          </w:p>
        </w:tc>
        <w:tc>
          <w:tcPr>
            <w:tcW w:w="3117" w:type="dxa"/>
          </w:tcPr>
          <w:p w14:paraId="52EC85F4" w14:textId="77777777" w:rsidR="00B03C3A" w:rsidRPr="00B03C3A" w:rsidRDefault="00B03C3A" w:rsidP="00B03C3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3C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Проблема продовжує існувати</w:t>
            </w:r>
          </w:p>
        </w:tc>
        <w:tc>
          <w:tcPr>
            <w:tcW w:w="3117" w:type="dxa"/>
          </w:tcPr>
          <w:p w14:paraId="56DBD22F" w14:textId="77777777" w:rsidR="00B03C3A" w:rsidRPr="00B03C3A" w:rsidRDefault="00B03C3A" w:rsidP="00B03C3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3C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очікується</w:t>
            </w:r>
          </w:p>
        </w:tc>
      </w:tr>
      <w:tr w:rsidR="00B03C3A" w:rsidRPr="00B03C3A" w14:paraId="4812B622" w14:textId="77777777" w:rsidTr="00B03C3A">
        <w:tc>
          <w:tcPr>
            <w:tcW w:w="3116" w:type="dxa"/>
          </w:tcPr>
          <w:p w14:paraId="0EE0E453" w14:textId="77777777" w:rsidR="00B03C3A" w:rsidRDefault="002A2077" w:rsidP="00B03C3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Альтернатива 2</w:t>
            </w:r>
          </w:p>
          <w:p w14:paraId="64A3EA70" w14:textId="77777777" w:rsidR="002A2077" w:rsidRPr="00B03C3A" w:rsidRDefault="002A2077" w:rsidP="00B03C3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20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2A20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акта</w:t>
            </w:r>
            <w:proofErr w:type="spellEnd"/>
          </w:p>
        </w:tc>
        <w:tc>
          <w:tcPr>
            <w:tcW w:w="3117" w:type="dxa"/>
          </w:tcPr>
          <w:p w14:paraId="7F65C3EB" w14:textId="77777777" w:rsidR="00B03C3A" w:rsidRPr="00B03C3A" w:rsidRDefault="00B03C3A" w:rsidP="00B03C3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3C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Прийняття регуляторного </w:t>
            </w:r>
            <w:proofErr w:type="spellStart"/>
            <w:r w:rsidRPr="00B03C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акта</w:t>
            </w:r>
            <w:proofErr w:type="spellEnd"/>
            <w:r w:rsidRPr="00B03C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 єдиним оптимальним способом досягнення визначених цілей </w:t>
            </w:r>
          </w:p>
        </w:tc>
        <w:tc>
          <w:tcPr>
            <w:tcW w:w="3117" w:type="dxa"/>
          </w:tcPr>
          <w:p w14:paraId="7E1A0A86" w14:textId="77777777" w:rsidR="00B03C3A" w:rsidRPr="00B03C3A" w:rsidRDefault="00B03C3A" w:rsidP="00B03C3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3C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очікується</w:t>
            </w:r>
          </w:p>
        </w:tc>
      </w:tr>
    </w:tbl>
    <w:p w14:paraId="10E20F25" w14:textId="77777777" w:rsidR="002A5A1A" w:rsidRDefault="002A5A1A" w:rsidP="00926182">
      <w:pPr>
        <w:pStyle w:val="a4"/>
        <w:spacing w:after="0"/>
        <w:ind w:left="1414" w:hanging="1130"/>
        <w:rPr>
          <w:rFonts w:ascii="Times New Roman" w:hAnsi="Times New Roman" w:cs="Times New Roman"/>
          <w:sz w:val="28"/>
          <w:szCs w:val="28"/>
          <w:lang w:val="uk-UA"/>
        </w:rPr>
      </w:pPr>
    </w:p>
    <w:p w14:paraId="4B6BBB48" w14:textId="77777777" w:rsidR="00FE3D17" w:rsidRDefault="00FE3D17" w:rsidP="006D332B">
      <w:pPr>
        <w:pStyle w:val="a4"/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3D17">
        <w:rPr>
          <w:rFonts w:ascii="Times New Roman" w:hAnsi="Times New Roman" w:cs="Times New Roman"/>
          <w:b/>
          <w:sz w:val="28"/>
          <w:szCs w:val="28"/>
          <w:lang w:val="uk-UA"/>
        </w:rPr>
        <w:t>V. Механізми та заходи, які забезпечать розв'язання визначеної проблеми</w:t>
      </w:r>
    </w:p>
    <w:p w14:paraId="7EFCA5E0" w14:textId="77777777" w:rsidR="005E0641" w:rsidRDefault="005E0641" w:rsidP="00FE3D17">
      <w:pPr>
        <w:pStyle w:val="a4"/>
        <w:spacing w:after="0"/>
        <w:ind w:left="1414" w:hanging="113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D7471B8" w14:textId="77777777" w:rsidR="005E0641" w:rsidRDefault="005E0641" w:rsidP="005E06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0641">
        <w:rPr>
          <w:rFonts w:ascii="Times New Roman" w:hAnsi="Times New Roman" w:cs="Times New Roman"/>
          <w:sz w:val="28"/>
          <w:szCs w:val="28"/>
          <w:lang w:val="uk-UA"/>
        </w:rPr>
        <w:t>Механізмом розв’язання визначеної проблеми є внесення змін до Закону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НКРЕКП, а саме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5E0641">
        <w:rPr>
          <w:rFonts w:ascii="Times New Roman" w:hAnsi="Times New Roman" w:cs="Times New Roman"/>
          <w:sz w:val="28"/>
          <w:szCs w:val="28"/>
          <w:lang w:val="uk-UA"/>
        </w:rPr>
        <w:t>аконопроєктом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A42">
        <w:rPr>
          <w:rFonts w:ascii="Times New Roman" w:hAnsi="Times New Roman" w:cs="Times New Roman"/>
          <w:sz w:val="28"/>
          <w:szCs w:val="28"/>
          <w:lang w:val="uk-UA"/>
        </w:rPr>
        <w:t>пропонується</w:t>
      </w:r>
      <w:r w:rsidRPr="00DB3268">
        <w:rPr>
          <w:rFonts w:ascii="Times New Roman" w:hAnsi="Times New Roman" w:cs="Times New Roman"/>
          <w:sz w:val="28"/>
          <w:szCs w:val="28"/>
          <w:lang w:val="uk-UA"/>
        </w:rPr>
        <w:t xml:space="preserve"> уточнення норм Закону про НКРЕКП щодо підконтрольності та підзвітності Регулятора, непоширення статусу державних службовців на працівників НКРЕКП, удосконалення процедури та строків проведення заходів контролю Регулятором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B3268">
        <w:rPr>
          <w:rFonts w:ascii="Times New Roman" w:hAnsi="Times New Roman" w:cs="Times New Roman"/>
          <w:sz w:val="28"/>
          <w:szCs w:val="28"/>
          <w:lang w:val="uk-UA"/>
        </w:rPr>
        <w:t xml:space="preserve"> внесення змін до законів України «Про Кабінет Міністрів України», «Про центральні органи виконавчої влади» щодо уточнення спеціального статусу НКРЕКП як центрального органу виконавчої влади.</w:t>
      </w:r>
    </w:p>
    <w:p w14:paraId="373B76B0" w14:textId="77777777" w:rsidR="005E0641" w:rsidRDefault="00AE1EC3" w:rsidP="00AE1EC3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1EC3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Реалізація норм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AE1EC3">
        <w:rPr>
          <w:rFonts w:ascii="Times New Roman" w:hAnsi="Times New Roman" w:cs="Times New Roman"/>
          <w:sz w:val="28"/>
          <w:szCs w:val="28"/>
          <w:lang w:val="uk-UA"/>
        </w:rPr>
        <w:t>аконопроєкту</w:t>
      </w:r>
      <w:proofErr w:type="spellEnd"/>
      <w:r w:rsidRPr="00AE1EC3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забезпечить </w:t>
      </w:r>
      <w:r>
        <w:rPr>
          <w:rFonts w:ascii="Times New Roman" w:hAnsi="Times New Roman" w:cs="Times New Roman"/>
          <w:sz w:val="28"/>
          <w:szCs w:val="28"/>
          <w:lang w:val="uk-UA"/>
        </w:rPr>
        <w:t>імплементацію</w:t>
      </w:r>
      <w:r w:rsidRPr="00AE1EC3">
        <w:rPr>
          <w:rFonts w:ascii="Times New Roman" w:hAnsi="Times New Roman" w:cs="Times New Roman"/>
          <w:sz w:val="28"/>
          <w:szCs w:val="28"/>
          <w:lang w:val="uk-UA"/>
        </w:rPr>
        <w:t xml:space="preserve"> нормативно-правової бази Енергетичного Співтовариства</w:t>
      </w:r>
      <w:r w:rsidR="00A24D2A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A24D2A" w:rsidRPr="00A24D2A">
        <w:rPr>
          <w:rFonts w:ascii="Times New Roman" w:hAnsi="Times New Roman" w:cs="Times New Roman"/>
          <w:sz w:val="28"/>
          <w:szCs w:val="28"/>
          <w:lang w:val="uk-UA"/>
        </w:rPr>
        <w:t xml:space="preserve">посилення незалежного статусу національного енергетичного регулятора, як того вимагає </w:t>
      </w:r>
      <w:proofErr w:type="spellStart"/>
      <w:r w:rsidR="00A24D2A" w:rsidRPr="00A24D2A">
        <w:rPr>
          <w:rFonts w:ascii="Times New Roman" w:hAnsi="Times New Roman" w:cs="Times New Roman"/>
          <w:sz w:val="28"/>
          <w:szCs w:val="28"/>
          <w:lang w:val="uk-UA"/>
        </w:rPr>
        <w:t>acquis</w:t>
      </w:r>
      <w:proofErr w:type="spellEnd"/>
      <w:r w:rsidR="00A24D2A" w:rsidRPr="00A24D2A">
        <w:rPr>
          <w:rFonts w:ascii="Times New Roman" w:hAnsi="Times New Roman" w:cs="Times New Roman"/>
          <w:sz w:val="28"/>
          <w:szCs w:val="28"/>
          <w:lang w:val="uk-UA"/>
        </w:rPr>
        <w:t xml:space="preserve"> ЄС</w:t>
      </w:r>
      <w:r w:rsidR="00A24D2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F45056A" w14:textId="335C7448" w:rsidR="00857756" w:rsidRDefault="00392CAA" w:rsidP="00AE1EC3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2CAA">
        <w:rPr>
          <w:rFonts w:ascii="Times New Roman" w:hAnsi="Times New Roman" w:cs="Times New Roman"/>
          <w:sz w:val="28"/>
          <w:szCs w:val="28"/>
          <w:lang w:val="uk-UA"/>
        </w:rPr>
        <w:t xml:space="preserve">Заходи, які повинен здійснити орган влади для впровадження цього регуляторного </w:t>
      </w:r>
      <w:proofErr w:type="spellStart"/>
      <w:r w:rsidRPr="00392CAA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392CAA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встановленому законом порядку </w:t>
      </w:r>
      <w:r w:rsidRPr="00392CAA">
        <w:rPr>
          <w:rFonts w:ascii="Times New Roman" w:hAnsi="Times New Roman" w:cs="Times New Roman"/>
          <w:sz w:val="28"/>
          <w:szCs w:val="28"/>
          <w:lang w:val="uk-UA"/>
        </w:rPr>
        <w:t xml:space="preserve">погодити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законопроєкт</w:t>
      </w:r>
      <w:proofErr w:type="spellEnd"/>
      <w:r w:rsidR="000C4C63">
        <w:rPr>
          <w:rFonts w:ascii="Times New Roman" w:hAnsi="Times New Roman" w:cs="Times New Roman"/>
          <w:sz w:val="28"/>
          <w:szCs w:val="28"/>
          <w:lang w:val="uk-UA"/>
        </w:rPr>
        <w:t xml:space="preserve"> та подати його до Кабінету Міністрів для подальшого подання до Верховної Ради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5EDBEA7" w14:textId="77777777" w:rsidR="00392CAA" w:rsidRPr="00392CAA" w:rsidRDefault="00392CAA" w:rsidP="00392CAA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2CAA">
        <w:rPr>
          <w:rFonts w:ascii="Times New Roman" w:hAnsi="Times New Roman" w:cs="Times New Roman"/>
          <w:sz w:val="28"/>
          <w:szCs w:val="28"/>
          <w:lang w:val="uk-UA"/>
        </w:rPr>
        <w:t xml:space="preserve">Ризику впливу зовнішніх факторів на дію регуляторного </w:t>
      </w:r>
      <w:proofErr w:type="spellStart"/>
      <w:r w:rsidRPr="00392CAA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392CAA">
        <w:rPr>
          <w:rFonts w:ascii="Times New Roman" w:hAnsi="Times New Roman" w:cs="Times New Roman"/>
          <w:sz w:val="28"/>
          <w:szCs w:val="28"/>
          <w:lang w:val="uk-UA"/>
        </w:rPr>
        <w:t xml:space="preserve"> немає. Можлива шкода у разі очікуваних наслідків дії </w:t>
      </w:r>
      <w:proofErr w:type="spellStart"/>
      <w:r w:rsidRPr="00392CAA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392CAA">
        <w:rPr>
          <w:rFonts w:ascii="Times New Roman" w:hAnsi="Times New Roman" w:cs="Times New Roman"/>
          <w:sz w:val="28"/>
          <w:szCs w:val="28"/>
          <w:lang w:val="uk-UA"/>
        </w:rPr>
        <w:t xml:space="preserve"> не прогнозується.</w:t>
      </w:r>
    </w:p>
    <w:p w14:paraId="5CB7CBFB" w14:textId="77777777" w:rsidR="00392CAA" w:rsidRDefault="00392CAA" w:rsidP="00392CAA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2CAA">
        <w:rPr>
          <w:rFonts w:ascii="Times New Roman" w:hAnsi="Times New Roman" w:cs="Times New Roman"/>
          <w:sz w:val="28"/>
          <w:szCs w:val="28"/>
          <w:lang w:val="uk-UA"/>
        </w:rPr>
        <w:t xml:space="preserve">Прийняття регуляторного </w:t>
      </w:r>
      <w:proofErr w:type="spellStart"/>
      <w:r w:rsidRPr="00392CAA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392CAA">
        <w:rPr>
          <w:rFonts w:ascii="Times New Roman" w:hAnsi="Times New Roman" w:cs="Times New Roman"/>
          <w:sz w:val="28"/>
          <w:szCs w:val="28"/>
          <w:lang w:val="uk-UA"/>
        </w:rPr>
        <w:t xml:space="preserve"> не призведе до неочікуваних результатів і не потребуватиме додаткових витрат з державного бюджету.</w:t>
      </w:r>
    </w:p>
    <w:p w14:paraId="121948AF" w14:textId="77777777" w:rsidR="006D332B" w:rsidRDefault="006D332B" w:rsidP="00392CAA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0615A6" w14:textId="77777777" w:rsidR="006D332B" w:rsidRDefault="006D332B" w:rsidP="006D332B">
      <w:pPr>
        <w:pStyle w:val="a4"/>
        <w:spacing w:after="0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D332B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VI. Оцінка виконання вимог регуляторного </w:t>
      </w:r>
      <w:proofErr w:type="spellStart"/>
      <w:r w:rsidRPr="006D332B">
        <w:rPr>
          <w:rFonts w:ascii="Times New Roman" w:hAnsi="Times New Roman" w:cs="Times New Roman"/>
          <w:b/>
          <w:sz w:val="28"/>
          <w:szCs w:val="28"/>
          <w:lang w:val="uk-UA"/>
        </w:rPr>
        <w:t>акта</w:t>
      </w:r>
      <w:proofErr w:type="spellEnd"/>
      <w:r w:rsidRPr="006D33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залежно від ресурсів, якими розпоряджаються органи виконавчої влади чи органи місцевого самоврядування, фізичні та юридичні особи, які повинні проваджувати або виконувати ці вимоги</w:t>
      </w:r>
    </w:p>
    <w:p w14:paraId="5779645C" w14:textId="77777777" w:rsidR="006D332B" w:rsidRDefault="006D332B" w:rsidP="006D332B">
      <w:pPr>
        <w:pStyle w:val="a4"/>
        <w:spacing w:after="0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70BFC5B" w14:textId="77777777" w:rsidR="006D332B" w:rsidRDefault="006D332B" w:rsidP="006D332B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332B">
        <w:rPr>
          <w:rFonts w:ascii="Times New Roman" w:hAnsi="Times New Roman" w:cs="Times New Roman"/>
          <w:sz w:val="28"/>
          <w:szCs w:val="28"/>
          <w:lang w:val="uk-UA"/>
        </w:rPr>
        <w:t xml:space="preserve">Додаткові витрати на виконання вимог регуляторного </w:t>
      </w:r>
      <w:proofErr w:type="spellStart"/>
      <w:r w:rsidRPr="006D332B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6D332B">
        <w:rPr>
          <w:rFonts w:ascii="Times New Roman" w:hAnsi="Times New Roman" w:cs="Times New Roman"/>
          <w:sz w:val="28"/>
          <w:szCs w:val="28"/>
          <w:lang w:val="uk-UA"/>
        </w:rPr>
        <w:t xml:space="preserve"> для органів виконавчої влади чи органів місцевого самоврядування не передбачено.</w:t>
      </w:r>
    </w:p>
    <w:p w14:paraId="51DD0E37" w14:textId="77777777" w:rsidR="008C0FB4" w:rsidRDefault="008C0FB4" w:rsidP="006D332B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0FB4">
        <w:rPr>
          <w:rFonts w:ascii="Times New Roman" w:hAnsi="Times New Roman" w:cs="Times New Roman"/>
          <w:sz w:val="28"/>
          <w:szCs w:val="28"/>
          <w:lang w:val="uk-UA"/>
        </w:rPr>
        <w:t xml:space="preserve">Витрат суб’єктів </w:t>
      </w:r>
      <w:r>
        <w:rPr>
          <w:rFonts w:ascii="Times New Roman" w:hAnsi="Times New Roman" w:cs="Times New Roman"/>
          <w:sz w:val="28"/>
          <w:szCs w:val="28"/>
          <w:lang w:val="uk-UA"/>
        </w:rPr>
        <w:t>господарювання</w:t>
      </w:r>
      <w:r w:rsidRPr="008C0FB4">
        <w:rPr>
          <w:rFonts w:ascii="Times New Roman" w:hAnsi="Times New Roman" w:cs="Times New Roman"/>
          <w:sz w:val="28"/>
          <w:szCs w:val="28"/>
          <w:lang w:val="uk-UA"/>
        </w:rPr>
        <w:t xml:space="preserve">, які виникають унаслідок дії регуляторного </w:t>
      </w:r>
      <w:proofErr w:type="spellStart"/>
      <w:r w:rsidRPr="008C0FB4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8C0FB4">
        <w:rPr>
          <w:rFonts w:ascii="Times New Roman" w:hAnsi="Times New Roman" w:cs="Times New Roman"/>
          <w:sz w:val="28"/>
          <w:szCs w:val="28"/>
          <w:lang w:val="uk-UA"/>
        </w:rPr>
        <w:t>, не передбачається.</w:t>
      </w:r>
    </w:p>
    <w:p w14:paraId="2877480C" w14:textId="77777777" w:rsidR="00CC0435" w:rsidRDefault="00CC0435" w:rsidP="006D332B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Тест малого підприємництва (М-тест) не проводився, оскільки суб’єкти малого підприємництва додаткових витрат на виконання регулювання не зазнають та будуть в однакових умовах з іншими суб’єктами господарювання.</w:t>
      </w:r>
    </w:p>
    <w:p w14:paraId="0313B5B3" w14:textId="77777777" w:rsidR="00062BAF" w:rsidRDefault="00062BAF" w:rsidP="006D332B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62E567E" w14:textId="77777777" w:rsidR="000D7180" w:rsidRDefault="00062BAF" w:rsidP="000D7180">
      <w:pPr>
        <w:pStyle w:val="a4"/>
        <w:spacing w:after="0"/>
        <w:ind w:hanging="1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2BAF">
        <w:rPr>
          <w:rFonts w:ascii="Times New Roman" w:hAnsi="Times New Roman" w:cs="Times New Roman"/>
          <w:b/>
          <w:sz w:val="28"/>
          <w:szCs w:val="28"/>
          <w:lang w:val="uk-UA"/>
        </w:rPr>
        <w:t>VII. Обґрунтування запропонованого строку дії</w:t>
      </w:r>
    </w:p>
    <w:p w14:paraId="5AB8D7AC" w14:textId="77777777" w:rsidR="00062BAF" w:rsidRDefault="00062BAF" w:rsidP="000D7180">
      <w:pPr>
        <w:pStyle w:val="a4"/>
        <w:spacing w:after="0"/>
        <w:ind w:hanging="1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2B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регуляторного </w:t>
      </w:r>
      <w:proofErr w:type="spellStart"/>
      <w:r w:rsidRPr="00062BAF">
        <w:rPr>
          <w:rFonts w:ascii="Times New Roman" w:hAnsi="Times New Roman" w:cs="Times New Roman"/>
          <w:b/>
          <w:sz w:val="28"/>
          <w:szCs w:val="28"/>
          <w:lang w:val="uk-UA"/>
        </w:rPr>
        <w:t>акта</w:t>
      </w:r>
      <w:proofErr w:type="spellEnd"/>
    </w:p>
    <w:p w14:paraId="0036BF4C" w14:textId="77777777" w:rsidR="000D7180" w:rsidRPr="00062BAF" w:rsidRDefault="000D7180" w:rsidP="000D7180">
      <w:pPr>
        <w:pStyle w:val="a4"/>
        <w:spacing w:after="0"/>
        <w:ind w:hanging="1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F5589F8" w14:textId="77777777" w:rsidR="00062BAF" w:rsidRDefault="00062BAF" w:rsidP="00062BAF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2BAF">
        <w:rPr>
          <w:rFonts w:ascii="Times New Roman" w:hAnsi="Times New Roman" w:cs="Times New Roman"/>
          <w:sz w:val="28"/>
          <w:szCs w:val="28"/>
          <w:lang w:val="uk-UA"/>
        </w:rPr>
        <w:t xml:space="preserve">Термін дії регуляторного </w:t>
      </w:r>
      <w:proofErr w:type="spellStart"/>
      <w:r w:rsidRPr="00062BAF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062BAF">
        <w:rPr>
          <w:rFonts w:ascii="Times New Roman" w:hAnsi="Times New Roman" w:cs="Times New Roman"/>
          <w:sz w:val="28"/>
          <w:szCs w:val="28"/>
          <w:lang w:val="uk-UA"/>
        </w:rPr>
        <w:t xml:space="preserve"> необмежений та може бути змінений у разі внесення відповідних змін до чинного законодавства.</w:t>
      </w:r>
    </w:p>
    <w:p w14:paraId="1F9AD440" w14:textId="77777777" w:rsidR="00BF440D" w:rsidRDefault="00BF440D" w:rsidP="00062BAF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1CD655B" w14:textId="77777777" w:rsidR="00BF440D" w:rsidRDefault="00BF440D" w:rsidP="00BF440D">
      <w:pPr>
        <w:pStyle w:val="a4"/>
        <w:spacing w:after="0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44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VIII. Визначення показників результативності дії </w:t>
      </w:r>
    </w:p>
    <w:p w14:paraId="0FB62030" w14:textId="77777777" w:rsidR="00BF440D" w:rsidRDefault="00BF440D" w:rsidP="00BF440D">
      <w:pPr>
        <w:pStyle w:val="a4"/>
        <w:spacing w:after="0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44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регуляторного </w:t>
      </w:r>
      <w:proofErr w:type="spellStart"/>
      <w:r w:rsidRPr="00BF440D">
        <w:rPr>
          <w:rFonts w:ascii="Times New Roman" w:hAnsi="Times New Roman" w:cs="Times New Roman"/>
          <w:b/>
          <w:sz w:val="28"/>
          <w:szCs w:val="28"/>
          <w:lang w:val="uk-UA"/>
        </w:rPr>
        <w:t>акта</w:t>
      </w:r>
      <w:proofErr w:type="spellEnd"/>
    </w:p>
    <w:p w14:paraId="58FD99E4" w14:textId="77777777" w:rsidR="00BF440D" w:rsidRDefault="00BF440D" w:rsidP="00BF440D">
      <w:pPr>
        <w:pStyle w:val="a4"/>
        <w:spacing w:after="0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405B279" w14:textId="77777777" w:rsidR="000E35BD" w:rsidRPr="000E35BD" w:rsidRDefault="000E35BD" w:rsidP="000E35BD">
      <w:pPr>
        <w:pStyle w:val="a4"/>
        <w:spacing w:after="0"/>
        <w:ind w:left="0" w:firstLine="12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5BD">
        <w:rPr>
          <w:rFonts w:ascii="Times New Roman" w:hAnsi="Times New Roman" w:cs="Times New Roman"/>
          <w:sz w:val="28"/>
          <w:szCs w:val="28"/>
          <w:lang w:val="uk-UA"/>
        </w:rPr>
        <w:t xml:space="preserve">Прогнозними значеннями </w:t>
      </w:r>
      <w:r w:rsidR="00A903C4">
        <w:rPr>
          <w:rFonts w:ascii="Times New Roman" w:hAnsi="Times New Roman" w:cs="Times New Roman"/>
          <w:sz w:val="28"/>
          <w:szCs w:val="28"/>
          <w:lang w:val="uk-UA"/>
        </w:rPr>
        <w:t xml:space="preserve">кількісних </w:t>
      </w:r>
      <w:r w:rsidRPr="000E35BD">
        <w:rPr>
          <w:rFonts w:ascii="Times New Roman" w:hAnsi="Times New Roman" w:cs="Times New Roman"/>
          <w:sz w:val="28"/>
          <w:szCs w:val="28"/>
          <w:lang w:val="uk-UA"/>
        </w:rPr>
        <w:t xml:space="preserve">показників результативності регуляторного </w:t>
      </w:r>
      <w:proofErr w:type="spellStart"/>
      <w:r w:rsidRPr="000E35BD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0E35BD">
        <w:rPr>
          <w:rFonts w:ascii="Times New Roman" w:hAnsi="Times New Roman" w:cs="Times New Roman"/>
          <w:sz w:val="28"/>
          <w:szCs w:val="28"/>
          <w:lang w:val="uk-UA"/>
        </w:rPr>
        <w:t xml:space="preserve"> є:</w:t>
      </w:r>
    </w:p>
    <w:p w14:paraId="399C7BFD" w14:textId="77777777" w:rsidR="000E35BD" w:rsidRPr="000E35BD" w:rsidRDefault="000E35BD" w:rsidP="000E35BD">
      <w:pPr>
        <w:pStyle w:val="a4"/>
        <w:spacing w:after="0"/>
        <w:ind w:left="0" w:firstLine="12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5BD">
        <w:rPr>
          <w:rFonts w:ascii="Times New Roman" w:hAnsi="Times New Roman" w:cs="Times New Roman"/>
          <w:sz w:val="28"/>
          <w:szCs w:val="28"/>
          <w:lang w:val="uk-UA"/>
        </w:rPr>
        <w:t xml:space="preserve">дія регуляторного </w:t>
      </w:r>
      <w:proofErr w:type="spellStart"/>
      <w:r w:rsidRPr="000E35BD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0E35BD">
        <w:rPr>
          <w:rFonts w:ascii="Times New Roman" w:hAnsi="Times New Roman" w:cs="Times New Roman"/>
          <w:sz w:val="28"/>
          <w:szCs w:val="28"/>
          <w:lang w:val="uk-UA"/>
        </w:rPr>
        <w:t xml:space="preserve"> не передбачає надходжень та/або видатків з/до державного та місцевих бюджетів і державних цільових фондів, пов’язаних з дією регуляторного </w:t>
      </w:r>
      <w:proofErr w:type="spellStart"/>
      <w:r w:rsidRPr="000E35BD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0E35B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34D5CF2" w14:textId="77777777" w:rsidR="000E35BD" w:rsidRPr="000E35BD" w:rsidRDefault="000E35BD" w:rsidP="000E35BD">
      <w:pPr>
        <w:pStyle w:val="a4"/>
        <w:spacing w:after="0"/>
        <w:ind w:left="0" w:firstLine="12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5BD">
        <w:rPr>
          <w:rFonts w:ascii="Times New Roman" w:hAnsi="Times New Roman" w:cs="Times New Roman"/>
          <w:sz w:val="28"/>
          <w:szCs w:val="28"/>
          <w:lang w:val="uk-UA"/>
        </w:rPr>
        <w:t xml:space="preserve">дія регуляторного </w:t>
      </w:r>
      <w:proofErr w:type="spellStart"/>
      <w:r w:rsidRPr="000E35BD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0E35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5E3D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r w:rsidRPr="000E35BD">
        <w:rPr>
          <w:rFonts w:ascii="Times New Roman" w:hAnsi="Times New Roman" w:cs="Times New Roman"/>
          <w:sz w:val="28"/>
          <w:szCs w:val="28"/>
          <w:lang w:val="uk-UA"/>
        </w:rPr>
        <w:t xml:space="preserve">поширюється на </w:t>
      </w:r>
      <w:proofErr w:type="spellStart"/>
      <w:r w:rsidR="00DF5280">
        <w:rPr>
          <w:rFonts w:ascii="Times New Roman" w:hAnsi="Times New Roman" w:cs="Times New Roman"/>
          <w:sz w:val="28"/>
          <w:szCs w:val="28"/>
          <w:lang w:val="uk-UA"/>
        </w:rPr>
        <w:t>суб</w:t>
      </w:r>
      <w:proofErr w:type="spellEnd"/>
      <w:r w:rsidR="00DE6C90" w:rsidRPr="00DE6C90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DF5280">
        <w:rPr>
          <w:rFonts w:ascii="Times New Roman" w:hAnsi="Times New Roman" w:cs="Times New Roman"/>
          <w:sz w:val="28"/>
          <w:szCs w:val="28"/>
          <w:lang w:val="uk-UA"/>
        </w:rPr>
        <w:t>єктів</w:t>
      </w:r>
      <w:proofErr w:type="spellEnd"/>
      <w:r w:rsidR="00DF5280">
        <w:rPr>
          <w:rFonts w:ascii="Times New Roman" w:hAnsi="Times New Roman" w:cs="Times New Roman"/>
          <w:sz w:val="28"/>
          <w:szCs w:val="28"/>
          <w:lang w:val="uk-UA"/>
        </w:rPr>
        <w:t xml:space="preserve"> господарювання</w:t>
      </w:r>
      <w:r w:rsidRPr="000E35B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9F3870F" w14:textId="671AD923" w:rsidR="000E35BD" w:rsidRPr="000E35BD" w:rsidRDefault="000E35BD" w:rsidP="000E35BD">
      <w:pPr>
        <w:pStyle w:val="a4"/>
        <w:spacing w:after="0"/>
        <w:ind w:left="0" w:firstLine="12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5BD">
        <w:rPr>
          <w:rFonts w:ascii="Times New Roman" w:hAnsi="Times New Roman" w:cs="Times New Roman"/>
          <w:sz w:val="28"/>
          <w:szCs w:val="28"/>
          <w:lang w:val="uk-UA"/>
        </w:rPr>
        <w:t xml:space="preserve">розмір коштів і час, що витрачатимуться суб’єктами господарювання, пов’язаними з виконанням вимог регуляторного </w:t>
      </w:r>
      <w:proofErr w:type="spellStart"/>
      <w:r w:rsidRPr="000E35BD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0E35BD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F5280">
        <w:rPr>
          <w:rFonts w:ascii="Times New Roman" w:hAnsi="Times New Roman" w:cs="Times New Roman"/>
          <w:sz w:val="28"/>
          <w:szCs w:val="28"/>
          <w:lang w:val="uk-UA"/>
        </w:rPr>
        <w:t>не передбачається</w:t>
      </w:r>
      <w:r w:rsidR="00AA7B0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E910770" w14:textId="77777777" w:rsidR="00BF440D" w:rsidRPr="00A903C4" w:rsidRDefault="000E35BD" w:rsidP="000E35BD">
      <w:pPr>
        <w:pStyle w:val="a4"/>
        <w:spacing w:after="0"/>
        <w:ind w:left="0" w:firstLine="12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5BD">
        <w:rPr>
          <w:rFonts w:ascii="Times New Roman" w:hAnsi="Times New Roman" w:cs="Times New Roman"/>
          <w:sz w:val="28"/>
          <w:szCs w:val="28"/>
          <w:lang w:val="uk-UA"/>
        </w:rPr>
        <w:t xml:space="preserve">рівень поінформованості суб’єктів господарювання із основними положеннями регуляторного </w:t>
      </w:r>
      <w:proofErr w:type="spellStart"/>
      <w:r w:rsidRPr="000E35BD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0E35BD">
        <w:rPr>
          <w:rFonts w:ascii="Times New Roman" w:hAnsi="Times New Roman" w:cs="Times New Roman"/>
          <w:sz w:val="28"/>
          <w:szCs w:val="28"/>
          <w:lang w:val="uk-UA"/>
        </w:rPr>
        <w:t xml:space="preserve"> – середній</w:t>
      </w:r>
      <w:r w:rsidRPr="00A903C4">
        <w:rPr>
          <w:rFonts w:ascii="Times New Roman" w:hAnsi="Times New Roman" w:cs="Times New Roman"/>
          <w:sz w:val="28"/>
          <w:szCs w:val="28"/>
          <w:lang w:val="uk-UA"/>
        </w:rPr>
        <w:t xml:space="preserve">, оскільки </w:t>
      </w:r>
      <w:proofErr w:type="spellStart"/>
      <w:r w:rsidRPr="00A903C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A903C4">
        <w:rPr>
          <w:rFonts w:ascii="Times New Roman" w:hAnsi="Times New Roman" w:cs="Times New Roman"/>
          <w:sz w:val="28"/>
          <w:szCs w:val="28"/>
          <w:lang w:val="uk-UA"/>
        </w:rPr>
        <w:t xml:space="preserve"> регуляторного </w:t>
      </w:r>
      <w:proofErr w:type="spellStart"/>
      <w:r w:rsidRPr="00A903C4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A903C4">
        <w:rPr>
          <w:rFonts w:ascii="Times New Roman" w:hAnsi="Times New Roman" w:cs="Times New Roman"/>
          <w:sz w:val="28"/>
          <w:szCs w:val="28"/>
          <w:lang w:val="uk-UA"/>
        </w:rPr>
        <w:t xml:space="preserve"> розміщується на офіційному </w:t>
      </w:r>
      <w:proofErr w:type="spellStart"/>
      <w:r w:rsidRPr="00A903C4">
        <w:rPr>
          <w:rFonts w:ascii="Times New Roman" w:hAnsi="Times New Roman" w:cs="Times New Roman"/>
          <w:sz w:val="28"/>
          <w:szCs w:val="28"/>
          <w:lang w:val="uk-UA"/>
        </w:rPr>
        <w:t>вебсайті</w:t>
      </w:r>
      <w:proofErr w:type="spellEnd"/>
      <w:r w:rsidRPr="00A903C4">
        <w:rPr>
          <w:rFonts w:ascii="Times New Roman" w:hAnsi="Times New Roman" w:cs="Times New Roman"/>
          <w:sz w:val="28"/>
          <w:szCs w:val="28"/>
          <w:lang w:val="uk-UA"/>
        </w:rPr>
        <w:t xml:space="preserve"> НКРЕКП.</w:t>
      </w:r>
    </w:p>
    <w:p w14:paraId="7CD74E57" w14:textId="77777777" w:rsidR="00A903C4" w:rsidRDefault="00A903C4" w:rsidP="000E35BD">
      <w:pPr>
        <w:pStyle w:val="a4"/>
        <w:spacing w:after="0"/>
        <w:ind w:left="0" w:firstLine="128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AE56D11" w14:textId="77777777" w:rsidR="00A903C4" w:rsidRDefault="00A903C4" w:rsidP="00A903C4">
      <w:pPr>
        <w:pStyle w:val="a4"/>
        <w:spacing w:after="0"/>
        <w:ind w:left="0" w:hanging="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03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ІX. Визначення заходів, за допомогою яких здійснюватиметься відстеження результативності дії регуляторного </w:t>
      </w:r>
      <w:proofErr w:type="spellStart"/>
      <w:r w:rsidRPr="00A903C4">
        <w:rPr>
          <w:rFonts w:ascii="Times New Roman" w:hAnsi="Times New Roman" w:cs="Times New Roman"/>
          <w:b/>
          <w:sz w:val="28"/>
          <w:szCs w:val="28"/>
          <w:lang w:val="uk-UA"/>
        </w:rPr>
        <w:t>акта</w:t>
      </w:r>
      <w:proofErr w:type="spellEnd"/>
    </w:p>
    <w:p w14:paraId="7E9622FA" w14:textId="77777777" w:rsidR="00A903C4" w:rsidRDefault="00A903C4" w:rsidP="00A903C4">
      <w:pPr>
        <w:pStyle w:val="a4"/>
        <w:spacing w:after="0"/>
        <w:ind w:left="0" w:hanging="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0C8D01F" w14:textId="77777777" w:rsidR="00A903C4" w:rsidRPr="00A903C4" w:rsidRDefault="00A903C4" w:rsidP="00A903C4">
      <w:pPr>
        <w:pStyle w:val="a4"/>
        <w:spacing w:after="0"/>
        <w:ind w:left="0" w:firstLine="57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03C4">
        <w:rPr>
          <w:rFonts w:ascii="Times New Roman" w:hAnsi="Times New Roman" w:cs="Times New Roman"/>
          <w:sz w:val="28"/>
          <w:szCs w:val="28"/>
          <w:lang w:val="uk-UA"/>
        </w:rPr>
        <w:t xml:space="preserve">Для проведення відстеження результативності регуляторного </w:t>
      </w:r>
      <w:proofErr w:type="spellStart"/>
      <w:r w:rsidRPr="00A903C4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A903C4">
        <w:rPr>
          <w:rFonts w:ascii="Times New Roman" w:hAnsi="Times New Roman" w:cs="Times New Roman"/>
          <w:sz w:val="28"/>
          <w:szCs w:val="28"/>
          <w:lang w:val="uk-UA"/>
        </w:rPr>
        <w:t xml:space="preserve"> буде використовуватись статистичний метод, що передбачає використання статистичних даних. Опитування цільових груп та залучення наукових </w:t>
      </w:r>
      <w:r w:rsidRPr="00A903C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установ для проведення відстеження результативності регуляторного </w:t>
      </w:r>
      <w:proofErr w:type="spellStart"/>
      <w:r w:rsidRPr="00A903C4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A903C4">
        <w:rPr>
          <w:rFonts w:ascii="Times New Roman" w:hAnsi="Times New Roman" w:cs="Times New Roman"/>
          <w:sz w:val="28"/>
          <w:szCs w:val="28"/>
          <w:lang w:val="uk-UA"/>
        </w:rPr>
        <w:t xml:space="preserve"> не передбачаються.</w:t>
      </w:r>
    </w:p>
    <w:p w14:paraId="12E5267B" w14:textId="77777777" w:rsidR="00A903C4" w:rsidRPr="00A903C4" w:rsidRDefault="00A903C4" w:rsidP="00A903C4">
      <w:pPr>
        <w:pStyle w:val="a4"/>
        <w:spacing w:after="0"/>
        <w:ind w:left="0" w:firstLine="57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03C4">
        <w:rPr>
          <w:rFonts w:ascii="Times New Roman" w:hAnsi="Times New Roman" w:cs="Times New Roman"/>
          <w:sz w:val="28"/>
          <w:szCs w:val="28"/>
          <w:lang w:val="uk-UA"/>
        </w:rPr>
        <w:t xml:space="preserve">Відстеження результативності регуляторного </w:t>
      </w:r>
      <w:proofErr w:type="spellStart"/>
      <w:r w:rsidRPr="00A903C4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A903C4">
        <w:rPr>
          <w:rFonts w:ascii="Times New Roman" w:hAnsi="Times New Roman" w:cs="Times New Roman"/>
          <w:sz w:val="28"/>
          <w:szCs w:val="28"/>
          <w:lang w:val="uk-UA"/>
        </w:rPr>
        <w:t xml:space="preserve"> здійснюватиметься шляхом проведення базового, повторного та періодичного </w:t>
      </w:r>
      <w:proofErr w:type="spellStart"/>
      <w:r w:rsidRPr="00A903C4">
        <w:rPr>
          <w:rFonts w:ascii="Times New Roman" w:hAnsi="Times New Roman" w:cs="Times New Roman"/>
          <w:sz w:val="28"/>
          <w:szCs w:val="28"/>
          <w:lang w:val="uk-UA"/>
        </w:rPr>
        <w:t>відстежень</w:t>
      </w:r>
      <w:proofErr w:type="spellEnd"/>
      <w:r w:rsidRPr="00A903C4">
        <w:rPr>
          <w:rFonts w:ascii="Times New Roman" w:hAnsi="Times New Roman" w:cs="Times New Roman"/>
          <w:sz w:val="28"/>
          <w:szCs w:val="28"/>
          <w:lang w:val="uk-UA"/>
        </w:rPr>
        <w:t xml:space="preserve"> показників результативності </w:t>
      </w:r>
      <w:proofErr w:type="spellStart"/>
      <w:r w:rsidRPr="00A903C4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A903C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C0201C4" w14:textId="77777777" w:rsidR="00A903C4" w:rsidRPr="00A903C4" w:rsidRDefault="00A903C4" w:rsidP="00A903C4">
      <w:pPr>
        <w:pStyle w:val="a4"/>
        <w:spacing w:after="0"/>
        <w:ind w:left="0" w:firstLine="57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03C4">
        <w:rPr>
          <w:rFonts w:ascii="Times New Roman" w:hAnsi="Times New Roman" w:cs="Times New Roman"/>
          <w:sz w:val="28"/>
          <w:szCs w:val="28"/>
          <w:lang w:val="uk-UA"/>
        </w:rPr>
        <w:t xml:space="preserve">Оскільки для визначення значень показників результативності регуляторного </w:t>
      </w:r>
      <w:proofErr w:type="spellStart"/>
      <w:r w:rsidRPr="00A903C4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A903C4"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використовуватимуться статистичні дані, то базове відстеження результативності здійснюватиметься через рік після набрання чинності регуляторним актом.</w:t>
      </w:r>
    </w:p>
    <w:p w14:paraId="740AA82C" w14:textId="77777777" w:rsidR="00A903C4" w:rsidRPr="00A903C4" w:rsidRDefault="00A903C4" w:rsidP="00A903C4">
      <w:pPr>
        <w:pStyle w:val="a4"/>
        <w:spacing w:after="0"/>
        <w:ind w:left="0" w:firstLine="57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03C4">
        <w:rPr>
          <w:rFonts w:ascii="Times New Roman" w:hAnsi="Times New Roman" w:cs="Times New Roman"/>
          <w:sz w:val="28"/>
          <w:szCs w:val="28"/>
          <w:lang w:val="uk-UA"/>
        </w:rPr>
        <w:t>Повторне відстеження результативності буде здійснене не пізніше двох років після набрання чинності регуляторним актом для визначення результатів його дії.</w:t>
      </w:r>
    </w:p>
    <w:p w14:paraId="57E29672" w14:textId="77777777" w:rsidR="00A903C4" w:rsidRPr="00A903C4" w:rsidRDefault="00A903C4" w:rsidP="00A903C4">
      <w:pPr>
        <w:pStyle w:val="a4"/>
        <w:spacing w:after="0"/>
        <w:ind w:left="0" w:firstLine="57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03C4">
        <w:rPr>
          <w:rFonts w:ascii="Times New Roman" w:hAnsi="Times New Roman" w:cs="Times New Roman"/>
          <w:sz w:val="28"/>
          <w:szCs w:val="28"/>
          <w:lang w:val="uk-UA"/>
        </w:rPr>
        <w:t>Періодичне відстеження результативності – кожних три роки після проведення повторного відстеження.</w:t>
      </w:r>
    </w:p>
    <w:p w14:paraId="2AB27400" w14:textId="77777777" w:rsidR="00A903C4" w:rsidRPr="00A903C4" w:rsidRDefault="00A903C4" w:rsidP="00A903C4">
      <w:pPr>
        <w:pStyle w:val="a4"/>
        <w:spacing w:after="0"/>
        <w:ind w:left="0" w:firstLine="57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03C4">
        <w:rPr>
          <w:rFonts w:ascii="Times New Roman" w:hAnsi="Times New Roman" w:cs="Times New Roman"/>
          <w:sz w:val="28"/>
          <w:szCs w:val="28"/>
          <w:lang w:val="uk-UA"/>
        </w:rPr>
        <w:t>У разі надходження пропозицій та зауважень щодо вирішення неврегульованих або проблемних питань буде розглядатись необхідність внесення відповідних змін.</w:t>
      </w:r>
    </w:p>
    <w:p w14:paraId="1B18DCA6" w14:textId="77777777" w:rsidR="00A903C4" w:rsidRDefault="007B4621" w:rsidP="007B4621">
      <w:pPr>
        <w:pStyle w:val="a4"/>
        <w:spacing w:after="0"/>
        <w:ind w:left="0" w:firstLine="57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4621">
        <w:rPr>
          <w:rFonts w:ascii="Times New Roman" w:hAnsi="Times New Roman" w:cs="Times New Roman"/>
          <w:sz w:val="28"/>
          <w:szCs w:val="28"/>
          <w:lang w:val="uk-UA"/>
        </w:rPr>
        <w:t xml:space="preserve">У разі виявлення під час здійснення заходів з відстеження результативності неврегульованих та проблемних питань, вони будуть вирішуватися шляхом внесення відповідних змін до регуляторного </w:t>
      </w:r>
      <w:proofErr w:type="spellStart"/>
      <w:r w:rsidRPr="007B4621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7B462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3D58C12" w14:textId="77777777" w:rsidR="007B4621" w:rsidRDefault="007B4621" w:rsidP="007B4621">
      <w:pPr>
        <w:pStyle w:val="a4"/>
        <w:spacing w:after="0"/>
        <w:ind w:left="0" w:firstLine="57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26B581E" w14:textId="77777777" w:rsidR="007B4621" w:rsidRDefault="007B4621" w:rsidP="007B4621">
      <w:pPr>
        <w:pStyle w:val="a4"/>
        <w:spacing w:after="0"/>
        <w:ind w:left="0" w:firstLine="57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B205EF8" w14:textId="77777777" w:rsidR="007B4621" w:rsidRDefault="007B4621" w:rsidP="007B4621">
      <w:pPr>
        <w:pStyle w:val="a4"/>
        <w:spacing w:after="0"/>
        <w:ind w:left="0" w:firstLine="57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E85BC3" w14:textId="77777777" w:rsidR="007B4621" w:rsidRPr="007B4621" w:rsidRDefault="007B4621" w:rsidP="007B4621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4621">
        <w:rPr>
          <w:rFonts w:ascii="Times New Roman" w:hAnsi="Times New Roman" w:cs="Times New Roman"/>
          <w:b/>
          <w:sz w:val="28"/>
          <w:szCs w:val="28"/>
          <w:lang w:val="uk-UA"/>
        </w:rPr>
        <w:t>Голова НКРЕКП</w:t>
      </w:r>
      <w:r w:rsidRPr="007B462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B462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B4621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Костянтин УЩАПОВСЬКИЙ</w:t>
      </w:r>
    </w:p>
    <w:sectPr w:rsidR="007B4621" w:rsidRPr="007B4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1383E"/>
    <w:multiLevelType w:val="hybridMultilevel"/>
    <w:tmpl w:val="90F6AD76"/>
    <w:lvl w:ilvl="0" w:tplc="A4E451F4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8751A85"/>
    <w:multiLevelType w:val="hybridMultilevel"/>
    <w:tmpl w:val="21228DE6"/>
    <w:lvl w:ilvl="0" w:tplc="8E14216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FA73E0"/>
    <w:multiLevelType w:val="hybridMultilevel"/>
    <w:tmpl w:val="3E3AB80C"/>
    <w:lvl w:ilvl="0" w:tplc="3F2A83B6">
      <w:start w:val="1"/>
      <w:numFmt w:val="decimal"/>
      <w:lvlText w:val="%1)"/>
      <w:lvlJc w:val="left"/>
      <w:pPr>
        <w:ind w:left="1211" w:hanging="360"/>
      </w:pPr>
    </w:lvl>
    <w:lvl w:ilvl="1" w:tplc="04220019">
      <w:start w:val="1"/>
      <w:numFmt w:val="lowerLetter"/>
      <w:lvlText w:val="%2."/>
      <w:lvlJc w:val="left"/>
      <w:pPr>
        <w:ind w:left="1931" w:hanging="360"/>
      </w:pPr>
    </w:lvl>
    <w:lvl w:ilvl="2" w:tplc="0422001B">
      <w:start w:val="1"/>
      <w:numFmt w:val="lowerRoman"/>
      <w:lvlText w:val="%3."/>
      <w:lvlJc w:val="right"/>
      <w:pPr>
        <w:ind w:left="2651" w:hanging="180"/>
      </w:pPr>
    </w:lvl>
    <w:lvl w:ilvl="3" w:tplc="0422000F">
      <w:start w:val="1"/>
      <w:numFmt w:val="decimal"/>
      <w:lvlText w:val="%4."/>
      <w:lvlJc w:val="left"/>
      <w:pPr>
        <w:ind w:left="3371" w:hanging="360"/>
      </w:pPr>
    </w:lvl>
    <w:lvl w:ilvl="4" w:tplc="04220019">
      <w:start w:val="1"/>
      <w:numFmt w:val="lowerLetter"/>
      <w:lvlText w:val="%5."/>
      <w:lvlJc w:val="left"/>
      <w:pPr>
        <w:ind w:left="4091" w:hanging="360"/>
      </w:pPr>
    </w:lvl>
    <w:lvl w:ilvl="5" w:tplc="0422001B">
      <w:start w:val="1"/>
      <w:numFmt w:val="lowerRoman"/>
      <w:lvlText w:val="%6."/>
      <w:lvlJc w:val="right"/>
      <w:pPr>
        <w:ind w:left="4811" w:hanging="180"/>
      </w:pPr>
    </w:lvl>
    <w:lvl w:ilvl="6" w:tplc="0422000F">
      <w:start w:val="1"/>
      <w:numFmt w:val="decimal"/>
      <w:lvlText w:val="%7."/>
      <w:lvlJc w:val="left"/>
      <w:pPr>
        <w:ind w:left="5531" w:hanging="360"/>
      </w:pPr>
    </w:lvl>
    <w:lvl w:ilvl="7" w:tplc="04220019">
      <w:start w:val="1"/>
      <w:numFmt w:val="lowerLetter"/>
      <w:lvlText w:val="%8."/>
      <w:lvlJc w:val="left"/>
      <w:pPr>
        <w:ind w:left="6251" w:hanging="360"/>
      </w:pPr>
    </w:lvl>
    <w:lvl w:ilvl="8" w:tplc="0422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9410D22"/>
    <w:multiLevelType w:val="hybridMultilevel"/>
    <w:tmpl w:val="79E4C3D8"/>
    <w:lvl w:ilvl="0" w:tplc="35C88EF2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54186877">
    <w:abstractNumId w:val="0"/>
  </w:num>
  <w:num w:numId="2" w16cid:durableId="86466586">
    <w:abstractNumId w:val="3"/>
  </w:num>
  <w:num w:numId="3" w16cid:durableId="13724166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40155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2F6"/>
    <w:rsid w:val="000160B1"/>
    <w:rsid w:val="00044119"/>
    <w:rsid w:val="0005233B"/>
    <w:rsid w:val="00062BAF"/>
    <w:rsid w:val="000A270A"/>
    <w:rsid w:val="000A7181"/>
    <w:rsid w:val="000C4C63"/>
    <w:rsid w:val="000D5268"/>
    <w:rsid w:val="000D7180"/>
    <w:rsid w:val="000E35BD"/>
    <w:rsid w:val="00111927"/>
    <w:rsid w:val="001601D7"/>
    <w:rsid w:val="00164C74"/>
    <w:rsid w:val="001957DA"/>
    <w:rsid w:val="002409EB"/>
    <w:rsid w:val="00244AE8"/>
    <w:rsid w:val="00250062"/>
    <w:rsid w:val="00255B31"/>
    <w:rsid w:val="002877D3"/>
    <w:rsid w:val="00297104"/>
    <w:rsid w:val="002A2077"/>
    <w:rsid w:val="002A5A1A"/>
    <w:rsid w:val="002B329B"/>
    <w:rsid w:val="003108A9"/>
    <w:rsid w:val="00341899"/>
    <w:rsid w:val="003478AE"/>
    <w:rsid w:val="00351050"/>
    <w:rsid w:val="00392CAA"/>
    <w:rsid w:val="003D2032"/>
    <w:rsid w:val="00417CB2"/>
    <w:rsid w:val="004604C7"/>
    <w:rsid w:val="00474FA5"/>
    <w:rsid w:val="004844C1"/>
    <w:rsid w:val="00495E3D"/>
    <w:rsid w:val="005562A9"/>
    <w:rsid w:val="005E04A4"/>
    <w:rsid w:val="005E0641"/>
    <w:rsid w:val="005E52F6"/>
    <w:rsid w:val="005F2DB0"/>
    <w:rsid w:val="00652EBF"/>
    <w:rsid w:val="00662982"/>
    <w:rsid w:val="00676346"/>
    <w:rsid w:val="006C578A"/>
    <w:rsid w:val="006D332B"/>
    <w:rsid w:val="006E44EA"/>
    <w:rsid w:val="006E6876"/>
    <w:rsid w:val="007459E8"/>
    <w:rsid w:val="007817E1"/>
    <w:rsid w:val="007A309D"/>
    <w:rsid w:val="007B4621"/>
    <w:rsid w:val="007C4895"/>
    <w:rsid w:val="007E47DA"/>
    <w:rsid w:val="007E6469"/>
    <w:rsid w:val="008163BB"/>
    <w:rsid w:val="00833F30"/>
    <w:rsid w:val="00857756"/>
    <w:rsid w:val="008C0FB4"/>
    <w:rsid w:val="00913219"/>
    <w:rsid w:val="00926182"/>
    <w:rsid w:val="009A6BAF"/>
    <w:rsid w:val="009B6E24"/>
    <w:rsid w:val="00A14E43"/>
    <w:rsid w:val="00A21DB9"/>
    <w:rsid w:val="00A24D2A"/>
    <w:rsid w:val="00A25175"/>
    <w:rsid w:val="00A63FD8"/>
    <w:rsid w:val="00A903C4"/>
    <w:rsid w:val="00A9635B"/>
    <w:rsid w:val="00A97AE8"/>
    <w:rsid w:val="00AA7B0D"/>
    <w:rsid w:val="00AC2996"/>
    <w:rsid w:val="00AE1EC3"/>
    <w:rsid w:val="00B03C3A"/>
    <w:rsid w:val="00B21D15"/>
    <w:rsid w:val="00B440EC"/>
    <w:rsid w:val="00BA0D9D"/>
    <w:rsid w:val="00BB77F1"/>
    <w:rsid w:val="00BC1F8B"/>
    <w:rsid w:val="00BE56E1"/>
    <w:rsid w:val="00BF41EF"/>
    <w:rsid w:val="00BF440D"/>
    <w:rsid w:val="00BF5599"/>
    <w:rsid w:val="00BF60A5"/>
    <w:rsid w:val="00C361A9"/>
    <w:rsid w:val="00C65806"/>
    <w:rsid w:val="00C81B6F"/>
    <w:rsid w:val="00CC0435"/>
    <w:rsid w:val="00CE0F1E"/>
    <w:rsid w:val="00D0519B"/>
    <w:rsid w:val="00D33ADE"/>
    <w:rsid w:val="00D50DBB"/>
    <w:rsid w:val="00D63043"/>
    <w:rsid w:val="00DA2DE2"/>
    <w:rsid w:val="00DB3268"/>
    <w:rsid w:val="00DE6C90"/>
    <w:rsid w:val="00DF5280"/>
    <w:rsid w:val="00E31F23"/>
    <w:rsid w:val="00E82589"/>
    <w:rsid w:val="00E91685"/>
    <w:rsid w:val="00E9266D"/>
    <w:rsid w:val="00EF4A1F"/>
    <w:rsid w:val="00F34007"/>
    <w:rsid w:val="00F36A42"/>
    <w:rsid w:val="00F40E9D"/>
    <w:rsid w:val="00F97512"/>
    <w:rsid w:val="00FB2D8E"/>
    <w:rsid w:val="00FE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CFDD1"/>
  <w15:chartTrackingRefBased/>
  <w15:docId w15:val="{C4B1DB49-0306-4CD0-8098-7EA8158DE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1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0F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95E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95E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1FF88-1679-420E-9CBA-F8FDB803E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9639</Words>
  <Characters>5495</Characters>
  <Application>Microsoft Office Word</Application>
  <DocSecurity>0</DocSecurity>
  <Lines>45</Lines>
  <Paragraphs>30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Огороднік</dc:creator>
  <cp:keywords/>
  <dc:description/>
  <cp:lastModifiedBy>Тетяна Чуб</cp:lastModifiedBy>
  <cp:revision>2</cp:revision>
  <cp:lastPrinted>2023-12-26T12:04:00Z</cp:lastPrinted>
  <dcterms:created xsi:type="dcterms:W3CDTF">2023-12-27T12:00:00Z</dcterms:created>
  <dcterms:modified xsi:type="dcterms:W3CDTF">2023-12-27T12:00:00Z</dcterms:modified>
</cp:coreProperties>
</file>