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6BEA9" w14:textId="0B1DA956" w:rsidR="003A50CC" w:rsidRPr="003C3712" w:rsidRDefault="003A50CC" w:rsidP="003C3712">
      <w:pPr>
        <w:ind w:left="5812"/>
        <w:rPr>
          <w:sz w:val="28"/>
          <w:szCs w:val="28"/>
          <w:lang w:val="uk-UA"/>
        </w:rPr>
      </w:pPr>
      <w:r w:rsidRPr="003C3712">
        <w:rPr>
          <w:sz w:val="28"/>
          <w:szCs w:val="28"/>
          <w:lang w:val="uk-UA"/>
        </w:rPr>
        <w:t>ЗАТВЕРДЖЕНО</w:t>
      </w:r>
    </w:p>
    <w:p w14:paraId="176CFAD1" w14:textId="77777777" w:rsidR="003A50CC" w:rsidRPr="003C3712" w:rsidRDefault="003A50CC" w:rsidP="003C3712">
      <w:pPr>
        <w:ind w:left="5812"/>
        <w:rPr>
          <w:sz w:val="28"/>
          <w:szCs w:val="28"/>
          <w:lang w:val="uk-UA"/>
        </w:rPr>
      </w:pPr>
      <w:r w:rsidRPr="003C3712">
        <w:rPr>
          <w:sz w:val="28"/>
          <w:szCs w:val="28"/>
          <w:lang w:val="uk-UA"/>
        </w:rPr>
        <w:t>Постанова Національної комісії, що здійснює державне регулювання у сферах енергетики та комунальних послуг</w:t>
      </w:r>
    </w:p>
    <w:p w14:paraId="4ADED7DA" w14:textId="77777777" w:rsidR="003A50CC" w:rsidRPr="003C3712" w:rsidRDefault="003A50CC" w:rsidP="003C3712">
      <w:pPr>
        <w:ind w:left="5812"/>
        <w:rPr>
          <w:sz w:val="28"/>
          <w:szCs w:val="28"/>
          <w:lang w:val="uk-UA"/>
        </w:rPr>
      </w:pPr>
      <w:r w:rsidRPr="003C3712">
        <w:rPr>
          <w:sz w:val="28"/>
          <w:szCs w:val="28"/>
          <w:lang w:val="uk-UA"/>
        </w:rPr>
        <w:t>_____________ № ________</w:t>
      </w:r>
    </w:p>
    <w:p w14:paraId="567EC9D4" w14:textId="77777777" w:rsidR="00C9624E" w:rsidRPr="003C3712" w:rsidRDefault="00C9624E" w:rsidP="003C3712">
      <w:pPr>
        <w:tabs>
          <w:tab w:val="left" w:pos="1134"/>
        </w:tabs>
        <w:spacing w:after="60"/>
        <w:ind w:firstLine="709"/>
        <w:jc w:val="center"/>
        <w:rPr>
          <w:b/>
          <w:sz w:val="28"/>
          <w:szCs w:val="28"/>
          <w:lang w:val="uk-UA"/>
        </w:rPr>
      </w:pPr>
    </w:p>
    <w:p w14:paraId="5911A726" w14:textId="77777777" w:rsidR="00847A28" w:rsidRPr="003C3712" w:rsidRDefault="00847A28" w:rsidP="003C3712">
      <w:pPr>
        <w:tabs>
          <w:tab w:val="left" w:pos="1134"/>
        </w:tabs>
        <w:spacing w:after="60"/>
        <w:ind w:firstLine="709"/>
        <w:jc w:val="center"/>
        <w:rPr>
          <w:b/>
          <w:sz w:val="28"/>
          <w:szCs w:val="28"/>
          <w:lang w:val="uk-UA"/>
        </w:rPr>
      </w:pPr>
      <w:r w:rsidRPr="003C3712">
        <w:rPr>
          <w:b/>
          <w:sz w:val="28"/>
          <w:szCs w:val="28"/>
          <w:lang w:val="uk-UA"/>
        </w:rPr>
        <w:t>ЗМІНИ</w:t>
      </w:r>
    </w:p>
    <w:p w14:paraId="1546548B" w14:textId="36FAD9F6" w:rsidR="001E5B3D" w:rsidRPr="003C3712" w:rsidRDefault="00847A28" w:rsidP="003C3712">
      <w:pPr>
        <w:tabs>
          <w:tab w:val="left" w:pos="1134"/>
        </w:tabs>
        <w:spacing w:after="60"/>
        <w:ind w:firstLine="709"/>
        <w:jc w:val="center"/>
        <w:rPr>
          <w:b/>
          <w:sz w:val="28"/>
          <w:szCs w:val="28"/>
          <w:lang w:val="uk-UA"/>
        </w:rPr>
      </w:pPr>
      <w:r w:rsidRPr="003C3712">
        <w:rPr>
          <w:b/>
          <w:sz w:val="28"/>
          <w:szCs w:val="28"/>
          <w:lang w:val="uk-UA"/>
        </w:rPr>
        <w:t xml:space="preserve">до </w:t>
      </w:r>
      <w:r w:rsidR="00864A90" w:rsidRPr="003C3712">
        <w:rPr>
          <w:b/>
          <w:sz w:val="28"/>
          <w:szCs w:val="28"/>
          <w:lang w:val="uk-UA"/>
        </w:rPr>
        <w:t>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p>
    <w:p w14:paraId="09DF5F46" w14:textId="165167BA" w:rsidR="009B1760" w:rsidRPr="003C3712" w:rsidRDefault="009B1760" w:rsidP="003C3712">
      <w:pPr>
        <w:tabs>
          <w:tab w:val="left" w:pos="1134"/>
        </w:tabs>
        <w:spacing w:after="60"/>
        <w:ind w:firstLine="709"/>
        <w:jc w:val="both"/>
        <w:rPr>
          <w:sz w:val="28"/>
          <w:szCs w:val="28"/>
          <w:lang w:val="uk-UA"/>
        </w:rPr>
      </w:pPr>
    </w:p>
    <w:p w14:paraId="0BFE24D4" w14:textId="1ADBD071" w:rsidR="00864A90" w:rsidRPr="003C3712" w:rsidRDefault="00013C06" w:rsidP="003C3712">
      <w:pPr>
        <w:pStyle w:val="a3"/>
        <w:numPr>
          <w:ilvl w:val="0"/>
          <w:numId w:val="23"/>
        </w:numPr>
        <w:tabs>
          <w:tab w:val="left" w:pos="1276"/>
        </w:tabs>
        <w:ind w:left="0" w:firstLine="851"/>
        <w:jc w:val="both"/>
        <w:rPr>
          <w:sz w:val="28"/>
          <w:szCs w:val="28"/>
          <w:lang w:val="uk-UA"/>
        </w:rPr>
      </w:pPr>
      <w:r w:rsidRPr="003C3712">
        <w:rPr>
          <w:sz w:val="28"/>
          <w:szCs w:val="28"/>
          <w:lang w:val="uk-UA"/>
        </w:rPr>
        <w:t xml:space="preserve">У </w:t>
      </w:r>
      <w:r w:rsidR="00376A2E" w:rsidRPr="003C3712">
        <w:rPr>
          <w:sz w:val="28"/>
          <w:szCs w:val="28"/>
          <w:lang w:val="uk-UA"/>
        </w:rPr>
        <w:t>розділі</w:t>
      </w:r>
      <w:r w:rsidRPr="003C3712">
        <w:rPr>
          <w:sz w:val="28"/>
          <w:szCs w:val="28"/>
          <w:lang w:val="uk-UA"/>
        </w:rPr>
        <w:t xml:space="preserve"> </w:t>
      </w:r>
      <w:r w:rsidR="00EB01A9" w:rsidRPr="003C3712">
        <w:rPr>
          <w:sz w:val="28"/>
          <w:szCs w:val="28"/>
          <w:lang w:val="uk-UA"/>
        </w:rPr>
        <w:t>II</w:t>
      </w:r>
      <w:r w:rsidRPr="003C3712">
        <w:rPr>
          <w:sz w:val="28"/>
          <w:szCs w:val="28"/>
          <w:lang w:val="uk-UA"/>
        </w:rPr>
        <w:t>:</w:t>
      </w:r>
    </w:p>
    <w:p w14:paraId="7AB15564" w14:textId="6521B08F" w:rsidR="00864A90" w:rsidRPr="003C3712" w:rsidRDefault="00864A90" w:rsidP="003C3712">
      <w:pPr>
        <w:tabs>
          <w:tab w:val="left" w:pos="1134"/>
        </w:tabs>
        <w:ind w:firstLine="851"/>
        <w:jc w:val="both"/>
        <w:rPr>
          <w:sz w:val="28"/>
          <w:szCs w:val="28"/>
          <w:lang w:val="uk-UA"/>
        </w:rPr>
      </w:pPr>
    </w:p>
    <w:p w14:paraId="4E632B0C" w14:textId="2CF705EA" w:rsidR="007D55FA" w:rsidRPr="003C3712" w:rsidRDefault="00915985" w:rsidP="003C3712">
      <w:pPr>
        <w:pStyle w:val="a3"/>
        <w:numPr>
          <w:ilvl w:val="0"/>
          <w:numId w:val="24"/>
        </w:numPr>
        <w:tabs>
          <w:tab w:val="left" w:pos="851"/>
        </w:tabs>
        <w:ind w:left="0" w:firstLine="851"/>
        <w:jc w:val="both"/>
        <w:rPr>
          <w:sz w:val="28"/>
          <w:szCs w:val="28"/>
          <w:lang w:val="uk-UA"/>
        </w:rPr>
      </w:pPr>
      <w:r w:rsidRPr="003C3712">
        <w:rPr>
          <w:sz w:val="28"/>
          <w:szCs w:val="28"/>
          <w:lang w:val="uk-UA"/>
        </w:rPr>
        <w:t xml:space="preserve">в </w:t>
      </w:r>
      <w:r w:rsidR="009E5A6E" w:rsidRPr="003C3712">
        <w:rPr>
          <w:sz w:val="28"/>
          <w:szCs w:val="28"/>
          <w:lang w:val="uk-UA"/>
        </w:rPr>
        <w:t>абзац</w:t>
      </w:r>
      <w:r w:rsidRPr="003C3712">
        <w:rPr>
          <w:sz w:val="28"/>
          <w:szCs w:val="28"/>
          <w:lang w:val="uk-UA"/>
        </w:rPr>
        <w:t>і</w:t>
      </w:r>
      <w:r w:rsidR="009E5A6E" w:rsidRPr="003C3712">
        <w:rPr>
          <w:sz w:val="28"/>
          <w:szCs w:val="28"/>
          <w:lang w:val="uk-UA"/>
        </w:rPr>
        <w:t xml:space="preserve"> </w:t>
      </w:r>
      <w:r w:rsidR="007D55FA" w:rsidRPr="003C3712">
        <w:rPr>
          <w:sz w:val="28"/>
          <w:szCs w:val="28"/>
          <w:lang w:val="uk-UA"/>
        </w:rPr>
        <w:t>трет</w:t>
      </w:r>
      <w:r w:rsidR="004D560E" w:rsidRPr="003C3712">
        <w:rPr>
          <w:sz w:val="28"/>
          <w:szCs w:val="28"/>
          <w:lang w:val="uk-UA"/>
        </w:rPr>
        <w:t>ьому</w:t>
      </w:r>
      <w:r w:rsidR="007D55FA" w:rsidRPr="003C3712">
        <w:rPr>
          <w:sz w:val="28"/>
          <w:szCs w:val="28"/>
          <w:lang w:val="uk-UA"/>
        </w:rPr>
        <w:t xml:space="preserve"> пункту 1 глави 2.1</w:t>
      </w:r>
      <w:r w:rsidR="004D560E" w:rsidRPr="003C3712">
        <w:rPr>
          <w:sz w:val="28"/>
          <w:szCs w:val="28"/>
          <w:lang w:val="uk-UA"/>
        </w:rPr>
        <w:t xml:space="preserve"> слово «або» замінити словами та знаком «та/або»</w:t>
      </w:r>
      <w:r w:rsidR="00FD588C" w:rsidRPr="003C3712">
        <w:rPr>
          <w:sz w:val="28"/>
          <w:szCs w:val="28"/>
          <w:lang w:val="uk-UA"/>
        </w:rPr>
        <w:t>;</w:t>
      </w:r>
    </w:p>
    <w:p w14:paraId="07FC7567" w14:textId="77777777" w:rsidR="009E5A6E" w:rsidRPr="003C3712" w:rsidRDefault="009E5A6E" w:rsidP="003C3712">
      <w:pPr>
        <w:tabs>
          <w:tab w:val="left" w:pos="1134"/>
        </w:tabs>
        <w:ind w:firstLine="851"/>
        <w:jc w:val="both"/>
        <w:rPr>
          <w:sz w:val="28"/>
          <w:szCs w:val="28"/>
          <w:lang w:val="uk-UA"/>
        </w:rPr>
      </w:pPr>
    </w:p>
    <w:p w14:paraId="32CE1AF6" w14:textId="39DF5C78" w:rsidR="00BF2B5E" w:rsidRPr="003C3712" w:rsidRDefault="00BF2B5E" w:rsidP="003C3712">
      <w:pPr>
        <w:pStyle w:val="a3"/>
        <w:numPr>
          <w:ilvl w:val="0"/>
          <w:numId w:val="24"/>
        </w:numPr>
        <w:tabs>
          <w:tab w:val="left" w:pos="851"/>
        </w:tabs>
        <w:ind w:left="0" w:firstLine="851"/>
        <w:jc w:val="both"/>
        <w:rPr>
          <w:sz w:val="28"/>
          <w:szCs w:val="28"/>
          <w:lang w:val="uk-UA"/>
        </w:rPr>
      </w:pPr>
      <w:r w:rsidRPr="003C3712">
        <w:rPr>
          <w:sz w:val="28"/>
          <w:szCs w:val="28"/>
          <w:lang w:val="uk-UA"/>
        </w:rPr>
        <w:t>у главі 2.2:</w:t>
      </w:r>
    </w:p>
    <w:p w14:paraId="59485B34" w14:textId="1263E3F4" w:rsidR="004763DB" w:rsidRPr="003C3712" w:rsidRDefault="001A4B15" w:rsidP="003C3712">
      <w:pPr>
        <w:tabs>
          <w:tab w:val="left" w:pos="851"/>
        </w:tabs>
        <w:ind w:firstLine="851"/>
        <w:jc w:val="both"/>
        <w:rPr>
          <w:sz w:val="28"/>
          <w:szCs w:val="28"/>
          <w:lang w:val="uk-UA"/>
        </w:rPr>
      </w:pPr>
      <w:r w:rsidRPr="003C3712">
        <w:rPr>
          <w:sz w:val="28"/>
          <w:szCs w:val="28"/>
          <w:lang w:val="uk-UA"/>
        </w:rPr>
        <w:t>у</w:t>
      </w:r>
      <w:r w:rsidR="003B0ADC" w:rsidRPr="003C3712">
        <w:rPr>
          <w:sz w:val="28"/>
          <w:szCs w:val="28"/>
          <w:lang w:val="uk-UA"/>
        </w:rPr>
        <w:t xml:space="preserve"> </w:t>
      </w:r>
      <w:r w:rsidR="004763DB" w:rsidRPr="003C3712">
        <w:rPr>
          <w:sz w:val="28"/>
          <w:szCs w:val="28"/>
          <w:lang w:val="uk-UA"/>
        </w:rPr>
        <w:t>пункт</w:t>
      </w:r>
      <w:r w:rsidR="00662F1D" w:rsidRPr="003C3712">
        <w:rPr>
          <w:sz w:val="28"/>
          <w:szCs w:val="28"/>
          <w:lang w:val="uk-UA"/>
        </w:rPr>
        <w:t>і</w:t>
      </w:r>
      <w:r w:rsidR="004763DB" w:rsidRPr="003C3712">
        <w:rPr>
          <w:sz w:val="28"/>
          <w:szCs w:val="28"/>
          <w:lang w:val="uk-UA"/>
        </w:rPr>
        <w:t xml:space="preserve"> 2.2.7:</w:t>
      </w:r>
    </w:p>
    <w:p w14:paraId="13E8E5E7" w14:textId="77777777" w:rsidR="00662F1D" w:rsidRPr="003C3712" w:rsidRDefault="00662F1D" w:rsidP="003C3712">
      <w:pPr>
        <w:tabs>
          <w:tab w:val="left" w:pos="851"/>
        </w:tabs>
        <w:ind w:firstLine="851"/>
        <w:jc w:val="both"/>
        <w:rPr>
          <w:sz w:val="28"/>
          <w:szCs w:val="28"/>
          <w:lang w:val="uk-UA"/>
        </w:rPr>
      </w:pPr>
      <w:r w:rsidRPr="003C3712">
        <w:rPr>
          <w:sz w:val="28"/>
          <w:szCs w:val="28"/>
          <w:lang w:val="uk-UA"/>
        </w:rPr>
        <w:t>у підпункті 1:</w:t>
      </w:r>
    </w:p>
    <w:p w14:paraId="5AA0003B" w14:textId="568177A5" w:rsidR="00864A90" w:rsidRPr="003C3712" w:rsidRDefault="001A5E96" w:rsidP="003C3712">
      <w:pPr>
        <w:tabs>
          <w:tab w:val="left" w:pos="851"/>
        </w:tabs>
        <w:ind w:firstLine="851"/>
        <w:jc w:val="both"/>
        <w:rPr>
          <w:sz w:val="28"/>
          <w:szCs w:val="28"/>
          <w:lang w:val="uk-UA"/>
        </w:rPr>
      </w:pPr>
      <w:r w:rsidRPr="003C3712">
        <w:rPr>
          <w:sz w:val="28"/>
          <w:szCs w:val="28"/>
          <w:lang w:val="uk-UA"/>
        </w:rPr>
        <w:t>в абзац</w:t>
      </w:r>
      <w:r w:rsidR="008B55D4" w:rsidRPr="003C3712">
        <w:rPr>
          <w:sz w:val="28"/>
          <w:szCs w:val="28"/>
          <w:lang w:val="uk-UA"/>
        </w:rPr>
        <w:t>ах</w:t>
      </w:r>
      <w:r w:rsidRPr="003C3712">
        <w:rPr>
          <w:sz w:val="28"/>
          <w:szCs w:val="28"/>
          <w:lang w:val="uk-UA"/>
        </w:rPr>
        <w:t xml:space="preserve"> другому</w:t>
      </w:r>
      <w:r w:rsidR="008B55D4" w:rsidRPr="003C3712">
        <w:rPr>
          <w:sz w:val="28"/>
          <w:szCs w:val="28"/>
          <w:lang w:val="uk-UA"/>
        </w:rPr>
        <w:t xml:space="preserve"> та третьому</w:t>
      </w:r>
      <w:r w:rsidR="008B55D4" w:rsidRPr="003C3712" w:rsidDel="003B0ADC">
        <w:rPr>
          <w:sz w:val="28"/>
          <w:szCs w:val="28"/>
          <w:lang w:val="uk-UA"/>
        </w:rPr>
        <w:t xml:space="preserve"> </w:t>
      </w:r>
      <w:r w:rsidRPr="003C3712">
        <w:rPr>
          <w:sz w:val="28"/>
          <w:szCs w:val="28"/>
          <w:lang w:val="uk-UA"/>
        </w:rPr>
        <w:t>слова «і нафтового</w:t>
      </w:r>
      <w:r w:rsidR="00BF2B5E" w:rsidRPr="003C3712">
        <w:rPr>
          <w:sz w:val="28"/>
          <w:szCs w:val="28"/>
          <w:lang w:val="uk-UA"/>
        </w:rPr>
        <w:t xml:space="preserve"> газу трубопроводами</w:t>
      </w:r>
      <w:r w:rsidRPr="003C3712">
        <w:rPr>
          <w:sz w:val="28"/>
          <w:szCs w:val="28"/>
          <w:lang w:val="uk-UA"/>
        </w:rPr>
        <w:t xml:space="preserve">» </w:t>
      </w:r>
      <w:r w:rsidR="00BF2B5E" w:rsidRPr="003C3712">
        <w:rPr>
          <w:sz w:val="28"/>
          <w:szCs w:val="28"/>
          <w:lang w:val="uk-UA"/>
        </w:rPr>
        <w:t>замінити</w:t>
      </w:r>
      <w:r w:rsidRPr="003C3712">
        <w:rPr>
          <w:sz w:val="28"/>
          <w:szCs w:val="28"/>
          <w:lang w:val="uk-UA"/>
        </w:rPr>
        <w:t xml:space="preserve"> слово</w:t>
      </w:r>
      <w:r w:rsidR="00BF2B5E" w:rsidRPr="003C3712">
        <w:rPr>
          <w:sz w:val="28"/>
          <w:szCs w:val="28"/>
          <w:lang w:val="uk-UA"/>
        </w:rPr>
        <w:t>м</w:t>
      </w:r>
      <w:r w:rsidRPr="003C3712">
        <w:rPr>
          <w:sz w:val="28"/>
          <w:szCs w:val="28"/>
          <w:lang w:val="uk-UA"/>
        </w:rPr>
        <w:t xml:space="preserve"> «</w:t>
      </w:r>
      <w:r w:rsidR="00BF2B5E" w:rsidRPr="003C3712">
        <w:rPr>
          <w:sz w:val="28"/>
          <w:szCs w:val="28"/>
          <w:lang w:val="uk-UA"/>
        </w:rPr>
        <w:t>газу</w:t>
      </w:r>
      <w:r w:rsidRPr="003C3712">
        <w:rPr>
          <w:sz w:val="28"/>
          <w:szCs w:val="28"/>
          <w:lang w:val="uk-UA"/>
        </w:rPr>
        <w:t>»</w:t>
      </w:r>
      <w:r w:rsidR="00E86D77" w:rsidRPr="003C3712">
        <w:rPr>
          <w:sz w:val="28"/>
          <w:szCs w:val="28"/>
          <w:lang w:val="uk-UA"/>
        </w:rPr>
        <w:t>;</w:t>
      </w:r>
    </w:p>
    <w:p w14:paraId="07BAECC0" w14:textId="6F926322" w:rsidR="001A5E96" w:rsidRPr="003C3712" w:rsidRDefault="001A5E96" w:rsidP="003C3712">
      <w:pPr>
        <w:tabs>
          <w:tab w:val="left" w:pos="851"/>
        </w:tabs>
        <w:ind w:firstLine="851"/>
        <w:jc w:val="both"/>
        <w:rPr>
          <w:sz w:val="28"/>
          <w:szCs w:val="28"/>
          <w:lang w:val="uk-UA"/>
        </w:rPr>
      </w:pPr>
      <w:r w:rsidRPr="003C3712">
        <w:rPr>
          <w:sz w:val="28"/>
          <w:szCs w:val="28"/>
          <w:lang w:val="uk-UA"/>
        </w:rPr>
        <w:t>доповнити новим абзацом такого змісту:</w:t>
      </w:r>
    </w:p>
    <w:p w14:paraId="2D0307A7" w14:textId="1F04D4E1" w:rsidR="001A5E96" w:rsidRPr="003C3712" w:rsidRDefault="001A5E96" w:rsidP="003C3712">
      <w:pPr>
        <w:tabs>
          <w:tab w:val="left" w:pos="851"/>
        </w:tabs>
        <w:ind w:firstLine="851"/>
        <w:jc w:val="both"/>
        <w:rPr>
          <w:sz w:val="28"/>
          <w:szCs w:val="28"/>
          <w:lang w:val="uk-UA"/>
        </w:rPr>
      </w:pPr>
      <w:r w:rsidRPr="003C3712">
        <w:rPr>
          <w:sz w:val="28"/>
          <w:szCs w:val="28"/>
          <w:lang w:val="uk-UA"/>
        </w:rPr>
        <w:t>«</w:t>
      </w:r>
      <w:r w:rsidR="00247BD4" w:rsidRPr="003C3712">
        <w:rPr>
          <w:sz w:val="28"/>
          <w:szCs w:val="28"/>
          <w:lang w:val="uk-UA"/>
        </w:rPr>
        <w:t>транспортування нафти, нафтопродуктів та інших речовин трубопровідним транспортом</w:t>
      </w:r>
      <w:r w:rsidR="00A25758" w:rsidRPr="003C3712">
        <w:rPr>
          <w:sz w:val="28"/>
          <w:szCs w:val="28"/>
          <w:lang w:val="uk-UA"/>
        </w:rPr>
        <w:t>.</w:t>
      </w:r>
      <w:r w:rsidR="00247BD4" w:rsidRPr="003C3712">
        <w:rPr>
          <w:sz w:val="28"/>
          <w:szCs w:val="28"/>
          <w:lang w:val="uk-UA"/>
        </w:rPr>
        <w:t>»;</w:t>
      </w:r>
    </w:p>
    <w:p w14:paraId="477215E5" w14:textId="266EB8D3" w:rsidR="00E86D77" w:rsidRPr="003C3712" w:rsidRDefault="00A25758" w:rsidP="003C3712">
      <w:pPr>
        <w:tabs>
          <w:tab w:val="left" w:pos="851"/>
        </w:tabs>
        <w:ind w:firstLine="851"/>
        <w:jc w:val="both"/>
        <w:rPr>
          <w:sz w:val="28"/>
          <w:szCs w:val="28"/>
          <w:lang w:val="uk-UA"/>
        </w:rPr>
      </w:pPr>
      <w:r w:rsidRPr="003C3712">
        <w:rPr>
          <w:sz w:val="28"/>
          <w:szCs w:val="28"/>
          <w:lang w:val="uk-UA"/>
        </w:rPr>
        <w:t>в</w:t>
      </w:r>
      <w:r w:rsidR="0037797A" w:rsidRPr="003C3712">
        <w:rPr>
          <w:sz w:val="28"/>
          <w:szCs w:val="28"/>
          <w:lang w:val="uk-UA"/>
        </w:rPr>
        <w:t xml:space="preserve"> абзаці </w:t>
      </w:r>
      <w:r w:rsidR="00101694" w:rsidRPr="003C3712">
        <w:rPr>
          <w:sz w:val="28"/>
          <w:szCs w:val="28"/>
          <w:lang w:val="uk-UA"/>
        </w:rPr>
        <w:t>сьомому підпункту 2 слова та знак «та інших речовин, транспортування яких здійснюється трубопровідним транспортом» виключити</w:t>
      </w:r>
      <w:r w:rsidRPr="003C3712">
        <w:rPr>
          <w:sz w:val="28"/>
          <w:szCs w:val="28"/>
          <w:lang w:val="uk-UA"/>
        </w:rPr>
        <w:t>;</w:t>
      </w:r>
    </w:p>
    <w:p w14:paraId="33177412" w14:textId="2CE0197E" w:rsidR="00E86D77" w:rsidRPr="003C3712" w:rsidRDefault="008C32EC" w:rsidP="003C3712">
      <w:pPr>
        <w:ind w:firstLine="851"/>
        <w:rPr>
          <w:sz w:val="28"/>
          <w:szCs w:val="28"/>
          <w:lang w:val="uk-UA"/>
        </w:rPr>
      </w:pPr>
      <w:r w:rsidRPr="003C3712">
        <w:rPr>
          <w:sz w:val="28"/>
          <w:szCs w:val="28"/>
          <w:lang w:val="uk-UA"/>
        </w:rPr>
        <w:t>у пункті 2.2.9:</w:t>
      </w:r>
    </w:p>
    <w:p w14:paraId="393563CC" w14:textId="2CB0681E" w:rsidR="00E86D77" w:rsidRPr="003C3712" w:rsidRDefault="009F054A" w:rsidP="003C3712">
      <w:pPr>
        <w:ind w:firstLine="851"/>
        <w:jc w:val="both"/>
        <w:rPr>
          <w:sz w:val="28"/>
          <w:szCs w:val="28"/>
          <w:lang w:val="uk-UA"/>
        </w:rPr>
      </w:pPr>
      <w:r w:rsidRPr="003C3712">
        <w:rPr>
          <w:sz w:val="28"/>
          <w:szCs w:val="28"/>
          <w:lang w:val="uk-UA"/>
        </w:rPr>
        <w:t>в абзаці третьому підпункту 1 слова</w:t>
      </w:r>
      <w:r w:rsidR="00902024" w:rsidRPr="003C3712">
        <w:rPr>
          <w:sz w:val="28"/>
          <w:szCs w:val="28"/>
          <w:lang w:val="uk-UA"/>
        </w:rPr>
        <w:t xml:space="preserve"> та знаки </w:t>
      </w:r>
      <w:r w:rsidRPr="003C3712">
        <w:rPr>
          <w:sz w:val="28"/>
          <w:szCs w:val="28"/>
          <w:lang w:val="uk-UA"/>
        </w:rPr>
        <w:t>«недостовірності</w:t>
      </w:r>
      <w:r w:rsidR="00902024" w:rsidRPr="003C3712">
        <w:rPr>
          <w:sz w:val="28"/>
          <w:szCs w:val="28"/>
          <w:lang w:val="uk-UA"/>
        </w:rPr>
        <w:t xml:space="preserve"> подання фінансової звітності (3 бали)</w:t>
      </w:r>
      <w:r w:rsidRPr="003C3712">
        <w:rPr>
          <w:sz w:val="28"/>
          <w:szCs w:val="28"/>
          <w:lang w:val="uk-UA"/>
        </w:rPr>
        <w:t xml:space="preserve">» </w:t>
      </w:r>
      <w:r w:rsidR="00902024" w:rsidRPr="003C3712">
        <w:rPr>
          <w:sz w:val="28"/>
          <w:szCs w:val="28"/>
          <w:lang w:val="uk-UA"/>
        </w:rPr>
        <w:t xml:space="preserve">замінити словами та знаками </w:t>
      </w:r>
      <w:r w:rsidR="005D45A8" w:rsidRPr="003C3712">
        <w:rPr>
          <w:sz w:val="28"/>
          <w:szCs w:val="28"/>
          <w:lang w:val="uk-UA"/>
        </w:rPr>
        <w:t>«</w:t>
      </w:r>
      <w:r w:rsidR="00902024" w:rsidRPr="003C3712">
        <w:rPr>
          <w:sz w:val="28"/>
          <w:szCs w:val="28"/>
          <w:shd w:val="clear" w:color="auto" w:fill="FFFFFF"/>
          <w:lang w:val="uk-UA"/>
        </w:rPr>
        <w:t>подання звітності (2 бали)</w:t>
      </w:r>
      <w:r w:rsidR="005D45A8" w:rsidRPr="003C3712">
        <w:rPr>
          <w:sz w:val="28"/>
          <w:szCs w:val="28"/>
          <w:lang w:val="uk-UA"/>
        </w:rPr>
        <w:t>»;</w:t>
      </w:r>
    </w:p>
    <w:p w14:paraId="1E50B0A6" w14:textId="2745F555" w:rsidR="00E86D77" w:rsidRPr="003C3712" w:rsidRDefault="0053222F" w:rsidP="003C3712">
      <w:pPr>
        <w:tabs>
          <w:tab w:val="left" w:pos="851"/>
        </w:tabs>
        <w:ind w:firstLine="851"/>
        <w:jc w:val="both"/>
        <w:rPr>
          <w:sz w:val="28"/>
          <w:szCs w:val="28"/>
          <w:lang w:val="uk-UA"/>
        </w:rPr>
      </w:pPr>
      <w:r w:rsidRPr="003C3712">
        <w:rPr>
          <w:sz w:val="28"/>
          <w:szCs w:val="28"/>
          <w:lang w:val="uk-UA"/>
        </w:rPr>
        <w:t>у</w:t>
      </w:r>
      <w:r w:rsidR="00173A89" w:rsidRPr="003C3712">
        <w:rPr>
          <w:sz w:val="28"/>
          <w:szCs w:val="28"/>
          <w:lang w:val="uk-UA"/>
        </w:rPr>
        <w:t xml:space="preserve"> підпункті 2 знак та слова «, прийнятих за результатами перевірок» замінити </w:t>
      </w:r>
      <w:r w:rsidR="00343285" w:rsidRPr="003C3712">
        <w:rPr>
          <w:sz w:val="28"/>
          <w:szCs w:val="28"/>
          <w:lang w:val="uk-UA"/>
        </w:rPr>
        <w:t>абревіатурою «НКРЕКП»;</w:t>
      </w:r>
    </w:p>
    <w:p w14:paraId="36E1F897" w14:textId="02EE68E7" w:rsidR="00CC3356" w:rsidRPr="003C3712" w:rsidRDefault="00CC3356" w:rsidP="003C3712">
      <w:pPr>
        <w:tabs>
          <w:tab w:val="left" w:pos="851"/>
        </w:tabs>
        <w:ind w:firstLine="851"/>
        <w:jc w:val="both"/>
        <w:rPr>
          <w:sz w:val="28"/>
          <w:szCs w:val="28"/>
          <w:lang w:val="uk-UA"/>
        </w:rPr>
      </w:pPr>
      <w:r w:rsidRPr="003C3712">
        <w:rPr>
          <w:sz w:val="28"/>
          <w:szCs w:val="28"/>
          <w:lang w:val="uk-UA"/>
        </w:rPr>
        <w:t>підпункт 3 після слова «ненадання» доповнити словами та знаком «та/або надання недостовірної»;</w:t>
      </w:r>
    </w:p>
    <w:p w14:paraId="370968FB" w14:textId="4A206D81" w:rsidR="00811B86" w:rsidRPr="003C3712" w:rsidRDefault="00811B86" w:rsidP="003C3712">
      <w:pPr>
        <w:tabs>
          <w:tab w:val="left" w:pos="851"/>
        </w:tabs>
        <w:ind w:firstLine="851"/>
        <w:jc w:val="both"/>
        <w:rPr>
          <w:sz w:val="28"/>
          <w:szCs w:val="28"/>
          <w:lang w:val="uk-UA"/>
        </w:rPr>
      </w:pPr>
      <w:r w:rsidRPr="003C3712">
        <w:rPr>
          <w:sz w:val="28"/>
          <w:szCs w:val="28"/>
          <w:lang w:val="uk-UA"/>
        </w:rPr>
        <w:t>підпункт 6 викласти в такій редакції:</w:t>
      </w:r>
    </w:p>
    <w:p w14:paraId="51B8A8F5" w14:textId="7069DED2" w:rsidR="00811B86" w:rsidRPr="003C3712" w:rsidRDefault="00811B86" w:rsidP="003C3712">
      <w:pPr>
        <w:tabs>
          <w:tab w:val="left" w:pos="851"/>
        </w:tabs>
        <w:ind w:firstLine="851"/>
        <w:jc w:val="both"/>
        <w:rPr>
          <w:sz w:val="28"/>
          <w:szCs w:val="28"/>
          <w:lang w:val="uk-UA"/>
        </w:rPr>
      </w:pPr>
      <w:r w:rsidRPr="003C3712">
        <w:rPr>
          <w:sz w:val="28"/>
          <w:szCs w:val="28"/>
          <w:lang w:val="uk-UA"/>
        </w:rPr>
        <w:t>«6) порушення щодо розроблення, подання на розгляд та виконання планів розвитку, інвестиційних програм, оновлення основних фондів, а також щодо подання відповідної звітної інформації (3 бали);»;</w:t>
      </w:r>
    </w:p>
    <w:p w14:paraId="6D3AA654" w14:textId="6B60B14F" w:rsidR="00815BF1" w:rsidRPr="003C3712" w:rsidRDefault="0053222F" w:rsidP="003C3712">
      <w:pPr>
        <w:tabs>
          <w:tab w:val="left" w:pos="851"/>
        </w:tabs>
        <w:ind w:firstLine="851"/>
        <w:jc w:val="both"/>
        <w:rPr>
          <w:sz w:val="28"/>
          <w:szCs w:val="28"/>
          <w:lang w:val="uk-UA"/>
        </w:rPr>
      </w:pPr>
      <w:r w:rsidRPr="003C3712">
        <w:rPr>
          <w:sz w:val="28"/>
          <w:szCs w:val="28"/>
          <w:lang w:val="uk-UA"/>
        </w:rPr>
        <w:t>у</w:t>
      </w:r>
      <w:r w:rsidR="00815BF1" w:rsidRPr="003C3712">
        <w:rPr>
          <w:sz w:val="28"/>
          <w:szCs w:val="28"/>
          <w:lang w:val="uk-UA"/>
        </w:rPr>
        <w:t xml:space="preserve"> підпункті 10 цифру</w:t>
      </w:r>
      <w:r w:rsidR="00410079" w:rsidRPr="003C3712">
        <w:rPr>
          <w:sz w:val="28"/>
          <w:szCs w:val="28"/>
          <w:lang w:val="uk-UA"/>
        </w:rPr>
        <w:t xml:space="preserve"> і слово</w:t>
      </w:r>
      <w:r w:rsidR="00815BF1" w:rsidRPr="003C3712">
        <w:rPr>
          <w:sz w:val="28"/>
          <w:szCs w:val="28"/>
          <w:lang w:val="uk-UA"/>
        </w:rPr>
        <w:t xml:space="preserve"> «1</w:t>
      </w:r>
      <w:r w:rsidR="00410079" w:rsidRPr="003C3712">
        <w:rPr>
          <w:sz w:val="28"/>
          <w:szCs w:val="28"/>
          <w:lang w:val="uk-UA"/>
        </w:rPr>
        <w:t xml:space="preserve"> бал</w:t>
      </w:r>
      <w:r w:rsidR="00815BF1" w:rsidRPr="003C3712">
        <w:rPr>
          <w:sz w:val="28"/>
          <w:szCs w:val="28"/>
          <w:lang w:val="uk-UA"/>
        </w:rPr>
        <w:t>» замінити цифрою</w:t>
      </w:r>
      <w:r w:rsidR="00410079" w:rsidRPr="003C3712">
        <w:rPr>
          <w:sz w:val="28"/>
          <w:szCs w:val="28"/>
          <w:lang w:val="uk-UA"/>
        </w:rPr>
        <w:t xml:space="preserve"> і словом</w:t>
      </w:r>
      <w:r w:rsidR="00815BF1" w:rsidRPr="003C3712">
        <w:rPr>
          <w:sz w:val="28"/>
          <w:szCs w:val="28"/>
          <w:lang w:val="uk-UA"/>
        </w:rPr>
        <w:t xml:space="preserve"> «2</w:t>
      </w:r>
      <w:r w:rsidR="00410079" w:rsidRPr="003C3712">
        <w:rPr>
          <w:sz w:val="28"/>
          <w:szCs w:val="28"/>
          <w:lang w:val="uk-UA"/>
        </w:rPr>
        <w:t xml:space="preserve"> бали</w:t>
      </w:r>
      <w:r w:rsidR="00815BF1" w:rsidRPr="003C3712">
        <w:rPr>
          <w:sz w:val="28"/>
          <w:szCs w:val="28"/>
          <w:lang w:val="uk-UA"/>
        </w:rPr>
        <w:t>»;</w:t>
      </w:r>
    </w:p>
    <w:p w14:paraId="7806BB21" w14:textId="60F4DFD3" w:rsidR="00E86D77" w:rsidRPr="003C3712" w:rsidRDefault="00071A88" w:rsidP="003C3712">
      <w:pPr>
        <w:ind w:firstLine="851"/>
        <w:jc w:val="both"/>
        <w:rPr>
          <w:sz w:val="28"/>
          <w:szCs w:val="28"/>
          <w:lang w:val="uk-UA"/>
        </w:rPr>
      </w:pPr>
      <w:r w:rsidRPr="003C3712">
        <w:rPr>
          <w:sz w:val="28"/>
          <w:szCs w:val="28"/>
          <w:lang w:val="uk-UA"/>
        </w:rPr>
        <w:t>пункт 2.2.10 викласти в такій редакції:</w:t>
      </w:r>
    </w:p>
    <w:p w14:paraId="10158843" w14:textId="7FD0CF31" w:rsidR="003A5CDF" w:rsidRPr="003C3712" w:rsidRDefault="00EF442E" w:rsidP="003C3712">
      <w:pPr>
        <w:tabs>
          <w:tab w:val="left" w:pos="851"/>
        </w:tabs>
        <w:ind w:firstLine="851"/>
        <w:jc w:val="both"/>
        <w:rPr>
          <w:sz w:val="28"/>
          <w:szCs w:val="28"/>
          <w:lang w:val="uk-UA"/>
        </w:rPr>
      </w:pPr>
      <w:r w:rsidRPr="003C3712">
        <w:rPr>
          <w:sz w:val="28"/>
          <w:szCs w:val="28"/>
          <w:lang w:val="uk-UA"/>
        </w:rPr>
        <w:t xml:space="preserve">«2.2.10. </w:t>
      </w:r>
      <w:r w:rsidR="007A64D7" w:rsidRPr="003C3712">
        <w:rPr>
          <w:sz w:val="28"/>
          <w:szCs w:val="28"/>
          <w:lang w:val="uk-UA"/>
        </w:rPr>
        <w:t>Сторонами, п</w:t>
      </w:r>
      <w:r w:rsidRPr="003C3712">
        <w:rPr>
          <w:sz w:val="28"/>
          <w:szCs w:val="28"/>
          <w:lang w:val="uk-UA"/>
        </w:rPr>
        <w:t>остраждалими від порушення</w:t>
      </w:r>
      <w:r w:rsidR="007A64D7" w:rsidRPr="003C3712">
        <w:rPr>
          <w:sz w:val="28"/>
          <w:szCs w:val="28"/>
          <w:lang w:val="uk-UA"/>
        </w:rPr>
        <w:t xml:space="preserve">, </w:t>
      </w:r>
      <w:r w:rsidRPr="003C3712">
        <w:rPr>
          <w:sz w:val="28"/>
          <w:szCs w:val="28"/>
          <w:lang w:val="uk-UA"/>
        </w:rPr>
        <w:t>можуть бути</w:t>
      </w:r>
      <w:r w:rsidR="003A5CDF" w:rsidRPr="003C3712">
        <w:rPr>
          <w:sz w:val="28"/>
          <w:szCs w:val="28"/>
          <w:lang w:val="uk-UA"/>
        </w:rPr>
        <w:t>:</w:t>
      </w:r>
    </w:p>
    <w:p w14:paraId="6FD46F78" w14:textId="60DD6A34" w:rsidR="003A5CDF" w:rsidRPr="003C3712" w:rsidRDefault="00EF442E" w:rsidP="003C3712">
      <w:pPr>
        <w:tabs>
          <w:tab w:val="left" w:pos="851"/>
        </w:tabs>
        <w:ind w:firstLine="851"/>
        <w:jc w:val="both"/>
        <w:rPr>
          <w:sz w:val="28"/>
          <w:szCs w:val="28"/>
          <w:lang w:val="uk-UA"/>
        </w:rPr>
      </w:pPr>
      <w:r w:rsidRPr="003C3712">
        <w:rPr>
          <w:sz w:val="28"/>
          <w:szCs w:val="28"/>
          <w:lang w:val="uk-UA"/>
        </w:rPr>
        <w:t>ліцензіати НКРЕКП</w:t>
      </w:r>
      <w:r w:rsidR="00CA5E03" w:rsidRPr="003C3712">
        <w:rPr>
          <w:sz w:val="28"/>
          <w:szCs w:val="28"/>
          <w:lang w:val="uk-UA"/>
        </w:rPr>
        <w:t>, учасники ринків</w:t>
      </w:r>
      <w:r w:rsidR="003A5CDF" w:rsidRPr="003C3712">
        <w:rPr>
          <w:sz w:val="28"/>
          <w:szCs w:val="28"/>
          <w:lang w:val="uk-UA"/>
        </w:rPr>
        <w:t>;</w:t>
      </w:r>
    </w:p>
    <w:p w14:paraId="12E00C86" w14:textId="77777777" w:rsidR="003A5CDF" w:rsidRPr="003C3712" w:rsidRDefault="00EF442E" w:rsidP="003C3712">
      <w:pPr>
        <w:tabs>
          <w:tab w:val="left" w:pos="851"/>
        </w:tabs>
        <w:ind w:firstLine="851"/>
        <w:jc w:val="both"/>
        <w:rPr>
          <w:sz w:val="28"/>
          <w:szCs w:val="28"/>
          <w:lang w:val="uk-UA"/>
        </w:rPr>
      </w:pPr>
      <w:r w:rsidRPr="003C3712">
        <w:rPr>
          <w:sz w:val="28"/>
          <w:szCs w:val="28"/>
          <w:lang w:val="uk-UA"/>
        </w:rPr>
        <w:lastRenderedPageBreak/>
        <w:t>споживачі</w:t>
      </w:r>
      <w:r w:rsidR="000F7F3E" w:rsidRPr="003C3712">
        <w:rPr>
          <w:sz w:val="28"/>
          <w:szCs w:val="28"/>
          <w:lang w:val="uk-UA"/>
        </w:rPr>
        <w:t>,</w:t>
      </w:r>
      <w:r w:rsidR="003A5CDF" w:rsidRPr="003C3712">
        <w:rPr>
          <w:sz w:val="28"/>
          <w:szCs w:val="28"/>
          <w:lang w:val="uk-UA"/>
        </w:rPr>
        <w:t xml:space="preserve"> замовники послуг;</w:t>
      </w:r>
    </w:p>
    <w:p w14:paraId="7919ECC5" w14:textId="1DDDADD9" w:rsidR="003A5CDF" w:rsidRPr="003C3712" w:rsidRDefault="00EF442E" w:rsidP="003C3712">
      <w:pPr>
        <w:tabs>
          <w:tab w:val="left" w:pos="851"/>
        </w:tabs>
        <w:ind w:firstLine="851"/>
        <w:jc w:val="both"/>
        <w:rPr>
          <w:sz w:val="28"/>
          <w:szCs w:val="28"/>
          <w:lang w:val="uk-UA"/>
        </w:rPr>
      </w:pPr>
      <w:r w:rsidRPr="003C3712">
        <w:rPr>
          <w:sz w:val="28"/>
          <w:szCs w:val="28"/>
          <w:lang w:val="uk-UA"/>
        </w:rPr>
        <w:t>держава (у тому числі в особі органів державної влади</w:t>
      </w:r>
      <w:r w:rsidR="007A64D7" w:rsidRPr="003C3712">
        <w:rPr>
          <w:sz w:val="28"/>
          <w:szCs w:val="28"/>
          <w:lang w:val="uk-UA"/>
        </w:rPr>
        <w:t>)</w:t>
      </w:r>
      <w:r w:rsidR="003A5CDF" w:rsidRPr="003C3712">
        <w:rPr>
          <w:sz w:val="28"/>
          <w:szCs w:val="28"/>
          <w:lang w:val="uk-UA"/>
        </w:rPr>
        <w:t>,</w:t>
      </w:r>
      <w:r w:rsidR="00CA5E03" w:rsidRPr="003C3712">
        <w:rPr>
          <w:sz w:val="28"/>
          <w:szCs w:val="28"/>
          <w:lang w:val="uk-UA"/>
        </w:rPr>
        <w:t xml:space="preserve"> орган</w:t>
      </w:r>
      <w:r w:rsidR="007A64D7" w:rsidRPr="003C3712">
        <w:rPr>
          <w:sz w:val="28"/>
          <w:szCs w:val="28"/>
          <w:lang w:val="uk-UA"/>
        </w:rPr>
        <w:t>и</w:t>
      </w:r>
      <w:r w:rsidR="00CA5E03" w:rsidRPr="003C3712">
        <w:rPr>
          <w:sz w:val="28"/>
          <w:szCs w:val="28"/>
          <w:lang w:val="uk-UA"/>
        </w:rPr>
        <w:t xml:space="preserve"> місцевого самоврядування</w:t>
      </w:r>
      <w:r w:rsidRPr="003C3712">
        <w:rPr>
          <w:sz w:val="28"/>
          <w:szCs w:val="28"/>
          <w:lang w:val="uk-UA"/>
        </w:rPr>
        <w:t>.</w:t>
      </w:r>
    </w:p>
    <w:p w14:paraId="75BA8099" w14:textId="777F14D7" w:rsidR="00E86D77" w:rsidRPr="003C3712" w:rsidRDefault="00EF442E" w:rsidP="003C3712">
      <w:pPr>
        <w:tabs>
          <w:tab w:val="left" w:pos="851"/>
        </w:tabs>
        <w:ind w:firstLine="851"/>
        <w:jc w:val="both"/>
        <w:rPr>
          <w:sz w:val="28"/>
          <w:szCs w:val="28"/>
          <w:lang w:val="uk-UA"/>
        </w:rPr>
      </w:pPr>
      <w:r w:rsidRPr="003C3712">
        <w:rPr>
          <w:sz w:val="28"/>
          <w:szCs w:val="28"/>
          <w:lang w:val="uk-UA"/>
        </w:rPr>
        <w:t>Кожен з цих типів постраждалих сторін окремо оцінюється в 3 бали. У разі наявності декількох постраждалих від порушення сторін сума балів підсумовується (максимально до 9 балів).</w:t>
      </w:r>
      <w:r w:rsidR="00F335FD" w:rsidRPr="003C3712">
        <w:rPr>
          <w:sz w:val="28"/>
          <w:szCs w:val="28"/>
          <w:lang w:val="uk-UA"/>
        </w:rPr>
        <w:t xml:space="preserve"> У разі відсутності постраждалої сторони, критерії «тип постраждалої сторони» та «масштаб впливу порушення» оцінюються в 0 балів.</w:t>
      </w:r>
      <w:r w:rsidRPr="003C3712">
        <w:rPr>
          <w:sz w:val="28"/>
          <w:szCs w:val="28"/>
          <w:lang w:val="uk-UA"/>
        </w:rPr>
        <w:t>»;</w:t>
      </w:r>
    </w:p>
    <w:p w14:paraId="5ADB3454" w14:textId="67DF5735" w:rsidR="00CA5E03" w:rsidRPr="003C3712" w:rsidRDefault="00C713F7" w:rsidP="003C3712">
      <w:pPr>
        <w:tabs>
          <w:tab w:val="left" w:pos="851"/>
        </w:tabs>
        <w:ind w:firstLine="851"/>
        <w:jc w:val="both"/>
        <w:rPr>
          <w:sz w:val="28"/>
          <w:szCs w:val="28"/>
          <w:lang w:val="uk-UA"/>
        </w:rPr>
      </w:pPr>
      <w:r w:rsidRPr="003C3712">
        <w:rPr>
          <w:sz w:val="28"/>
          <w:szCs w:val="28"/>
          <w:lang w:val="uk-UA"/>
        </w:rPr>
        <w:t>абзац</w:t>
      </w:r>
      <w:r w:rsidR="007A64D7" w:rsidRPr="003C3712">
        <w:rPr>
          <w:sz w:val="28"/>
          <w:szCs w:val="28"/>
          <w:lang w:val="uk-UA"/>
        </w:rPr>
        <w:t>и</w:t>
      </w:r>
      <w:r w:rsidRPr="003C3712">
        <w:rPr>
          <w:sz w:val="28"/>
          <w:szCs w:val="28"/>
          <w:lang w:val="uk-UA"/>
        </w:rPr>
        <w:t xml:space="preserve"> друг</w:t>
      </w:r>
      <w:r w:rsidR="007A64D7" w:rsidRPr="003C3712">
        <w:rPr>
          <w:sz w:val="28"/>
          <w:szCs w:val="28"/>
          <w:lang w:val="uk-UA"/>
        </w:rPr>
        <w:t>ий</w:t>
      </w:r>
      <w:r w:rsidRPr="003C3712">
        <w:rPr>
          <w:sz w:val="28"/>
          <w:szCs w:val="28"/>
          <w:lang w:val="uk-UA"/>
        </w:rPr>
        <w:t xml:space="preserve"> – четверт</w:t>
      </w:r>
      <w:r w:rsidR="007A64D7" w:rsidRPr="003C3712">
        <w:rPr>
          <w:sz w:val="28"/>
          <w:szCs w:val="28"/>
          <w:lang w:val="uk-UA"/>
        </w:rPr>
        <w:t>ий</w:t>
      </w:r>
      <w:r w:rsidRPr="003C3712">
        <w:rPr>
          <w:sz w:val="28"/>
          <w:szCs w:val="28"/>
          <w:lang w:val="uk-UA"/>
        </w:rPr>
        <w:t xml:space="preserve"> </w:t>
      </w:r>
      <w:r w:rsidR="00CA5E03" w:rsidRPr="003C3712">
        <w:rPr>
          <w:sz w:val="28"/>
          <w:szCs w:val="28"/>
          <w:lang w:val="uk-UA"/>
        </w:rPr>
        <w:t>пункт</w:t>
      </w:r>
      <w:r w:rsidRPr="003C3712">
        <w:rPr>
          <w:sz w:val="28"/>
          <w:szCs w:val="28"/>
          <w:lang w:val="uk-UA"/>
        </w:rPr>
        <w:t>у</w:t>
      </w:r>
      <w:r w:rsidR="00CA5E03" w:rsidRPr="003C3712">
        <w:rPr>
          <w:sz w:val="28"/>
          <w:szCs w:val="28"/>
          <w:lang w:val="uk-UA"/>
        </w:rPr>
        <w:t xml:space="preserve"> 2.2.11 </w:t>
      </w:r>
      <w:r w:rsidRPr="003C3712">
        <w:rPr>
          <w:sz w:val="28"/>
          <w:szCs w:val="28"/>
          <w:lang w:val="uk-UA"/>
        </w:rPr>
        <w:t xml:space="preserve">після </w:t>
      </w:r>
      <w:r w:rsidR="00CA5E03" w:rsidRPr="003C3712">
        <w:rPr>
          <w:sz w:val="28"/>
          <w:szCs w:val="28"/>
          <w:lang w:val="uk-UA"/>
        </w:rPr>
        <w:t xml:space="preserve">слова «споживачів» </w:t>
      </w:r>
      <w:r w:rsidRPr="003C3712">
        <w:rPr>
          <w:sz w:val="28"/>
          <w:szCs w:val="28"/>
          <w:lang w:val="uk-UA"/>
        </w:rPr>
        <w:t xml:space="preserve">доповнити знаками та </w:t>
      </w:r>
      <w:r w:rsidR="00CA5E03" w:rsidRPr="003C3712">
        <w:rPr>
          <w:sz w:val="28"/>
          <w:szCs w:val="28"/>
          <w:lang w:val="uk-UA"/>
        </w:rPr>
        <w:t xml:space="preserve">словами </w:t>
      </w:r>
      <w:r w:rsidR="009343F7" w:rsidRPr="003C3712">
        <w:rPr>
          <w:sz w:val="28"/>
          <w:szCs w:val="28"/>
          <w:lang w:val="uk-UA"/>
        </w:rPr>
        <w:t xml:space="preserve">«, замовників послуг, представників </w:t>
      </w:r>
      <w:r w:rsidR="007A64D7" w:rsidRPr="003C3712">
        <w:rPr>
          <w:sz w:val="28"/>
          <w:szCs w:val="28"/>
          <w:lang w:val="uk-UA"/>
        </w:rPr>
        <w:t xml:space="preserve">органів </w:t>
      </w:r>
      <w:r w:rsidR="009343F7" w:rsidRPr="003C3712">
        <w:rPr>
          <w:sz w:val="28"/>
          <w:szCs w:val="28"/>
          <w:lang w:val="uk-UA"/>
        </w:rPr>
        <w:t>держав</w:t>
      </w:r>
      <w:r w:rsidR="007A64D7" w:rsidRPr="003C3712">
        <w:rPr>
          <w:sz w:val="28"/>
          <w:szCs w:val="28"/>
          <w:lang w:val="uk-UA"/>
        </w:rPr>
        <w:t>ної влади, органів місцевого самоврядування</w:t>
      </w:r>
      <w:r w:rsidR="009343F7" w:rsidRPr="003C3712">
        <w:rPr>
          <w:sz w:val="28"/>
          <w:szCs w:val="28"/>
          <w:lang w:val="uk-UA"/>
        </w:rPr>
        <w:t>»;</w:t>
      </w:r>
    </w:p>
    <w:p w14:paraId="274530F5" w14:textId="6A6EB6C4" w:rsidR="00B41515" w:rsidRPr="003C3712" w:rsidRDefault="00B41515" w:rsidP="003C3712">
      <w:pPr>
        <w:ind w:firstLine="851"/>
        <w:rPr>
          <w:sz w:val="28"/>
          <w:szCs w:val="28"/>
          <w:lang w:val="uk-UA"/>
        </w:rPr>
      </w:pPr>
      <w:r w:rsidRPr="003C3712">
        <w:rPr>
          <w:sz w:val="28"/>
          <w:szCs w:val="28"/>
          <w:lang w:val="uk-UA"/>
        </w:rPr>
        <w:t xml:space="preserve">пункт 2.2.12 </w:t>
      </w:r>
      <w:r w:rsidR="004B5F1E" w:rsidRPr="003C3712">
        <w:rPr>
          <w:sz w:val="28"/>
          <w:szCs w:val="28"/>
          <w:lang w:val="uk-UA"/>
        </w:rPr>
        <w:t>викласти в такій редакції:</w:t>
      </w:r>
    </w:p>
    <w:p w14:paraId="719E71E9" w14:textId="06970385" w:rsidR="00B41515" w:rsidRPr="003C3712" w:rsidRDefault="00B41515" w:rsidP="003C3712">
      <w:pPr>
        <w:tabs>
          <w:tab w:val="left" w:pos="851"/>
        </w:tabs>
        <w:ind w:firstLine="851"/>
        <w:jc w:val="both"/>
        <w:rPr>
          <w:sz w:val="28"/>
          <w:szCs w:val="28"/>
          <w:shd w:val="clear" w:color="auto" w:fill="FFFFFF"/>
          <w:lang w:val="uk-UA"/>
        </w:rPr>
      </w:pPr>
      <w:r w:rsidRPr="003C3712">
        <w:rPr>
          <w:sz w:val="28"/>
          <w:szCs w:val="28"/>
          <w:lang w:val="uk-UA"/>
        </w:rPr>
        <w:t>«</w:t>
      </w:r>
      <w:r w:rsidR="00EE0DA9" w:rsidRPr="003C3712">
        <w:rPr>
          <w:sz w:val="28"/>
          <w:szCs w:val="28"/>
          <w:shd w:val="clear" w:color="auto" w:fill="FFFFFF"/>
          <w:lang w:val="uk-UA"/>
        </w:rPr>
        <w:t xml:space="preserve">2.2.12. Значення балів, що присвоєні відповідним критеріям, наведеним у пунктах 2.2.7 </w:t>
      </w:r>
      <w:r w:rsidR="00837D85" w:rsidRPr="003C3712">
        <w:rPr>
          <w:sz w:val="28"/>
          <w:szCs w:val="28"/>
          <w:shd w:val="clear" w:color="auto" w:fill="FFFFFF"/>
          <w:lang w:val="uk-UA"/>
        </w:rPr>
        <w:t>–</w:t>
      </w:r>
      <w:r w:rsidR="00EE0DA9" w:rsidRPr="003C3712">
        <w:rPr>
          <w:sz w:val="28"/>
          <w:szCs w:val="28"/>
          <w:shd w:val="clear" w:color="auto" w:fill="FFFFFF"/>
          <w:lang w:val="uk-UA"/>
        </w:rPr>
        <w:t xml:space="preserve"> 2.2.11 цієї глави, підсумовуються і отримана сума балів становить оцінку серйозності та характеру порушення та визначає такі величини відсотків від максимального розміру штрафу, передбаченого чинним законодавством, що застосовуються для цілей формули 1.</w:t>
      </w:r>
    </w:p>
    <w:p w14:paraId="2F40B8A2" w14:textId="77777777" w:rsidR="00EE0DA9" w:rsidRPr="003C3712" w:rsidRDefault="00EE0DA9" w:rsidP="003C3712">
      <w:pPr>
        <w:tabs>
          <w:tab w:val="left" w:pos="851"/>
        </w:tabs>
        <w:ind w:firstLine="851"/>
        <w:jc w:val="both"/>
        <w:rPr>
          <w:sz w:val="28"/>
          <w:szCs w:val="28"/>
          <w:lang w:val="uk-UA"/>
        </w:rPr>
      </w:pPr>
    </w:p>
    <w:tbl>
      <w:tblPr>
        <w:tblStyle w:val="ad"/>
        <w:tblpPr w:leftFromText="180" w:rightFromText="180" w:vertAnchor="text" w:horzAnchor="page" w:tblpX="1714" w:tblpY="4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4819"/>
        <w:gridCol w:w="4819"/>
      </w:tblGrid>
      <w:tr w:rsidR="003C3712" w:rsidRPr="003C3712" w14:paraId="4D12FD12" w14:textId="77777777" w:rsidTr="00035BE4">
        <w:tc>
          <w:tcPr>
            <w:tcW w:w="2500" w:type="pct"/>
            <w:vAlign w:val="center"/>
          </w:tcPr>
          <w:p w14:paraId="6684E20A" w14:textId="77777777" w:rsidR="00B41515" w:rsidRPr="003C3712" w:rsidRDefault="00B41515" w:rsidP="003C3712">
            <w:pPr>
              <w:jc w:val="center"/>
              <w:rPr>
                <w:rFonts w:eastAsiaTheme="minorEastAsia"/>
                <w:b/>
                <w:bCs/>
                <w:szCs w:val="28"/>
                <w:lang w:val="uk-UA" w:eastAsia="uk-UA"/>
              </w:rPr>
            </w:pPr>
            <w:bookmarkStart w:id="0" w:name="_Hlk149556186"/>
            <w:r w:rsidRPr="003C3712">
              <w:rPr>
                <w:rFonts w:eastAsiaTheme="minorEastAsia"/>
                <w:b/>
                <w:bCs/>
                <w:szCs w:val="28"/>
                <w:lang w:val="uk-UA" w:eastAsia="uk-UA"/>
              </w:rPr>
              <w:t>Сума оцінки серйозності та характеру (бали)</w:t>
            </w:r>
          </w:p>
        </w:tc>
        <w:tc>
          <w:tcPr>
            <w:tcW w:w="2500" w:type="pct"/>
            <w:vAlign w:val="center"/>
          </w:tcPr>
          <w:p w14:paraId="12E09724" w14:textId="77777777" w:rsidR="00B41515" w:rsidRPr="003C3712" w:rsidRDefault="00B41515" w:rsidP="003C3712">
            <w:pPr>
              <w:jc w:val="center"/>
              <w:rPr>
                <w:rFonts w:eastAsiaTheme="minorEastAsia"/>
                <w:b/>
                <w:bCs/>
                <w:szCs w:val="28"/>
                <w:lang w:val="uk-UA" w:eastAsia="uk-UA"/>
              </w:rPr>
            </w:pPr>
            <w:r w:rsidRPr="003C3712">
              <w:rPr>
                <w:rFonts w:eastAsiaTheme="minorEastAsia"/>
                <w:b/>
                <w:bCs/>
                <w:szCs w:val="28"/>
                <w:lang w:val="uk-UA" w:eastAsia="uk-UA"/>
              </w:rPr>
              <w:t>Відсоток серйозності та характеру порушення</w:t>
            </w:r>
          </w:p>
        </w:tc>
      </w:tr>
      <w:tr w:rsidR="003C3712" w:rsidRPr="003C3712" w14:paraId="2EB8B720" w14:textId="77777777" w:rsidTr="00035BE4">
        <w:tc>
          <w:tcPr>
            <w:tcW w:w="2500" w:type="pct"/>
          </w:tcPr>
          <w:p w14:paraId="6C836FD5" w14:textId="57B2C2C3" w:rsidR="00B41515" w:rsidRPr="003C3712" w:rsidRDefault="00D24C81" w:rsidP="003C3712">
            <w:pPr>
              <w:jc w:val="center"/>
              <w:rPr>
                <w:rFonts w:eastAsiaTheme="minorEastAsia"/>
                <w:szCs w:val="28"/>
                <w:lang w:val="uk-UA" w:eastAsia="uk-UA"/>
              </w:rPr>
            </w:pPr>
            <w:r w:rsidRPr="003C3712">
              <w:rPr>
                <w:rFonts w:eastAsiaTheme="minorEastAsia"/>
                <w:szCs w:val="28"/>
                <w:lang w:val="uk-UA" w:eastAsia="uk-UA"/>
              </w:rPr>
              <w:t>5</w:t>
            </w:r>
            <w:r w:rsidR="00B41515" w:rsidRPr="003C3712">
              <w:rPr>
                <w:rFonts w:eastAsiaTheme="minorEastAsia"/>
                <w:szCs w:val="28"/>
                <w:lang w:val="uk-UA" w:eastAsia="uk-UA"/>
              </w:rPr>
              <w:t xml:space="preserve"> – </w:t>
            </w:r>
            <w:r w:rsidRPr="003C3712">
              <w:rPr>
                <w:rFonts w:eastAsiaTheme="minorEastAsia"/>
                <w:szCs w:val="28"/>
                <w:lang w:val="uk-UA" w:eastAsia="uk-UA"/>
              </w:rPr>
              <w:t>9</w:t>
            </w:r>
          </w:p>
        </w:tc>
        <w:tc>
          <w:tcPr>
            <w:tcW w:w="2500" w:type="pct"/>
          </w:tcPr>
          <w:p w14:paraId="0966257C" w14:textId="4464484D" w:rsidR="00B41515" w:rsidRPr="003C3712" w:rsidRDefault="008D0749" w:rsidP="003C3712">
            <w:pPr>
              <w:jc w:val="center"/>
              <w:rPr>
                <w:rFonts w:eastAsiaTheme="minorEastAsia"/>
                <w:b/>
                <w:bCs/>
                <w:szCs w:val="28"/>
                <w:lang w:val="uk-UA" w:eastAsia="uk-UA"/>
              </w:rPr>
            </w:pPr>
            <w:r w:rsidRPr="003C3712">
              <w:rPr>
                <w:rFonts w:eastAsiaTheme="minorEastAsia"/>
                <w:b/>
                <w:bCs/>
                <w:szCs w:val="28"/>
                <w:lang w:val="uk-UA" w:eastAsia="uk-UA"/>
              </w:rPr>
              <w:t>2</w:t>
            </w:r>
            <w:r w:rsidR="00B41515" w:rsidRPr="003C3712">
              <w:rPr>
                <w:rFonts w:eastAsiaTheme="minorEastAsia"/>
                <w:b/>
                <w:bCs/>
                <w:szCs w:val="28"/>
                <w:lang w:val="uk-UA" w:eastAsia="uk-UA"/>
              </w:rPr>
              <w:t> %</w:t>
            </w:r>
          </w:p>
        </w:tc>
      </w:tr>
      <w:tr w:rsidR="003C3712" w:rsidRPr="003C3712" w14:paraId="58A184CD" w14:textId="77777777" w:rsidTr="00035BE4">
        <w:tc>
          <w:tcPr>
            <w:tcW w:w="2500" w:type="pct"/>
          </w:tcPr>
          <w:p w14:paraId="7F561F7D" w14:textId="145BCC7E" w:rsidR="00B41515" w:rsidRPr="003C3712" w:rsidRDefault="00D24C81" w:rsidP="003C3712">
            <w:pPr>
              <w:jc w:val="center"/>
              <w:rPr>
                <w:rFonts w:eastAsiaTheme="minorEastAsia"/>
                <w:szCs w:val="28"/>
                <w:lang w:val="uk-UA" w:eastAsia="uk-UA"/>
              </w:rPr>
            </w:pPr>
            <w:r w:rsidRPr="003C3712">
              <w:rPr>
                <w:rFonts w:eastAsiaTheme="minorEastAsia"/>
                <w:szCs w:val="28"/>
                <w:lang w:val="uk-UA" w:eastAsia="uk-UA"/>
              </w:rPr>
              <w:t>10</w:t>
            </w:r>
            <w:r w:rsidR="00B41515" w:rsidRPr="003C3712">
              <w:rPr>
                <w:rFonts w:eastAsiaTheme="minorEastAsia"/>
                <w:szCs w:val="28"/>
                <w:lang w:val="uk-UA" w:eastAsia="uk-UA"/>
              </w:rPr>
              <w:t xml:space="preserve"> – 12</w:t>
            </w:r>
          </w:p>
        </w:tc>
        <w:tc>
          <w:tcPr>
            <w:tcW w:w="2500" w:type="pct"/>
          </w:tcPr>
          <w:p w14:paraId="2602E896" w14:textId="2865496E" w:rsidR="00B41515" w:rsidRPr="003C3712" w:rsidRDefault="00D24C81" w:rsidP="003C3712">
            <w:pPr>
              <w:jc w:val="center"/>
              <w:rPr>
                <w:rFonts w:eastAsiaTheme="minorEastAsia"/>
                <w:b/>
                <w:bCs/>
                <w:szCs w:val="28"/>
                <w:lang w:val="uk-UA" w:eastAsia="uk-UA"/>
              </w:rPr>
            </w:pPr>
            <w:r w:rsidRPr="003C3712">
              <w:rPr>
                <w:rFonts w:eastAsiaTheme="minorEastAsia"/>
                <w:b/>
                <w:bCs/>
                <w:szCs w:val="28"/>
                <w:lang w:val="uk-UA" w:eastAsia="uk-UA"/>
              </w:rPr>
              <w:t>4</w:t>
            </w:r>
            <w:r w:rsidR="00B41515" w:rsidRPr="003C3712">
              <w:rPr>
                <w:rFonts w:eastAsiaTheme="minorEastAsia"/>
                <w:b/>
                <w:bCs/>
                <w:szCs w:val="28"/>
                <w:lang w:val="uk-UA" w:eastAsia="uk-UA"/>
              </w:rPr>
              <w:t> %</w:t>
            </w:r>
          </w:p>
        </w:tc>
      </w:tr>
      <w:tr w:rsidR="003C3712" w:rsidRPr="003C3712" w14:paraId="1DEC5198" w14:textId="77777777" w:rsidTr="00035BE4">
        <w:tc>
          <w:tcPr>
            <w:tcW w:w="2500" w:type="pct"/>
          </w:tcPr>
          <w:p w14:paraId="4770A329" w14:textId="77777777" w:rsidR="00B41515" w:rsidRPr="003C3712" w:rsidRDefault="00B41515" w:rsidP="003C3712">
            <w:pPr>
              <w:jc w:val="center"/>
              <w:rPr>
                <w:rFonts w:eastAsiaTheme="minorEastAsia"/>
                <w:szCs w:val="28"/>
                <w:lang w:val="uk-UA" w:eastAsia="uk-UA"/>
              </w:rPr>
            </w:pPr>
            <w:r w:rsidRPr="003C3712">
              <w:rPr>
                <w:rFonts w:eastAsiaTheme="minorEastAsia"/>
                <w:szCs w:val="28"/>
                <w:lang w:val="uk-UA" w:eastAsia="uk-UA"/>
              </w:rPr>
              <w:t>13 – 15</w:t>
            </w:r>
          </w:p>
        </w:tc>
        <w:tc>
          <w:tcPr>
            <w:tcW w:w="2500" w:type="pct"/>
          </w:tcPr>
          <w:p w14:paraId="47302AF2" w14:textId="70210FAC" w:rsidR="00B41515" w:rsidRPr="003C3712" w:rsidRDefault="00C82ABB" w:rsidP="003C3712">
            <w:pPr>
              <w:jc w:val="center"/>
              <w:rPr>
                <w:rFonts w:eastAsiaTheme="minorEastAsia"/>
                <w:b/>
                <w:bCs/>
                <w:szCs w:val="28"/>
                <w:lang w:val="uk-UA" w:eastAsia="uk-UA"/>
              </w:rPr>
            </w:pPr>
            <w:r w:rsidRPr="003C3712">
              <w:rPr>
                <w:rFonts w:eastAsiaTheme="minorEastAsia"/>
                <w:b/>
                <w:bCs/>
                <w:szCs w:val="28"/>
                <w:lang w:val="uk-UA" w:eastAsia="uk-UA"/>
              </w:rPr>
              <w:t>6</w:t>
            </w:r>
            <w:r w:rsidR="00B41515" w:rsidRPr="003C3712">
              <w:rPr>
                <w:rFonts w:eastAsiaTheme="minorEastAsia"/>
                <w:b/>
                <w:bCs/>
                <w:szCs w:val="28"/>
                <w:lang w:val="uk-UA" w:eastAsia="uk-UA"/>
              </w:rPr>
              <w:t> %</w:t>
            </w:r>
          </w:p>
        </w:tc>
      </w:tr>
      <w:tr w:rsidR="003C3712" w:rsidRPr="003C3712" w14:paraId="1F55AC0D" w14:textId="77777777" w:rsidTr="00035BE4">
        <w:tc>
          <w:tcPr>
            <w:tcW w:w="2500" w:type="pct"/>
          </w:tcPr>
          <w:p w14:paraId="0E02F93B" w14:textId="77777777" w:rsidR="00B41515" w:rsidRPr="003C3712" w:rsidRDefault="00B41515" w:rsidP="003C3712">
            <w:pPr>
              <w:jc w:val="center"/>
              <w:rPr>
                <w:rFonts w:eastAsiaTheme="minorEastAsia"/>
                <w:szCs w:val="28"/>
                <w:lang w:val="uk-UA" w:eastAsia="uk-UA"/>
              </w:rPr>
            </w:pPr>
            <w:r w:rsidRPr="003C3712">
              <w:rPr>
                <w:rFonts w:eastAsiaTheme="minorEastAsia"/>
                <w:szCs w:val="28"/>
                <w:lang w:val="uk-UA" w:eastAsia="uk-UA"/>
              </w:rPr>
              <w:t>16 – 18</w:t>
            </w:r>
          </w:p>
        </w:tc>
        <w:tc>
          <w:tcPr>
            <w:tcW w:w="2500" w:type="pct"/>
          </w:tcPr>
          <w:p w14:paraId="23200B13" w14:textId="0AC2D540" w:rsidR="00B41515" w:rsidRPr="003C3712" w:rsidRDefault="008D0749" w:rsidP="003C3712">
            <w:pPr>
              <w:jc w:val="center"/>
              <w:rPr>
                <w:rFonts w:eastAsiaTheme="minorEastAsia"/>
                <w:b/>
                <w:bCs/>
                <w:szCs w:val="28"/>
                <w:lang w:val="uk-UA" w:eastAsia="uk-UA"/>
              </w:rPr>
            </w:pPr>
            <w:r w:rsidRPr="003C3712">
              <w:rPr>
                <w:rFonts w:eastAsiaTheme="minorEastAsia"/>
                <w:b/>
                <w:bCs/>
                <w:szCs w:val="28"/>
                <w:lang w:val="uk-UA" w:eastAsia="uk-UA"/>
              </w:rPr>
              <w:t>9</w:t>
            </w:r>
            <w:r w:rsidR="00B41515" w:rsidRPr="003C3712">
              <w:rPr>
                <w:rFonts w:eastAsiaTheme="minorEastAsia"/>
                <w:b/>
                <w:bCs/>
                <w:szCs w:val="28"/>
                <w:lang w:val="uk-UA" w:eastAsia="uk-UA"/>
              </w:rPr>
              <w:t> %</w:t>
            </w:r>
          </w:p>
        </w:tc>
      </w:tr>
      <w:tr w:rsidR="003C3712" w:rsidRPr="003C3712" w14:paraId="52A854E6" w14:textId="77777777" w:rsidTr="00035BE4">
        <w:tc>
          <w:tcPr>
            <w:tcW w:w="2500" w:type="pct"/>
          </w:tcPr>
          <w:p w14:paraId="34B62186" w14:textId="1F536846" w:rsidR="00B41515" w:rsidRPr="003C3712" w:rsidRDefault="00B41515" w:rsidP="003C3712">
            <w:pPr>
              <w:jc w:val="center"/>
              <w:rPr>
                <w:rFonts w:eastAsiaTheme="minorEastAsia"/>
                <w:szCs w:val="28"/>
                <w:lang w:val="uk-UA" w:eastAsia="uk-UA"/>
              </w:rPr>
            </w:pPr>
            <w:r w:rsidRPr="003C3712">
              <w:rPr>
                <w:rFonts w:eastAsiaTheme="minorEastAsia"/>
                <w:szCs w:val="28"/>
                <w:lang w:val="uk-UA" w:eastAsia="uk-UA"/>
              </w:rPr>
              <w:t>19 – 2</w:t>
            </w:r>
            <w:r w:rsidR="00D24C81" w:rsidRPr="003C3712">
              <w:rPr>
                <w:rFonts w:eastAsiaTheme="minorEastAsia"/>
                <w:szCs w:val="28"/>
                <w:lang w:val="uk-UA" w:eastAsia="uk-UA"/>
              </w:rPr>
              <w:t>4</w:t>
            </w:r>
          </w:p>
        </w:tc>
        <w:tc>
          <w:tcPr>
            <w:tcW w:w="2500" w:type="pct"/>
          </w:tcPr>
          <w:p w14:paraId="4A30F15D" w14:textId="77777777" w:rsidR="00B41515" w:rsidRPr="003C3712" w:rsidRDefault="00B41515" w:rsidP="003C3712">
            <w:pPr>
              <w:jc w:val="center"/>
              <w:rPr>
                <w:rFonts w:eastAsiaTheme="minorEastAsia"/>
                <w:b/>
                <w:bCs/>
                <w:szCs w:val="28"/>
                <w:lang w:val="uk-UA" w:eastAsia="uk-UA"/>
              </w:rPr>
            </w:pPr>
            <w:r w:rsidRPr="003C3712">
              <w:rPr>
                <w:rFonts w:eastAsiaTheme="minorEastAsia"/>
                <w:b/>
                <w:bCs/>
                <w:szCs w:val="28"/>
                <w:lang w:val="uk-UA" w:eastAsia="uk-UA"/>
              </w:rPr>
              <w:t>15 %</w:t>
            </w:r>
          </w:p>
        </w:tc>
      </w:tr>
    </w:tbl>
    <w:bookmarkEnd w:id="0"/>
    <w:p w14:paraId="1ECDECC6" w14:textId="6F7BA401" w:rsidR="00B41515" w:rsidRPr="003C3712" w:rsidRDefault="00B41515" w:rsidP="003C3712">
      <w:pPr>
        <w:tabs>
          <w:tab w:val="left" w:pos="851"/>
        </w:tabs>
        <w:ind w:firstLine="851"/>
        <w:jc w:val="right"/>
        <w:rPr>
          <w:sz w:val="28"/>
          <w:szCs w:val="28"/>
          <w:lang w:val="uk-UA"/>
        </w:rPr>
      </w:pPr>
      <w:r w:rsidRPr="003C3712">
        <w:rPr>
          <w:sz w:val="28"/>
          <w:szCs w:val="28"/>
          <w:lang w:val="uk-UA"/>
        </w:rPr>
        <w:t>»</w:t>
      </w:r>
      <w:r w:rsidR="008D0749" w:rsidRPr="003C3712">
        <w:rPr>
          <w:sz w:val="28"/>
          <w:szCs w:val="28"/>
          <w:lang w:val="uk-UA"/>
        </w:rPr>
        <w:t>;</w:t>
      </w:r>
    </w:p>
    <w:p w14:paraId="1CCED619" w14:textId="51C12AC5" w:rsidR="00CD017B" w:rsidRPr="003C3712" w:rsidRDefault="00BD3EB8" w:rsidP="003C3712">
      <w:pPr>
        <w:tabs>
          <w:tab w:val="left" w:pos="851"/>
        </w:tabs>
        <w:ind w:firstLine="851"/>
        <w:jc w:val="both"/>
        <w:rPr>
          <w:sz w:val="28"/>
          <w:szCs w:val="28"/>
          <w:lang w:val="uk-UA"/>
        </w:rPr>
      </w:pPr>
      <w:r w:rsidRPr="003C3712">
        <w:rPr>
          <w:sz w:val="28"/>
          <w:szCs w:val="28"/>
          <w:lang w:val="uk-UA"/>
        </w:rPr>
        <w:t>пункт 2.2.13</w:t>
      </w:r>
      <w:r w:rsidR="005C2250" w:rsidRPr="003C3712">
        <w:rPr>
          <w:sz w:val="28"/>
          <w:szCs w:val="28"/>
          <w:lang w:val="uk-UA"/>
        </w:rPr>
        <w:t xml:space="preserve"> викласти в такій редакції</w:t>
      </w:r>
      <w:r w:rsidR="00CD017B" w:rsidRPr="003C3712">
        <w:rPr>
          <w:sz w:val="28"/>
          <w:szCs w:val="28"/>
          <w:lang w:val="uk-UA"/>
        </w:rPr>
        <w:t>:</w:t>
      </w:r>
    </w:p>
    <w:p w14:paraId="21D12A18" w14:textId="77777777" w:rsidR="00241FE5" w:rsidRPr="003C3712" w:rsidRDefault="00241FE5" w:rsidP="003C3712">
      <w:pPr>
        <w:tabs>
          <w:tab w:val="left" w:pos="851"/>
        </w:tabs>
        <w:ind w:firstLine="851"/>
        <w:jc w:val="both"/>
        <w:rPr>
          <w:sz w:val="28"/>
          <w:szCs w:val="28"/>
          <w:lang w:val="uk-UA"/>
        </w:rPr>
      </w:pPr>
      <w:r w:rsidRPr="003C3712">
        <w:rPr>
          <w:sz w:val="28"/>
          <w:szCs w:val="28"/>
          <w:lang w:val="uk-UA"/>
        </w:rPr>
        <w:t>«2.2.13. НКРЕКП припиняє розрахунок розміру штрафів та застосовує інші види санкцій, передбачені чинним законодавством, якщо сума оцінки серйозності та характеру порушення, розрахована відповідно до пункту 2.2.12 цієї глави, не перевищує 8.</w:t>
      </w:r>
    </w:p>
    <w:p w14:paraId="6E95DBFB" w14:textId="2B478533" w:rsidR="00687D79" w:rsidRPr="003C3712" w:rsidRDefault="00241FE5" w:rsidP="003C3712">
      <w:pPr>
        <w:tabs>
          <w:tab w:val="left" w:pos="851"/>
        </w:tabs>
        <w:ind w:firstLine="851"/>
        <w:jc w:val="both"/>
        <w:rPr>
          <w:sz w:val="28"/>
          <w:szCs w:val="28"/>
          <w:lang w:val="uk-UA"/>
        </w:rPr>
      </w:pPr>
      <w:r w:rsidRPr="003C3712">
        <w:rPr>
          <w:sz w:val="28"/>
          <w:szCs w:val="28"/>
          <w:lang w:val="uk-UA"/>
        </w:rPr>
        <w:t>Положення цього пункту не застосову</w:t>
      </w:r>
      <w:r w:rsidR="00EF3FEC" w:rsidRPr="003C3712">
        <w:rPr>
          <w:sz w:val="28"/>
          <w:szCs w:val="28"/>
          <w:lang w:val="uk-UA"/>
        </w:rPr>
        <w:t>є</w:t>
      </w:r>
      <w:r w:rsidRPr="003C3712">
        <w:rPr>
          <w:sz w:val="28"/>
          <w:szCs w:val="28"/>
          <w:lang w:val="uk-UA"/>
        </w:rPr>
        <w:t>ться до порушен</w:t>
      </w:r>
      <w:r w:rsidR="00EF3FEC" w:rsidRPr="003C3712">
        <w:rPr>
          <w:sz w:val="28"/>
          <w:szCs w:val="28"/>
          <w:lang w:val="uk-UA"/>
        </w:rPr>
        <w:t>ня</w:t>
      </w:r>
      <w:r w:rsidRPr="003C3712">
        <w:rPr>
          <w:sz w:val="28"/>
          <w:szCs w:val="28"/>
          <w:lang w:val="uk-UA"/>
        </w:rPr>
        <w:t>, визначен</w:t>
      </w:r>
      <w:r w:rsidR="00EF3FEC" w:rsidRPr="003C3712">
        <w:rPr>
          <w:sz w:val="28"/>
          <w:szCs w:val="28"/>
          <w:lang w:val="uk-UA"/>
        </w:rPr>
        <w:t>ого</w:t>
      </w:r>
      <w:r w:rsidRPr="003C3712">
        <w:rPr>
          <w:sz w:val="28"/>
          <w:szCs w:val="28"/>
          <w:lang w:val="uk-UA"/>
        </w:rPr>
        <w:t xml:space="preserve"> підпунктом 2 пункту 2.2.9 цього Порядку</w:t>
      </w:r>
      <w:r w:rsidR="00687D79" w:rsidRPr="003C3712">
        <w:rPr>
          <w:sz w:val="28"/>
          <w:szCs w:val="28"/>
          <w:lang w:val="uk-UA"/>
        </w:rPr>
        <w:t>.»;</w:t>
      </w:r>
    </w:p>
    <w:p w14:paraId="3553E059" w14:textId="0860BC68" w:rsidR="00B4336B" w:rsidRPr="003C3712" w:rsidRDefault="00B4336B" w:rsidP="003C3712">
      <w:pPr>
        <w:tabs>
          <w:tab w:val="left" w:pos="851"/>
        </w:tabs>
        <w:ind w:firstLine="851"/>
        <w:jc w:val="both"/>
        <w:rPr>
          <w:sz w:val="28"/>
          <w:szCs w:val="28"/>
          <w:lang w:val="uk-UA"/>
        </w:rPr>
      </w:pPr>
      <w:r w:rsidRPr="003C3712">
        <w:rPr>
          <w:sz w:val="28"/>
          <w:szCs w:val="28"/>
          <w:lang w:val="uk-UA"/>
        </w:rPr>
        <w:t>у пункті 2.2.14:</w:t>
      </w:r>
      <w:bookmarkStart w:id="1" w:name="_GoBack"/>
      <w:bookmarkEnd w:id="1"/>
    </w:p>
    <w:p w14:paraId="171FE962" w14:textId="480B3EF4" w:rsidR="00835898" w:rsidRPr="003C3712" w:rsidRDefault="001A29D6" w:rsidP="003C3712">
      <w:pPr>
        <w:tabs>
          <w:tab w:val="left" w:pos="851"/>
        </w:tabs>
        <w:ind w:firstLine="851"/>
        <w:jc w:val="both"/>
        <w:rPr>
          <w:sz w:val="28"/>
          <w:szCs w:val="28"/>
          <w:lang w:val="uk-UA"/>
        </w:rPr>
      </w:pPr>
      <w:r w:rsidRPr="003C3712">
        <w:rPr>
          <w:sz w:val="28"/>
          <w:szCs w:val="28"/>
          <w:lang w:val="uk-UA"/>
        </w:rPr>
        <w:t>в абзаці</w:t>
      </w:r>
      <w:r w:rsidR="00180EE5" w:rsidRPr="003C3712">
        <w:rPr>
          <w:sz w:val="28"/>
          <w:szCs w:val="28"/>
          <w:lang w:val="uk-UA"/>
        </w:rPr>
        <w:t xml:space="preserve"> </w:t>
      </w:r>
      <w:r w:rsidRPr="003C3712">
        <w:rPr>
          <w:sz w:val="28"/>
          <w:szCs w:val="28"/>
          <w:lang w:val="uk-UA"/>
        </w:rPr>
        <w:t>першому слова</w:t>
      </w:r>
      <w:r w:rsidR="00976295" w:rsidRPr="003C3712">
        <w:rPr>
          <w:sz w:val="28"/>
          <w:szCs w:val="28"/>
          <w:lang w:val="uk-UA"/>
        </w:rPr>
        <w:t xml:space="preserve"> та знак </w:t>
      </w:r>
      <w:r w:rsidRPr="003C3712">
        <w:rPr>
          <w:sz w:val="28"/>
          <w:szCs w:val="28"/>
          <w:lang w:val="uk-UA"/>
        </w:rPr>
        <w:t>«</w:t>
      </w:r>
      <w:r w:rsidR="00976295" w:rsidRPr="003C3712">
        <w:rPr>
          <w:sz w:val="28"/>
          <w:szCs w:val="28"/>
          <w:shd w:val="clear" w:color="auto" w:fill="FFFFFF"/>
          <w:lang w:val="uk-UA"/>
        </w:rPr>
        <w:t>ліцензіатам, або</w:t>
      </w:r>
      <w:r w:rsidRPr="003C3712">
        <w:rPr>
          <w:sz w:val="28"/>
          <w:szCs w:val="28"/>
          <w:lang w:val="uk-UA"/>
        </w:rPr>
        <w:t xml:space="preserve">» </w:t>
      </w:r>
      <w:r w:rsidR="00976295" w:rsidRPr="003C3712">
        <w:rPr>
          <w:sz w:val="28"/>
          <w:szCs w:val="28"/>
          <w:lang w:val="uk-UA"/>
        </w:rPr>
        <w:t>замінити</w:t>
      </w:r>
      <w:r w:rsidRPr="003C3712">
        <w:rPr>
          <w:sz w:val="28"/>
          <w:szCs w:val="28"/>
          <w:lang w:val="uk-UA"/>
        </w:rPr>
        <w:t xml:space="preserve"> словами</w:t>
      </w:r>
      <w:r w:rsidR="00976295" w:rsidRPr="003C3712">
        <w:rPr>
          <w:sz w:val="28"/>
          <w:szCs w:val="28"/>
          <w:lang w:val="uk-UA"/>
        </w:rPr>
        <w:t xml:space="preserve"> та знаками</w:t>
      </w:r>
      <w:r w:rsidRPr="003C3712">
        <w:rPr>
          <w:sz w:val="28"/>
          <w:szCs w:val="28"/>
          <w:lang w:val="uk-UA"/>
        </w:rPr>
        <w:t xml:space="preserve"> «</w:t>
      </w:r>
      <w:r w:rsidR="00976295" w:rsidRPr="003C3712">
        <w:rPr>
          <w:sz w:val="28"/>
          <w:szCs w:val="28"/>
          <w:lang w:val="uk-UA"/>
        </w:rPr>
        <w:t>замовникам послуг, ліцензіатам, державі та/або</w:t>
      </w:r>
      <w:r w:rsidRPr="003C3712">
        <w:rPr>
          <w:sz w:val="28"/>
          <w:szCs w:val="28"/>
          <w:lang w:val="uk-UA"/>
        </w:rPr>
        <w:t>»</w:t>
      </w:r>
      <w:r w:rsidR="002B1DD4" w:rsidRPr="003C3712">
        <w:rPr>
          <w:sz w:val="28"/>
          <w:szCs w:val="28"/>
          <w:lang w:val="uk-UA"/>
        </w:rPr>
        <w:t>;</w:t>
      </w:r>
    </w:p>
    <w:p w14:paraId="4FCBDDD1" w14:textId="0E87185F" w:rsidR="00C50A53" w:rsidRPr="003C3712" w:rsidRDefault="007C0BAE" w:rsidP="003C3712">
      <w:pPr>
        <w:tabs>
          <w:tab w:val="left" w:pos="851"/>
        </w:tabs>
        <w:ind w:firstLine="851"/>
        <w:jc w:val="both"/>
        <w:rPr>
          <w:sz w:val="28"/>
          <w:szCs w:val="28"/>
          <w:lang w:val="uk-UA"/>
        </w:rPr>
      </w:pPr>
      <w:r w:rsidRPr="003C3712">
        <w:rPr>
          <w:sz w:val="28"/>
          <w:szCs w:val="28"/>
          <w:lang w:val="uk-UA"/>
        </w:rPr>
        <w:t xml:space="preserve">в абзаці </w:t>
      </w:r>
      <w:r w:rsidR="002B5BEA" w:rsidRPr="003C3712">
        <w:rPr>
          <w:sz w:val="28"/>
          <w:szCs w:val="28"/>
          <w:lang w:val="uk-UA"/>
        </w:rPr>
        <w:t>третьому</w:t>
      </w:r>
      <w:r w:rsidRPr="003C3712">
        <w:rPr>
          <w:sz w:val="28"/>
          <w:szCs w:val="28"/>
          <w:lang w:val="uk-UA"/>
        </w:rPr>
        <w:t xml:space="preserve"> </w:t>
      </w:r>
      <w:r w:rsidR="002B1DD4" w:rsidRPr="003C3712">
        <w:rPr>
          <w:sz w:val="28"/>
          <w:szCs w:val="28"/>
          <w:lang w:val="uk-UA"/>
        </w:rPr>
        <w:t>слова, цифри та знак «до додатків 22 – 28» виключити;</w:t>
      </w:r>
    </w:p>
    <w:p w14:paraId="4561211E" w14:textId="1A6FE946" w:rsidR="00C32739" w:rsidRPr="003C3712" w:rsidRDefault="00C32739" w:rsidP="003C3712">
      <w:pPr>
        <w:tabs>
          <w:tab w:val="left" w:pos="851"/>
        </w:tabs>
        <w:ind w:firstLine="851"/>
        <w:jc w:val="both"/>
        <w:rPr>
          <w:sz w:val="28"/>
          <w:szCs w:val="28"/>
          <w:lang w:val="uk-UA"/>
        </w:rPr>
      </w:pPr>
    </w:p>
    <w:p w14:paraId="5254F048" w14:textId="03769DA1" w:rsidR="007E592C" w:rsidRPr="003C3712" w:rsidRDefault="00355A47" w:rsidP="003C3712">
      <w:pPr>
        <w:pStyle w:val="a3"/>
        <w:numPr>
          <w:ilvl w:val="0"/>
          <w:numId w:val="24"/>
        </w:numPr>
        <w:tabs>
          <w:tab w:val="left" w:pos="851"/>
        </w:tabs>
        <w:ind w:left="0" w:firstLine="851"/>
        <w:jc w:val="both"/>
        <w:rPr>
          <w:sz w:val="28"/>
          <w:szCs w:val="28"/>
          <w:lang w:val="uk-UA"/>
        </w:rPr>
      </w:pPr>
      <w:r w:rsidRPr="003C3712">
        <w:rPr>
          <w:sz w:val="28"/>
          <w:szCs w:val="28"/>
          <w:lang w:val="uk-UA"/>
        </w:rPr>
        <w:t xml:space="preserve">підпункт 2 пункту 2.5.1 глави 2.5 доповнити </w:t>
      </w:r>
      <w:r w:rsidR="00EC1640" w:rsidRPr="003C3712">
        <w:rPr>
          <w:sz w:val="28"/>
          <w:szCs w:val="28"/>
          <w:lang w:val="uk-UA"/>
        </w:rPr>
        <w:t>чотирма</w:t>
      </w:r>
      <w:r w:rsidRPr="003C3712">
        <w:rPr>
          <w:sz w:val="28"/>
          <w:szCs w:val="28"/>
          <w:lang w:val="uk-UA"/>
        </w:rPr>
        <w:t xml:space="preserve"> новими абзаца</w:t>
      </w:r>
      <w:r w:rsidR="000F4D62" w:rsidRPr="003C3712">
        <w:rPr>
          <w:sz w:val="28"/>
          <w:szCs w:val="28"/>
          <w:lang w:val="uk-UA"/>
        </w:rPr>
        <w:t>ми такого змісту:</w:t>
      </w:r>
    </w:p>
    <w:p w14:paraId="5F0F84BF" w14:textId="71CDBE5B" w:rsidR="009767A8" w:rsidRPr="003C3712" w:rsidRDefault="000F4D62" w:rsidP="003C3712">
      <w:pPr>
        <w:tabs>
          <w:tab w:val="left" w:pos="851"/>
        </w:tabs>
        <w:ind w:firstLine="851"/>
        <w:jc w:val="both"/>
        <w:rPr>
          <w:sz w:val="28"/>
          <w:szCs w:val="28"/>
          <w:lang w:val="uk-UA"/>
        </w:rPr>
      </w:pPr>
      <w:r w:rsidRPr="003C3712">
        <w:rPr>
          <w:sz w:val="28"/>
          <w:szCs w:val="28"/>
          <w:lang w:val="uk-UA"/>
        </w:rPr>
        <w:t>«</w:t>
      </w:r>
      <w:r w:rsidR="009767A8" w:rsidRPr="003C3712">
        <w:rPr>
          <w:sz w:val="28"/>
          <w:szCs w:val="28"/>
          <w:lang w:val="uk-UA"/>
        </w:rPr>
        <w:t>Крім того, НКРЕКП застосовує зменшення розміру штрафу у разі якщо порушення та наслідки порушення були повністю усунуті порушником:</w:t>
      </w:r>
    </w:p>
    <w:p w14:paraId="2392CE5A" w14:textId="1D4B501D" w:rsidR="009767A8" w:rsidRPr="003C3712" w:rsidRDefault="00BD7676" w:rsidP="003C3712">
      <w:pPr>
        <w:tabs>
          <w:tab w:val="left" w:pos="851"/>
        </w:tabs>
        <w:ind w:firstLine="851"/>
        <w:jc w:val="both"/>
        <w:rPr>
          <w:sz w:val="28"/>
          <w:szCs w:val="28"/>
          <w:lang w:val="uk-UA"/>
        </w:rPr>
      </w:pPr>
      <w:r w:rsidRPr="003C3712">
        <w:rPr>
          <w:sz w:val="28"/>
          <w:szCs w:val="28"/>
          <w:lang w:val="uk-UA"/>
        </w:rPr>
        <w:t xml:space="preserve">до </w:t>
      </w:r>
      <w:r w:rsidR="002A6D92" w:rsidRPr="003C3712">
        <w:rPr>
          <w:sz w:val="28"/>
          <w:szCs w:val="28"/>
          <w:lang w:val="uk-UA"/>
        </w:rPr>
        <w:t>прийняття рішення</w:t>
      </w:r>
      <w:r w:rsidR="009767A8" w:rsidRPr="003C3712">
        <w:rPr>
          <w:sz w:val="28"/>
          <w:szCs w:val="28"/>
          <w:lang w:val="uk-UA"/>
        </w:rPr>
        <w:t xml:space="preserve"> про проведення відповідної перевірки (70</w:t>
      </w:r>
      <w:r w:rsidR="000966F2" w:rsidRPr="003C3712">
        <w:rPr>
          <w:sz w:val="28"/>
          <w:szCs w:val="28"/>
          <w:lang w:val="uk-UA"/>
        </w:rPr>
        <w:t xml:space="preserve"> </w:t>
      </w:r>
      <w:r w:rsidR="009767A8" w:rsidRPr="003C3712">
        <w:rPr>
          <w:sz w:val="28"/>
          <w:szCs w:val="28"/>
          <w:lang w:val="uk-UA"/>
        </w:rPr>
        <w:t>%);</w:t>
      </w:r>
    </w:p>
    <w:p w14:paraId="78DD972E" w14:textId="771FB011" w:rsidR="000F4D62" w:rsidRPr="003C3712" w:rsidRDefault="009767A8" w:rsidP="003C3712">
      <w:pPr>
        <w:tabs>
          <w:tab w:val="left" w:pos="851"/>
        </w:tabs>
        <w:ind w:firstLine="851"/>
        <w:jc w:val="both"/>
        <w:rPr>
          <w:sz w:val="28"/>
          <w:szCs w:val="28"/>
          <w:lang w:val="uk-UA"/>
        </w:rPr>
      </w:pPr>
      <w:r w:rsidRPr="003C3712">
        <w:rPr>
          <w:sz w:val="28"/>
          <w:szCs w:val="28"/>
          <w:lang w:val="uk-UA"/>
        </w:rPr>
        <w:t xml:space="preserve">до </w:t>
      </w:r>
      <w:r w:rsidR="00F76558" w:rsidRPr="003C3712">
        <w:rPr>
          <w:sz w:val="28"/>
          <w:szCs w:val="28"/>
          <w:lang w:val="uk-UA"/>
        </w:rPr>
        <w:t>останнього дня строку проведення</w:t>
      </w:r>
      <w:r w:rsidRPr="003C3712">
        <w:rPr>
          <w:sz w:val="28"/>
          <w:szCs w:val="28"/>
          <w:lang w:val="uk-UA"/>
        </w:rPr>
        <w:t xml:space="preserve"> відповідної перевірки (50</w:t>
      </w:r>
      <w:r w:rsidR="000966F2" w:rsidRPr="003C3712">
        <w:rPr>
          <w:sz w:val="28"/>
          <w:szCs w:val="28"/>
          <w:lang w:val="uk-UA"/>
        </w:rPr>
        <w:t xml:space="preserve"> </w:t>
      </w:r>
      <w:r w:rsidRPr="003C3712">
        <w:rPr>
          <w:sz w:val="28"/>
          <w:szCs w:val="28"/>
          <w:lang w:val="uk-UA"/>
        </w:rPr>
        <w:t>%);</w:t>
      </w:r>
    </w:p>
    <w:p w14:paraId="3B42F5F6" w14:textId="0BC56CF0" w:rsidR="009767A8" w:rsidRPr="003C3712" w:rsidRDefault="009767A8" w:rsidP="003C3712">
      <w:pPr>
        <w:tabs>
          <w:tab w:val="left" w:pos="851"/>
        </w:tabs>
        <w:ind w:firstLine="851"/>
        <w:jc w:val="both"/>
        <w:rPr>
          <w:sz w:val="28"/>
          <w:szCs w:val="28"/>
          <w:lang w:val="uk-UA"/>
        </w:rPr>
      </w:pPr>
      <w:r w:rsidRPr="003C3712">
        <w:rPr>
          <w:sz w:val="28"/>
          <w:szCs w:val="28"/>
          <w:lang w:val="uk-UA"/>
        </w:rPr>
        <w:t>до початку розгляду питання щодо відповідальності ліцензіата на засіданні НКРЕКП</w:t>
      </w:r>
      <w:r w:rsidR="00BD7676" w:rsidRPr="003C3712">
        <w:rPr>
          <w:sz w:val="28"/>
          <w:szCs w:val="28"/>
          <w:lang w:val="uk-UA"/>
        </w:rPr>
        <w:t xml:space="preserve"> </w:t>
      </w:r>
      <w:r w:rsidRPr="003C3712">
        <w:rPr>
          <w:sz w:val="28"/>
          <w:szCs w:val="28"/>
          <w:lang w:val="uk-UA"/>
        </w:rPr>
        <w:t>(30</w:t>
      </w:r>
      <w:r w:rsidR="000966F2" w:rsidRPr="003C3712">
        <w:rPr>
          <w:sz w:val="28"/>
          <w:szCs w:val="28"/>
          <w:lang w:val="uk-UA"/>
        </w:rPr>
        <w:t xml:space="preserve"> </w:t>
      </w:r>
      <w:r w:rsidRPr="003C3712">
        <w:rPr>
          <w:sz w:val="28"/>
          <w:szCs w:val="28"/>
          <w:lang w:val="uk-UA"/>
        </w:rPr>
        <w:t>%).»;</w:t>
      </w:r>
    </w:p>
    <w:p w14:paraId="1E6DBC42" w14:textId="77777777" w:rsidR="009767A8" w:rsidRPr="003C3712" w:rsidRDefault="009767A8" w:rsidP="003C3712">
      <w:pPr>
        <w:tabs>
          <w:tab w:val="left" w:pos="851"/>
        </w:tabs>
        <w:ind w:firstLine="851"/>
        <w:jc w:val="both"/>
        <w:rPr>
          <w:sz w:val="28"/>
          <w:szCs w:val="28"/>
          <w:lang w:val="uk-UA"/>
        </w:rPr>
      </w:pPr>
    </w:p>
    <w:p w14:paraId="2749F998" w14:textId="42B687E2" w:rsidR="00EF4AD2" w:rsidRPr="003C3712" w:rsidRDefault="00EF4AD2" w:rsidP="003C3712">
      <w:pPr>
        <w:pStyle w:val="a3"/>
        <w:numPr>
          <w:ilvl w:val="0"/>
          <w:numId w:val="24"/>
        </w:numPr>
        <w:tabs>
          <w:tab w:val="left" w:pos="851"/>
        </w:tabs>
        <w:ind w:left="0" w:firstLine="851"/>
        <w:jc w:val="both"/>
        <w:rPr>
          <w:sz w:val="28"/>
          <w:szCs w:val="28"/>
          <w:lang w:val="uk-UA"/>
        </w:rPr>
      </w:pPr>
      <w:r w:rsidRPr="003C3712">
        <w:rPr>
          <w:sz w:val="28"/>
          <w:szCs w:val="28"/>
          <w:lang w:val="uk-UA"/>
        </w:rPr>
        <w:t>у главі 2.7:</w:t>
      </w:r>
    </w:p>
    <w:p w14:paraId="4B7FD7BD" w14:textId="17DFF2A9" w:rsidR="00CD61FC" w:rsidRPr="003C3712" w:rsidRDefault="008C3BED" w:rsidP="003C3712">
      <w:pPr>
        <w:tabs>
          <w:tab w:val="left" w:pos="851"/>
        </w:tabs>
        <w:ind w:firstLine="851"/>
        <w:jc w:val="both"/>
        <w:rPr>
          <w:sz w:val="28"/>
          <w:szCs w:val="28"/>
          <w:lang w:val="uk-UA"/>
        </w:rPr>
      </w:pPr>
      <w:r w:rsidRPr="003C3712">
        <w:rPr>
          <w:sz w:val="28"/>
          <w:szCs w:val="28"/>
          <w:lang w:val="uk-UA"/>
        </w:rPr>
        <w:t>у пункті 2.7.1</w:t>
      </w:r>
      <w:r w:rsidR="001944CC" w:rsidRPr="003C3712">
        <w:rPr>
          <w:sz w:val="28"/>
          <w:szCs w:val="28"/>
          <w:lang w:val="uk-UA"/>
        </w:rPr>
        <w:t>:</w:t>
      </w:r>
    </w:p>
    <w:p w14:paraId="12773C90" w14:textId="54466027" w:rsidR="00835898" w:rsidRPr="003C3712" w:rsidRDefault="00407F89" w:rsidP="003C3712">
      <w:pPr>
        <w:pStyle w:val="a3"/>
        <w:tabs>
          <w:tab w:val="left" w:pos="1134"/>
        </w:tabs>
        <w:ind w:left="0" w:firstLine="851"/>
        <w:jc w:val="both"/>
        <w:rPr>
          <w:sz w:val="28"/>
          <w:szCs w:val="28"/>
          <w:lang w:val="uk-UA"/>
        </w:rPr>
      </w:pPr>
      <w:r w:rsidRPr="003C3712">
        <w:rPr>
          <w:sz w:val="28"/>
          <w:szCs w:val="28"/>
          <w:lang w:val="uk-UA"/>
        </w:rPr>
        <w:t xml:space="preserve">в абзаці першому </w:t>
      </w:r>
      <w:r w:rsidR="008C3BED" w:rsidRPr="003C3712">
        <w:rPr>
          <w:sz w:val="28"/>
          <w:szCs w:val="28"/>
          <w:lang w:val="uk-UA"/>
        </w:rPr>
        <w:t>слова «до початку розгляду питання щодо відповідальності порушника» виключити</w:t>
      </w:r>
      <w:r w:rsidR="00CD61FC" w:rsidRPr="003C3712">
        <w:rPr>
          <w:sz w:val="28"/>
          <w:szCs w:val="28"/>
          <w:lang w:val="uk-UA"/>
        </w:rPr>
        <w:t>;</w:t>
      </w:r>
    </w:p>
    <w:p w14:paraId="006BD5B0" w14:textId="1ECDC646" w:rsidR="00CD61FC" w:rsidRPr="003C3712" w:rsidRDefault="00CD61FC" w:rsidP="003C3712">
      <w:pPr>
        <w:pStyle w:val="a3"/>
        <w:tabs>
          <w:tab w:val="left" w:pos="1134"/>
        </w:tabs>
        <w:ind w:left="0" w:firstLine="851"/>
        <w:jc w:val="both"/>
        <w:rPr>
          <w:sz w:val="28"/>
          <w:szCs w:val="28"/>
          <w:lang w:val="uk-UA"/>
        </w:rPr>
      </w:pPr>
      <w:r w:rsidRPr="003C3712">
        <w:rPr>
          <w:sz w:val="28"/>
          <w:szCs w:val="28"/>
          <w:lang w:val="uk-UA"/>
        </w:rPr>
        <w:t>доповнити новим підпункт</w:t>
      </w:r>
      <w:r w:rsidR="00BB53D0" w:rsidRPr="003C3712">
        <w:rPr>
          <w:sz w:val="28"/>
          <w:szCs w:val="28"/>
          <w:lang w:val="uk-UA"/>
        </w:rPr>
        <w:t>о</w:t>
      </w:r>
      <w:r w:rsidRPr="003C3712">
        <w:rPr>
          <w:sz w:val="28"/>
          <w:szCs w:val="28"/>
          <w:lang w:val="uk-UA"/>
        </w:rPr>
        <w:t>м такого змісту:</w:t>
      </w:r>
    </w:p>
    <w:p w14:paraId="44FED78B" w14:textId="4475AC0C" w:rsidR="00EF442E" w:rsidRPr="003C3712" w:rsidRDefault="00CD61FC" w:rsidP="003C3712">
      <w:pPr>
        <w:pStyle w:val="a3"/>
        <w:tabs>
          <w:tab w:val="left" w:pos="1134"/>
        </w:tabs>
        <w:ind w:left="0" w:firstLine="851"/>
        <w:jc w:val="both"/>
        <w:rPr>
          <w:sz w:val="28"/>
          <w:szCs w:val="28"/>
          <w:lang w:val="uk-UA"/>
        </w:rPr>
      </w:pPr>
      <w:r w:rsidRPr="003C3712">
        <w:rPr>
          <w:sz w:val="28"/>
          <w:szCs w:val="28"/>
          <w:lang w:val="uk-UA"/>
        </w:rPr>
        <w:t>«5) надання НКРЕКП матеріалів та свідчень, що вказують на зміни в роботі ліцензіата</w:t>
      </w:r>
      <w:r w:rsidR="00D03D9E" w:rsidRPr="003C3712">
        <w:rPr>
          <w:sz w:val="28"/>
          <w:szCs w:val="28"/>
          <w:lang w:val="uk-UA"/>
        </w:rPr>
        <w:t>, спрямован</w:t>
      </w:r>
      <w:r w:rsidR="00992316" w:rsidRPr="003C3712">
        <w:rPr>
          <w:sz w:val="28"/>
          <w:szCs w:val="28"/>
          <w:lang w:val="uk-UA"/>
        </w:rPr>
        <w:t>і</w:t>
      </w:r>
      <w:r w:rsidR="00D03D9E" w:rsidRPr="003C3712">
        <w:rPr>
          <w:sz w:val="28"/>
          <w:szCs w:val="28"/>
          <w:lang w:val="uk-UA"/>
        </w:rPr>
        <w:t xml:space="preserve"> на </w:t>
      </w:r>
      <w:r w:rsidR="00525610" w:rsidRPr="003C3712">
        <w:rPr>
          <w:sz w:val="28"/>
          <w:szCs w:val="28"/>
          <w:lang w:val="uk-UA"/>
        </w:rPr>
        <w:t>недопущення</w:t>
      </w:r>
      <w:r w:rsidR="00D03D9E" w:rsidRPr="003C3712">
        <w:rPr>
          <w:sz w:val="28"/>
          <w:szCs w:val="28"/>
          <w:lang w:val="uk-UA"/>
        </w:rPr>
        <w:t xml:space="preserve"> подібних порушень в майбутньому </w:t>
      </w:r>
      <w:r w:rsidRPr="003C3712">
        <w:rPr>
          <w:sz w:val="28"/>
          <w:szCs w:val="28"/>
          <w:lang w:val="uk-UA"/>
        </w:rPr>
        <w:t>(збільшення кількості працівників, оптимізація процесів та інше) та</w:t>
      </w:r>
      <w:r w:rsidR="00A80081" w:rsidRPr="003C3712">
        <w:rPr>
          <w:sz w:val="28"/>
          <w:szCs w:val="28"/>
          <w:lang w:val="uk-UA"/>
        </w:rPr>
        <w:t>, за наявності,</w:t>
      </w:r>
      <w:r w:rsidRPr="003C3712">
        <w:rPr>
          <w:sz w:val="28"/>
          <w:szCs w:val="28"/>
          <w:lang w:val="uk-UA"/>
        </w:rPr>
        <w:t xml:space="preserve"> підтверджен</w:t>
      </w:r>
      <w:r w:rsidR="00D03D9E" w:rsidRPr="003C3712">
        <w:rPr>
          <w:sz w:val="28"/>
          <w:szCs w:val="28"/>
          <w:lang w:val="uk-UA"/>
        </w:rPr>
        <w:t>ня</w:t>
      </w:r>
      <w:r w:rsidRPr="003C3712">
        <w:rPr>
          <w:sz w:val="28"/>
          <w:szCs w:val="28"/>
          <w:lang w:val="uk-UA"/>
        </w:rPr>
        <w:t xml:space="preserve"> ефективн</w:t>
      </w:r>
      <w:r w:rsidR="00D03D9E" w:rsidRPr="003C3712">
        <w:rPr>
          <w:sz w:val="28"/>
          <w:szCs w:val="28"/>
          <w:lang w:val="uk-UA"/>
        </w:rPr>
        <w:t>о</w:t>
      </w:r>
      <w:r w:rsidRPr="003C3712">
        <w:rPr>
          <w:sz w:val="28"/>
          <w:szCs w:val="28"/>
          <w:lang w:val="uk-UA"/>
        </w:rPr>
        <w:t>ст</w:t>
      </w:r>
      <w:r w:rsidR="00D03D9E" w:rsidRPr="003C3712">
        <w:rPr>
          <w:sz w:val="28"/>
          <w:szCs w:val="28"/>
          <w:lang w:val="uk-UA"/>
        </w:rPr>
        <w:t>і</w:t>
      </w:r>
      <w:r w:rsidRPr="003C3712">
        <w:rPr>
          <w:sz w:val="28"/>
          <w:szCs w:val="28"/>
          <w:lang w:val="uk-UA"/>
        </w:rPr>
        <w:t xml:space="preserve"> запроваджених змін.</w:t>
      </w:r>
      <w:r w:rsidR="00992316" w:rsidRPr="003C3712">
        <w:rPr>
          <w:sz w:val="28"/>
          <w:szCs w:val="28"/>
          <w:lang w:val="uk-UA"/>
        </w:rPr>
        <w:t>»;</w:t>
      </w:r>
    </w:p>
    <w:p w14:paraId="2B48EC6E" w14:textId="687CC750" w:rsidR="009F404B" w:rsidRPr="003C3712" w:rsidRDefault="009F404B" w:rsidP="003C3712">
      <w:pPr>
        <w:tabs>
          <w:tab w:val="left" w:pos="851"/>
        </w:tabs>
        <w:ind w:firstLine="851"/>
        <w:jc w:val="both"/>
        <w:rPr>
          <w:sz w:val="28"/>
          <w:szCs w:val="28"/>
          <w:lang w:val="uk-UA"/>
        </w:rPr>
      </w:pPr>
      <w:r w:rsidRPr="003C3712">
        <w:rPr>
          <w:sz w:val="28"/>
          <w:szCs w:val="28"/>
          <w:lang w:val="uk-UA"/>
        </w:rPr>
        <w:t>доповнити новим пунктом такого змісту:</w:t>
      </w:r>
    </w:p>
    <w:p w14:paraId="1ED7FFDC" w14:textId="15F73E3A" w:rsidR="00992316" w:rsidRPr="003C3712" w:rsidRDefault="009F404B" w:rsidP="003C3712">
      <w:pPr>
        <w:pStyle w:val="a3"/>
        <w:tabs>
          <w:tab w:val="left" w:pos="993"/>
        </w:tabs>
        <w:ind w:left="0" w:firstLine="851"/>
        <w:jc w:val="both"/>
        <w:rPr>
          <w:sz w:val="28"/>
          <w:szCs w:val="28"/>
          <w:lang w:val="uk-UA"/>
        </w:rPr>
      </w:pPr>
      <w:r w:rsidRPr="003C3712">
        <w:rPr>
          <w:sz w:val="28"/>
          <w:szCs w:val="28"/>
          <w:lang w:val="uk-UA"/>
        </w:rPr>
        <w:t xml:space="preserve">«2.7.2. У випадку, якщо після застосування індивідуальних пом’якшень, </w:t>
      </w:r>
      <w:r w:rsidR="001F7231" w:rsidRPr="003C3712">
        <w:rPr>
          <w:sz w:val="28"/>
          <w:szCs w:val="28"/>
          <w:lang w:val="uk-UA"/>
        </w:rPr>
        <w:t xml:space="preserve">сума штрафу за порушення </w:t>
      </w:r>
      <w:r w:rsidRPr="003C3712">
        <w:rPr>
          <w:sz w:val="28"/>
          <w:szCs w:val="28"/>
          <w:lang w:val="uk-UA"/>
        </w:rPr>
        <w:t>є нижч</w:t>
      </w:r>
      <w:r w:rsidR="001F7231" w:rsidRPr="003C3712">
        <w:rPr>
          <w:sz w:val="28"/>
          <w:szCs w:val="28"/>
          <w:lang w:val="uk-UA"/>
        </w:rPr>
        <w:t>ою</w:t>
      </w:r>
      <w:r w:rsidRPr="003C3712">
        <w:rPr>
          <w:sz w:val="28"/>
          <w:szCs w:val="28"/>
          <w:lang w:val="uk-UA"/>
        </w:rPr>
        <w:t xml:space="preserve"> за мінімальний розмір штрафу, передбачений законодавством, НКРЕКП не накладає штраф, а застосовує інші </w:t>
      </w:r>
      <w:r w:rsidR="001F27B9" w:rsidRPr="003C3712">
        <w:rPr>
          <w:sz w:val="28"/>
          <w:szCs w:val="28"/>
          <w:lang w:val="uk-UA"/>
        </w:rPr>
        <w:t xml:space="preserve">види </w:t>
      </w:r>
      <w:r w:rsidRPr="003C3712">
        <w:rPr>
          <w:sz w:val="28"/>
          <w:szCs w:val="28"/>
          <w:lang w:val="uk-UA"/>
        </w:rPr>
        <w:t>санкці</w:t>
      </w:r>
      <w:r w:rsidR="001F27B9" w:rsidRPr="003C3712">
        <w:rPr>
          <w:sz w:val="28"/>
          <w:szCs w:val="28"/>
          <w:lang w:val="uk-UA"/>
        </w:rPr>
        <w:t>й,</w:t>
      </w:r>
      <w:r w:rsidR="006E6BD9" w:rsidRPr="003C3712">
        <w:rPr>
          <w:sz w:val="28"/>
          <w:szCs w:val="28"/>
          <w:shd w:val="clear" w:color="auto" w:fill="FFFFFF"/>
          <w:lang w:val="uk-UA"/>
        </w:rPr>
        <w:t xml:space="preserve"> передбачені чинним законодавством</w:t>
      </w:r>
      <w:r w:rsidRPr="003C3712">
        <w:rPr>
          <w:sz w:val="28"/>
          <w:szCs w:val="28"/>
          <w:lang w:val="uk-UA"/>
        </w:rPr>
        <w:t>.</w:t>
      </w:r>
      <w:r w:rsidR="001F7231" w:rsidRPr="003C3712">
        <w:rPr>
          <w:sz w:val="28"/>
          <w:szCs w:val="28"/>
          <w:lang w:val="uk-UA"/>
        </w:rPr>
        <w:t>».</w:t>
      </w:r>
    </w:p>
    <w:p w14:paraId="360E6144" w14:textId="77777777" w:rsidR="00992316" w:rsidRPr="003C3712" w:rsidRDefault="00992316" w:rsidP="003C3712">
      <w:pPr>
        <w:tabs>
          <w:tab w:val="left" w:pos="851"/>
        </w:tabs>
        <w:ind w:firstLine="851"/>
        <w:jc w:val="both"/>
        <w:rPr>
          <w:sz w:val="28"/>
          <w:szCs w:val="28"/>
          <w:lang w:val="uk-UA"/>
        </w:rPr>
      </w:pPr>
    </w:p>
    <w:p w14:paraId="32AABB02" w14:textId="3FAC47B5" w:rsidR="00EF442E" w:rsidRPr="003C3712" w:rsidRDefault="00666BEF" w:rsidP="003C3712">
      <w:pPr>
        <w:pStyle w:val="a3"/>
        <w:numPr>
          <w:ilvl w:val="0"/>
          <w:numId w:val="23"/>
        </w:numPr>
        <w:tabs>
          <w:tab w:val="left" w:pos="851"/>
        </w:tabs>
        <w:ind w:left="0" w:firstLine="851"/>
        <w:jc w:val="both"/>
        <w:rPr>
          <w:sz w:val="28"/>
          <w:szCs w:val="28"/>
          <w:lang w:val="uk-UA"/>
        </w:rPr>
      </w:pPr>
      <w:r w:rsidRPr="003C3712">
        <w:rPr>
          <w:sz w:val="28"/>
          <w:szCs w:val="28"/>
          <w:lang w:val="uk-UA"/>
        </w:rPr>
        <w:t>У д</w:t>
      </w:r>
      <w:r w:rsidR="00E34516" w:rsidRPr="003C3712">
        <w:rPr>
          <w:sz w:val="28"/>
          <w:szCs w:val="28"/>
          <w:lang w:val="uk-UA"/>
        </w:rPr>
        <w:t>одатк</w:t>
      </w:r>
      <w:r w:rsidRPr="003C3712">
        <w:rPr>
          <w:sz w:val="28"/>
          <w:szCs w:val="28"/>
          <w:lang w:val="uk-UA"/>
        </w:rPr>
        <w:t>у</w:t>
      </w:r>
      <w:r w:rsidR="00E34516" w:rsidRPr="003C3712">
        <w:rPr>
          <w:sz w:val="28"/>
          <w:szCs w:val="28"/>
          <w:lang w:val="uk-UA"/>
        </w:rPr>
        <w:t xml:space="preserve"> 1</w:t>
      </w:r>
      <w:r w:rsidR="00173103" w:rsidRPr="003C3712">
        <w:rPr>
          <w:sz w:val="28"/>
          <w:szCs w:val="28"/>
          <w:lang w:val="uk-UA"/>
        </w:rPr>
        <w:t>:</w:t>
      </w:r>
    </w:p>
    <w:p w14:paraId="7DEA477A" w14:textId="1FC520F0" w:rsidR="00864A90" w:rsidRPr="003C3712" w:rsidRDefault="00864A90" w:rsidP="003C3712">
      <w:pPr>
        <w:tabs>
          <w:tab w:val="left" w:pos="851"/>
        </w:tabs>
        <w:ind w:firstLine="851"/>
        <w:jc w:val="both"/>
        <w:rPr>
          <w:sz w:val="28"/>
          <w:szCs w:val="28"/>
          <w:lang w:val="uk-UA"/>
        </w:rPr>
      </w:pPr>
    </w:p>
    <w:p w14:paraId="4C4B6E1C" w14:textId="4BC67DE0" w:rsidR="0093709A" w:rsidRPr="003C3712" w:rsidRDefault="00680F3F" w:rsidP="003C3712">
      <w:pPr>
        <w:pStyle w:val="a3"/>
        <w:numPr>
          <w:ilvl w:val="0"/>
          <w:numId w:val="25"/>
        </w:numPr>
        <w:ind w:left="0" w:firstLine="851"/>
        <w:jc w:val="both"/>
        <w:rPr>
          <w:sz w:val="28"/>
          <w:szCs w:val="28"/>
          <w:lang w:val="uk-UA"/>
        </w:rPr>
      </w:pPr>
      <w:r w:rsidRPr="003C3712">
        <w:rPr>
          <w:sz w:val="28"/>
          <w:szCs w:val="28"/>
          <w:lang w:val="uk-UA"/>
        </w:rPr>
        <w:t>пункт 1 викласти в такій ред</w:t>
      </w:r>
      <w:r w:rsidR="00382706" w:rsidRPr="003C3712">
        <w:rPr>
          <w:sz w:val="28"/>
          <w:szCs w:val="28"/>
          <w:lang w:val="uk-UA"/>
        </w:rPr>
        <w:t>а</w:t>
      </w:r>
      <w:r w:rsidRPr="003C3712">
        <w:rPr>
          <w:sz w:val="28"/>
          <w:szCs w:val="28"/>
          <w:lang w:val="uk-UA"/>
        </w:rPr>
        <w:t>кції</w:t>
      </w:r>
      <w:r w:rsidR="00382706" w:rsidRPr="003C3712">
        <w:rPr>
          <w:sz w:val="28"/>
          <w:szCs w:val="28"/>
          <w:lang w:val="uk-UA"/>
        </w:rPr>
        <w:t>:</w:t>
      </w:r>
    </w:p>
    <w:p w14:paraId="66FFBB39" w14:textId="3840EA82" w:rsidR="00382706" w:rsidRPr="003C3712" w:rsidRDefault="00382706" w:rsidP="003C3712">
      <w:pPr>
        <w:tabs>
          <w:tab w:val="left" w:pos="0"/>
          <w:tab w:val="left" w:pos="1134"/>
        </w:tabs>
        <w:ind w:firstLine="851"/>
        <w:jc w:val="both"/>
        <w:rPr>
          <w:sz w:val="28"/>
          <w:szCs w:val="28"/>
          <w:lang w:val="uk-UA"/>
        </w:rPr>
      </w:pPr>
      <w:r w:rsidRPr="003C3712">
        <w:rPr>
          <w:sz w:val="28"/>
          <w:szCs w:val="28"/>
          <w:lang w:val="uk-UA"/>
        </w:rPr>
        <w:t>«1. Для ліцензіатів, які здійснюють господарську діяльність з виробництва електричної енергії:</w:t>
      </w:r>
    </w:p>
    <w:p w14:paraId="7BBE6214" w14:textId="46F407A0" w:rsidR="00382706" w:rsidRPr="003C3712" w:rsidRDefault="00382706" w:rsidP="003C3712">
      <w:pPr>
        <w:tabs>
          <w:tab w:val="left" w:pos="0"/>
          <w:tab w:val="left" w:pos="1134"/>
        </w:tabs>
        <w:ind w:firstLine="851"/>
        <w:jc w:val="both"/>
        <w:rPr>
          <w:sz w:val="28"/>
          <w:szCs w:val="28"/>
          <w:lang w:val="uk-UA"/>
        </w:rPr>
      </w:pPr>
    </w:p>
    <w:p w14:paraId="51C59A71" w14:textId="2D715E43" w:rsidR="00382706" w:rsidRPr="003C3712" w:rsidRDefault="00382706" w:rsidP="003C3712">
      <w:pPr>
        <w:tabs>
          <w:tab w:val="left" w:pos="0"/>
          <w:tab w:val="left" w:pos="1134"/>
        </w:tabs>
        <w:ind w:firstLine="851"/>
        <w:jc w:val="both"/>
        <w:rPr>
          <w:sz w:val="28"/>
          <w:szCs w:val="28"/>
          <w:lang w:val="uk-UA"/>
        </w:rPr>
      </w:pPr>
      <w:r w:rsidRPr="003C3712">
        <w:rPr>
          <w:sz w:val="28"/>
          <w:szCs w:val="28"/>
          <w:lang w:val="uk-UA"/>
        </w:rPr>
        <w:t>1) великі ліцензіати – ліцензіати, що підпадають щонайменше під один з таких параметрів:</w:t>
      </w:r>
    </w:p>
    <w:p w14:paraId="24C2C096" w14:textId="2B3710EB" w:rsidR="00382706" w:rsidRPr="003C3712" w:rsidRDefault="00382706" w:rsidP="003C3712">
      <w:pPr>
        <w:tabs>
          <w:tab w:val="left" w:pos="0"/>
          <w:tab w:val="left" w:pos="1134"/>
        </w:tabs>
        <w:ind w:firstLine="851"/>
        <w:jc w:val="both"/>
        <w:rPr>
          <w:sz w:val="28"/>
          <w:szCs w:val="28"/>
          <w:lang w:val="uk-UA"/>
        </w:rPr>
      </w:pPr>
      <w:r w:rsidRPr="003C3712">
        <w:rPr>
          <w:sz w:val="28"/>
          <w:szCs w:val="28"/>
          <w:lang w:val="uk-UA"/>
        </w:rPr>
        <w:t xml:space="preserve">мають встановлену потужність електроустановок 100 МВт та більше станом на </w:t>
      </w:r>
      <w:r w:rsidR="0017503A" w:rsidRPr="003C3712">
        <w:rPr>
          <w:sz w:val="28"/>
          <w:szCs w:val="28"/>
          <w:lang w:val="uk-UA"/>
        </w:rPr>
        <w:t>кінець періоду, що перевіряється</w:t>
      </w:r>
      <w:r w:rsidR="006E6BD9" w:rsidRPr="003C3712">
        <w:rPr>
          <w:sz w:val="28"/>
          <w:szCs w:val="28"/>
          <w:lang w:val="uk-UA"/>
        </w:rPr>
        <w:t>,</w:t>
      </w:r>
      <w:r w:rsidRPr="003C3712">
        <w:rPr>
          <w:sz w:val="28"/>
          <w:szCs w:val="28"/>
          <w:lang w:val="uk-UA"/>
        </w:rPr>
        <w:t xml:space="preserve"> та здійснили виробництво електричної енергії 500 млн </w:t>
      </w:r>
      <w:proofErr w:type="spellStart"/>
      <w:r w:rsidRPr="003C3712">
        <w:rPr>
          <w:sz w:val="28"/>
          <w:szCs w:val="28"/>
          <w:lang w:val="uk-UA"/>
        </w:rPr>
        <w:t>кВт·год</w:t>
      </w:r>
      <w:proofErr w:type="spellEnd"/>
      <w:r w:rsidRPr="003C3712">
        <w:rPr>
          <w:sz w:val="28"/>
          <w:szCs w:val="28"/>
          <w:lang w:val="uk-UA"/>
        </w:rPr>
        <w:t xml:space="preserve"> та більше за рік</w:t>
      </w:r>
      <w:r w:rsidR="009D6398" w:rsidRPr="003C3712">
        <w:rPr>
          <w:sz w:val="28"/>
          <w:szCs w:val="28"/>
          <w:lang w:val="uk-UA"/>
        </w:rPr>
        <w:t xml:space="preserve">, що </w:t>
      </w:r>
      <w:r w:rsidR="006E6BD9" w:rsidRPr="003C3712">
        <w:rPr>
          <w:sz w:val="28"/>
          <w:szCs w:val="28"/>
          <w:lang w:val="uk-UA"/>
        </w:rPr>
        <w:t xml:space="preserve">передує </w:t>
      </w:r>
      <w:r w:rsidR="00206F52" w:rsidRPr="003C3712">
        <w:rPr>
          <w:sz w:val="28"/>
          <w:szCs w:val="28"/>
          <w:lang w:val="uk-UA"/>
        </w:rPr>
        <w:t>року, в якому здійснюється перевірка</w:t>
      </w:r>
      <w:r w:rsidRPr="003C3712">
        <w:rPr>
          <w:sz w:val="28"/>
          <w:szCs w:val="28"/>
          <w:lang w:val="uk-UA"/>
        </w:rPr>
        <w:t>;</w:t>
      </w:r>
    </w:p>
    <w:p w14:paraId="5E6304AB" w14:textId="1F98EEC5" w:rsidR="00382706" w:rsidRPr="003C3712" w:rsidRDefault="00382706" w:rsidP="003C3712">
      <w:pPr>
        <w:tabs>
          <w:tab w:val="left" w:pos="0"/>
          <w:tab w:val="left" w:pos="1134"/>
        </w:tabs>
        <w:ind w:firstLine="851"/>
        <w:jc w:val="both"/>
        <w:rPr>
          <w:sz w:val="28"/>
          <w:szCs w:val="28"/>
          <w:lang w:val="uk-UA"/>
        </w:rPr>
      </w:pPr>
      <w:r w:rsidRPr="003C3712">
        <w:rPr>
          <w:sz w:val="28"/>
          <w:szCs w:val="28"/>
          <w:lang w:val="uk-UA"/>
        </w:rPr>
        <w:t xml:space="preserve">мають встановлену потужність електроустановок 100 МВт та більше станом </w:t>
      </w:r>
      <w:r w:rsidR="000D4481" w:rsidRPr="003C3712">
        <w:rPr>
          <w:sz w:val="28"/>
          <w:szCs w:val="28"/>
          <w:lang w:val="uk-UA"/>
        </w:rPr>
        <w:t>на кінець періоду, що перевіряється</w:t>
      </w:r>
      <w:r w:rsidR="006E6BD9" w:rsidRPr="003C3712">
        <w:rPr>
          <w:sz w:val="28"/>
          <w:szCs w:val="28"/>
          <w:lang w:val="uk-UA"/>
        </w:rPr>
        <w:t>,</w:t>
      </w:r>
      <w:r w:rsidR="00206F52" w:rsidRPr="003C3712">
        <w:rPr>
          <w:sz w:val="28"/>
          <w:szCs w:val="28"/>
          <w:lang w:val="uk-UA"/>
        </w:rPr>
        <w:t xml:space="preserve"> </w:t>
      </w:r>
      <w:r w:rsidRPr="003C3712">
        <w:rPr>
          <w:sz w:val="28"/>
          <w:szCs w:val="28"/>
          <w:lang w:val="uk-UA"/>
        </w:rPr>
        <w:t xml:space="preserve">та мають дохід (виручку) за </w:t>
      </w:r>
      <w:r w:rsidR="00206F52" w:rsidRPr="003C3712">
        <w:rPr>
          <w:sz w:val="28"/>
          <w:szCs w:val="28"/>
          <w:lang w:val="uk-UA"/>
        </w:rPr>
        <w:t xml:space="preserve">рік, </w:t>
      </w:r>
      <w:r w:rsidR="006E6BD9" w:rsidRPr="003C3712">
        <w:rPr>
          <w:sz w:val="28"/>
          <w:szCs w:val="28"/>
          <w:lang w:val="uk-UA"/>
        </w:rPr>
        <w:t>що передує</w:t>
      </w:r>
      <w:r w:rsidR="00206F52" w:rsidRPr="003C3712">
        <w:rPr>
          <w:sz w:val="28"/>
          <w:szCs w:val="28"/>
          <w:lang w:val="uk-UA"/>
        </w:rPr>
        <w:t xml:space="preserve"> року, в якому здійснюється перевірка</w:t>
      </w:r>
      <w:r w:rsidR="006E6BD9" w:rsidRPr="003C3712">
        <w:rPr>
          <w:sz w:val="28"/>
          <w:szCs w:val="28"/>
          <w:lang w:val="uk-UA"/>
        </w:rPr>
        <w:t>,</w:t>
      </w:r>
      <w:r w:rsidR="00206F52" w:rsidRPr="003C3712">
        <w:rPr>
          <w:sz w:val="28"/>
          <w:szCs w:val="28"/>
          <w:lang w:val="uk-UA"/>
        </w:rPr>
        <w:t xml:space="preserve"> </w:t>
      </w:r>
      <w:r w:rsidRPr="003C3712">
        <w:rPr>
          <w:sz w:val="28"/>
          <w:szCs w:val="28"/>
          <w:lang w:val="uk-UA"/>
        </w:rPr>
        <w:t>500 млн грн та більше;</w:t>
      </w:r>
    </w:p>
    <w:p w14:paraId="17B70D95" w14:textId="0A2AA210" w:rsidR="00382706" w:rsidRPr="003C3712" w:rsidRDefault="00382706" w:rsidP="003C3712">
      <w:pPr>
        <w:tabs>
          <w:tab w:val="left" w:pos="0"/>
          <w:tab w:val="left" w:pos="1134"/>
        </w:tabs>
        <w:ind w:firstLine="851"/>
        <w:jc w:val="both"/>
        <w:rPr>
          <w:sz w:val="28"/>
          <w:szCs w:val="28"/>
          <w:lang w:val="uk-UA"/>
        </w:rPr>
      </w:pPr>
      <w:r w:rsidRPr="003C3712">
        <w:rPr>
          <w:sz w:val="28"/>
          <w:szCs w:val="28"/>
          <w:lang w:val="uk-UA"/>
        </w:rPr>
        <w:t xml:space="preserve">здійснили виробництво електричної енергії 500 млн </w:t>
      </w:r>
      <w:proofErr w:type="spellStart"/>
      <w:r w:rsidRPr="003C3712">
        <w:rPr>
          <w:sz w:val="28"/>
          <w:szCs w:val="28"/>
          <w:lang w:val="uk-UA"/>
        </w:rPr>
        <w:t>кВт·год</w:t>
      </w:r>
      <w:proofErr w:type="spellEnd"/>
      <w:r w:rsidRPr="003C3712">
        <w:rPr>
          <w:sz w:val="28"/>
          <w:szCs w:val="28"/>
          <w:lang w:val="uk-UA"/>
        </w:rPr>
        <w:t xml:space="preserve"> та більше та мають дохід (виручк</w:t>
      </w:r>
      <w:r w:rsidR="00206F52" w:rsidRPr="003C3712">
        <w:rPr>
          <w:sz w:val="28"/>
          <w:szCs w:val="28"/>
          <w:lang w:val="uk-UA"/>
        </w:rPr>
        <w:t>у</w:t>
      </w:r>
      <w:r w:rsidRPr="003C3712">
        <w:rPr>
          <w:sz w:val="28"/>
          <w:szCs w:val="28"/>
          <w:lang w:val="uk-UA"/>
        </w:rPr>
        <w:t>) 500 млн грн та більше</w:t>
      </w:r>
      <w:r w:rsidR="00206F52" w:rsidRPr="003C3712">
        <w:rPr>
          <w:sz w:val="28"/>
          <w:szCs w:val="28"/>
          <w:lang w:val="uk-UA"/>
        </w:rPr>
        <w:t xml:space="preserve"> за рік, </w:t>
      </w:r>
      <w:r w:rsidR="00990939" w:rsidRPr="003C3712">
        <w:rPr>
          <w:sz w:val="28"/>
          <w:szCs w:val="28"/>
          <w:lang w:val="uk-UA"/>
        </w:rPr>
        <w:t>що передує</w:t>
      </w:r>
      <w:r w:rsidR="00206F52" w:rsidRPr="003C3712">
        <w:rPr>
          <w:sz w:val="28"/>
          <w:szCs w:val="28"/>
          <w:lang w:val="uk-UA"/>
        </w:rPr>
        <w:t xml:space="preserve"> року, в якому здійснюється перевірка</w:t>
      </w:r>
      <w:r w:rsidRPr="003C3712">
        <w:rPr>
          <w:sz w:val="28"/>
          <w:szCs w:val="28"/>
          <w:lang w:val="uk-UA"/>
        </w:rPr>
        <w:t>;</w:t>
      </w:r>
    </w:p>
    <w:p w14:paraId="6490D176" w14:textId="77777777" w:rsidR="00382706" w:rsidRPr="003C3712" w:rsidRDefault="00382706" w:rsidP="003C3712">
      <w:pPr>
        <w:tabs>
          <w:tab w:val="left" w:pos="0"/>
          <w:tab w:val="left" w:pos="1134"/>
        </w:tabs>
        <w:ind w:firstLine="851"/>
        <w:jc w:val="both"/>
        <w:rPr>
          <w:sz w:val="28"/>
          <w:szCs w:val="28"/>
          <w:lang w:val="uk-UA"/>
        </w:rPr>
      </w:pPr>
    </w:p>
    <w:p w14:paraId="5C37AA22" w14:textId="678BFB60" w:rsidR="00382706" w:rsidRPr="003C3712" w:rsidRDefault="005272AC" w:rsidP="003C3712">
      <w:pPr>
        <w:tabs>
          <w:tab w:val="left" w:pos="0"/>
          <w:tab w:val="left" w:pos="1134"/>
        </w:tabs>
        <w:ind w:firstLine="851"/>
        <w:jc w:val="both"/>
        <w:rPr>
          <w:sz w:val="28"/>
          <w:szCs w:val="28"/>
          <w:lang w:val="uk-UA"/>
        </w:rPr>
      </w:pPr>
      <w:r w:rsidRPr="003C3712">
        <w:rPr>
          <w:sz w:val="28"/>
          <w:szCs w:val="28"/>
          <w:lang w:val="uk-UA"/>
        </w:rPr>
        <w:t>2</w:t>
      </w:r>
      <w:r w:rsidR="00382706" w:rsidRPr="003C3712">
        <w:rPr>
          <w:sz w:val="28"/>
          <w:szCs w:val="28"/>
          <w:lang w:val="uk-UA"/>
        </w:rPr>
        <w:t>) малі ліцензіати – ліцензіати, що підпадають щонайменше під один з таких параметрів:</w:t>
      </w:r>
    </w:p>
    <w:p w14:paraId="5E86CAD1" w14:textId="01D89E7D" w:rsidR="00382706" w:rsidRPr="003C3712" w:rsidRDefault="00382706" w:rsidP="003C3712">
      <w:pPr>
        <w:tabs>
          <w:tab w:val="left" w:pos="0"/>
          <w:tab w:val="left" w:pos="1134"/>
        </w:tabs>
        <w:ind w:firstLine="851"/>
        <w:jc w:val="both"/>
        <w:rPr>
          <w:sz w:val="28"/>
          <w:szCs w:val="28"/>
          <w:lang w:val="uk-UA"/>
        </w:rPr>
      </w:pPr>
      <w:r w:rsidRPr="003C3712">
        <w:rPr>
          <w:sz w:val="28"/>
          <w:szCs w:val="28"/>
          <w:lang w:val="uk-UA"/>
        </w:rPr>
        <w:t xml:space="preserve">мають встановлену потужність електроустановок до 20 МВт станом </w:t>
      </w:r>
      <w:r w:rsidR="000D4481" w:rsidRPr="003C3712">
        <w:rPr>
          <w:sz w:val="28"/>
          <w:szCs w:val="28"/>
          <w:lang w:val="uk-UA"/>
        </w:rPr>
        <w:t>на кінець періоду, що перевіряється</w:t>
      </w:r>
      <w:r w:rsidR="009D6398" w:rsidRPr="003C3712">
        <w:rPr>
          <w:sz w:val="28"/>
          <w:szCs w:val="28"/>
          <w:lang w:val="uk-UA"/>
        </w:rPr>
        <w:t>,</w:t>
      </w:r>
      <w:r w:rsidR="00875B33" w:rsidRPr="003C3712">
        <w:rPr>
          <w:sz w:val="28"/>
          <w:szCs w:val="28"/>
          <w:lang w:val="uk-UA"/>
        </w:rPr>
        <w:t xml:space="preserve"> </w:t>
      </w:r>
      <w:r w:rsidRPr="003C3712">
        <w:rPr>
          <w:sz w:val="28"/>
          <w:szCs w:val="28"/>
          <w:lang w:val="uk-UA"/>
        </w:rPr>
        <w:t xml:space="preserve">та здійснили виробництво електричної енергії до 100 млн </w:t>
      </w:r>
      <w:proofErr w:type="spellStart"/>
      <w:r w:rsidRPr="003C3712">
        <w:rPr>
          <w:sz w:val="28"/>
          <w:szCs w:val="28"/>
          <w:lang w:val="uk-UA"/>
        </w:rPr>
        <w:t>кВт·год</w:t>
      </w:r>
      <w:proofErr w:type="spellEnd"/>
      <w:r w:rsidRPr="003C3712">
        <w:rPr>
          <w:sz w:val="28"/>
          <w:szCs w:val="28"/>
          <w:lang w:val="uk-UA"/>
        </w:rPr>
        <w:t xml:space="preserve"> </w:t>
      </w:r>
      <w:r w:rsidR="00BD4FA7" w:rsidRPr="003C3712">
        <w:rPr>
          <w:sz w:val="28"/>
          <w:szCs w:val="28"/>
          <w:lang w:val="uk-UA"/>
        </w:rPr>
        <w:t xml:space="preserve">за рік, </w:t>
      </w:r>
      <w:r w:rsidR="009D6398" w:rsidRPr="003C3712">
        <w:rPr>
          <w:sz w:val="28"/>
          <w:szCs w:val="28"/>
          <w:lang w:val="uk-UA"/>
        </w:rPr>
        <w:t xml:space="preserve">що передує </w:t>
      </w:r>
      <w:r w:rsidR="00BD4FA7" w:rsidRPr="003C3712">
        <w:rPr>
          <w:sz w:val="28"/>
          <w:szCs w:val="28"/>
          <w:lang w:val="uk-UA"/>
        </w:rPr>
        <w:t>року, в якому здійснюється перевірка</w:t>
      </w:r>
      <w:r w:rsidRPr="003C3712">
        <w:rPr>
          <w:sz w:val="28"/>
          <w:szCs w:val="28"/>
          <w:lang w:val="uk-UA"/>
        </w:rPr>
        <w:t>;</w:t>
      </w:r>
    </w:p>
    <w:p w14:paraId="741FA66A" w14:textId="608E26D0" w:rsidR="00382706" w:rsidRPr="003C3712" w:rsidRDefault="00382706" w:rsidP="003C3712">
      <w:pPr>
        <w:tabs>
          <w:tab w:val="left" w:pos="0"/>
          <w:tab w:val="left" w:pos="1134"/>
        </w:tabs>
        <w:ind w:firstLine="851"/>
        <w:jc w:val="both"/>
        <w:rPr>
          <w:sz w:val="28"/>
          <w:szCs w:val="28"/>
          <w:lang w:val="uk-UA"/>
        </w:rPr>
      </w:pPr>
      <w:r w:rsidRPr="003C3712">
        <w:rPr>
          <w:sz w:val="28"/>
          <w:szCs w:val="28"/>
          <w:lang w:val="uk-UA"/>
        </w:rPr>
        <w:t xml:space="preserve">мають встановлену потужність електроустановок до 20 МВт станом </w:t>
      </w:r>
      <w:r w:rsidR="000D4481" w:rsidRPr="003C3712">
        <w:rPr>
          <w:sz w:val="28"/>
          <w:szCs w:val="28"/>
          <w:lang w:val="uk-UA"/>
        </w:rPr>
        <w:t>на кінець періоду, що перевіряється</w:t>
      </w:r>
      <w:r w:rsidR="00750E7E" w:rsidRPr="003C3712">
        <w:rPr>
          <w:sz w:val="28"/>
          <w:szCs w:val="28"/>
          <w:lang w:val="uk-UA"/>
        </w:rPr>
        <w:t>,</w:t>
      </w:r>
      <w:r w:rsidR="00875B33" w:rsidRPr="003C3712">
        <w:rPr>
          <w:sz w:val="28"/>
          <w:szCs w:val="28"/>
          <w:lang w:val="uk-UA"/>
        </w:rPr>
        <w:t xml:space="preserve"> </w:t>
      </w:r>
      <w:r w:rsidRPr="003C3712">
        <w:rPr>
          <w:sz w:val="28"/>
          <w:szCs w:val="28"/>
          <w:lang w:val="uk-UA"/>
        </w:rPr>
        <w:t>та дохід (виручку) до 20 млн грн</w:t>
      </w:r>
      <w:r w:rsidR="00BD4FA7" w:rsidRPr="003C3712">
        <w:rPr>
          <w:sz w:val="28"/>
          <w:szCs w:val="28"/>
          <w:lang w:val="uk-UA"/>
        </w:rPr>
        <w:t xml:space="preserve"> за рік, </w:t>
      </w:r>
      <w:r w:rsidR="00750E7E" w:rsidRPr="003C3712">
        <w:rPr>
          <w:sz w:val="28"/>
          <w:szCs w:val="28"/>
          <w:lang w:val="uk-UA"/>
        </w:rPr>
        <w:t xml:space="preserve">що передує </w:t>
      </w:r>
      <w:r w:rsidR="00BD4FA7" w:rsidRPr="003C3712">
        <w:rPr>
          <w:sz w:val="28"/>
          <w:szCs w:val="28"/>
          <w:lang w:val="uk-UA"/>
        </w:rPr>
        <w:t>року, в якому здійснюється перевірка</w:t>
      </w:r>
      <w:r w:rsidRPr="003C3712">
        <w:rPr>
          <w:sz w:val="28"/>
          <w:szCs w:val="28"/>
          <w:lang w:val="uk-UA"/>
        </w:rPr>
        <w:t>;</w:t>
      </w:r>
    </w:p>
    <w:p w14:paraId="3AACFC87" w14:textId="5132652F" w:rsidR="00CD2975" w:rsidRPr="003C3712" w:rsidRDefault="00382706" w:rsidP="003C3712">
      <w:pPr>
        <w:tabs>
          <w:tab w:val="left" w:pos="0"/>
          <w:tab w:val="left" w:pos="1134"/>
        </w:tabs>
        <w:ind w:firstLine="851"/>
        <w:jc w:val="both"/>
        <w:rPr>
          <w:sz w:val="28"/>
          <w:szCs w:val="28"/>
          <w:lang w:val="uk-UA"/>
        </w:rPr>
      </w:pPr>
      <w:r w:rsidRPr="003C3712">
        <w:rPr>
          <w:sz w:val="28"/>
          <w:szCs w:val="28"/>
          <w:lang w:val="uk-UA"/>
        </w:rPr>
        <w:lastRenderedPageBreak/>
        <w:t xml:space="preserve">здійснили виробництво електричної енергії до 100 млн </w:t>
      </w:r>
      <w:proofErr w:type="spellStart"/>
      <w:r w:rsidRPr="003C3712">
        <w:rPr>
          <w:sz w:val="28"/>
          <w:szCs w:val="28"/>
          <w:lang w:val="uk-UA"/>
        </w:rPr>
        <w:t>кВт·год</w:t>
      </w:r>
      <w:proofErr w:type="spellEnd"/>
      <w:r w:rsidRPr="003C3712">
        <w:rPr>
          <w:sz w:val="28"/>
          <w:szCs w:val="28"/>
          <w:lang w:val="uk-UA"/>
        </w:rPr>
        <w:t xml:space="preserve"> та мають дохід (виручку) до 20 млн грн</w:t>
      </w:r>
      <w:r w:rsidR="00BD4FA7" w:rsidRPr="003C3712">
        <w:rPr>
          <w:sz w:val="28"/>
          <w:szCs w:val="28"/>
          <w:lang w:val="uk-UA"/>
        </w:rPr>
        <w:t xml:space="preserve"> за рік, </w:t>
      </w:r>
      <w:r w:rsidR="00750E7E" w:rsidRPr="003C3712">
        <w:rPr>
          <w:sz w:val="28"/>
          <w:szCs w:val="28"/>
          <w:lang w:val="uk-UA"/>
        </w:rPr>
        <w:t>що передує</w:t>
      </w:r>
      <w:r w:rsidR="00BD4FA7" w:rsidRPr="003C3712">
        <w:rPr>
          <w:sz w:val="28"/>
          <w:szCs w:val="28"/>
          <w:lang w:val="uk-UA"/>
        </w:rPr>
        <w:t xml:space="preserve"> року, в якому здійснюється перевірка</w:t>
      </w:r>
      <w:r w:rsidR="00184E58" w:rsidRPr="003C3712">
        <w:rPr>
          <w:sz w:val="28"/>
          <w:szCs w:val="28"/>
          <w:lang w:val="uk-UA"/>
        </w:rPr>
        <w:t>;</w:t>
      </w:r>
    </w:p>
    <w:p w14:paraId="47CD4105" w14:textId="28444964" w:rsidR="005272AC" w:rsidRPr="003C3712" w:rsidRDefault="005272AC" w:rsidP="003C3712">
      <w:pPr>
        <w:tabs>
          <w:tab w:val="left" w:pos="0"/>
          <w:tab w:val="left" w:pos="1134"/>
        </w:tabs>
        <w:ind w:firstLine="851"/>
        <w:jc w:val="both"/>
        <w:rPr>
          <w:sz w:val="28"/>
          <w:szCs w:val="28"/>
          <w:lang w:val="uk-UA"/>
        </w:rPr>
      </w:pPr>
    </w:p>
    <w:p w14:paraId="5EC03C5F" w14:textId="1B89837E" w:rsidR="005272AC" w:rsidRPr="003C3712" w:rsidRDefault="005272AC" w:rsidP="003C3712">
      <w:pPr>
        <w:tabs>
          <w:tab w:val="left" w:pos="0"/>
          <w:tab w:val="left" w:pos="1134"/>
        </w:tabs>
        <w:ind w:firstLine="851"/>
        <w:jc w:val="both"/>
        <w:rPr>
          <w:sz w:val="28"/>
          <w:szCs w:val="28"/>
          <w:lang w:val="uk-UA"/>
        </w:rPr>
      </w:pPr>
      <w:r w:rsidRPr="003C3712">
        <w:rPr>
          <w:sz w:val="28"/>
          <w:szCs w:val="28"/>
          <w:lang w:val="uk-UA"/>
        </w:rPr>
        <w:t>3) інші ліцензіати належать до середніх ліцензіатів.»;</w:t>
      </w:r>
    </w:p>
    <w:p w14:paraId="4941D0DD" w14:textId="2715F4A4" w:rsidR="00666BEF" w:rsidRPr="003C3712" w:rsidRDefault="00666BEF" w:rsidP="003C3712">
      <w:pPr>
        <w:tabs>
          <w:tab w:val="left" w:pos="0"/>
          <w:tab w:val="left" w:pos="1134"/>
        </w:tabs>
        <w:ind w:firstLine="851"/>
        <w:jc w:val="both"/>
        <w:rPr>
          <w:sz w:val="28"/>
          <w:szCs w:val="28"/>
          <w:lang w:val="uk-UA"/>
        </w:rPr>
      </w:pPr>
    </w:p>
    <w:p w14:paraId="10570A3A" w14:textId="12DF66C3" w:rsidR="006B2F27" w:rsidRPr="003C3712" w:rsidRDefault="006B2F27" w:rsidP="003C3712">
      <w:pPr>
        <w:pStyle w:val="a3"/>
        <w:numPr>
          <w:ilvl w:val="0"/>
          <w:numId w:val="25"/>
        </w:numPr>
        <w:tabs>
          <w:tab w:val="left" w:pos="0"/>
          <w:tab w:val="left" w:pos="851"/>
        </w:tabs>
        <w:ind w:left="0" w:firstLine="851"/>
        <w:jc w:val="both"/>
        <w:rPr>
          <w:sz w:val="28"/>
          <w:szCs w:val="28"/>
          <w:lang w:val="uk-UA"/>
        </w:rPr>
      </w:pPr>
      <w:r w:rsidRPr="003C3712">
        <w:rPr>
          <w:sz w:val="28"/>
          <w:szCs w:val="28"/>
          <w:lang w:val="uk-UA"/>
        </w:rPr>
        <w:t xml:space="preserve">у </w:t>
      </w:r>
      <w:r w:rsidR="009E57BF" w:rsidRPr="003C3712">
        <w:rPr>
          <w:sz w:val="28"/>
          <w:szCs w:val="28"/>
          <w:lang w:val="uk-UA"/>
        </w:rPr>
        <w:t>пункт</w:t>
      </w:r>
      <w:r w:rsidR="00A87E85" w:rsidRPr="003C3712">
        <w:rPr>
          <w:sz w:val="28"/>
          <w:szCs w:val="28"/>
          <w:lang w:val="uk-UA"/>
        </w:rPr>
        <w:t>і</w:t>
      </w:r>
      <w:r w:rsidR="009E57BF" w:rsidRPr="003C3712">
        <w:rPr>
          <w:sz w:val="28"/>
          <w:szCs w:val="28"/>
          <w:lang w:val="uk-UA"/>
        </w:rPr>
        <w:t xml:space="preserve"> 2</w:t>
      </w:r>
      <w:r w:rsidR="00A87E85" w:rsidRPr="003C3712">
        <w:rPr>
          <w:sz w:val="28"/>
          <w:szCs w:val="28"/>
          <w:lang w:val="uk-UA"/>
        </w:rPr>
        <w:t>:</w:t>
      </w:r>
    </w:p>
    <w:p w14:paraId="0C1C5216" w14:textId="785A55EB" w:rsidR="00A87E85" w:rsidRPr="003C3712" w:rsidRDefault="002C58E9" w:rsidP="003C3712">
      <w:pPr>
        <w:tabs>
          <w:tab w:val="left" w:pos="0"/>
          <w:tab w:val="left" w:pos="1134"/>
        </w:tabs>
        <w:ind w:firstLine="851"/>
        <w:jc w:val="both"/>
        <w:rPr>
          <w:sz w:val="28"/>
          <w:szCs w:val="28"/>
          <w:lang w:val="uk-UA"/>
        </w:rPr>
      </w:pPr>
      <w:r w:rsidRPr="003C3712">
        <w:rPr>
          <w:sz w:val="28"/>
          <w:szCs w:val="28"/>
          <w:lang w:val="uk-UA"/>
        </w:rPr>
        <w:t xml:space="preserve">у підпунктах 1 та 2 </w:t>
      </w:r>
      <w:r w:rsidR="00A87E85" w:rsidRPr="003C3712">
        <w:rPr>
          <w:sz w:val="28"/>
          <w:szCs w:val="28"/>
          <w:lang w:val="uk-UA"/>
        </w:rPr>
        <w:t>слова «момент порушення» замінити словами</w:t>
      </w:r>
      <w:r w:rsidR="00A852AE" w:rsidRPr="003C3712">
        <w:rPr>
          <w:sz w:val="28"/>
          <w:szCs w:val="28"/>
          <w:lang w:val="uk-UA"/>
        </w:rPr>
        <w:t xml:space="preserve"> та знаком</w:t>
      </w:r>
      <w:r w:rsidR="00A87E85" w:rsidRPr="003C3712">
        <w:rPr>
          <w:sz w:val="28"/>
          <w:szCs w:val="28"/>
          <w:lang w:val="uk-UA"/>
        </w:rPr>
        <w:t xml:space="preserve"> «</w:t>
      </w:r>
      <w:r w:rsidR="000D4481" w:rsidRPr="003C3712">
        <w:rPr>
          <w:sz w:val="28"/>
          <w:szCs w:val="28"/>
          <w:lang w:val="uk-UA"/>
        </w:rPr>
        <w:t>кінець періоду, що перевіряється</w:t>
      </w:r>
      <w:r w:rsidR="00A87E85" w:rsidRPr="003C3712">
        <w:rPr>
          <w:sz w:val="28"/>
          <w:szCs w:val="28"/>
          <w:lang w:val="uk-UA"/>
        </w:rPr>
        <w:t>»;</w:t>
      </w:r>
    </w:p>
    <w:p w14:paraId="133263F3" w14:textId="4C3ECB00" w:rsidR="002C58E9" w:rsidRPr="003C3712" w:rsidRDefault="00A87E85" w:rsidP="003C3712">
      <w:pPr>
        <w:tabs>
          <w:tab w:val="left" w:pos="0"/>
          <w:tab w:val="left" w:pos="1134"/>
        </w:tabs>
        <w:ind w:firstLine="851"/>
        <w:jc w:val="both"/>
        <w:rPr>
          <w:sz w:val="28"/>
          <w:szCs w:val="28"/>
          <w:lang w:val="uk-UA"/>
        </w:rPr>
      </w:pPr>
      <w:r w:rsidRPr="003C3712">
        <w:rPr>
          <w:sz w:val="28"/>
          <w:szCs w:val="28"/>
          <w:lang w:val="uk-UA"/>
        </w:rPr>
        <w:t>у підпункті 3</w:t>
      </w:r>
      <w:r w:rsidR="002C58E9" w:rsidRPr="003C3712">
        <w:rPr>
          <w:sz w:val="28"/>
          <w:szCs w:val="28"/>
          <w:lang w:val="uk-UA"/>
        </w:rPr>
        <w:t>:</w:t>
      </w:r>
    </w:p>
    <w:p w14:paraId="53576692" w14:textId="77777777" w:rsidR="003D7AC9" w:rsidRPr="003C3712" w:rsidRDefault="003D7AC9" w:rsidP="003C3712">
      <w:pPr>
        <w:tabs>
          <w:tab w:val="left" w:pos="0"/>
          <w:tab w:val="left" w:pos="1134"/>
        </w:tabs>
        <w:ind w:firstLine="851"/>
        <w:jc w:val="both"/>
        <w:rPr>
          <w:sz w:val="28"/>
          <w:szCs w:val="28"/>
          <w:lang w:val="uk-UA"/>
        </w:rPr>
      </w:pPr>
      <w:r w:rsidRPr="003C3712">
        <w:rPr>
          <w:sz w:val="28"/>
          <w:szCs w:val="28"/>
          <w:lang w:val="uk-UA"/>
        </w:rPr>
        <w:t>слово, цифри та літери «від 150 кВт» виключити;</w:t>
      </w:r>
    </w:p>
    <w:p w14:paraId="1FFEA13C" w14:textId="1C0059D4" w:rsidR="002C58E9" w:rsidRPr="003C3712" w:rsidRDefault="002C58E9" w:rsidP="003C3712">
      <w:pPr>
        <w:tabs>
          <w:tab w:val="left" w:pos="0"/>
          <w:tab w:val="left" w:pos="1134"/>
        </w:tabs>
        <w:ind w:firstLine="851"/>
        <w:jc w:val="both"/>
        <w:rPr>
          <w:sz w:val="28"/>
          <w:szCs w:val="28"/>
          <w:lang w:val="uk-UA"/>
        </w:rPr>
      </w:pPr>
      <w:r w:rsidRPr="003C3712">
        <w:rPr>
          <w:sz w:val="28"/>
          <w:szCs w:val="28"/>
          <w:lang w:val="uk-UA"/>
        </w:rPr>
        <w:t>слова «момент порушення» замінити словами</w:t>
      </w:r>
      <w:r w:rsidR="005F0486" w:rsidRPr="003C3712">
        <w:rPr>
          <w:sz w:val="28"/>
          <w:szCs w:val="28"/>
          <w:lang w:val="uk-UA"/>
        </w:rPr>
        <w:t xml:space="preserve"> та знаком</w:t>
      </w:r>
      <w:r w:rsidRPr="003C3712">
        <w:rPr>
          <w:sz w:val="28"/>
          <w:szCs w:val="28"/>
          <w:lang w:val="uk-UA"/>
        </w:rPr>
        <w:t xml:space="preserve"> «кінець періоду, що перевіряється»;</w:t>
      </w:r>
    </w:p>
    <w:p w14:paraId="1AF97E47" w14:textId="77777777" w:rsidR="00A87E85" w:rsidRPr="003C3712" w:rsidRDefault="00A87E85" w:rsidP="003C3712">
      <w:pPr>
        <w:tabs>
          <w:tab w:val="left" w:pos="0"/>
          <w:tab w:val="left" w:pos="1134"/>
        </w:tabs>
        <w:ind w:firstLine="851"/>
        <w:jc w:val="both"/>
        <w:rPr>
          <w:sz w:val="28"/>
          <w:szCs w:val="28"/>
          <w:lang w:val="uk-UA"/>
        </w:rPr>
      </w:pPr>
    </w:p>
    <w:p w14:paraId="1B188B0C" w14:textId="6665B6E8" w:rsidR="00666BEF" w:rsidRPr="003C3712" w:rsidRDefault="000E507A" w:rsidP="003C3712">
      <w:pPr>
        <w:pStyle w:val="a3"/>
        <w:numPr>
          <w:ilvl w:val="0"/>
          <w:numId w:val="25"/>
        </w:numPr>
        <w:ind w:left="0" w:firstLine="851"/>
        <w:jc w:val="both"/>
        <w:rPr>
          <w:sz w:val="28"/>
          <w:szCs w:val="28"/>
          <w:lang w:val="uk-UA"/>
        </w:rPr>
      </w:pPr>
      <w:r w:rsidRPr="003C3712">
        <w:rPr>
          <w:sz w:val="28"/>
          <w:szCs w:val="28"/>
          <w:lang w:val="uk-UA"/>
        </w:rPr>
        <w:t>пункт 3 викласти в такій редакції</w:t>
      </w:r>
      <w:r w:rsidR="00390C66" w:rsidRPr="003C3712">
        <w:rPr>
          <w:sz w:val="28"/>
          <w:szCs w:val="28"/>
          <w:lang w:val="uk-UA"/>
        </w:rPr>
        <w:t>:</w:t>
      </w:r>
    </w:p>
    <w:p w14:paraId="0D5A680E" w14:textId="4EC6A2B3" w:rsidR="00390C66" w:rsidRPr="003C3712" w:rsidRDefault="00390C66" w:rsidP="003C3712">
      <w:pPr>
        <w:tabs>
          <w:tab w:val="left" w:pos="0"/>
          <w:tab w:val="left" w:pos="1134"/>
        </w:tabs>
        <w:ind w:firstLine="851"/>
        <w:jc w:val="both"/>
        <w:rPr>
          <w:sz w:val="28"/>
          <w:szCs w:val="28"/>
          <w:lang w:val="uk-UA"/>
        </w:rPr>
      </w:pPr>
      <w:r w:rsidRPr="003C3712">
        <w:rPr>
          <w:sz w:val="28"/>
          <w:szCs w:val="28"/>
          <w:lang w:val="uk-UA"/>
        </w:rPr>
        <w:t>«3. Для ліцензіатів, які провадять господарську діяльність з розподілу електричної енергії та розподілу електричної енергії мал</w:t>
      </w:r>
      <w:r w:rsidR="002D5289" w:rsidRPr="003C3712">
        <w:rPr>
          <w:sz w:val="28"/>
          <w:szCs w:val="28"/>
          <w:lang w:val="uk-UA"/>
        </w:rPr>
        <w:t>ою</w:t>
      </w:r>
      <w:r w:rsidRPr="003C3712">
        <w:rPr>
          <w:sz w:val="28"/>
          <w:szCs w:val="28"/>
          <w:lang w:val="uk-UA"/>
        </w:rPr>
        <w:t xml:space="preserve"> систем</w:t>
      </w:r>
      <w:r w:rsidR="002D5289" w:rsidRPr="003C3712">
        <w:rPr>
          <w:sz w:val="28"/>
          <w:szCs w:val="28"/>
          <w:lang w:val="uk-UA"/>
        </w:rPr>
        <w:t>ою</w:t>
      </w:r>
      <w:r w:rsidRPr="003C3712">
        <w:rPr>
          <w:sz w:val="28"/>
          <w:szCs w:val="28"/>
          <w:lang w:val="uk-UA"/>
        </w:rPr>
        <w:t xml:space="preserve"> розподілу:</w:t>
      </w:r>
    </w:p>
    <w:p w14:paraId="60568CC4" w14:textId="77777777" w:rsidR="00390C66" w:rsidRPr="003C3712" w:rsidRDefault="00390C66" w:rsidP="003C3712">
      <w:pPr>
        <w:tabs>
          <w:tab w:val="left" w:pos="0"/>
          <w:tab w:val="left" w:pos="1134"/>
        </w:tabs>
        <w:ind w:firstLine="851"/>
        <w:jc w:val="both"/>
        <w:rPr>
          <w:sz w:val="28"/>
          <w:szCs w:val="28"/>
          <w:lang w:val="uk-UA"/>
        </w:rPr>
      </w:pPr>
    </w:p>
    <w:p w14:paraId="7363376E" w14:textId="57105B0D" w:rsidR="00390C66" w:rsidRPr="003C3712" w:rsidRDefault="00390C66" w:rsidP="003C3712">
      <w:pPr>
        <w:tabs>
          <w:tab w:val="left" w:pos="0"/>
          <w:tab w:val="left" w:pos="1134"/>
        </w:tabs>
        <w:ind w:firstLine="851"/>
        <w:jc w:val="both"/>
        <w:rPr>
          <w:sz w:val="28"/>
          <w:szCs w:val="28"/>
          <w:lang w:val="uk-UA"/>
        </w:rPr>
      </w:pPr>
      <w:r w:rsidRPr="003C3712">
        <w:rPr>
          <w:sz w:val="28"/>
          <w:szCs w:val="28"/>
          <w:lang w:val="uk-UA"/>
        </w:rPr>
        <w:t>1) великі ліцензіати – ліцензіати, що підпадають щонайменше під один з таких параметрів:</w:t>
      </w:r>
    </w:p>
    <w:p w14:paraId="40527D4F" w14:textId="66D67C12" w:rsidR="00390C66" w:rsidRPr="003C3712" w:rsidRDefault="00390C66" w:rsidP="003C3712">
      <w:pPr>
        <w:tabs>
          <w:tab w:val="left" w:pos="0"/>
          <w:tab w:val="left" w:pos="1134"/>
        </w:tabs>
        <w:ind w:firstLine="851"/>
        <w:jc w:val="both"/>
        <w:rPr>
          <w:sz w:val="28"/>
          <w:szCs w:val="28"/>
          <w:lang w:val="uk-UA"/>
        </w:rPr>
      </w:pPr>
      <w:r w:rsidRPr="003C3712">
        <w:rPr>
          <w:sz w:val="28"/>
          <w:szCs w:val="28"/>
          <w:lang w:val="uk-UA"/>
        </w:rPr>
        <w:t xml:space="preserve">мають кількість приєднаних споживачів понад </w:t>
      </w:r>
      <w:r w:rsidR="009F6E97" w:rsidRPr="003C3712">
        <w:rPr>
          <w:sz w:val="28"/>
          <w:szCs w:val="28"/>
          <w:lang w:val="uk-UA"/>
        </w:rPr>
        <w:t>750</w:t>
      </w:r>
      <w:r w:rsidRPr="003C3712">
        <w:rPr>
          <w:sz w:val="28"/>
          <w:szCs w:val="28"/>
          <w:lang w:val="uk-UA"/>
        </w:rPr>
        <w:t xml:space="preserve"> </w:t>
      </w:r>
      <w:r w:rsidR="009F6E97" w:rsidRPr="003C3712">
        <w:rPr>
          <w:sz w:val="28"/>
          <w:szCs w:val="28"/>
          <w:lang w:val="uk-UA"/>
        </w:rPr>
        <w:t>тисяч</w:t>
      </w:r>
      <w:r w:rsidRPr="003C3712">
        <w:rPr>
          <w:sz w:val="28"/>
          <w:szCs w:val="28"/>
          <w:lang w:val="uk-UA"/>
        </w:rPr>
        <w:t xml:space="preserve"> (включно) та обсяг розподілу електричної енергії – понад </w:t>
      </w:r>
      <w:r w:rsidR="009146E2" w:rsidRPr="003C3712">
        <w:rPr>
          <w:sz w:val="28"/>
          <w:szCs w:val="28"/>
          <w:lang w:val="uk-UA"/>
        </w:rPr>
        <w:t>2 000</w:t>
      </w:r>
      <w:r w:rsidRPr="003C3712">
        <w:rPr>
          <w:sz w:val="28"/>
          <w:szCs w:val="28"/>
          <w:lang w:val="uk-UA"/>
        </w:rPr>
        <w:t xml:space="preserve"> млн </w:t>
      </w:r>
      <w:proofErr w:type="spellStart"/>
      <w:r w:rsidRPr="003C3712">
        <w:rPr>
          <w:sz w:val="28"/>
          <w:szCs w:val="28"/>
          <w:lang w:val="uk-UA"/>
        </w:rPr>
        <w:t>кВт·год</w:t>
      </w:r>
      <w:proofErr w:type="spellEnd"/>
      <w:r w:rsidRPr="003C3712">
        <w:rPr>
          <w:sz w:val="28"/>
          <w:szCs w:val="28"/>
          <w:lang w:val="uk-UA"/>
        </w:rPr>
        <w:t xml:space="preserve"> (включно) </w:t>
      </w:r>
      <w:r w:rsidR="006750CC" w:rsidRPr="003C3712">
        <w:rPr>
          <w:sz w:val="28"/>
          <w:szCs w:val="28"/>
          <w:lang w:val="uk-UA"/>
        </w:rPr>
        <w:t xml:space="preserve">за рік, </w:t>
      </w:r>
      <w:r w:rsidR="0018304A" w:rsidRPr="003C3712">
        <w:rPr>
          <w:sz w:val="28"/>
          <w:szCs w:val="28"/>
          <w:lang w:val="uk-UA"/>
        </w:rPr>
        <w:t xml:space="preserve">що передує </w:t>
      </w:r>
      <w:r w:rsidR="006750CC" w:rsidRPr="003C3712">
        <w:rPr>
          <w:sz w:val="28"/>
          <w:szCs w:val="28"/>
          <w:lang w:val="uk-UA"/>
        </w:rPr>
        <w:t>року, в якому здійснюється перевірка</w:t>
      </w:r>
      <w:r w:rsidRPr="003C3712">
        <w:rPr>
          <w:sz w:val="28"/>
          <w:szCs w:val="28"/>
          <w:lang w:val="uk-UA"/>
        </w:rPr>
        <w:t>;</w:t>
      </w:r>
    </w:p>
    <w:p w14:paraId="379E0D67" w14:textId="5C00A173" w:rsidR="00390C66" w:rsidRPr="003C3712" w:rsidRDefault="00390C66" w:rsidP="003C3712">
      <w:pPr>
        <w:tabs>
          <w:tab w:val="left" w:pos="0"/>
          <w:tab w:val="left" w:pos="1134"/>
        </w:tabs>
        <w:ind w:firstLine="851"/>
        <w:jc w:val="both"/>
        <w:rPr>
          <w:sz w:val="28"/>
          <w:szCs w:val="28"/>
          <w:lang w:val="uk-UA"/>
        </w:rPr>
      </w:pPr>
      <w:r w:rsidRPr="003C3712">
        <w:rPr>
          <w:sz w:val="28"/>
          <w:szCs w:val="28"/>
          <w:lang w:val="uk-UA"/>
        </w:rPr>
        <w:t xml:space="preserve">мають кількість приєднаних споживачів понад </w:t>
      </w:r>
      <w:r w:rsidR="006750CC" w:rsidRPr="003C3712">
        <w:rPr>
          <w:sz w:val="28"/>
          <w:szCs w:val="28"/>
          <w:lang w:val="uk-UA"/>
        </w:rPr>
        <w:t xml:space="preserve">750 тисяч </w:t>
      </w:r>
      <w:r w:rsidRPr="003C3712">
        <w:rPr>
          <w:sz w:val="28"/>
          <w:szCs w:val="28"/>
          <w:lang w:val="uk-UA"/>
        </w:rPr>
        <w:t xml:space="preserve">(включно) та дохід (виручку) – понад </w:t>
      </w:r>
      <w:r w:rsidR="009146E2" w:rsidRPr="003C3712">
        <w:rPr>
          <w:sz w:val="28"/>
          <w:szCs w:val="28"/>
          <w:lang w:val="uk-UA"/>
        </w:rPr>
        <w:t>1 5</w:t>
      </w:r>
      <w:r w:rsidRPr="003C3712">
        <w:rPr>
          <w:sz w:val="28"/>
          <w:szCs w:val="28"/>
          <w:lang w:val="uk-UA"/>
        </w:rPr>
        <w:t xml:space="preserve">00 </w:t>
      </w:r>
      <w:r w:rsidR="009146E2" w:rsidRPr="003C3712">
        <w:rPr>
          <w:sz w:val="28"/>
          <w:szCs w:val="28"/>
          <w:lang w:val="uk-UA"/>
        </w:rPr>
        <w:t>млн</w:t>
      </w:r>
      <w:r w:rsidRPr="003C3712">
        <w:rPr>
          <w:sz w:val="28"/>
          <w:szCs w:val="28"/>
          <w:lang w:val="uk-UA"/>
        </w:rPr>
        <w:t xml:space="preserve"> грн (включно)</w:t>
      </w:r>
      <w:r w:rsidR="007265F4" w:rsidRPr="003C3712">
        <w:rPr>
          <w:sz w:val="28"/>
          <w:szCs w:val="28"/>
          <w:lang w:val="uk-UA"/>
        </w:rPr>
        <w:t xml:space="preserve"> за рік, </w:t>
      </w:r>
      <w:r w:rsidR="0018304A" w:rsidRPr="003C3712">
        <w:rPr>
          <w:sz w:val="28"/>
          <w:szCs w:val="28"/>
          <w:lang w:val="uk-UA"/>
        </w:rPr>
        <w:t xml:space="preserve">що передує </w:t>
      </w:r>
      <w:r w:rsidR="007265F4" w:rsidRPr="003C3712">
        <w:rPr>
          <w:sz w:val="28"/>
          <w:szCs w:val="28"/>
          <w:lang w:val="uk-UA"/>
        </w:rPr>
        <w:t>року, в якому здійснюється перевірка</w:t>
      </w:r>
      <w:r w:rsidRPr="003C3712">
        <w:rPr>
          <w:sz w:val="28"/>
          <w:szCs w:val="28"/>
          <w:lang w:val="uk-UA"/>
        </w:rPr>
        <w:t>;</w:t>
      </w:r>
    </w:p>
    <w:p w14:paraId="4574E9C1" w14:textId="415748DE" w:rsidR="00390C66" w:rsidRPr="003C3712" w:rsidRDefault="00390C66" w:rsidP="003C3712">
      <w:pPr>
        <w:tabs>
          <w:tab w:val="left" w:pos="0"/>
          <w:tab w:val="left" w:pos="1134"/>
        </w:tabs>
        <w:ind w:firstLine="851"/>
        <w:jc w:val="both"/>
        <w:rPr>
          <w:sz w:val="28"/>
          <w:szCs w:val="28"/>
          <w:lang w:val="uk-UA"/>
        </w:rPr>
      </w:pPr>
      <w:r w:rsidRPr="003C3712">
        <w:rPr>
          <w:sz w:val="28"/>
          <w:szCs w:val="28"/>
          <w:lang w:val="uk-UA"/>
        </w:rPr>
        <w:t xml:space="preserve">мають обсяг розподілу електричної енергії – понад </w:t>
      </w:r>
      <w:r w:rsidR="004F079E" w:rsidRPr="003C3712">
        <w:rPr>
          <w:sz w:val="28"/>
          <w:szCs w:val="28"/>
          <w:lang w:val="uk-UA"/>
        </w:rPr>
        <w:t xml:space="preserve">2 000 млн </w:t>
      </w:r>
      <w:proofErr w:type="spellStart"/>
      <w:r w:rsidRPr="003C3712">
        <w:rPr>
          <w:sz w:val="28"/>
          <w:szCs w:val="28"/>
          <w:lang w:val="uk-UA"/>
        </w:rPr>
        <w:t>кВт·год</w:t>
      </w:r>
      <w:proofErr w:type="spellEnd"/>
      <w:r w:rsidRPr="003C3712">
        <w:rPr>
          <w:sz w:val="28"/>
          <w:szCs w:val="28"/>
          <w:lang w:val="uk-UA"/>
        </w:rPr>
        <w:t xml:space="preserve"> (включно) </w:t>
      </w:r>
      <w:r w:rsidR="0018304A" w:rsidRPr="003C3712">
        <w:rPr>
          <w:sz w:val="28"/>
          <w:szCs w:val="28"/>
          <w:lang w:val="uk-UA"/>
        </w:rPr>
        <w:t xml:space="preserve">за рік, що передує року, в якому здійснюється перевірка, </w:t>
      </w:r>
      <w:r w:rsidRPr="003C3712">
        <w:rPr>
          <w:sz w:val="28"/>
          <w:szCs w:val="28"/>
          <w:lang w:val="uk-UA"/>
        </w:rPr>
        <w:t xml:space="preserve">та дохід (виручку) – понад </w:t>
      </w:r>
      <w:r w:rsidR="004F079E" w:rsidRPr="003C3712">
        <w:rPr>
          <w:sz w:val="28"/>
          <w:szCs w:val="28"/>
          <w:lang w:val="uk-UA"/>
        </w:rPr>
        <w:t>1 500 млн</w:t>
      </w:r>
      <w:r w:rsidR="00B3448F" w:rsidRPr="003C3712">
        <w:rPr>
          <w:sz w:val="28"/>
          <w:szCs w:val="28"/>
          <w:lang w:val="uk-UA"/>
        </w:rPr>
        <w:t xml:space="preserve"> </w:t>
      </w:r>
      <w:r w:rsidRPr="003C3712">
        <w:rPr>
          <w:sz w:val="28"/>
          <w:szCs w:val="28"/>
          <w:lang w:val="uk-UA"/>
        </w:rPr>
        <w:t>грн (включно)</w:t>
      </w:r>
      <w:r w:rsidR="00B3448F" w:rsidRPr="003C3712">
        <w:rPr>
          <w:sz w:val="28"/>
          <w:szCs w:val="28"/>
          <w:lang w:val="uk-UA"/>
        </w:rPr>
        <w:t xml:space="preserve"> за рік, </w:t>
      </w:r>
      <w:r w:rsidR="0018304A" w:rsidRPr="003C3712">
        <w:rPr>
          <w:sz w:val="28"/>
          <w:szCs w:val="28"/>
          <w:lang w:val="uk-UA"/>
        </w:rPr>
        <w:t xml:space="preserve">що передує </w:t>
      </w:r>
      <w:r w:rsidR="00B3448F" w:rsidRPr="003C3712">
        <w:rPr>
          <w:sz w:val="28"/>
          <w:szCs w:val="28"/>
          <w:lang w:val="uk-UA"/>
        </w:rPr>
        <w:t>року, в якому здійснюється перевірка</w:t>
      </w:r>
      <w:r w:rsidRPr="003C3712">
        <w:rPr>
          <w:sz w:val="28"/>
          <w:szCs w:val="28"/>
          <w:lang w:val="uk-UA"/>
        </w:rPr>
        <w:t>;</w:t>
      </w:r>
    </w:p>
    <w:p w14:paraId="12DE6E30" w14:textId="77777777" w:rsidR="00390C66" w:rsidRPr="003C3712" w:rsidRDefault="00390C66" w:rsidP="003C3712">
      <w:pPr>
        <w:tabs>
          <w:tab w:val="left" w:pos="0"/>
          <w:tab w:val="left" w:pos="1134"/>
        </w:tabs>
        <w:ind w:firstLine="851"/>
        <w:jc w:val="both"/>
        <w:rPr>
          <w:sz w:val="28"/>
          <w:szCs w:val="28"/>
          <w:lang w:val="uk-UA"/>
        </w:rPr>
      </w:pPr>
    </w:p>
    <w:p w14:paraId="7A35D8F6" w14:textId="2ED8E616" w:rsidR="00390C66" w:rsidRPr="003C3712" w:rsidRDefault="00E126DB" w:rsidP="003C3712">
      <w:pPr>
        <w:tabs>
          <w:tab w:val="left" w:pos="0"/>
          <w:tab w:val="left" w:pos="1134"/>
        </w:tabs>
        <w:ind w:firstLine="851"/>
        <w:jc w:val="both"/>
        <w:rPr>
          <w:sz w:val="28"/>
          <w:szCs w:val="28"/>
          <w:lang w:val="uk-UA"/>
        </w:rPr>
      </w:pPr>
      <w:r w:rsidRPr="003C3712">
        <w:rPr>
          <w:sz w:val="28"/>
          <w:szCs w:val="28"/>
          <w:lang w:val="uk-UA"/>
        </w:rPr>
        <w:t>2</w:t>
      </w:r>
      <w:r w:rsidR="00390C66" w:rsidRPr="003C3712">
        <w:rPr>
          <w:sz w:val="28"/>
          <w:szCs w:val="28"/>
          <w:lang w:val="uk-UA"/>
        </w:rPr>
        <w:t>) малі ліцензіати – ліцензіати, що підпадають щонайменше під один з таких параметрів:</w:t>
      </w:r>
    </w:p>
    <w:p w14:paraId="7ED1580A" w14:textId="4A658B2D" w:rsidR="00390C66" w:rsidRPr="003C3712" w:rsidRDefault="00390C66" w:rsidP="003C3712">
      <w:pPr>
        <w:tabs>
          <w:tab w:val="left" w:pos="0"/>
          <w:tab w:val="left" w:pos="1134"/>
        </w:tabs>
        <w:ind w:firstLine="851"/>
        <w:jc w:val="both"/>
        <w:rPr>
          <w:sz w:val="28"/>
          <w:szCs w:val="28"/>
          <w:lang w:val="uk-UA"/>
        </w:rPr>
      </w:pPr>
      <w:r w:rsidRPr="003C3712">
        <w:rPr>
          <w:sz w:val="28"/>
          <w:szCs w:val="28"/>
          <w:lang w:val="uk-UA"/>
        </w:rPr>
        <w:t xml:space="preserve">мають кількість приєднаних споживачів менше </w:t>
      </w:r>
      <w:r w:rsidR="00E126DB" w:rsidRPr="003C3712">
        <w:rPr>
          <w:sz w:val="28"/>
          <w:szCs w:val="28"/>
          <w:lang w:val="uk-UA"/>
        </w:rPr>
        <w:t>75</w:t>
      </w:r>
      <w:r w:rsidRPr="003C3712">
        <w:rPr>
          <w:sz w:val="28"/>
          <w:szCs w:val="28"/>
          <w:lang w:val="uk-UA"/>
        </w:rPr>
        <w:t xml:space="preserve"> тисяч та обсяг розподілу електричної енергії – до </w:t>
      </w:r>
      <w:r w:rsidR="00801FAA" w:rsidRPr="003C3712">
        <w:rPr>
          <w:sz w:val="28"/>
          <w:szCs w:val="28"/>
          <w:lang w:val="uk-UA"/>
        </w:rPr>
        <w:t>5</w:t>
      </w:r>
      <w:r w:rsidRPr="003C3712">
        <w:rPr>
          <w:sz w:val="28"/>
          <w:szCs w:val="28"/>
          <w:lang w:val="uk-UA"/>
        </w:rPr>
        <w:t xml:space="preserve">00 млн </w:t>
      </w:r>
      <w:proofErr w:type="spellStart"/>
      <w:r w:rsidRPr="003C3712">
        <w:rPr>
          <w:sz w:val="28"/>
          <w:szCs w:val="28"/>
          <w:lang w:val="uk-UA"/>
        </w:rPr>
        <w:t>кВт·год</w:t>
      </w:r>
      <w:proofErr w:type="spellEnd"/>
      <w:r w:rsidRPr="003C3712">
        <w:rPr>
          <w:sz w:val="28"/>
          <w:szCs w:val="28"/>
          <w:lang w:val="uk-UA"/>
        </w:rPr>
        <w:t xml:space="preserve"> </w:t>
      </w:r>
      <w:r w:rsidR="00801FAA" w:rsidRPr="003C3712">
        <w:rPr>
          <w:sz w:val="28"/>
          <w:szCs w:val="28"/>
          <w:lang w:val="uk-UA"/>
        </w:rPr>
        <w:t xml:space="preserve">за рік, </w:t>
      </w:r>
      <w:r w:rsidR="0018304A" w:rsidRPr="003C3712">
        <w:rPr>
          <w:sz w:val="28"/>
          <w:szCs w:val="28"/>
          <w:lang w:val="uk-UA"/>
        </w:rPr>
        <w:t xml:space="preserve">що передує </w:t>
      </w:r>
      <w:r w:rsidR="00801FAA" w:rsidRPr="003C3712">
        <w:rPr>
          <w:sz w:val="28"/>
          <w:szCs w:val="28"/>
          <w:lang w:val="uk-UA"/>
        </w:rPr>
        <w:t>року, в якому здійснюється перевірка</w:t>
      </w:r>
      <w:r w:rsidRPr="003C3712">
        <w:rPr>
          <w:sz w:val="28"/>
          <w:szCs w:val="28"/>
          <w:lang w:val="uk-UA"/>
        </w:rPr>
        <w:t>;</w:t>
      </w:r>
    </w:p>
    <w:p w14:paraId="402B6F72" w14:textId="6ED0CCFB" w:rsidR="00390C66" w:rsidRPr="003C3712" w:rsidRDefault="00390C66" w:rsidP="003C3712">
      <w:pPr>
        <w:tabs>
          <w:tab w:val="left" w:pos="0"/>
          <w:tab w:val="left" w:pos="1134"/>
        </w:tabs>
        <w:ind w:firstLine="851"/>
        <w:jc w:val="both"/>
        <w:rPr>
          <w:sz w:val="28"/>
          <w:szCs w:val="28"/>
          <w:lang w:val="uk-UA"/>
        </w:rPr>
      </w:pPr>
      <w:r w:rsidRPr="003C3712">
        <w:rPr>
          <w:sz w:val="28"/>
          <w:szCs w:val="28"/>
          <w:lang w:val="uk-UA"/>
        </w:rPr>
        <w:t xml:space="preserve">мають кількість приєднаних споживачів менше </w:t>
      </w:r>
      <w:r w:rsidR="00E126DB" w:rsidRPr="003C3712">
        <w:rPr>
          <w:sz w:val="28"/>
          <w:szCs w:val="28"/>
          <w:lang w:val="uk-UA"/>
        </w:rPr>
        <w:t>75</w:t>
      </w:r>
      <w:r w:rsidRPr="003C3712">
        <w:rPr>
          <w:sz w:val="28"/>
          <w:szCs w:val="28"/>
          <w:lang w:val="uk-UA"/>
        </w:rPr>
        <w:t xml:space="preserve"> тисяч та дохід (виручку)</w:t>
      </w:r>
      <w:r w:rsidR="00E126DB" w:rsidRPr="003C3712">
        <w:rPr>
          <w:sz w:val="28"/>
          <w:szCs w:val="28"/>
          <w:lang w:val="uk-UA"/>
        </w:rPr>
        <w:t xml:space="preserve"> </w:t>
      </w:r>
      <w:r w:rsidRPr="003C3712">
        <w:rPr>
          <w:sz w:val="28"/>
          <w:szCs w:val="28"/>
          <w:lang w:val="uk-UA"/>
        </w:rPr>
        <w:t>– до 500 тис. грн</w:t>
      </w:r>
      <w:r w:rsidR="00E126DB" w:rsidRPr="003C3712">
        <w:rPr>
          <w:sz w:val="28"/>
          <w:szCs w:val="28"/>
          <w:lang w:val="uk-UA"/>
        </w:rPr>
        <w:t xml:space="preserve"> за рік, </w:t>
      </w:r>
      <w:r w:rsidR="0018304A" w:rsidRPr="003C3712">
        <w:rPr>
          <w:sz w:val="28"/>
          <w:szCs w:val="28"/>
          <w:lang w:val="uk-UA"/>
        </w:rPr>
        <w:t xml:space="preserve">що передує </w:t>
      </w:r>
      <w:r w:rsidR="00E126DB" w:rsidRPr="003C3712">
        <w:rPr>
          <w:sz w:val="28"/>
          <w:szCs w:val="28"/>
          <w:lang w:val="uk-UA"/>
        </w:rPr>
        <w:t>року, в якому здійснюється перевірка</w:t>
      </w:r>
      <w:r w:rsidRPr="003C3712">
        <w:rPr>
          <w:sz w:val="28"/>
          <w:szCs w:val="28"/>
          <w:lang w:val="uk-UA"/>
        </w:rPr>
        <w:t>;</w:t>
      </w:r>
    </w:p>
    <w:p w14:paraId="313D5D42" w14:textId="5890285E" w:rsidR="00666BEF" w:rsidRPr="003C3712" w:rsidRDefault="00390C66" w:rsidP="003C3712">
      <w:pPr>
        <w:tabs>
          <w:tab w:val="left" w:pos="0"/>
          <w:tab w:val="left" w:pos="1134"/>
        </w:tabs>
        <w:ind w:firstLine="851"/>
        <w:jc w:val="both"/>
        <w:rPr>
          <w:sz w:val="28"/>
          <w:szCs w:val="28"/>
          <w:lang w:val="uk-UA"/>
        </w:rPr>
      </w:pPr>
      <w:r w:rsidRPr="003C3712">
        <w:rPr>
          <w:sz w:val="28"/>
          <w:szCs w:val="28"/>
          <w:lang w:val="uk-UA"/>
        </w:rPr>
        <w:t xml:space="preserve">мають обсяг розподілу електричної енергії – до </w:t>
      </w:r>
      <w:r w:rsidR="00E126DB" w:rsidRPr="003C3712">
        <w:rPr>
          <w:sz w:val="28"/>
          <w:szCs w:val="28"/>
          <w:lang w:val="uk-UA"/>
        </w:rPr>
        <w:t>5</w:t>
      </w:r>
      <w:r w:rsidRPr="003C3712">
        <w:rPr>
          <w:sz w:val="28"/>
          <w:szCs w:val="28"/>
          <w:lang w:val="uk-UA"/>
        </w:rPr>
        <w:t xml:space="preserve">00 млн </w:t>
      </w:r>
      <w:proofErr w:type="spellStart"/>
      <w:r w:rsidRPr="003C3712">
        <w:rPr>
          <w:sz w:val="28"/>
          <w:szCs w:val="28"/>
          <w:lang w:val="uk-UA"/>
        </w:rPr>
        <w:t>кВт·год</w:t>
      </w:r>
      <w:proofErr w:type="spellEnd"/>
      <w:r w:rsidRPr="003C3712">
        <w:rPr>
          <w:sz w:val="28"/>
          <w:szCs w:val="28"/>
          <w:lang w:val="uk-UA"/>
        </w:rPr>
        <w:t xml:space="preserve"> </w:t>
      </w:r>
      <w:r w:rsidR="0018304A" w:rsidRPr="003C3712">
        <w:rPr>
          <w:sz w:val="28"/>
          <w:szCs w:val="28"/>
          <w:lang w:val="uk-UA"/>
        </w:rPr>
        <w:t xml:space="preserve">за рік, що передує року, в якому здійснюється перевірка, </w:t>
      </w:r>
      <w:r w:rsidRPr="003C3712">
        <w:rPr>
          <w:sz w:val="28"/>
          <w:szCs w:val="28"/>
          <w:lang w:val="uk-UA"/>
        </w:rPr>
        <w:t>та дохід (виручку) – до 500 тис. грн</w:t>
      </w:r>
      <w:r w:rsidR="00E126DB" w:rsidRPr="003C3712">
        <w:rPr>
          <w:sz w:val="28"/>
          <w:szCs w:val="28"/>
          <w:lang w:val="uk-UA"/>
        </w:rPr>
        <w:t xml:space="preserve"> за рік, </w:t>
      </w:r>
      <w:r w:rsidR="00A74CD0" w:rsidRPr="003C3712">
        <w:rPr>
          <w:sz w:val="28"/>
          <w:szCs w:val="28"/>
          <w:lang w:val="uk-UA"/>
        </w:rPr>
        <w:t xml:space="preserve">що передує </w:t>
      </w:r>
      <w:r w:rsidR="00E126DB" w:rsidRPr="003C3712">
        <w:rPr>
          <w:sz w:val="28"/>
          <w:szCs w:val="28"/>
          <w:lang w:val="uk-UA"/>
        </w:rPr>
        <w:t>року, в якому здійснюється перевірка;</w:t>
      </w:r>
    </w:p>
    <w:p w14:paraId="2BB2D8D7" w14:textId="07358A19" w:rsidR="00666BEF" w:rsidRPr="003C3712" w:rsidRDefault="00666BEF" w:rsidP="003C3712">
      <w:pPr>
        <w:tabs>
          <w:tab w:val="left" w:pos="0"/>
          <w:tab w:val="left" w:pos="1134"/>
        </w:tabs>
        <w:ind w:firstLine="851"/>
        <w:jc w:val="both"/>
        <w:rPr>
          <w:sz w:val="28"/>
          <w:szCs w:val="28"/>
          <w:lang w:val="uk-UA"/>
        </w:rPr>
      </w:pPr>
    </w:p>
    <w:p w14:paraId="2BFF9A54" w14:textId="4EA1EF14" w:rsidR="00666BEF" w:rsidRPr="003C3712" w:rsidRDefault="00E126DB" w:rsidP="003C3712">
      <w:pPr>
        <w:tabs>
          <w:tab w:val="left" w:pos="0"/>
          <w:tab w:val="left" w:pos="1134"/>
        </w:tabs>
        <w:ind w:firstLine="851"/>
        <w:jc w:val="both"/>
        <w:rPr>
          <w:sz w:val="28"/>
          <w:szCs w:val="28"/>
          <w:lang w:val="uk-UA"/>
        </w:rPr>
      </w:pPr>
      <w:r w:rsidRPr="003C3712">
        <w:rPr>
          <w:sz w:val="28"/>
          <w:szCs w:val="28"/>
          <w:lang w:val="uk-UA"/>
        </w:rPr>
        <w:t>3) інші ліцензіати належать до середніх ліцензіатів.»;</w:t>
      </w:r>
    </w:p>
    <w:p w14:paraId="12327AB0" w14:textId="35997885" w:rsidR="000E507A" w:rsidRPr="003C3712" w:rsidRDefault="000E507A" w:rsidP="003C3712">
      <w:pPr>
        <w:tabs>
          <w:tab w:val="left" w:pos="0"/>
          <w:tab w:val="left" w:pos="1134"/>
        </w:tabs>
        <w:ind w:firstLine="851"/>
        <w:jc w:val="both"/>
        <w:rPr>
          <w:sz w:val="28"/>
          <w:szCs w:val="28"/>
          <w:lang w:val="uk-UA"/>
        </w:rPr>
      </w:pPr>
    </w:p>
    <w:p w14:paraId="5BB16433" w14:textId="455A71FC" w:rsidR="000E507A" w:rsidRPr="003C3712" w:rsidRDefault="00585454" w:rsidP="003C3712">
      <w:pPr>
        <w:pStyle w:val="a3"/>
        <w:numPr>
          <w:ilvl w:val="0"/>
          <w:numId w:val="25"/>
        </w:numPr>
        <w:tabs>
          <w:tab w:val="left" w:pos="0"/>
          <w:tab w:val="left" w:pos="851"/>
        </w:tabs>
        <w:ind w:left="0" w:firstLine="851"/>
        <w:jc w:val="both"/>
        <w:rPr>
          <w:sz w:val="28"/>
          <w:szCs w:val="28"/>
          <w:lang w:val="uk-UA"/>
        </w:rPr>
      </w:pPr>
      <w:r w:rsidRPr="003C3712">
        <w:rPr>
          <w:sz w:val="28"/>
          <w:szCs w:val="28"/>
          <w:lang w:val="uk-UA"/>
        </w:rPr>
        <w:lastRenderedPageBreak/>
        <w:t xml:space="preserve">у </w:t>
      </w:r>
      <w:r w:rsidR="00A769D5" w:rsidRPr="003C3712">
        <w:rPr>
          <w:sz w:val="28"/>
          <w:szCs w:val="28"/>
          <w:lang w:val="uk-UA"/>
        </w:rPr>
        <w:t xml:space="preserve">підпунктах 1 – 3 </w:t>
      </w:r>
      <w:r w:rsidRPr="003C3712">
        <w:rPr>
          <w:sz w:val="28"/>
          <w:szCs w:val="28"/>
          <w:lang w:val="uk-UA"/>
        </w:rPr>
        <w:t>пункт</w:t>
      </w:r>
      <w:r w:rsidR="00A769D5" w:rsidRPr="003C3712">
        <w:rPr>
          <w:sz w:val="28"/>
          <w:szCs w:val="28"/>
          <w:lang w:val="uk-UA"/>
        </w:rPr>
        <w:t>у</w:t>
      </w:r>
      <w:r w:rsidRPr="003C3712">
        <w:rPr>
          <w:sz w:val="28"/>
          <w:szCs w:val="28"/>
          <w:lang w:val="uk-UA"/>
        </w:rPr>
        <w:t xml:space="preserve"> 4 </w:t>
      </w:r>
      <w:r w:rsidR="00C05779" w:rsidRPr="003C3712">
        <w:rPr>
          <w:sz w:val="28"/>
          <w:szCs w:val="28"/>
          <w:lang w:val="uk-UA"/>
        </w:rPr>
        <w:t>слова «</w:t>
      </w:r>
      <w:r w:rsidR="00A74CD0" w:rsidRPr="003C3712">
        <w:rPr>
          <w:sz w:val="28"/>
          <w:szCs w:val="28"/>
          <w:lang w:val="uk-UA"/>
        </w:rPr>
        <w:t xml:space="preserve">попередній </w:t>
      </w:r>
      <w:r w:rsidR="00C05779" w:rsidRPr="003C3712">
        <w:rPr>
          <w:sz w:val="28"/>
          <w:szCs w:val="28"/>
          <w:lang w:val="uk-UA"/>
        </w:rPr>
        <w:t xml:space="preserve">фінансовий рік або станом на момент порушення» замінити словами та знаками «рік, </w:t>
      </w:r>
      <w:r w:rsidR="00A74CD0" w:rsidRPr="003C3712">
        <w:rPr>
          <w:sz w:val="28"/>
          <w:szCs w:val="28"/>
          <w:lang w:val="uk-UA"/>
        </w:rPr>
        <w:t xml:space="preserve">що передує </w:t>
      </w:r>
      <w:r w:rsidR="00C05779" w:rsidRPr="003C3712">
        <w:rPr>
          <w:sz w:val="28"/>
          <w:szCs w:val="28"/>
          <w:lang w:val="uk-UA"/>
        </w:rPr>
        <w:t>року, в якому здійснюється перевірка»;</w:t>
      </w:r>
    </w:p>
    <w:p w14:paraId="10C8EA61" w14:textId="06D44756" w:rsidR="000E507A" w:rsidRPr="003C3712" w:rsidRDefault="000E507A" w:rsidP="003C3712">
      <w:pPr>
        <w:tabs>
          <w:tab w:val="left" w:pos="0"/>
          <w:tab w:val="left" w:pos="1134"/>
        </w:tabs>
        <w:ind w:firstLine="851"/>
        <w:jc w:val="both"/>
        <w:rPr>
          <w:sz w:val="28"/>
          <w:szCs w:val="28"/>
          <w:lang w:val="uk-UA"/>
        </w:rPr>
      </w:pPr>
    </w:p>
    <w:p w14:paraId="18C15548" w14:textId="6C51D8D9" w:rsidR="000E507A" w:rsidRPr="003C3712" w:rsidRDefault="001663B4" w:rsidP="003C3712">
      <w:pPr>
        <w:pStyle w:val="a3"/>
        <w:numPr>
          <w:ilvl w:val="0"/>
          <w:numId w:val="25"/>
        </w:numPr>
        <w:ind w:left="0" w:firstLine="851"/>
        <w:jc w:val="both"/>
        <w:rPr>
          <w:sz w:val="28"/>
          <w:szCs w:val="28"/>
          <w:lang w:val="uk-UA"/>
        </w:rPr>
      </w:pPr>
      <w:r w:rsidRPr="003C3712">
        <w:rPr>
          <w:sz w:val="28"/>
          <w:szCs w:val="28"/>
          <w:lang w:val="uk-UA"/>
        </w:rPr>
        <w:t>пункт 5 викласти в такій редакції:</w:t>
      </w:r>
    </w:p>
    <w:p w14:paraId="39EF9FEB" w14:textId="77777777" w:rsidR="00462A17" w:rsidRPr="003C3712" w:rsidRDefault="001663B4" w:rsidP="003C3712">
      <w:pPr>
        <w:tabs>
          <w:tab w:val="left" w:pos="0"/>
          <w:tab w:val="left" w:pos="1134"/>
        </w:tabs>
        <w:ind w:firstLine="851"/>
        <w:jc w:val="both"/>
        <w:rPr>
          <w:sz w:val="28"/>
          <w:szCs w:val="28"/>
          <w:lang w:val="uk-UA"/>
        </w:rPr>
      </w:pPr>
      <w:r w:rsidRPr="003C3712">
        <w:rPr>
          <w:sz w:val="28"/>
          <w:szCs w:val="28"/>
          <w:lang w:val="uk-UA"/>
        </w:rPr>
        <w:t>«</w:t>
      </w:r>
      <w:r w:rsidR="00462A17" w:rsidRPr="003C3712">
        <w:rPr>
          <w:sz w:val="28"/>
          <w:szCs w:val="28"/>
          <w:lang w:val="uk-UA"/>
        </w:rPr>
        <w:t>5. Для ліцензіатів, які провадять господарську діяльність з розподілу природного газу:</w:t>
      </w:r>
    </w:p>
    <w:p w14:paraId="38D6CA65" w14:textId="77777777" w:rsidR="00462A17" w:rsidRPr="003C3712" w:rsidRDefault="00462A17" w:rsidP="003C3712">
      <w:pPr>
        <w:tabs>
          <w:tab w:val="left" w:pos="0"/>
          <w:tab w:val="left" w:pos="1134"/>
        </w:tabs>
        <w:ind w:firstLine="851"/>
        <w:jc w:val="both"/>
        <w:rPr>
          <w:sz w:val="28"/>
          <w:szCs w:val="28"/>
          <w:lang w:val="uk-UA"/>
        </w:rPr>
      </w:pPr>
    </w:p>
    <w:p w14:paraId="231F5E3C" w14:textId="05DDE4EE" w:rsidR="00462A17" w:rsidRPr="003C3712" w:rsidRDefault="00462A17" w:rsidP="003C3712">
      <w:pPr>
        <w:tabs>
          <w:tab w:val="left" w:pos="0"/>
          <w:tab w:val="left" w:pos="1134"/>
        </w:tabs>
        <w:ind w:firstLine="851"/>
        <w:jc w:val="both"/>
        <w:rPr>
          <w:sz w:val="28"/>
          <w:szCs w:val="28"/>
          <w:lang w:val="uk-UA"/>
        </w:rPr>
      </w:pPr>
      <w:r w:rsidRPr="003C3712">
        <w:rPr>
          <w:sz w:val="28"/>
          <w:szCs w:val="28"/>
          <w:lang w:val="uk-UA"/>
        </w:rPr>
        <w:t xml:space="preserve">1) великі ліцензіати – ліцензіати, що мають кількість підключених споживачів понад </w:t>
      </w:r>
      <w:r w:rsidR="000D4481" w:rsidRPr="003C3712">
        <w:rPr>
          <w:sz w:val="28"/>
          <w:szCs w:val="28"/>
          <w:lang w:val="uk-UA"/>
        </w:rPr>
        <w:t>4</w:t>
      </w:r>
      <w:r w:rsidR="00B42295" w:rsidRPr="003C3712">
        <w:rPr>
          <w:sz w:val="28"/>
          <w:szCs w:val="28"/>
          <w:lang w:val="uk-UA"/>
        </w:rPr>
        <w:t>00</w:t>
      </w:r>
      <w:r w:rsidRPr="003C3712">
        <w:rPr>
          <w:sz w:val="28"/>
          <w:szCs w:val="28"/>
          <w:lang w:val="uk-UA"/>
        </w:rPr>
        <w:t xml:space="preserve"> тисяч та обсяг розподілу природного газу – понад 200 млн куб. метрів або еквівалентний обсяг, визначений в одиницях енергії за коефіцієнтом, відповідно до законодавства, за </w:t>
      </w:r>
      <w:r w:rsidR="00B42295" w:rsidRPr="003C3712">
        <w:rPr>
          <w:sz w:val="28"/>
          <w:szCs w:val="28"/>
          <w:lang w:val="uk-UA"/>
        </w:rPr>
        <w:t xml:space="preserve">рік, </w:t>
      </w:r>
      <w:r w:rsidR="00A74CD0" w:rsidRPr="003C3712">
        <w:rPr>
          <w:sz w:val="28"/>
          <w:szCs w:val="28"/>
          <w:lang w:val="uk-UA"/>
        </w:rPr>
        <w:t xml:space="preserve">що передує </w:t>
      </w:r>
      <w:r w:rsidR="00B42295" w:rsidRPr="003C3712">
        <w:rPr>
          <w:sz w:val="28"/>
          <w:szCs w:val="28"/>
          <w:lang w:val="uk-UA"/>
        </w:rPr>
        <w:t>року, в якому здійснюється перевірка</w:t>
      </w:r>
      <w:r w:rsidRPr="003C3712">
        <w:rPr>
          <w:sz w:val="28"/>
          <w:szCs w:val="28"/>
          <w:lang w:val="uk-UA"/>
        </w:rPr>
        <w:t>;</w:t>
      </w:r>
    </w:p>
    <w:p w14:paraId="448B1372" w14:textId="77777777" w:rsidR="00462A17" w:rsidRPr="003C3712" w:rsidRDefault="00462A17" w:rsidP="003C3712">
      <w:pPr>
        <w:tabs>
          <w:tab w:val="left" w:pos="0"/>
          <w:tab w:val="left" w:pos="1134"/>
        </w:tabs>
        <w:ind w:firstLine="851"/>
        <w:jc w:val="both"/>
        <w:rPr>
          <w:sz w:val="28"/>
          <w:szCs w:val="28"/>
          <w:lang w:val="uk-UA"/>
        </w:rPr>
      </w:pPr>
    </w:p>
    <w:p w14:paraId="096E747F" w14:textId="301FCCC0" w:rsidR="000E507A" w:rsidRPr="003C3712" w:rsidRDefault="00D56EFA" w:rsidP="003C3712">
      <w:pPr>
        <w:tabs>
          <w:tab w:val="left" w:pos="0"/>
          <w:tab w:val="left" w:pos="1134"/>
        </w:tabs>
        <w:ind w:firstLine="851"/>
        <w:jc w:val="both"/>
        <w:rPr>
          <w:sz w:val="28"/>
          <w:szCs w:val="28"/>
          <w:lang w:val="uk-UA"/>
        </w:rPr>
      </w:pPr>
      <w:r w:rsidRPr="003C3712">
        <w:rPr>
          <w:sz w:val="28"/>
          <w:szCs w:val="28"/>
          <w:lang w:val="uk-UA"/>
        </w:rPr>
        <w:t>2</w:t>
      </w:r>
      <w:r w:rsidR="00462A17" w:rsidRPr="003C3712">
        <w:rPr>
          <w:sz w:val="28"/>
          <w:szCs w:val="28"/>
          <w:lang w:val="uk-UA"/>
        </w:rPr>
        <w:t xml:space="preserve">) малі ліцензіати – ліцензіати, що мають кількість підключених споживачів менше </w:t>
      </w:r>
      <w:r w:rsidR="00645197" w:rsidRPr="003C3712">
        <w:rPr>
          <w:sz w:val="28"/>
          <w:szCs w:val="28"/>
          <w:lang w:val="uk-UA"/>
        </w:rPr>
        <w:t>50</w:t>
      </w:r>
      <w:r w:rsidR="00462A17" w:rsidRPr="003C3712">
        <w:rPr>
          <w:sz w:val="28"/>
          <w:szCs w:val="28"/>
          <w:lang w:val="uk-UA"/>
        </w:rPr>
        <w:t xml:space="preserve"> тисяч та обсяг розподілу природного газу – до 20 млн куб. метрів або еквівалентний обсяг, визначений в одиницях енергії за коефіцієнтом, відповідно до законодавства за </w:t>
      </w:r>
      <w:r w:rsidR="00645197" w:rsidRPr="003C3712">
        <w:rPr>
          <w:sz w:val="28"/>
          <w:szCs w:val="28"/>
          <w:lang w:val="uk-UA"/>
        </w:rPr>
        <w:t xml:space="preserve">рік, </w:t>
      </w:r>
      <w:r w:rsidR="007769A1" w:rsidRPr="003C3712">
        <w:rPr>
          <w:sz w:val="28"/>
          <w:szCs w:val="28"/>
          <w:lang w:val="uk-UA"/>
        </w:rPr>
        <w:t xml:space="preserve">що передує </w:t>
      </w:r>
      <w:r w:rsidR="00645197" w:rsidRPr="003C3712">
        <w:rPr>
          <w:sz w:val="28"/>
          <w:szCs w:val="28"/>
          <w:lang w:val="uk-UA"/>
        </w:rPr>
        <w:t>року, в якому здійснюється перевірка</w:t>
      </w:r>
      <w:r w:rsidRPr="003C3712">
        <w:rPr>
          <w:sz w:val="28"/>
          <w:szCs w:val="28"/>
          <w:lang w:val="uk-UA"/>
        </w:rPr>
        <w:t>;</w:t>
      </w:r>
    </w:p>
    <w:p w14:paraId="2B3A76AA" w14:textId="7CE729F3" w:rsidR="000E507A" w:rsidRPr="003C3712" w:rsidRDefault="000E507A" w:rsidP="003C3712">
      <w:pPr>
        <w:tabs>
          <w:tab w:val="left" w:pos="0"/>
          <w:tab w:val="left" w:pos="1134"/>
        </w:tabs>
        <w:ind w:firstLine="851"/>
        <w:jc w:val="both"/>
        <w:rPr>
          <w:sz w:val="28"/>
          <w:szCs w:val="28"/>
          <w:lang w:val="uk-UA"/>
        </w:rPr>
      </w:pPr>
    </w:p>
    <w:p w14:paraId="4B415972" w14:textId="28183412" w:rsidR="000E507A" w:rsidRPr="003C3712" w:rsidRDefault="00D56EFA" w:rsidP="003C3712">
      <w:pPr>
        <w:tabs>
          <w:tab w:val="left" w:pos="0"/>
          <w:tab w:val="left" w:pos="1134"/>
        </w:tabs>
        <w:ind w:firstLine="851"/>
        <w:jc w:val="both"/>
        <w:rPr>
          <w:sz w:val="28"/>
          <w:szCs w:val="28"/>
          <w:lang w:val="uk-UA"/>
        </w:rPr>
      </w:pPr>
      <w:r w:rsidRPr="003C3712">
        <w:rPr>
          <w:sz w:val="28"/>
          <w:szCs w:val="28"/>
          <w:lang w:val="uk-UA"/>
        </w:rPr>
        <w:t xml:space="preserve">3) </w:t>
      </w:r>
      <w:r w:rsidR="009F2377" w:rsidRPr="003C3712">
        <w:rPr>
          <w:sz w:val="28"/>
          <w:szCs w:val="28"/>
          <w:lang w:val="uk-UA"/>
        </w:rPr>
        <w:t>інші ліцензіати належать до середніх ліцензіатів.»;</w:t>
      </w:r>
    </w:p>
    <w:p w14:paraId="2223C6E9" w14:textId="51928BF8" w:rsidR="000E507A" w:rsidRPr="003C3712" w:rsidRDefault="000E507A" w:rsidP="003C3712">
      <w:pPr>
        <w:tabs>
          <w:tab w:val="left" w:pos="0"/>
          <w:tab w:val="left" w:pos="1134"/>
        </w:tabs>
        <w:ind w:firstLine="851"/>
        <w:jc w:val="both"/>
        <w:rPr>
          <w:sz w:val="28"/>
          <w:szCs w:val="28"/>
          <w:lang w:val="uk-UA"/>
        </w:rPr>
      </w:pPr>
    </w:p>
    <w:p w14:paraId="08A0BA0A" w14:textId="4343BB53" w:rsidR="00B42D5B" w:rsidRPr="003C3712" w:rsidRDefault="00B42D5B" w:rsidP="003C3712">
      <w:pPr>
        <w:pStyle w:val="a3"/>
        <w:numPr>
          <w:ilvl w:val="0"/>
          <w:numId w:val="25"/>
        </w:numPr>
        <w:ind w:left="0" w:firstLine="851"/>
        <w:jc w:val="both"/>
        <w:rPr>
          <w:sz w:val="28"/>
          <w:szCs w:val="28"/>
          <w:lang w:val="uk-UA"/>
        </w:rPr>
      </w:pPr>
      <w:r w:rsidRPr="003C3712">
        <w:rPr>
          <w:sz w:val="28"/>
          <w:szCs w:val="28"/>
          <w:lang w:val="uk-UA"/>
        </w:rPr>
        <w:t>у</w:t>
      </w:r>
      <w:r w:rsidR="00A879C6" w:rsidRPr="003C3712">
        <w:rPr>
          <w:sz w:val="28"/>
          <w:szCs w:val="28"/>
          <w:lang w:val="uk-UA"/>
        </w:rPr>
        <w:t xml:space="preserve"> підпунктах</w:t>
      </w:r>
      <w:r w:rsidRPr="003C3712">
        <w:rPr>
          <w:sz w:val="28"/>
          <w:szCs w:val="28"/>
          <w:lang w:val="uk-UA"/>
        </w:rPr>
        <w:t xml:space="preserve"> </w:t>
      </w:r>
      <w:r w:rsidR="00A879C6" w:rsidRPr="003C3712">
        <w:rPr>
          <w:sz w:val="28"/>
          <w:szCs w:val="28"/>
          <w:lang w:val="uk-UA"/>
        </w:rPr>
        <w:t xml:space="preserve">1 – 3 </w:t>
      </w:r>
      <w:r w:rsidRPr="003C3712">
        <w:rPr>
          <w:sz w:val="28"/>
          <w:szCs w:val="28"/>
          <w:lang w:val="uk-UA"/>
        </w:rPr>
        <w:t>пункт</w:t>
      </w:r>
      <w:r w:rsidR="00A879C6" w:rsidRPr="003C3712">
        <w:rPr>
          <w:sz w:val="28"/>
          <w:szCs w:val="28"/>
          <w:lang w:val="uk-UA"/>
        </w:rPr>
        <w:t>у</w:t>
      </w:r>
      <w:r w:rsidRPr="003C3712">
        <w:rPr>
          <w:sz w:val="28"/>
          <w:szCs w:val="28"/>
          <w:lang w:val="uk-UA"/>
        </w:rPr>
        <w:t xml:space="preserve"> </w:t>
      </w:r>
      <w:r w:rsidR="00257F5B" w:rsidRPr="003C3712">
        <w:rPr>
          <w:sz w:val="28"/>
          <w:szCs w:val="28"/>
          <w:lang w:val="uk-UA"/>
        </w:rPr>
        <w:t>6</w:t>
      </w:r>
      <w:r w:rsidRPr="003C3712">
        <w:rPr>
          <w:sz w:val="28"/>
          <w:szCs w:val="28"/>
          <w:lang w:val="uk-UA"/>
        </w:rPr>
        <w:t xml:space="preserve"> слова «</w:t>
      </w:r>
      <w:r w:rsidR="00D148E2" w:rsidRPr="003C3712">
        <w:rPr>
          <w:sz w:val="28"/>
          <w:szCs w:val="28"/>
          <w:lang w:val="uk-UA"/>
        </w:rPr>
        <w:t xml:space="preserve">попередній </w:t>
      </w:r>
      <w:r w:rsidRPr="003C3712">
        <w:rPr>
          <w:sz w:val="28"/>
          <w:szCs w:val="28"/>
          <w:lang w:val="uk-UA"/>
        </w:rPr>
        <w:t xml:space="preserve">фінансовий рік або станом на момент порушення» замінити словами та знаками «рік, </w:t>
      </w:r>
      <w:r w:rsidR="00D148E2" w:rsidRPr="003C3712">
        <w:rPr>
          <w:sz w:val="28"/>
          <w:szCs w:val="28"/>
          <w:lang w:val="uk-UA"/>
        </w:rPr>
        <w:t>що передує</w:t>
      </w:r>
      <w:r w:rsidRPr="003C3712">
        <w:rPr>
          <w:sz w:val="28"/>
          <w:szCs w:val="28"/>
          <w:lang w:val="uk-UA"/>
        </w:rPr>
        <w:t xml:space="preserve"> року, в якому здійснюється перевірка»;</w:t>
      </w:r>
    </w:p>
    <w:p w14:paraId="3537FFC1" w14:textId="405B5087" w:rsidR="00550B43" w:rsidRPr="003C3712" w:rsidRDefault="00550B43" w:rsidP="003C3712">
      <w:pPr>
        <w:tabs>
          <w:tab w:val="left" w:pos="0"/>
          <w:tab w:val="left" w:pos="1134"/>
        </w:tabs>
        <w:ind w:firstLine="851"/>
        <w:jc w:val="both"/>
        <w:rPr>
          <w:sz w:val="28"/>
          <w:szCs w:val="28"/>
          <w:lang w:val="uk-UA"/>
        </w:rPr>
      </w:pPr>
    </w:p>
    <w:p w14:paraId="0A2D147A" w14:textId="0A8031C0" w:rsidR="00550B43" w:rsidRPr="003C3712" w:rsidRDefault="00415913" w:rsidP="003C3712">
      <w:pPr>
        <w:pStyle w:val="a3"/>
        <w:numPr>
          <w:ilvl w:val="0"/>
          <w:numId w:val="25"/>
        </w:numPr>
        <w:ind w:left="0" w:firstLine="851"/>
        <w:jc w:val="both"/>
        <w:rPr>
          <w:sz w:val="28"/>
          <w:szCs w:val="28"/>
          <w:lang w:val="uk-UA"/>
        </w:rPr>
      </w:pPr>
      <w:r w:rsidRPr="003C3712">
        <w:rPr>
          <w:sz w:val="28"/>
          <w:szCs w:val="28"/>
          <w:lang w:val="uk-UA"/>
        </w:rPr>
        <w:t>пункт 7 викласти в такій редакції:</w:t>
      </w:r>
    </w:p>
    <w:p w14:paraId="42A89355" w14:textId="2B9DB936" w:rsidR="00415913" w:rsidRPr="003C3712" w:rsidRDefault="00415913" w:rsidP="003C3712">
      <w:pPr>
        <w:tabs>
          <w:tab w:val="left" w:pos="0"/>
          <w:tab w:val="left" w:pos="1134"/>
        </w:tabs>
        <w:ind w:firstLine="851"/>
        <w:jc w:val="both"/>
        <w:rPr>
          <w:sz w:val="28"/>
          <w:szCs w:val="28"/>
          <w:lang w:val="uk-UA"/>
        </w:rPr>
      </w:pPr>
      <w:r w:rsidRPr="003C3712">
        <w:rPr>
          <w:sz w:val="28"/>
          <w:szCs w:val="28"/>
          <w:lang w:val="uk-UA"/>
        </w:rPr>
        <w:t>«7. Для ліцензіатів, які провадять господарську діяльність з централізованого водопостачання та централізованого водовідведення:</w:t>
      </w:r>
    </w:p>
    <w:p w14:paraId="58290A61" w14:textId="77777777" w:rsidR="00415913" w:rsidRPr="003C3712" w:rsidRDefault="00415913" w:rsidP="003C3712">
      <w:pPr>
        <w:tabs>
          <w:tab w:val="left" w:pos="0"/>
          <w:tab w:val="left" w:pos="1134"/>
        </w:tabs>
        <w:ind w:firstLine="851"/>
        <w:jc w:val="both"/>
        <w:rPr>
          <w:sz w:val="28"/>
          <w:szCs w:val="28"/>
          <w:lang w:val="uk-UA"/>
        </w:rPr>
      </w:pPr>
    </w:p>
    <w:p w14:paraId="398017A9" w14:textId="08C60D59" w:rsidR="00415913" w:rsidRPr="003C3712" w:rsidRDefault="00415913" w:rsidP="003C3712">
      <w:pPr>
        <w:tabs>
          <w:tab w:val="left" w:pos="0"/>
          <w:tab w:val="left" w:pos="1134"/>
        </w:tabs>
        <w:ind w:firstLine="851"/>
        <w:jc w:val="both"/>
        <w:rPr>
          <w:sz w:val="28"/>
          <w:szCs w:val="28"/>
          <w:lang w:val="uk-UA"/>
        </w:rPr>
      </w:pPr>
      <w:r w:rsidRPr="003C3712">
        <w:rPr>
          <w:sz w:val="28"/>
          <w:szCs w:val="28"/>
          <w:lang w:val="uk-UA"/>
        </w:rPr>
        <w:t xml:space="preserve">1) великі ліцензіати – ліцензіати, що мають обсяг надання послуг з централізованого водопостачання та централізованого водовідведення більш як </w:t>
      </w:r>
      <w:r w:rsidR="00A6691D" w:rsidRPr="003C3712">
        <w:rPr>
          <w:sz w:val="28"/>
          <w:szCs w:val="28"/>
          <w:lang w:val="uk-UA"/>
        </w:rPr>
        <w:t>5</w:t>
      </w:r>
      <w:r w:rsidRPr="003C3712">
        <w:rPr>
          <w:sz w:val="28"/>
          <w:szCs w:val="28"/>
          <w:lang w:val="uk-UA"/>
        </w:rPr>
        <w:t>0</w:t>
      </w:r>
      <w:r w:rsidR="00A6691D" w:rsidRPr="003C3712">
        <w:rPr>
          <w:sz w:val="28"/>
          <w:szCs w:val="28"/>
          <w:lang w:val="uk-UA"/>
        </w:rPr>
        <w:t> </w:t>
      </w:r>
      <w:r w:rsidRPr="003C3712">
        <w:rPr>
          <w:sz w:val="28"/>
          <w:szCs w:val="28"/>
          <w:lang w:val="uk-UA"/>
        </w:rPr>
        <w:t xml:space="preserve">000 тис. куб. метрів за </w:t>
      </w:r>
      <w:r w:rsidR="00A6691D" w:rsidRPr="003C3712">
        <w:rPr>
          <w:sz w:val="28"/>
          <w:szCs w:val="28"/>
          <w:lang w:val="uk-UA"/>
        </w:rPr>
        <w:t xml:space="preserve">рік, </w:t>
      </w:r>
      <w:r w:rsidR="00D13E18" w:rsidRPr="003C3712">
        <w:rPr>
          <w:sz w:val="28"/>
          <w:szCs w:val="28"/>
          <w:lang w:val="uk-UA"/>
        </w:rPr>
        <w:t xml:space="preserve">що передує </w:t>
      </w:r>
      <w:r w:rsidR="00A6691D" w:rsidRPr="003C3712">
        <w:rPr>
          <w:sz w:val="28"/>
          <w:szCs w:val="28"/>
          <w:lang w:val="uk-UA"/>
        </w:rPr>
        <w:t>року, в якому здійснюється перевірка</w:t>
      </w:r>
      <w:r w:rsidRPr="003C3712">
        <w:rPr>
          <w:sz w:val="28"/>
          <w:szCs w:val="28"/>
          <w:lang w:val="uk-UA"/>
        </w:rPr>
        <w:t>;</w:t>
      </w:r>
    </w:p>
    <w:p w14:paraId="021881DE" w14:textId="77777777" w:rsidR="00415913" w:rsidRPr="003C3712" w:rsidRDefault="00415913" w:rsidP="003C3712">
      <w:pPr>
        <w:tabs>
          <w:tab w:val="left" w:pos="0"/>
          <w:tab w:val="left" w:pos="1134"/>
        </w:tabs>
        <w:ind w:firstLine="851"/>
        <w:jc w:val="both"/>
        <w:rPr>
          <w:sz w:val="28"/>
          <w:szCs w:val="28"/>
          <w:lang w:val="uk-UA"/>
        </w:rPr>
      </w:pPr>
    </w:p>
    <w:p w14:paraId="013AE277" w14:textId="1FA5CA26" w:rsidR="00415913" w:rsidRPr="003C3712" w:rsidRDefault="00415913" w:rsidP="003C3712">
      <w:pPr>
        <w:tabs>
          <w:tab w:val="left" w:pos="0"/>
          <w:tab w:val="left" w:pos="1134"/>
        </w:tabs>
        <w:ind w:firstLine="851"/>
        <w:jc w:val="both"/>
        <w:rPr>
          <w:sz w:val="28"/>
          <w:szCs w:val="28"/>
          <w:lang w:val="uk-UA"/>
        </w:rPr>
      </w:pPr>
      <w:r w:rsidRPr="003C3712">
        <w:rPr>
          <w:sz w:val="28"/>
          <w:szCs w:val="28"/>
          <w:lang w:val="uk-UA"/>
        </w:rPr>
        <w:t xml:space="preserve">2) середні ліцензіати – ліцензіати, що мають обсяг надання послуг з централізованого водопостачання та централізованого водовідведення від </w:t>
      </w:r>
      <w:r w:rsidR="00A6691D" w:rsidRPr="003C3712">
        <w:rPr>
          <w:sz w:val="28"/>
          <w:szCs w:val="28"/>
          <w:lang w:val="uk-UA"/>
        </w:rPr>
        <w:t>10 </w:t>
      </w:r>
      <w:r w:rsidRPr="003C3712">
        <w:rPr>
          <w:sz w:val="28"/>
          <w:szCs w:val="28"/>
          <w:lang w:val="uk-UA"/>
        </w:rPr>
        <w:t xml:space="preserve">000 тис. до </w:t>
      </w:r>
      <w:r w:rsidR="00A6691D" w:rsidRPr="003C3712">
        <w:rPr>
          <w:sz w:val="28"/>
          <w:szCs w:val="28"/>
          <w:lang w:val="uk-UA"/>
        </w:rPr>
        <w:t>50 </w:t>
      </w:r>
      <w:r w:rsidRPr="003C3712">
        <w:rPr>
          <w:sz w:val="28"/>
          <w:szCs w:val="28"/>
          <w:lang w:val="uk-UA"/>
        </w:rPr>
        <w:t xml:space="preserve">000 тис. куб. метрів (включно) за </w:t>
      </w:r>
      <w:r w:rsidR="00A6691D" w:rsidRPr="003C3712">
        <w:rPr>
          <w:sz w:val="28"/>
          <w:szCs w:val="28"/>
          <w:lang w:val="uk-UA"/>
        </w:rPr>
        <w:t xml:space="preserve">рік, </w:t>
      </w:r>
      <w:r w:rsidR="00D13E18" w:rsidRPr="003C3712">
        <w:rPr>
          <w:sz w:val="28"/>
          <w:szCs w:val="28"/>
          <w:lang w:val="uk-UA"/>
        </w:rPr>
        <w:t xml:space="preserve">що передує </w:t>
      </w:r>
      <w:r w:rsidR="00A6691D" w:rsidRPr="003C3712">
        <w:rPr>
          <w:sz w:val="28"/>
          <w:szCs w:val="28"/>
          <w:lang w:val="uk-UA"/>
        </w:rPr>
        <w:t>року, в якому здійснюється перевірка</w:t>
      </w:r>
      <w:r w:rsidRPr="003C3712">
        <w:rPr>
          <w:sz w:val="28"/>
          <w:szCs w:val="28"/>
          <w:lang w:val="uk-UA"/>
        </w:rPr>
        <w:t>;</w:t>
      </w:r>
    </w:p>
    <w:p w14:paraId="4B0EA747" w14:textId="77777777" w:rsidR="00415913" w:rsidRPr="003C3712" w:rsidRDefault="00415913" w:rsidP="003C3712">
      <w:pPr>
        <w:tabs>
          <w:tab w:val="left" w:pos="0"/>
          <w:tab w:val="left" w:pos="1134"/>
        </w:tabs>
        <w:ind w:firstLine="851"/>
        <w:jc w:val="both"/>
        <w:rPr>
          <w:sz w:val="28"/>
          <w:szCs w:val="28"/>
          <w:lang w:val="uk-UA"/>
        </w:rPr>
      </w:pPr>
    </w:p>
    <w:p w14:paraId="3FE2C644" w14:textId="23620C30" w:rsidR="00550B43" w:rsidRPr="003C3712" w:rsidRDefault="00415913" w:rsidP="003C3712">
      <w:pPr>
        <w:tabs>
          <w:tab w:val="left" w:pos="0"/>
          <w:tab w:val="left" w:pos="1134"/>
        </w:tabs>
        <w:ind w:firstLine="851"/>
        <w:jc w:val="both"/>
        <w:rPr>
          <w:sz w:val="28"/>
          <w:szCs w:val="28"/>
          <w:lang w:val="uk-UA"/>
        </w:rPr>
      </w:pPr>
      <w:r w:rsidRPr="003C3712">
        <w:rPr>
          <w:sz w:val="28"/>
          <w:szCs w:val="28"/>
          <w:lang w:val="uk-UA"/>
        </w:rPr>
        <w:t xml:space="preserve">3) малі ліцензіати – ліцензіати, що мають обсяг надання послуг з централізованого водопостачання та централізованого водовідведення до </w:t>
      </w:r>
      <w:r w:rsidR="00A6691D" w:rsidRPr="003C3712">
        <w:rPr>
          <w:sz w:val="28"/>
          <w:szCs w:val="28"/>
          <w:lang w:val="uk-UA"/>
        </w:rPr>
        <w:t>10 </w:t>
      </w:r>
      <w:r w:rsidRPr="003C3712">
        <w:rPr>
          <w:sz w:val="28"/>
          <w:szCs w:val="28"/>
          <w:lang w:val="uk-UA"/>
        </w:rPr>
        <w:t xml:space="preserve">000 тис. куб. метрів (включно) за </w:t>
      </w:r>
      <w:r w:rsidR="00A6691D" w:rsidRPr="003C3712">
        <w:rPr>
          <w:sz w:val="28"/>
          <w:szCs w:val="28"/>
          <w:lang w:val="uk-UA"/>
        </w:rPr>
        <w:t xml:space="preserve">рік, </w:t>
      </w:r>
      <w:r w:rsidR="00D13E18" w:rsidRPr="003C3712">
        <w:rPr>
          <w:sz w:val="28"/>
          <w:szCs w:val="28"/>
          <w:lang w:val="uk-UA"/>
        </w:rPr>
        <w:t xml:space="preserve">що передує </w:t>
      </w:r>
      <w:r w:rsidR="00A6691D" w:rsidRPr="003C3712">
        <w:rPr>
          <w:sz w:val="28"/>
          <w:szCs w:val="28"/>
          <w:lang w:val="uk-UA"/>
        </w:rPr>
        <w:t>року, в якому здійснюється перевірка</w:t>
      </w:r>
      <w:r w:rsidRPr="003C3712">
        <w:rPr>
          <w:sz w:val="28"/>
          <w:szCs w:val="28"/>
          <w:lang w:val="uk-UA"/>
        </w:rPr>
        <w:t>.</w:t>
      </w:r>
      <w:r w:rsidR="00A108CC" w:rsidRPr="003C3712">
        <w:rPr>
          <w:sz w:val="28"/>
          <w:szCs w:val="28"/>
          <w:lang w:val="uk-UA"/>
        </w:rPr>
        <w:t>»;</w:t>
      </w:r>
    </w:p>
    <w:p w14:paraId="2AB3DB23" w14:textId="50EAA9A7" w:rsidR="00550B43" w:rsidRPr="003C3712" w:rsidRDefault="00550B43" w:rsidP="003C3712">
      <w:pPr>
        <w:tabs>
          <w:tab w:val="left" w:pos="0"/>
          <w:tab w:val="left" w:pos="1134"/>
        </w:tabs>
        <w:ind w:firstLine="851"/>
        <w:jc w:val="both"/>
        <w:rPr>
          <w:sz w:val="28"/>
          <w:szCs w:val="28"/>
          <w:lang w:val="uk-UA"/>
        </w:rPr>
      </w:pPr>
    </w:p>
    <w:p w14:paraId="1A12C57F" w14:textId="7B98EA16" w:rsidR="00E62D6B" w:rsidRPr="003C3712" w:rsidRDefault="004F6446" w:rsidP="003C3712">
      <w:pPr>
        <w:pStyle w:val="a3"/>
        <w:numPr>
          <w:ilvl w:val="0"/>
          <w:numId w:val="25"/>
        </w:numPr>
        <w:ind w:left="0" w:firstLine="851"/>
        <w:jc w:val="both"/>
        <w:rPr>
          <w:sz w:val="28"/>
          <w:szCs w:val="28"/>
          <w:lang w:val="uk-UA"/>
        </w:rPr>
      </w:pPr>
      <w:r w:rsidRPr="003C3712">
        <w:rPr>
          <w:sz w:val="28"/>
          <w:szCs w:val="28"/>
          <w:lang w:val="uk-UA"/>
        </w:rPr>
        <w:t>пункт 8 виключити.</w:t>
      </w:r>
    </w:p>
    <w:p w14:paraId="557B40A3" w14:textId="264AAE70" w:rsidR="00550B43" w:rsidRPr="003C3712" w:rsidRDefault="004F6446" w:rsidP="003C3712">
      <w:pPr>
        <w:ind w:firstLine="851"/>
        <w:jc w:val="both"/>
        <w:rPr>
          <w:sz w:val="28"/>
          <w:szCs w:val="28"/>
          <w:lang w:val="uk-UA"/>
        </w:rPr>
      </w:pPr>
      <w:r w:rsidRPr="003C3712">
        <w:rPr>
          <w:sz w:val="28"/>
          <w:szCs w:val="28"/>
          <w:lang w:val="uk-UA"/>
        </w:rPr>
        <w:lastRenderedPageBreak/>
        <w:t>У зв’язку з цим пункт 9 вважати пунктом 8;</w:t>
      </w:r>
    </w:p>
    <w:p w14:paraId="5C0C370D" w14:textId="5BA8C9F5" w:rsidR="00550B43" w:rsidRPr="003C3712" w:rsidRDefault="00550B43" w:rsidP="003C3712">
      <w:pPr>
        <w:tabs>
          <w:tab w:val="left" w:pos="0"/>
          <w:tab w:val="left" w:pos="1134"/>
        </w:tabs>
        <w:ind w:firstLine="851"/>
        <w:jc w:val="both"/>
        <w:rPr>
          <w:sz w:val="28"/>
          <w:szCs w:val="28"/>
          <w:lang w:val="uk-UA"/>
        </w:rPr>
      </w:pPr>
    </w:p>
    <w:p w14:paraId="5A193C36" w14:textId="037A61E3" w:rsidR="00550B43" w:rsidRPr="003C3712" w:rsidRDefault="0002121F" w:rsidP="003C3712">
      <w:pPr>
        <w:pStyle w:val="a3"/>
        <w:numPr>
          <w:ilvl w:val="0"/>
          <w:numId w:val="25"/>
        </w:numPr>
        <w:tabs>
          <w:tab w:val="left" w:pos="0"/>
          <w:tab w:val="left" w:pos="1134"/>
          <w:tab w:val="left" w:pos="1418"/>
        </w:tabs>
        <w:ind w:left="0" w:firstLine="851"/>
        <w:jc w:val="both"/>
        <w:rPr>
          <w:sz w:val="28"/>
          <w:szCs w:val="28"/>
          <w:lang w:val="uk-UA"/>
        </w:rPr>
      </w:pPr>
      <w:r w:rsidRPr="003C3712">
        <w:rPr>
          <w:sz w:val="28"/>
          <w:szCs w:val="28"/>
          <w:lang w:val="uk-UA"/>
        </w:rPr>
        <w:t xml:space="preserve">пункт 8 </w:t>
      </w:r>
      <w:r w:rsidR="00435F33" w:rsidRPr="003C3712">
        <w:rPr>
          <w:sz w:val="28"/>
          <w:szCs w:val="28"/>
          <w:lang w:val="uk-UA"/>
        </w:rPr>
        <w:t>після слова та знаку «установках,» доповнити словами та знак</w:t>
      </w:r>
      <w:r w:rsidR="00D13E18" w:rsidRPr="003C3712">
        <w:rPr>
          <w:sz w:val="28"/>
          <w:szCs w:val="28"/>
          <w:lang w:val="uk-UA"/>
        </w:rPr>
        <w:t>ами</w:t>
      </w:r>
      <w:r w:rsidR="00435F33" w:rsidRPr="003C3712">
        <w:rPr>
          <w:sz w:val="28"/>
          <w:szCs w:val="28"/>
          <w:lang w:val="uk-UA"/>
        </w:rPr>
        <w:t xml:space="preserve"> «діяльності з </w:t>
      </w:r>
      <w:r w:rsidRPr="003C3712">
        <w:rPr>
          <w:sz w:val="28"/>
          <w:szCs w:val="28"/>
          <w:lang w:val="uk-UA"/>
        </w:rPr>
        <w:t>транспортування нафти, нафтопродуктів та інших речовин трубопровідним транспортом</w:t>
      </w:r>
      <w:r w:rsidR="00D13E18" w:rsidRPr="003C3712">
        <w:rPr>
          <w:sz w:val="28"/>
          <w:szCs w:val="28"/>
          <w:lang w:val="uk-UA"/>
        </w:rPr>
        <w:t>,</w:t>
      </w:r>
      <w:r w:rsidR="00435F33" w:rsidRPr="003C3712">
        <w:rPr>
          <w:sz w:val="28"/>
          <w:szCs w:val="28"/>
          <w:lang w:val="uk-UA"/>
        </w:rPr>
        <w:t>»</w:t>
      </w:r>
      <w:r w:rsidR="008347BE" w:rsidRPr="003C3712">
        <w:rPr>
          <w:sz w:val="28"/>
          <w:szCs w:val="28"/>
          <w:lang w:val="uk-UA"/>
        </w:rPr>
        <w:t>;</w:t>
      </w:r>
    </w:p>
    <w:p w14:paraId="34F75100" w14:textId="0EEB2C51" w:rsidR="00550B43" w:rsidRPr="003C3712" w:rsidRDefault="00550B43" w:rsidP="003C3712">
      <w:pPr>
        <w:tabs>
          <w:tab w:val="left" w:pos="0"/>
          <w:tab w:val="left" w:pos="1134"/>
        </w:tabs>
        <w:ind w:firstLine="851"/>
        <w:jc w:val="both"/>
        <w:rPr>
          <w:sz w:val="28"/>
          <w:szCs w:val="28"/>
          <w:lang w:val="uk-UA"/>
        </w:rPr>
      </w:pPr>
    </w:p>
    <w:p w14:paraId="6F0FE58E" w14:textId="5C5A467E" w:rsidR="00550B43" w:rsidRPr="003C3712" w:rsidRDefault="00767256" w:rsidP="003C3712">
      <w:pPr>
        <w:pStyle w:val="a3"/>
        <w:numPr>
          <w:ilvl w:val="0"/>
          <w:numId w:val="25"/>
        </w:numPr>
        <w:ind w:left="0" w:firstLine="851"/>
        <w:jc w:val="both"/>
        <w:rPr>
          <w:sz w:val="28"/>
          <w:szCs w:val="28"/>
          <w:lang w:val="uk-UA"/>
        </w:rPr>
      </w:pPr>
      <w:r w:rsidRPr="003C3712">
        <w:rPr>
          <w:sz w:val="28"/>
          <w:szCs w:val="28"/>
          <w:lang w:val="uk-UA"/>
        </w:rPr>
        <w:t>доповнити новим пункт</w:t>
      </w:r>
      <w:r w:rsidR="00BD7F4B" w:rsidRPr="003C3712">
        <w:rPr>
          <w:sz w:val="28"/>
          <w:szCs w:val="28"/>
          <w:lang w:val="uk-UA"/>
        </w:rPr>
        <w:t>о</w:t>
      </w:r>
      <w:r w:rsidRPr="003C3712">
        <w:rPr>
          <w:sz w:val="28"/>
          <w:szCs w:val="28"/>
          <w:lang w:val="uk-UA"/>
        </w:rPr>
        <w:t>м такого змісту:</w:t>
      </w:r>
    </w:p>
    <w:p w14:paraId="4838F539" w14:textId="3B05BF33" w:rsidR="00666BEF" w:rsidRPr="003C3712" w:rsidRDefault="00767256" w:rsidP="003C3712">
      <w:pPr>
        <w:tabs>
          <w:tab w:val="left" w:pos="0"/>
          <w:tab w:val="left" w:pos="1134"/>
        </w:tabs>
        <w:ind w:firstLine="851"/>
        <w:jc w:val="both"/>
        <w:rPr>
          <w:sz w:val="28"/>
          <w:szCs w:val="28"/>
          <w:lang w:val="uk-UA"/>
        </w:rPr>
      </w:pPr>
      <w:r w:rsidRPr="003C3712">
        <w:rPr>
          <w:sz w:val="28"/>
          <w:szCs w:val="28"/>
          <w:lang w:val="uk-UA"/>
        </w:rPr>
        <w:t>«</w:t>
      </w:r>
      <w:r w:rsidR="0034448B" w:rsidRPr="003C3712">
        <w:rPr>
          <w:sz w:val="28"/>
          <w:szCs w:val="28"/>
          <w:lang w:val="uk-UA"/>
        </w:rPr>
        <w:t>9</w:t>
      </w:r>
      <w:r w:rsidR="00661EE8" w:rsidRPr="003C3712">
        <w:rPr>
          <w:sz w:val="28"/>
          <w:szCs w:val="28"/>
          <w:lang w:val="uk-UA"/>
        </w:rPr>
        <w:t xml:space="preserve">. </w:t>
      </w:r>
      <w:r w:rsidR="00736BC1" w:rsidRPr="003C3712">
        <w:rPr>
          <w:sz w:val="28"/>
          <w:szCs w:val="28"/>
          <w:lang w:val="uk-UA"/>
        </w:rPr>
        <w:t>У разі неможливості здійснення</w:t>
      </w:r>
      <w:r w:rsidR="005626DD" w:rsidRPr="003C3712">
        <w:rPr>
          <w:sz w:val="28"/>
          <w:szCs w:val="28"/>
          <w:lang w:val="uk-UA"/>
        </w:rPr>
        <w:t xml:space="preserve"> НКРЕКП</w:t>
      </w:r>
      <w:r w:rsidR="00736BC1" w:rsidRPr="003C3712">
        <w:rPr>
          <w:sz w:val="28"/>
          <w:szCs w:val="28"/>
          <w:lang w:val="uk-UA"/>
        </w:rPr>
        <w:t xml:space="preserve"> </w:t>
      </w:r>
      <w:r w:rsidR="003A6EA3" w:rsidRPr="003C3712">
        <w:rPr>
          <w:sz w:val="28"/>
          <w:szCs w:val="28"/>
          <w:lang w:val="uk-UA"/>
        </w:rPr>
        <w:t>поділу ліцензіатів за критерієм</w:t>
      </w:r>
      <w:r w:rsidR="00736BC1" w:rsidRPr="003C3712">
        <w:rPr>
          <w:sz w:val="28"/>
          <w:szCs w:val="28"/>
          <w:lang w:val="uk-UA"/>
        </w:rPr>
        <w:t xml:space="preserve"> </w:t>
      </w:r>
      <w:r w:rsidR="003A6EA3" w:rsidRPr="003C3712">
        <w:rPr>
          <w:sz w:val="28"/>
          <w:szCs w:val="28"/>
          <w:lang w:val="uk-UA"/>
        </w:rPr>
        <w:t>«</w:t>
      </w:r>
      <w:r w:rsidR="005626DD" w:rsidRPr="003C3712">
        <w:rPr>
          <w:sz w:val="28"/>
          <w:szCs w:val="28"/>
          <w:lang w:val="uk-UA"/>
        </w:rPr>
        <w:t>величин</w:t>
      </w:r>
      <w:r w:rsidR="003A6EA3" w:rsidRPr="003C3712">
        <w:rPr>
          <w:sz w:val="28"/>
          <w:szCs w:val="28"/>
          <w:lang w:val="uk-UA"/>
        </w:rPr>
        <w:t>а</w:t>
      </w:r>
      <w:r w:rsidR="005626DD" w:rsidRPr="003C3712">
        <w:rPr>
          <w:sz w:val="28"/>
          <w:szCs w:val="28"/>
          <w:lang w:val="uk-UA"/>
        </w:rPr>
        <w:t xml:space="preserve"> ліцензіата</w:t>
      </w:r>
      <w:r w:rsidR="003A6EA3" w:rsidRPr="003C3712">
        <w:rPr>
          <w:sz w:val="28"/>
          <w:szCs w:val="28"/>
          <w:lang w:val="uk-UA"/>
        </w:rPr>
        <w:t>»</w:t>
      </w:r>
      <w:r w:rsidR="005626DD" w:rsidRPr="003C3712">
        <w:rPr>
          <w:sz w:val="28"/>
          <w:szCs w:val="28"/>
          <w:lang w:val="uk-UA"/>
        </w:rPr>
        <w:t xml:space="preserve"> через ненадання ліцензіатом </w:t>
      </w:r>
      <w:r w:rsidR="00D609A7" w:rsidRPr="003C3712">
        <w:rPr>
          <w:sz w:val="28"/>
          <w:szCs w:val="28"/>
          <w:lang w:val="uk-UA"/>
        </w:rPr>
        <w:t xml:space="preserve">звітних </w:t>
      </w:r>
      <w:r w:rsidR="005626DD" w:rsidRPr="003C3712">
        <w:rPr>
          <w:sz w:val="28"/>
          <w:szCs w:val="28"/>
          <w:lang w:val="uk-UA"/>
        </w:rPr>
        <w:t>документів</w:t>
      </w:r>
      <w:r w:rsidR="005E2305" w:rsidRPr="003C3712">
        <w:rPr>
          <w:sz w:val="28"/>
          <w:szCs w:val="28"/>
          <w:lang w:val="uk-UA"/>
        </w:rPr>
        <w:t xml:space="preserve">, обов’язковість подання яких встановлена нормативно-правовими актами, </w:t>
      </w:r>
      <w:r w:rsidR="00FD1E52" w:rsidRPr="003C3712">
        <w:rPr>
          <w:sz w:val="28"/>
          <w:szCs w:val="28"/>
          <w:lang w:val="uk-UA"/>
        </w:rPr>
        <w:t>такі ліцензіати</w:t>
      </w:r>
      <w:r w:rsidR="005E2305" w:rsidRPr="003C3712">
        <w:rPr>
          <w:sz w:val="28"/>
          <w:szCs w:val="28"/>
          <w:lang w:val="uk-UA"/>
        </w:rPr>
        <w:t xml:space="preserve"> віднос</w:t>
      </w:r>
      <w:r w:rsidR="00FD1E52" w:rsidRPr="003C3712">
        <w:rPr>
          <w:sz w:val="28"/>
          <w:szCs w:val="28"/>
          <w:lang w:val="uk-UA"/>
        </w:rPr>
        <w:t>я</w:t>
      </w:r>
      <w:r w:rsidR="005E2305" w:rsidRPr="003C3712">
        <w:rPr>
          <w:sz w:val="28"/>
          <w:szCs w:val="28"/>
          <w:lang w:val="uk-UA"/>
        </w:rPr>
        <w:t>ться до категорії великих ліцензіатів.</w:t>
      </w:r>
      <w:r w:rsidR="00661EE8" w:rsidRPr="003C3712">
        <w:rPr>
          <w:sz w:val="28"/>
          <w:szCs w:val="28"/>
          <w:lang w:val="uk-UA"/>
        </w:rPr>
        <w:t>».</w:t>
      </w:r>
    </w:p>
    <w:p w14:paraId="2DB7023F" w14:textId="60DDEAB9" w:rsidR="00666BEF" w:rsidRPr="003C3712" w:rsidRDefault="00666BEF" w:rsidP="003C3712">
      <w:pPr>
        <w:tabs>
          <w:tab w:val="left" w:pos="0"/>
          <w:tab w:val="left" w:pos="1134"/>
        </w:tabs>
        <w:ind w:firstLine="851"/>
        <w:jc w:val="both"/>
        <w:rPr>
          <w:sz w:val="28"/>
          <w:szCs w:val="28"/>
          <w:lang w:val="uk-UA"/>
        </w:rPr>
      </w:pPr>
    </w:p>
    <w:p w14:paraId="244B2D70" w14:textId="731AE425" w:rsidR="00666BEF" w:rsidRPr="003C3712" w:rsidRDefault="00666BEF" w:rsidP="003C3712">
      <w:pPr>
        <w:tabs>
          <w:tab w:val="left" w:pos="0"/>
          <w:tab w:val="left" w:pos="1134"/>
        </w:tabs>
        <w:ind w:firstLine="851"/>
        <w:jc w:val="both"/>
        <w:rPr>
          <w:sz w:val="28"/>
          <w:szCs w:val="28"/>
          <w:lang w:val="uk-UA"/>
        </w:rPr>
      </w:pPr>
    </w:p>
    <w:p w14:paraId="69AF6410" w14:textId="77777777" w:rsidR="00666BEF" w:rsidRPr="003C3712" w:rsidRDefault="00666BEF" w:rsidP="003C3712">
      <w:pPr>
        <w:tabs>
          <w:tab w:val="left" w:pos="0"/>
          <w:tab w:val="left" w:pos="1134"/>
        </w:tabs>
        <w:ind w:firstLine="851"/>
        <w:jc w:val="both"/>
        <w:rPr>
          <w:sz w:val="28"/>
          <w:szCs w:val="28"/>
          <w:lang w:val="uk-UA"/>
        </w:rPr>
      </w:pPr>
    </w:p>
    <w:p w14:paraId="04CBF9B3" w14:textId="77777777" w:rsidR="0093709A" w:rsidRPr="003C3712" w:rsidRDefault="0093709A" w:rsidP="003C3712">
      <w:pPr>
        <w:tabs>
          <w:tab w:val="left" w:pos="0"/>
          <w:tab w:val="left" w:pos="1134"/>
        </w:tabs>
        <w:ind w:firstLine="851"/>
        <w:jc w:val="both"/>
        <w:rPr>
          <w:sz w:val="28"/>
          <w:szCs w:val="28"/>
          <w:lang w:val="uk-UA"/>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835"/>
        <w:gridCol w:w="2971"/>
      </w:tblGrid>
      <w:tr w:rsidR="0096788C" w:rsidRPr="003C3712" w14:paraId="49D3C643" w14:textId="77777777" w:rsidTr="00CD2975">
        <w:tc>
          <w:tcPr>
            <w:tcW w:w="3539" w:type="dxa"/>
            <w:vAlign w:val="center"/>
          </w:tcPr>
          <w:p w14:paraId="2036ED1E" w14:textId="77777777" w:rsidR="0096788C" w:rsidRPr="003C3712" w:rsidRDefault="0096788C" w:rsidP="003C3712">
            <w:pPr>
              <w:tabs>
                <w:tab w:val="left" w:pos="0"/>
                <w:tab w:val="left" w:pos="1134"/>
              </w:tabs>
              <w:spacing w:after="60"/>
              <w:rPr>
                <w:sz w:val="28"/>
                <w:szCs w:val="28"/>
                <w:lang w:val="uk-UA"/>
              </w:rPr>
            </w:pPr>
            <w:r w:rsidRPr="003C3712">
              <w:rPr>
                <w:sz w:val="28"/>
                <w:szCs w:val="28"/>
                <w:lang w:val="uk-UA"/>
              </w:rPr>
              <w:t>Директор Департаменту ліцензійного контролю</w:t>
            </w:r>
          </w:p>
        </w:tc>
        <w:tc>
          <w:tcPr>
            <w:tcW w:w="2835" w:type="dxa"/>
          </w:tcPr>
          <w:p w14:paraId="76336E5D" w14:textId="77777777" w:rsidR="0096788C" w:rsidRPr="003C3712" w:rsidRDefault="0096788C" w:rsidP="003C3712">
            <w:pPr>
              <w:tabs>
                <w:tab w:val="left" w:pos="0"/>
                <w:tab w:val="left" w:pos="1134"/>
              </w:tabs>
              <w:spacing w:after="60"/>
              <w:jc w:val="both"/>
              <w:rPr>
                <w:sz w:val="28"/>
                <w:szCs w:val="28"/>
                <w:lang w:val="uk-UA"/>
              </w:rPr>
            </w:pPr>
          </w:p>
        </w:tc>
        <w:tc>
          <w:tcPr>
            <w:tcW w:w="2971" w:type="dxa"/>
            <w:vAlign w:val="center"/>
          </w:tcPr>
          <w:p w14:paraId="2E1DD727" w14:textId="021F9F9A" w:rsidR="0096788C" w:rsidRPr="003C3712" w:rsidRDefault="0096788C" w:rsidP="003C3712">
            <w:pPr>
              <w:tabs>
                <w:tab w:val="left" w:pos="0"/>
                <w:tab w:val="left" w:pos="1134"/>
              </w:tabs>
              <w:spacing w:after="60"/>
              <w:jc w:val="center"/>
              <w:rPr>
                <w:sz w:val="28"/>
                <w:szCs w:val="28"/>
                <w:lang w:val="uk-UA"/>
              </w:rPr>
            </w:pPr>
            <w:r w:rsidRPr="003C3712">
              <w:rPr>
                <w:sz w:val="28"/>
                <w:szCs w:val="28"/>
                <w:lang w:val="uk-UA"/>
              </w:rPr>
              <w:t>Я</w:t>
            </w:r>
            <w:r w:rsidR="00CD2975" w:rsidRPr="003C3712">
              <w:rPr>
                <w:sz w:val="28"/>
                <w:szCs w:val="28"/>
                <w:lang w:val="uk-UA"/>
              </w:rPr>
              <w:t>рослав</w:t>
            </w:r>
            <w:r w:rsidRPr="003C3712">
              <w:rPr>
                <w:sz w:val="28"/>
                <w:szCs w:val="28"/>
                <w:lang w:val="uk-UA"/>
              </w:rPr>
              <w:t xml:space="preserve"> </w:t>
            </w:r>
            <w:r w:rsidR="00CD2975" w:rsidRPr="003C3712">
              <w:rPr>
                <w:sz w:val="28"/>
                <w:szCs w:val="28"/>
                <w:lang w:val="uk-UA"/>
              </w:rPr>
              <w:t>ЗЕЛЕНЮК</w:t>
            </w:r>
          </w:p>
        </w:tc>
      </w:tr>
    </w:tbl>
    <w:p w14:paraId="54407178" w14:textId="773C31ED" w:rsidR="00806400" w:rsidRPr="003C3712" w:rsidRDefault="00806400" w:rsidP="003C3712">
      <w:pPr>
        <w:tabs>
          <w:tab w:val="left" w:pos="0"/>
          <w:tab w:val="left" w:pos="1134"/>
        </w:tabs>
        <w:spacing w:after="60"/>
        <w:ind w:firstLine="851"/>
        <w:jc w:val="both"/>
        <w:rPr>
          <w:sz w:val="28"/>
          <w:szCs w:val="28"/>
          <w:lang w:val="uk-UA"/>
        </w:rPr>
      </w:pPr>
    </w:p>
    <w:sectPr w:rsidR="00806400" w:rsidRPr="003C3712" w:rsidSect="00666BEF">
      <w:headerReference w:type="default" r:id="rId8"/>
      <w:pgSz w:w="11906" w:h="16838" w:code="9"/>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33338" w14:textId="77777777" w:rsidR="00593169" w:rsidRDefault="00593169" w:rsidP="00F24F25">
      <w:r>
        <w:separator/>
      </w:r>
    </w:p>
  </w:endnote>
  <w:endnote w:type="continuationSeparator" w:id="0">
    <w:p w14:paraId="406ABD86" w14:textId="77777777" w:rsidR="00593169" w:rsidRDefault="00593169" w:rsidP="00F2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6BAF2" w14:textId="77777777" w:rsidR="00593169" w:rsidRDefault="00593169" w:rsidP="00F24F25">
      <w:r>
        <w:separator/>
      </w:r>
    </w:p>
  </w:footnote>
  <w:footnote w:type="continuationSeparator" w:id="0">
    <w:p w14:paraId="1DCAFBD6" w14:textId="77777777" w:rsidR="00593169" w:rsidRDefault="00593169" w:rsidP="00F24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656244"/>
      <w:docPartObj>
        <w:docPartGallery w:val="Page Numbers (Top of Page)"/>
        <w:docPartUnique/>
      </w:docPartObj>
    </w:sdtPr>
    <w:sdtEndPr/>
    <w:sdtContent>
      <w:p w14:paraId="0F3DFC1B" w14:textId="00932533" w:rsidR="006F04B8" w:rsidRDefault="006F04B8">
        <w:pPr>
          <w:pStyle w:val="a5"/>
          <w:jc w:val="center"/>
        </w:pPr>
        <w:r>
          <w:fldChar w:fldCharType="begin"/>
        </w:r>
        <w:r>
          <w:instrText>PAGE   \* MERGEFORMAT</w:instrText>
        </w:r>
        <w:r>
          <w:fldChar w:fldCharType="separate"/>
        </w:r>
        <w:r w:rsidR="008E129A" w:rsidRPr="008E129A">
          <w:rPr>
            <w:noProof/>
            <w:lang w:val="uk-UA"/>
          </w:rPr>
          <w:t>6</w:t>
        </w:r>
        <w:r>
          <w:fldChar w:fldCharType="end"/>
        </w:r>
      </w:p>
    </w:sdtContent>
  </w:sdt>
  <w:p w14:paraId="57FD6416" w14:textId="77777777" w:rsidR="006F04B8" w:rsidRDefault="006F04B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30101"/>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A255A65"/>
    <w:multiLevelType w:val="hybridMultilevel"/>
    <w:tmpl w:val="79D69BB4"/>
    <w:lvl w:ilvl="0" w:tplc="69D8DF84">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BF274EB"/>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C93116F"/>
    <w:multiLevelType w:val="hybridMultilevel"/>
    <w:tmpl w:val="99608CD4"/>
    <w:lvl w:ilvl="0" w:tplc="430A2994">
      <w:start w:val="1"/>
      <w:numFmt w:val="decimal"/>
      <w:suff w:val="space"/>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75D0398"/>
    <w:multiLevelType w:val="hybridMultilevel"/>
    <w:tmpl w:val="58424988"/>
    <w:lvl w:ilvl="0" w:tplc="6FA46238">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3720F23"/>
    <w:multiLevelType w:val="hybridMultilevel"/>
    <w:tmpl w:val="12BC27BA"/>
    <w:lvl w:ilvl="0" w:tplc="7C7647D4">
      <w:start w:val="1"/>
      <w:numFmt w:val="decimal"/>
      <w:suff w:val="space"/>
      <w:lvlText w:val="%1)"/>
      <w:lvlJc w:val="left"/>
      <w:pPr>
        <w:ind w:left="106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15:restartNumberingAfterBreak="0">
    <w:nsid w:val="318F7725"/>
    <w:multiLevelType w:val="hybridMultilevel"/>
    <w:tmpl w:val="ED544D20"/>
    <w:lvl w:ilvl="0" w:tplc="E70C4150">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32F7673D"/>
    <w:multiLevelType w:val="hybridMultilevel"/>
    <w:tmpl w:val="F3C20202"/>
    <w:lvl w:ilvl="0" w:tplc="F7C8430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332F4A13"/>
    <w:multiLevelType w:val="hybridMultilevel"/>
    <w:tmpl w:val="F844F632"/>
    <w:lvl w:ilvl="0" w:tplc="F4A28F1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369F2A0B"/>
    <w:multiLevelType w:val="hybridMultilevel"/>
    <w:tmpl w:val="2E68A504"/>
    <w:lvl w:ilvl="0" w:tplc="C18E08F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8A5512B"/>
    <w:multiLevelType w:val="hybridMultilevel"/>
    <w:tmpl w:val="2DEC416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F026575"/>
    <w:multiLevelType w:val="hybridMultilevel"/>
    <w:tmpl w:val="E6B8B9AC"/>
    <w:lvl w:ilvl="0" w:tplc="95964484">
      <w:numFmt w:val="bullet"/>
      <w:suff w:val="space"/>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2" w15:restartNumberingAfterBreak="0">
    <w:nsid w:val="413D0F6A"/>
    <w:multiLevelType w:val="hybridMultilevel"/>
    <w:tmpl w:val="64DCE324"/>
    <w:lvl w:ilvl="0" w:tplc="7FB22CE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3705358"/>
    <w:multiLevelType w:val="hybridMultilevel"/>
    <w:tmpl w:val="F71ED882"/>
    <w:lvl w:ilvl="0" w:tplc="B2C4ACE2">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49074CFD"/>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49F458A3"/>
    <w:multiLevelType w:val="hybridMultilevel"/>
    <w:tmpl w:val="AE72B7E0"/>
    <w:lvl w:ilvl="0" w:tplc="70F2500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6" w15:restartNumberingAfterBreak="0">
    <w:nsid w:val="4AE2048F"/>
    <w:multiLevelType w:val="hybridMultilevel"/>
    <w:tmpl w:val="401E32D6"/>
    <w:lvl w:ilvl="0" w:tplc="617EA35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4ED33A89"/>
    <w:multiLevelType w:val="hybridMultilevel"/>
    <w:tmpl w:val="BCACB84E"/>
    <w:lvl w:ilvl="0" w:tplc="C18E08F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15:restartNumberingAfterBreak="0">
    <w:nsid w:val="50E93D71"/>
    <w:multiLevelType w:val="hybridMultilevel"/>
    <w:tmpl w:val="1ADA6284"/>
    <w:lvl w:ilvl="0" w:tplc="5E568DD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9" w15:restartNumberingAfterBreak="0">
    <w:nsid w:val="51917053"/>
    <w:multiLevelType w:val="hybridMultilevel"/>
    <w:tmpl w:val="E0744DE8"/>
    <w:lvl w:ilvl="0" w:tplc="B32E79E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15:restartNumberingAfterBreak="0">
    <w:nsid w:val="52D86BBB"/>
    <w:multiLevelType w:val="hybridMultilevel"/>
    <w:tmpl w:val="E12ACE4E"/>
    <w:lvl w:ilvl="0" w:tplc="032E6804">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15:restartNumberingAfterBreak="0">
    <w:nsid w:val="56000207"/>
    <w:multiLevelType w:val="hybridMultilevel"/>
    <w:tmpl w:val="CEAC4720"/>
    <w:lvl w:ilvl="0" w:tplc="841CCDB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15:restartNumberingAfterBreak="0">
    <w:nsid w:val="5DFB2EE8"/>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67BC7560"/>
    <w:multiLevelType w:val="hybridMultilevel"/>
    <w:tmpl w:val="A26209D2"/>
    <w:lvl w:ilvl="0" w:tplc="306AE18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6F2F3D6F"/>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72DA713F"/>
    <w:multiLevelType w:val="hybridMultilevel"/>
    <w:tmpl w:val="EF705DC4"/>
    <w:lvl w:ilvl="0" w:tplc="1090B396">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15"/>
  </w:num>
  <w:num w:numId="3">
    <w:abstractNumId w:val="10"/>
  </w:num>
  <w:num w:numId="4">
    <w:abstractNumId w:val="22"/>
  </w:num>
  <w:num w:numId="5">
    <w:abstractNumId w:val="9"/>
  </w:num>
  <w:num w:numId="6">
    <w:abstractNumId w:val="17"/>
  </w:num>
  <w:num w:numId="7">
    <w:abstractNumId w:val="3"/>
  </w:num>
  <w:num w:numId="8">
    <w:abstractNumId w:val="13"/>
  </w:num>
  <w:num w:numId="9">
    <w:abstractNumId w:val="24"/>
  </w:num>
  <w:num w:numId="10">
    <w:abstractNumId w:val="0"/>
  </w:num>
  <w:num w:numId="11">
    <w:abstractNumId w:val="16"/>
  </w:num>
  <w:num w:numId="12">
    <w:abstractNumId w:val="4"/>
  </w:num>
  <w:num w:numId="13">
    <w:abstractNumId w:val="5"/>
  </w:num>
  <w:num w:numId="14">
    <w:abstractNumId w:val="7"/>
  </w:num>
  <w:num w:numId="15">
    <w:abstractNumId w:val="14"/>
  </w:num>
  <w:num w:numId="16">
    <w:abstractNumId w:val="12"/>
  </w:num>
  <w:num w:numId="17">
    <w:abstractNumId w:val="21"/>
  </w:num>
  <w:num w:numId="18">
    <w:abstractNumId w:val="23"/>
  </w:num>
  <w:num w:numId="19">
    <w:abstractNumId w:val="19"/>
  </w:num>
  <w:num w:numId="20">
    <w:abstractNumId w:val="1"/>
  </w:num>
  <w:num w:numId="21">
    <w:abstractNumId w:val="18"/>
  </w:num>
  <w:num w:numId="22">
    <w:abstractNumId w:val="8"/>
  </w:num>
  <w:num w:numId="23">
    <w:abstractNumId w:val="25"/>
  </w:num>
  <w:num w:numId="24">
    <w:abstractNumId w:val="6"/>
  </w:num>
  <w:num w:numId="25">
    <w:abstractNumId w:val="20"/>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C13"/>
    <w:rsid w:val="00004227"/>
    <w:rsid w:val="00005443"/>
    <w:rsid w:val="00005512"/>
    <w:rsid w:val="00007532"/>
    <w:rsid w:val="000108D4"/>
    <w:rsid w:val="00013C06"/>
    <w:rsid w:val="0002121F"/>
    <w:rsid w:val="00022AA5"/>
    <w:rsid w:val="00026466"/>
    <w:rsid w:val="00030138"/>
    <w:rsid w:val="00031FCD"/>
    <w:rsid w:val="000332E7"/>
    <w:rsid w:val="00035BE4"/>
    <w:rsid w:val="00037EED"/>
    <w:rsid w:val="00041E6C"/>
    <w:rsid w:val="0004278D"/>
    <w:rsid w:val="00044059"/>
    <w:rsid w:val="000446F7"/>
    <w:rsid w:val="00044CDE"/>
    <w:rsid w:val="00054EDD"/>
    <w:rsid w:val="00055D88"/>
    <w:rsid w:val="000624D1"/>
    <w:rsid w:val="00071A88"/>
    <w:rsid w:val="00094A68"/>
    <w:rsid w:val="00095BDE"/>
    <w:rsid w:val="000966F2"/>
    <w:rsid w:val="000A2448"/>
    <w:rsid w:val="000A29FC"/>
    <w:rsid w:val="000B1508"/>
    <w:rsid w:val="000B5B6F"/>
    <w:rsid w:val="000B5F69"/>
    <w:rsid w:val="000B71A1"/>
    <w:rsid w:val="000C562C"/>
    <w:rsid w:val="000C60DC"/>
    <w:rsid w:val="000D191B"/>
    <w:rsid w:val="000D377E"/>
    <w:rsid w:val="000D4481"/>
    <w:rsid w:val="000E507A"/>
    <w:rsid w:val="000E5139"/>
    <w:rsid w:val="000E5856"/>
    <w:rsid w:val="000F4D62"/>
    <w:rsid w:val="000F7E97"/>
    <w:rsid w:val="000F7F3E"/>
    <w:rsid w:val="00101694"/>
    <w:rsid w:val="001113FF"/>
    <w:rsid w:val="0011242C"/>
    <w:rsid w:val="00114D25"/>
    <w:rsid w:val="00116C27"/>
    <w:rsid w:val="0013223E"/>
    <w:rsid w:val="00133BC0"/>
    <w:rsid w:val="001416C4"/>
    <w:rsid w:val="00147655"/>
    <w:rsid w:val="001505D9"/>
    <w:rsid w:val="0015279D"/>
    <w:rsid w:val="0015355F"/>
    <w:rsid w:val="00153EA0"/>
    <w:rsid w:val="001551F4"/>
    <w:rsid w:val="001663B4"/>
    <w:rsid w:val="00171C12"/>
    <w:rsid w:val="00173103"/>
    <w:rsid w:val="00173A89"/>
    <w:rsid w:val="0017503A"/>
    <w:rsid w:val="00180EE5"/>
    <w:rsid w:val="0018304A"/>
    <w:rsid w:val="00184E58"/>
    <w:rsid w:val="001858CC"/>
    <w:rsid w:val="00186C13"/>
    <w:rsid w:val="001900BF"/>
    <w:rsid w:val="001944CC"/>
    <w:rsid w:val="0019693C"/>
    <w:rsid w:val="001A29D6"/>
    <w:rsid w:val="001A4914"/>
    <w:rsid w:val="001A4B15"/>
    <w:rsid w:val="001A5E96"/>
    <w:rsid w:val="001B01DD"/>
    <w:rsid w:val="001B1A44"/>
    <w:rsid w:val="001B4757"/>
    <w:rsid w:val="001B50B1"/>
    <w:rsid w:val="001C0EDD"/>
    <w:rsid w:val="001C23DB"/>
    <w:rsid w:val="001C7200"/>
    <w:rsid w:val="001D0781"/>
    <w:rsid w:val="001D0899"/>
    <w:rsid w:val="001D148F"/>
    <w:rsid w:val="001D1B92"/>
    <w:rsid w:val="001D5D52"/>
    <w:rsid w:val="001E38FB"/>
    <w:rsid w:val="001E5B3D"/>
    <w:rsid w:val="001F27B9"/>
    <w:rsid w:val="001F4121"/>
    <w:rsid w:val="001F7231"/>
    <w:rsid w:val="00200BDE"/>
    <w:rsid w:val="0020256B"/>
    <w:rsid w:val="00203504"/>
    <w:rsid w:val="00206F52"/>
    <w:rsid w:val="00210803"/>
    <w:rsid w:val="00216C64"/>
    <w:rsid w:val="00226852"/>
    <w:rsid w:val="00227301"/>
    <w:rsid w:val="00233404"/>
    <w:rsid w:val="00233700"/>
    <w:rsid w:val="00241FE5"/>
    <w:rsid w:val="00243668"/>
    <w:rsid w:val="00247BD4"/>
    <w:rsid w:val="0025033B"/>
    <w:rsid w:val="002561B9"/>
    <w:rsid w:val="00257F5B"/>
    <w:rsid w:val="002654AC"/>
    <w:rsid w:val="00275E1B"/>
    <w:rsid w:val="00286374"/>
    <w:rsid w:val="002A1785"/>
    <w:rsid w:val="002A4D5C"/>
    <w:rsid w:val="002A6D92"/>
    <w:rsid w:val="002B1067"/>
    <w:rsid w:val="002B1DD4"/>
    <w:rsid w:val="002B5BEA"/>
    <w:rsid w:val="002B6608"/>
    <w:rsid w:val="002B7048"/>
    <w:rsid w:val="002C19D2"/>
    <w:rsid w:val="002C58E9"/>
    <w:rsid w:val="002C78E0"/>
    <w:rsid w:val="002D5289"/>
    <w:rsid w:val="002D682E"/>
    <w:rsid w:val="002E31FE"/>
    <w:rsid w:val="002E6928"/>
    <w:rsid w:val="002E6C5D"/>
    <w:rsid w:val="002F3F8B"/>
    <w:rsid w:val="002F4DE8"/>
    <w:rsid w:val="00301D99"/>
    <w:rsid w:val="0031718E"/>
    <w:rsid w:val="00322072"/>
    <w:rsid w:val="003227F2"/>
    <w:rsid w:val="0032478C"/>
    <w:rsid w:val="00333C25"/>
    <w:rsid w:val="00340225"/>
    <w:rsid w:val="00343285"/>
    <w:rsid w:val="0034448B"/>
    <w:rsid w:val="00354549"/>
    <w:rsid w:val="00355A47"/>
    <w:rsid w:val="003605CE"/>
    <w:rsid w:val="003611F7"/>
    <w:rsid w:val="00373D62"/>
    <w:rsid w:val="00375735"/>
    <w:rsid w:val="0037639F"/>
    <w:rsid w:val="00376A2E"/>
    <w:rsid w:val="0037797A"/>
    <w:rsid w:val="00377E6A"/>
    <w:rsid w:val="00382706"/>
    <w:rsid w:val="00383B7F"/>
    <w:rsid w:val="00386454"/>
    <w:rsid w:val="003879B8"/>
    <w:rsid w:val="00390C66"/>
    <w:rsid w:val="003956B7"/>
    <w:rsid w:val="003A09F2"/>
    <w:rsid w:val="003A226F"/>
    <w:rsid w:val="003A50CC"/>
    <w:rsid w:val="003A5CDF"/>
    <w:rsid w:val="003A6EA3"/>
    <w:rsid w:val="003B0ADC"/>
    <w:rsid w:val="003B0C93"/>
    <w:rsid w:val="003B65AF"/>
    <w:rsid w:val="003B7625"/>
    <w:rsid w:val="003C2973"/>
    <w:rsid w:val="003C3712"/>
    <w:rsid w:val="003C52D6"/>
    <w:rsid w:val="003D011C"/>
    <w:rsid w:val="003D4405"/>
    <w:rsid w:val="003D50F1"/>
    <w:rsid w:val="003D7AC9"/>
    <w:rsid w:val="003E3831"/>
    <w:rsid w:val="003E5769"/>
    <w:rsid w:val="003E778E"/>
    <w:rsid w:val="003F08EE"/>
    <w:rsid w:val="003F398F"/>
    <w:rsid w:val="003F4BDD"/>
    <w:rsid w:val="003F52C4"/>
    <w:rsid w:val="003F7288"/>
    <w:rsid w:val="00400BBE"/>
    <w:rsid w:val="00407F89"/>
    <w:rsid w:val="00410079"/>
    <w:rsid w:val="004122B1"/>
    <w:rsid w:val="00415913"/>
    <w:rsid w:val="0041663D"/>
    <w:rsid w:val="004306B2"/>
    <w:rsid w:val="004328AC"/>
    <w:rsid w:val="00435F33"/>
    <w:rsid w:val="00440CEC"/>
    <w:rsid w:val="0044579D"/>
    <w:rsid w:val="00450EE9"/>
    <w:rsid w:val="00452740"/>
    <w:rsid w:val="00462A17"/>
    <w:rsid w:val="00465A3C"/>
    <w:rsid w:val="00471378"/>
    <w:rsid w:val="00475216"/>
    <w:rsid w:val="004763DB"/>
    <w:rsid w:val="00476900"/>
    <w:rsid w:val="004839E8"/>
    <w:rsid w:val="00484D87"/>
    <w:rsid w:val="004927B0"/>
    <w:rsid w:val="00493B1D"/>
    <w:rsid w:val="004968A3"/>
    <w:rsid w:val="004B5E77"/>
    <w:rsid w:val="004B5F1E"/>
    <w:rsid w:val="004B6924"/>
    <w:rsid w:val="004B7F26"/>
    <w:rsid w:val="004C17FE"/>
    <w:rsid w:val="004C284A"/>
    <w:rsid w:val="004C7205"/>
    <w:rsid w:val="004D0269"/>
    <w:rsid w:val="004D2B73"/>
    <w:rsid w:val="004D560E"/>
    <w:rsid w:val="004D72CB"/>
    <w:rsid w:val="004D7AEC"/>
    <w:rsid w:val="004E1050"/>
    <w:rsid w:val="004E6A9E"/>
    <w:rsid w:val="004F079E"/>
    <w:rsid w:val="004F34B9"/>
    <w:rsid w:val="004F6446"/>
    <w:rsid w:val="00500B66"/>
    <w:rsid w:val="00504A1A"/>
    <w:rsid w:val="00505F52"/>
    <w:rsid w:val="00506CB4"/>
    <w:rsid w:val="00510370"/>
    <w:rsid w:val="00515765"/>
    <w:rsid w:val="00522C0C"/>
    <w:rsid w:val="00524B90"/>
    <w:rsid w:val="00525610"/>
    <w:rsid w:val="005268F2"/>
    <w:rsid w:val="005272AC"/>
    <w:rsid w:val="00527395"/>
    <w:rsid w:val="0053222F"/>
    <w:rsid w:val="00533235"/>
    <w:rsid w:val="005363E8"/>
    <w:rsid w:val="00542DB7"/>
    <w:rsid w:val="005434BA"/>
    <w:rsid w:val="005471C2"/>
    <w:rsid w:val="00550B43"/>
    <w:rsid w:val="00552628"/>
    <w:rsid w:val="00553AB4"/>
    <w:rsid w:val="00561B54"/>
    <w:rsid w:val="005626DD"/>
    <w:rsid w:val="005630B5"/>
    <w:rsid w:val="005654AF"/>
    <w:rsid w:val="00567C2A"/>
    <w:rsid w:val="0057298D"/>
    <w:rsid w:val="00573BE0"/>
    <w:rsid w:val="005746AD"/>
    <w:rsid w:val="00585454"/>
    <w:rsid w:val="0059157C"/>
    <w:rsid w:val="00593169"/>
    <w:rsid w:val="005937CA"/>
    <w:rsid w:val="005939F1"/>
    <w:rsid w:val="005A4170"/>
    <w:rsid w:val="005B2F1F"/>
    <w:rsid w:val="005B4840"/>
    <w:rsid w:val="005C2250"/>
    <w:rsid w:val="005C2C52"/>
    <w:rsid w:val="005C2D77"/>
    <w:rsid w:val="005C2EE0"/>
    <w:rsid w:val="005C3EAE"/>
    <w:rsid w:val="005C7CCC"/>
    <w:rsid w:val="005D1A51"/>
    <w:rsid w:val="005D45A8"/>
    <w:rsid w:val="005E1C17"/>
    <w:rsid w:val="005E2305"/>
    <w:rsid w:val="005E5673"/>
    <w:rsid w:val="005F0486"/>
    <w:rsid w:val="00601536"/>
    <w:rsid w:val="00603258"/>
    <w:rsid w:val="00605DAC"/>
    <w:rsid w:val="00611224"/>
    <w:rsid w:val="00614AA9"/>
    <w:rsid w:val="006169F2"/>
    <w:rsid w:val="0062175E"/>
    <w:rsid w:val="006224B4"/>
    <w:rsid w:val="00622FED"/>
    <w:rsid w:val="00624D26"/>
    <w:rsid w:val="00630EF0"/>
    <w:rsid w:val="0063557B"/>
    <w:rsid w:val="006414E9"/>
    <w:rsid w:val="00645197"/>
    <w:rsid w:val="006544B1"/>
    <w:rsid w:val="00655BB9"/>
    <w:rsid w:val="00661EE8"/>
    <w:rsid w:val="00662C48"/>
    <w:rsid w:val="00662F1D"/>
    <w:rsid w:val="00664F54"/>
    <w:rsid w:val="00666BEF"/>
    <w:rsid w:val="00672898"/>
    <w:rsid w:val="006750CC"/>
    <w:rsid w:val="00680F3F"/>
    <w:rsid w:val="00687D79"/>
    <w:rsid w:val="0069364D"/>
    <w:rsid w:val="006A0305"/>
    <w:rsid w:val="006B21B5"/>
    <w:rsid w:val="006B2EAA"/>
    <w:rsid w:val="006B2F27"/>
    <w:rsid w:val="006B4347"/>
    <w:rsid w:val="006B4B6A"/>
    <w:rsid w:val="006B61BD"/>
    <w:rsid w:val="006B6C72"/>
    <w:rsid w:val="006C3C50"/>
    <w:rsid w:val="006C6F10"/>
    <w:rsid w:val="006C70C9"/>
    <w:rsid w:val="006D1F32"/>
    <w:rsid w:val="006D28DC"/>
    <w:rsid w:val="006E4307"/>
    <w:rsid w:val="006E6BD9"/>
    <w:rsid w:val="006F04B8"/>
    <w:rsid w:val="006F0A0F"/>
    <w:rsid w:val="007073AE"/>
    <w:rsid w:val="00720A0B"/>
    <w:rsid w:val="00721F68"/>
    <w:rsid w:val="00722B83"/>
    <w:rsid w:val="007265F4"/>
    <w:rsid w:val="00736B9A"/>
    <w:rsid w:val="00736BC1"/>
    <w:rsid w:val="00737FB6"/>
    <w:rsid w:val="00746680"/>
    <w:rsid w:val="0075005E"/>
    <w:rsid w:val="00750E7E"/>
    <w:rsid w:val="00750FE8"/>
    <w:rsid w:val="007542EB"/>
    <w:rsid w:val="00761E19"/>
    <w:rsid w:val="00763B25"/>
    <w:rsid w:val="00764117"/>
    <w:rsid w:val="00767256"/>
    <w:rsid w:val="00767357"/>
    <w:rsid w:val="007713A8"/>
    <w:rsid w:val="007769A1"/>
    <w:rsid w:val="00780988"/>
    <w:rsid w:val="007826E1"/>
    <w:rsid w:val="00782E82"/>
    <w:rsid w:val="007851A1"/>
    <w:rsid w:val="0079014B"/>
    <w:rsid w:val="00791E98"/>
    <w:rsid w:val="00793E57"/>
    <w:rsid w:val="007A05D7"/>
    <w:rsid w:val="007A074E"/>
    <w:rsid w:val="007A437F"/>
    <w:rsid w:val="007A5827"/>
    <w:rsid w:val="007A64D7"/>
    <w:rsid w:val="007B02D2"/>
    <w:rsid w:val="007B2850"/>
    <w:rsid w:val="007C062E"/>
    <w:rsid w:val="007C0BAE"/>
    <w:rsid w:val="007C6F51"/>
    <w:rsid w:val="007D55FA"/>
    <w:rsid w:val="007E0CB6"/>
    <w:rsid w:val="007E592C"/>
    <w:rsid w:val="007E5B3C"/>
    <w:rsid w:val="007F56EB"/>
    <w:rsid w:val="007F5B86"/>
    <w:rsid w:val="007F76EE"/>
    <w:rsid w:val="00800B9B"/>
    <w:rsid w:val="00801FAA"/>
    <w:rsid w:val="00803034"/>
    <w:rsid w:val="00806400"/>
    <w:rsid w:val="00807E39"/>
    <w:rsid w:val="00811B86"/>
    <w:rsid w:val="008146CA"/>
    <w:rsid w:val="00815676"/>
    <w:rsid w:val="00815BF1"/>
    <w:rsid w:val="00826868"/>
    <w:rsid w:val="00833ED9"/>
    <w:rsid w:val="00834251"/>
    <w:rsid w:val="008347BE"/>
    <w:rsid w:val="00835898"/>
    <w:rsid w:val="00837D85"/>
    <w:rsid w:val="00845F07"/>
    <w:rsid w:val="00847A28"/>
    <w:rsid w:val="00853105"/>
    <w:rsid w:val="00853D4A"/>
    <w:rsid w:val="00855136"/>
    <w:rsid w:val="00864A90"/>
    <w:rsid w:val="00873C36"/>
    <w:rsid w:val="008748BE"/>
    <w:rsid w:val="00875B33"/>
    <w:rsid w:val="008778CC"/>
    <w:rsid w:val="008811CF"/>
    <w:rsid w:val="00883930"/>
    <w:rsid w:val="00883EFC"/>
    <w:rsid w:val="00886324"/>
    <w:rsid w:val="00886B71"/>
    <w:rsid w:val="00893C6E"/>
    <w:rsid w:val="008940EE"/>
    <w:rsid w:val="00895E0C"/>
    <w:rsid w:val="0089686B"/>
    <w:rsid w:val="008A3A97"/>
    <w:rsid w:val="008A5947"/>
    <w:rsid w:val="008B006C"/>
    <w:rsid w:val="008B10C6"/>
    <w:rsid w:val="008B36D9"/>
    <w:rsid w:val="008B55D4"/>
    <w:rsid w:val="008B5910"/>
    <w:rsid w:val="008C0C6A"/>
    <w:rsid w:val="008C32EC"/>
    <w:rsid w:val="008C3BED"/>
    <w:rsid w:val="008C7E87"/>
    <w:rsid w:val="008D0749"/>
    <w:rsid w:val="008D3EFB"/>
    <w:rsid w:val="008E129A"/>
    <w:rsid w:val="008F5249"/>
    <w:rsid w:val="008F635D"/>
    <w:rsid w:val="00900595"/>
    <w:rsid w:val="00902024"/>
    <w:rsid w:val="00902876"/>
    <w:rsid w:val="0090318D"/>
    <w:rsid w:val="009146E2"/>
    <w:rsid w:val="009154F9"/>
    <w:rsid w:val="00915985"/>
    <w:rsid w:val="00915D68"/>
    <w:rsid w:val="00924336"/>
    <w:rsid w:val="0092666A"/>
    <w:rsid w:val="009343F7"/>
    <w:rsid w:val="0093709A"/>
    <w:rsid w:val="00952D8B"/>
    <w:rsid w:val="00954C33"/>
    <w:rsid w:val="00961578"/>
    <w:rsid w:val="00966F40"/>
    <w:rsid w:val="0096788C"/>
    <w:rsid w:val="00975784"/>
    <w:rsid w:val="00976295"/>
    <w:rsid w:val="009767A8"/>
    <w:rsid w:val="00984975"/>
    <w:rsid w:val="00987CF3"/>
    <w:rsid w:val="00987D9B"/>
    <w:rsid w:val="00990939"/>
    <w:rsid w:val="00992316"/>
    <w:rsid w:val="00995A23"/>
    <w:rsid w:val="009A2F08"/>
    <w:rsid w:val="009B1760"/>
    <w:rsid w:val="009B5402"/>
    <w:rsid w:val="009C1A80"/>
    <w:rsid w:val="009C3E81"/>
    <w:rsid w:val="009C6362"/>
    <w:rsid w:val="009D6398"/>
    <w:rsid w:val="009D6857"/>
    <w:rsid w:val="009E57BF"/>
    <w:rsid w:val="009E5A6E"/>
    <w:rsid w:val="009F054A"/>
    <w:rsid w:val="009F0A4E"/>
    <w:rsid w:val="009F192D"/>
    <w:rsid w:val="009F2377"/>
    <w:rsid w:val="009F404B"/>
    <w:rsid w:val="009F5AD8"/>
    <w:rsid w:val="009F6E97"/>
    <w:rsid w:val="00A108CC"/>
    <w:rsid w:val="00A25758"/>
    <w:rsid w:val="00A34119"/>
    <w:rsid w:val="00A34701"/>
    <w:rsid w:val="00A35A83"/>
    <w:rsid w:val="00A361C9"/>
    <w:rsid w:val="00A542E0"/>
    <w:rsid w:val="00A55EFD"/>
    <w:rsid w:val="00A57EDE"/>
    <w:rsid w:val="00A61DC0"/>
    <w:rsid w:val="00A6308C"/>
    <w:rsid w:val="00A634D0"/>
    <w:rsid w:val="00A64874"/>
    <w:rsid w:val="00A65BEC"/>
    <w:rsid w:val="00A6691D"/>
    <w:rsid w:val="00A74CD0"/>
    <w:rsid w:val="00A756F8"/>
    <w:rsid w:val="00A769D5"/>
    <w:rsid w:val="00A80081"/>
    <w:rsid w:val="00A81120"/>
    <w:rsid w:val="00A83428"/>
    <w:rsid w:val="00A852AE"/>
    <w:rsid w:val="00A879C6"/>
    <w:rsid w:val="00A87E85"/>
    <w:rsid w:val="00A905B2"/>
    <w:rsid w:val="00A91ED7"/>
    <w:rsid w:val="00A94D0B"/>
    <w:rsid w:val="00AA4A26"/>
    <w:rsid w:val="00AA57E0"/>
    <w:rsid w:val="00AA6C3F"/>
    <w:rsid w:val="00AB0272"/>
    <w:rsid w:val="00AB10CA"/>
    <w:rsid w:val="00AB36FE"/>
    <w:rsid w:val="00AC49BF"/>
    <w:rsid w:val="00AD44BF"/>
    <w:rsid w:val="00AD50C6"/>
    <w:rsid w:val="00AE2848"/>
    <w:rsid w:val="00AE46C7"/>
    <w:rsid w:val="00AE76FA"/>
    <w:rsid w:val="00B03814"/>
    <w:rsid w:val="00B04F72"/>
    <w:rsid w:val="00B120D5"/>
    <w:rsid w:val="00B22807"/>
    <w:rsid w:val="00B33839"/>
    <w:rsid w:val="00B3448F"/>
    <w:rsid w:val="00B371AE"/>
    <w:rsid w:val="00B414F2"/>
    <w:rsid w:val="00B41515"/>
    <w:rsid w:val="00B42295"/>
    <w:rsid w:val="00B42D5B"/>
    <w:rsid w:val="00B4336B"/>
    <w:rsid w:val="00B436DE"/>
    <w:rsid w:val="00B442FA"/>
    <w:rsid w:val="00B57521"/>
    <w:rsid w:val="00B63341"/>
    <w:rsid w:val="00B6361A"/>
    <w:rsid w:val="00B75661"/>
    <w:rsid w:val="00B7798F"/>
    <w:rsid w:val="00B83E5F"/>
    <w:rsid w:val="00B92C45"/>
    <w:rsid w:val="00B94242"/>
    <w:rsid w:val="00BA6ABF"/>
    <w:rsid w:val="00BA6F8A"/>
    <w:rsid w:val="00BB0592"/>
    <w:rsid w:val="00BB097D"/>
    <w:rsid w:val="00BB24E5"/>
    <w:rsid w:val="00BB2517"/>
    <w:rsid w:val="00BB53D0"/>
    <w:rsid w:val="00BC54E2"/>
    <w:rsid w:val="00BC7543"/>
    <w:rsid w:val="00BD3EB8"/>
    <w:rsid w:val="00BD4C60"/>
    <w:rsid w:val="00BD4FA7"/>
    <w:rsid w:val="00BD7676"/>
    <w:rsid w:val="00BD7F4B"/>
    <w:rsid w:val="00BE65DE"/>
    <w:rsid w:val="00BE7C77"/>
    <w:rsid w:val="00BF10B9"/>
    <w:rsid w:val="00BF2B5E"/>
    <w:rsid w:val="00BF2FC6"/>
    <w:rsid w:val="00BF555E"/>
    <w:rsid w:val="00BF5BA4"/>
    <w:rsid w:val="00C05779"/>
    <w:rsid w:val="00C07F7D"/>
    <w:rsid w:val="00C13B02"/>
    <w:rsid w:val="00C31273"/>
    <w:rsid w:val="00C323F3"/>
    <w:rsid w:val="00C32584"/>
    <w:rsid w:val="00C32739"/>
    <w:rsid w:val="00C35159"/>
    <w:rsid w:val="00C36CEF"/>
    <w:rsid w:val="00C427F8"/>
    <w:rsid w:val="00C45EE1"/>
    <w:rsid w:val="00C47B13"/>
    <w:rsid w:val="00C503D6"/>
    <w:rsid w:val="00C50A53"/>
    <w:rsid w:val="00C51A1D"/>
    <w:rsid w:val="00C525B7"/>
    <w:rsid w:val="00C53EEF"/>
    <w:rsid w:val="00C5584A"/>
    <w:rsid w:val="00C61276"/>
    <w:rsid w:val="00C6322D"/>
    <w:rsid w:val="00C713F7"/>
    <w:rsid w:val="00C75C6B"/>
    <w:rsid w:val="00C820D7"/>
    <w:rsid w:val="00C82ABB"/>
    <w:rsid w:val="00C8629F"/>
    <w:rsid w:val="00C958CC"/>
    <w:rsid w:val="00C9624E"/>
    <w:rsid w:val="00C97D0F"/>
    <w:rsid w:val="00CA0B1F"/>
    <w:rsid w:val="00CA5E03"/>
    <w:rsid w:val="00CB7939"/>
    <w:rsid w:val="00CC0924"/>
    <w:rsid w:val="00CC3356"/>
    <w:rsid w:val="00CD017B"/>
    <w:rsid w:val="00CD107F"/>
    <w:rsid w:val="00CD2975"/>
    <w:rsid w:val="00CD56BE"/>
    <w:rsid w:val="00CD61FC"/>
    <w:rsid w:val="00CD6DCF"/>
    <w:rsid w:val="00CE6E52"/>
    <w:rsid w:val="00CF34E2"/>
    <w:rsid w:val="00D03D9E"/>
    <w:rsid w:val="00D11E97"/>
    <w:rsid w:val="00D13E18"/>
    <w:rsid w:val="00D148E2"/>
    <w:rsid w:val="00D2289B"/>
    <w:rsid w:val="00D23BC4"/>
    <w:rsid w:val="00D24C81"/>
    <w:rsid w:val="00D32790"/>
    <w:rsid w:val="00D335F1"/>
    <w:rsid w:val="00D4062B"/>
    <w:rsid w:val="00D43A31"/>
    <w:rsid w:val="00D4580F"/>
    <w:rsid w:val="00D562BA"/>
    <w:rsid w:val="00D56BA4"/>
    <w:rsid w:val="00D56EFA"/>
    <w:rsid w:val="00D609A7"/>
    <w:rsid w:val="00D65D3E"/>
    <w:rsid w:val="00D777E8"/>
    <w:rsid w:val="00D8238B"/>
    <w:rsid w:val="00D83BBE"/>
    <w:rsid w:val="00D867DE"/>
    <w:rsid w:val="00D920A9"/>
    <w:rsid w:val="00D96637"/>
    <w:rsid w:val="00DA052B"/>
    <w:rsid w:val="00DA17D3"/>
    <w:rsid w:val="00DA289D"/>
    <w:rsid w:val="00DA7389"/>
    <w:rsid w:val="00DB36B5"/>
    <w:rsid w:val="00DB68CB"/>
    <w:rsid w:val="00DB6AE3"/>
    <w:rsid w:val="00DB7FD7"/>
    <w:rsid w:val="00DC0B0D"/>
    <w:rsid w:val="00DC1A7C"/>
    <w:rsid w:val="00DC36F8"/>
    <w:rsid w:val="00DC71A3"/>
    <w:rsid w:val="00DC7AF9"/>
    <w:rsid w:val="00DD594D"/>
    <w:rsid w:val="00DD642B"/>
    <w:rsid w:val="00DE588E"/>
    <w:rsid w:val="00DE709C"/>
    <w:rsid w:val="00DE7A89"/>
    <w:rsid w:val="00DF0C4F"/>
    <w:rsid w:val="00DF348D"/>
    <w:rsid w:val="00E053A7"/>
    <w:rsid w:val="00E057C4"/>
    <w:rsid w:val="00E062DD"/>
    <w:rsid w:val="00E10336"/>
    <w:rsid w:val="00E126DB"/>
    <w:rsid w:val="00E13D5E"/>
    <w:rsid w:val="00E20401"/>
    <w:rsid w:val="00E23586"/>
    <w:rsid w:val="00E23F4E"/>
    <w:rsid w:val="00E2583B"/>
    <w:rsid w:val="00E25D90"/>
    <w:rsid w:val="00E32515"/>
    <w:rsid w:val="00E33E32"/>
    <w:rsid w:val="00E34516"/>
    <w:rsid w:val="00E464FF"/>
    <w:rsid w:val="00E50534"/>
    <w:rsid w:val="00E514F2"/>
    <w:rsid w:val="00E52334"/>
    <w:rsid w:val="00E52E54"/>
    <w:rsid w:val="00E62D6B"/>
    <w:rsid w:val="00E838D8"/>
    <w:rsid w:val="00E85E25"/>
    <w:rsid w:val="00E86585"/>
    <w:rsid w:val="00E86D77"/>
    <w:rsid w:val="00E876AF"/>
    <w:rsid w:val="00E902D3"/>
    <w:rsid w:val="00E93676"/>
    <w:rsid w:val="00E95127"/>
    <w:rsid w:val="00EA6A5B"/>
    <w:rsid w:val="00EB01A9"/>
    <w:rsid w:val="00EB2E5A"/>
    <w:rsid w:val="00EB36C0"/>
    <w:rsid w:val="00EC1640"/>
    <w:rsid w:val="00EC3CD5"/>
    <w:rsid w:val="00EC4325"/>
    <w:rsid w:val="00EC6833"/>
    <w:rsid w:val="00ED23C8"/>
    <w:rsid w:val="00ED375E"/>
    <w:rsid w:val="00ED4322"/>
    <w:rsid w:val="00ED5D25"/>
    <w:rsid w:val="00EE0DA9"/>
    <w:rsid w:val="00EE6071"/>
    <w:rsid w:val="00EE7D29"/>
    <w:rsid w:val="00EF3FEC"/>
    <w:rsid w:val="00EF442E"/>
    <w:rsid w:val="00EF4AD2"/>
    <w:rsid w:val="00EF6684"/>
    <w:rsid w:val="00EF70BC"/>
    <w:rsid w:val="00F0210D"/>
    <w:rsid w:val="00F05A48"/>
    <w:rsid w:val="00F1048E"/>
    <w:rsid w:val="00F2179F"/>
    <w:rsid w:val="00F23BC5"/>
    <w:rsid w:val="00F24F25"/>
    <w:rsid w:val="00F335FD"/>
    <w:rsid w:val="00F37A35"/>
    <w:rsid w:val="00F40A01"/>
    <w:rsid w:val="00F4103A"/>
    <w:rsid w:val="00F51BAC"/>
    <w:rsid w:val="00F52120"/>
    <w:rsid w:val="00F54DED"/>
    <w:rsid w:val="00F6259A"/>
    <w:rsid w:val="00F70B42"/>
    <w:rsid w:val="00F76558"/>
    <w:rsid w:val="00F8513D"/>
    <w:rsid w:val="00F91041"/>
    <w:rsid w:val="00F91707"/>
    <w:rsid w:val="00F932D3"/>
    <w:rsid w:val="00FB1688"/>
    <w:rsid w:val="00FB1AC9"/>
    <w:rsid w:val="00FB6F02"/>
    <w:rsid w:val="00FC0275"/>
    <w:rsid w:val="00FD1E52"/>
    <w:rsid w:val="00FD4326"/>
    <w:rsid w:val="00FD4D49"/>
    <w:rsid w:val="00FD588C"/>
    <w:rsid w:val="00FE2787"/>
    <w:rsid w:val="00FE350A"/>
    <w:rsid w:val="00FE4D62"/>
    <w:rsid w:val="00FE60D4"/>
    <w:rsid w:val="00FE7D1F"/>
    <w:rsid w:val="00FF6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F9B6F"/>
  <w15:docId w15:val="{3C9C54D2-4041-4146-A1EF-562F41ADE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7A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2AA5"/>
    <w:pPr>
      <w:keepNext/>
      <w:keepLines/>
      <w:spacing w:before="480"/>
      <w:jc w:val="center"/>
      <w:outlineLvl w:val="0"/>
    </w:pPr>
    <w:rPr>
      <w:rFonts w:eastAsiaTheme="majorEastAsia" w:cstheme="majorBidi"/>
      <w:b/>
      <w:bCs/>
      <w:color w:val="000000" w:themeColor="text1"/>
      <w:sz w:val="28"/>
      <w:szCs w:val="28"/>
      <w:lang w:val="en-US" w:eastAsia="en-US"/>
    </w:rPr>
  </w:style>
  <w:style w:type="paragraph" w:styleId="2">
    <w:name w:val="heading 2"/>
    <w:basedOn w:val="a"/>
    <w:next w:val="a"/>
    <w:link w:val="20"/>
    <w:uiPriority w:val="9"/>
    <w:semiHidden/>
    <w:unhideWhenUsed/>
    <w:qFormat/>
    <w:rsid w:val="0080640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qFormat/>
    <w:rsid w:val="00022AA5"/>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A28"/>
    <w:pPr>
      <w:ind w:left="720"/>
      <w:contextualSpacing/>
    </w:pPr>
  </w:style>
  <w:style w:type="paragraph" w:customStyle="1" w:styleId="rvps4">
    <w:name w:val="rvps4"/>
    <w:basedOn w:val="a"/>
    <w:rsid w:val="00847A28"/>
    <w:pPr>
      <w:spacing w:before="100" w:beforeAutospacing="1" w:after="100" w:afterAutospacing="1"/>
    </w:pPr>
    <w:rPr>
      <w:lang w:val="uk-UA" w:eastAsia="uk-UA"/>
    </w:rPr>
  </w:style>
  <w:style w:type="paragraph" w:customStyle="1" w:styleId="rvps1">
    <w:name w:val="rvps1"/>
    <w:basedOn w:val="a"/>
    <w:rsid w:val="00847A28"/>
    <w:pPr>
      <w:spacing w:before="100" w:beforeAutospacing="1" w:after="100" w:afterAutospacing="1"/>
    </w:pPr>
    <w:rPr>
      <w:lang w:val="uk-UA" w:eastAsia="uk-UA"/>
    </w:rPr>
  </w:style>
  <w:style w:type="character" w:customStyle="1" w:styleId="rvts15">
    <w:name w:val="rvts15"/>
    <w:basedOn w:val="a0"/>
    <w:rsid w:val="00847A28"/>
  </w:style>
  <w:style w:type="character" w:customStyle="1" w:styleId="rvts23">
    <w:name w:val="rvts23"/>
    <w:basedOn w:val="a0"/>
    <w:rsid w:val="00847A28"/>
  </w:style>
  <w:style w:type="paragraph" w:customStyle="1" w:styleId="rvps7">
    <w:name w:val="rvps7"/>
    <w:basedOn w:val="a"/>
    <w:rsid w:val="00847A28"/>
    <w:pPr>
      <w:spacing w:before="100" w:beforeAutospacing="1" w:after="100" w:afterAutospacing="1"/>
    </w:pPr>
    <w:rPr>
      <w:lang w:val="uk-UA" w:eastAsia="uk-UA"/>
    </w:rPr>
  </w:style>
  <w:style w:type="character" w:customStyle="1" w:styleId="rvts9">
    <w:name w:val="rvts9"/>
    <w:basedOn w:val="a0"/>
    <w:rsid w:val="00847A28"/>
  </w:style>
  <w:style w:type="paragraph" w:customStyle="1" w:styleId="rvps6">
    <w:name w:val="rvps6"/>
    <w:basedOn w:val="a"/>
    <w:rsid w:val="00847A28"/>
    <w:pPr>
      <w:spacing w:before="100" w:beforeAutospacing="1" w:after="100" w:afterAutospacing="1"/>
    </w:pPr>
    <w:rPr>
      <w:lang w:val="uk-UA" w:eastAsia="uk-UA"/>
    </w:rPr>
  </w:style>
  <w:style w:type="paragraph" w:customStyle="1" w:styleId="rvps2">
    <w:name w:val="rvps2"/>
    <w:basedOn w:val="a"/>
    <w:link w:val="rvps2Char"/>
    <w:qFormat/>
    <w:rsid w:val="00847A28"/>
    <w:pPr>
      <w:spacing w:before="100" w:beforeAutospacing="1" w:after="100" w:afterAutospacing="1"/>
    </w:pPr>
    <w:rPr>
      <w:lang w:val="uk-UA" w:eastAsia="uk-UA"/>
    </w:rPr>
  </w:style>
  <w:style w:type="character" w:styleId="a4">
    <w:name w:val="Hyperlink"/>
    <w:basedOn w:val="a0"/>
    <w:unhideWhenUsed/>
    <w:rsid w:val="00847A28"/>
    <w:rPr>
      <w:color w:val="0000FF"/>
      <w:u w:val="single"/>
    </w:rPr>
  </w:style>
  <w:style w:type="character" w:customStyle="1" w:styleId="rvts52">
    <w:name w:val="rvts52"/>
    <w:basedOn w:val="a0"/>
    <w:rsid w:val="00847A28"/>
  </w:style>
  <w:style w:type="character" w:customStyle="1" w:styleId="rvts44">
    <w:name w:val="rvts44"/>
    <w:basedOn w:val="a0"/>
    <w:rsid w:val="00847A28"/>
  </w:style>
  <w:style w:type="paragraph" w:customStyle="1" w:styleId="rvps15">
    <w:name w:val="rvps15"/>
    <w:basedOn w:val="a"/>
    <w:rsid w:val="00847A28"/>
    <w:pPr>
      <w:spacing w:before="100" w:beforeAutospacing="1" w:after="100" w:afterAutospacing="1"/>
    </w:pPr>
    <w:rPr>
      <w:lang w:val="uk-UA" w:eastAsia="uk-UA"/>
    </w:rPr>
  </w:style>
  <w:style w:type="character" w:customStyle="1" w:styleId="fontstyle01">
    <w:name w:val="fontstyle01"/>
    <w:basedOn w:val="a0"/>
    <w:rsid w:val="00171C12"/>
    <w:rPr>
      <w:rFonts w:ascii="TimesNewRomanPS-BoldMT" w:hAnsi="TimesNewRomanPS-BoldMT" w:hint="default"/>
      <w:b/>
      <w:bCs/>
      <w:i w:val="0"/>
      <w:iCs w:val="0"/>
      <w:color w:val="000000"/>
      <w:sz w:val="28"/>
      <w:szCs w:val="28"/>
    </w:rPr>
  </w:style>
  <w:style w:type="paragraph" w:styleId="a5">
    <w:name w:val="header"/>
    <w:basedOn w:val="a"/>
    <w:link w:val="a6"/>
    <w:uiPriority w:val="99"/>
    <w:unhideWhenUsed/>
    <w:rsid w:val="00F24F25"/>
    <w:pPr>
      <w:tabs>
        <w:tab w:val="center" w:pos="4677"/>
        <w:tab w:val="right" w:pos="9355"/>
      </w:tabs>
    </w:pPr>
  </w:style>
  <w:style w:type="character" w:customStyle="1" w:styleId="a6">
    <w:name w:val="Верхній колонтитул Знак"/>
    <w:basedOn w:val="a0"/>
    <w:link w:val="a5"/>
    <w:uiPriority w:val="99"/>
    <w:rsid w:val="00F24F2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4F25"/>
    <w:pPr>
      <w:tabs>
        <w:tab w:val="center" w:pos="4677"/>
        <w:tab w:val="right" w:pos="9355"/>
      </w:tabs>
    </w:pPr>
  </w:style>
  <w:style w:type="character" w:customStyle="1" w:styleId="a8">
    <w:name w:val="Нижній колонтитул Знак"/>
    <w:basedOn w:val="a0"/>
    <w:link w:val="a7"/>
    <w:uiPriority w:val="99"/>
    <w:rsid w:val="00F24F2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22AA5"/>
    <w:rPr>
      <w:rFonts w:ascii="Times New Roman" w:eastAsiaTheme="majorEastAsia" w:hAnsi="Times New Roman" w:cstheme="majorBidi"/>
      <w:b/>
      <w:bCs/>
      <w:color w:val="000000" w:themeColor="text1"/>
      <w:sz w:val="28"/>
      <w:szCs w:val="28"/>
      <w:lang w:val="en-US"/>
    </w:rPr>
  </w:style>
  <w:style w:type="character" w:customStyle="1" w:styleId="30">
    <w:name w:val="Заголовок 3 Знак"/>
    <w:basedOn w:val="a0"/>
    <w:link w:val="3"/>
    <w:rsid w:val="00022AA5"/>
    <w:rPr>
      <w:rFonts w:ascii="Times New Roman" w:eastAsia="Times New Roman" w:hAnsi="Times New Roman" w:cs="Times New Roman"/>
      <w:b/>
      <w:bCs/>
      <w:sz w:val="27"/>
      <w:szCs w:val="27"/>
      <w:lang w:val="uk-UA" w:eastAsia="uk-UA"/>
    </w:rPr>
  </w:style>
  <w:style w:type="character" w:customStyle="1" w:styleId="rvts0">
    <w:name w:val="rvts0"/>
    <w:rsid w:val="00022AA5"/>
    <w:rPr>
      <w:rFonts w:cs="Times New Roman"/>
    </w:rPr>
  </w:style>
  <w:style w:type="paragraph" w:styleId="a9">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a"/>
    <w:uiPriority w:val="99"/>
    <w:rsid w:val="00C8629F"/>
    <w:pPr>
      <w:spacing w:before="100" w:beforeAutospacing="1" w:after="100" w:afterAutospacing="1"/>
    </w:pPr>
    <w:rPr>
      <w:sz w:val="20"/>
      <w:szCs w:val="20"/>
    </w:rPr>
  </w:style>
  <w:style w:type="character" w:customStyle="1" w:styleId="aa">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9"/>
    <w:rsid w:val="00C8629F"/>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EB2E5A"/>
    <w:rPr>
      <w:rFonts w:ascii="Segoe UI" w:hAnsi="Segoe UI" w:cs="Segoe UI"/>
      <w:sz w:val="18"/>
      <w:szCs w:val="18"/>
    </w:rPr>
  </w:style>
  <w:style w:type="character" w:customStyle="1" w:styleId="ac">
    <w:name w:val="Текст у виносці Знак"/>
    <w:basedOn w:val="a0"/>
    <w:link w:val="ab"/>
    <w:uiPriority w:val="99"/>
    <w:semiHidden/>
    <w:rsid w:val="00EB2E5A"/>
    <w:rPr>
      <w:rFonts w:ascii="Segoe UI" w:eastAsia="Times New Roman" w:hAnsi="Segoe UI" w:cs="Segoe UI"/>
      <w:sz w:val="18"/>
      <w:szCs w:val="18"/>
      <w:lang w:eastAsia="ru-RU"/>
    </w:rPr>
  </w:style>
  <w:style w:type="paragraph" w:customStyle="1" w:styleId="11">
    <w:name w:val="Абзац списку1"/>
    <w:basedOn w:val="a"/>
    <w:rsid w:val="00044059"/>
    <w:pPr>
      <w:ind w:left="720"/>
      <w:contextualSpacing/>
    </w:pPr>
    <w:rPr>
      <w:rFonts w:ascii="Calibri" w:hAnsi="Calibri"/>
      <w:sz w:val="22"/>
      <w:szCs w:val="22"/>
      <w:lang w:val="uk-UA" w:eastAsia="en-US"/>
    </w:rPr>
  </w:style>
  <w:style w:type="character" w:customStyle="1" w:styleId="rvts40">
    <w:name w:val="rvts40"/>
    <w:qFormat/>
    <w:rsid w:val="003B0C93"/>
  </w:style>
  <w:style w:type="paragraph" w:customStyle="1" w:styleId="rvps12">
    <w:name w:val="rvps12"/>
    <w:basedOn w:val="a"/>
    <w:qFormat/>
    <w:rsid w:val="003B0C93"/>
    <w:pPr>
      <w:spacing w:before="100" w:after="100"/>
    </w:pPr>
    <w:rPr>
      <w:lang w:val="uk-UA" w:eastAsia="uk-UA"/>
    </w:rPr>
  </w:style>
  <w:style w:type="table" w:styleId="ad">
    <w:name w:val="Table Grid"/>
    <w:basedOn w:val="a1"/>
    <w:rsid w:val="00967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806400"/>
    <w:rPr>
      <w:rFonts w:asciiTheme="majorHAnsi" w:eastAsiaTheme="majorEastAsia" w:hAnsiTheme="majorHAnsi" w:cstheme="majorBidi"/>
      <w:color w:val="365F91" w:themeColor="accent1" w:themeShade="BF"/>
      <w:sz w:val="26"/>
      <w:szCs w:val="26"/>
      <w:lang w:eastAsia="ru-RU"/>
    </w:rPr>
  </w:style>
  <w:style w:type="character" w:customStyle="1" w:styleId="rvps2Char">
    <w:name w:val="rvps2 Char"/>
    <w:basedOn w:val="a0"/>
    <w:link w:val="rvps2"/>
    <w:rsid w:val="00806400"/>
    <w:rPr>
      <w:rFonts w:ascii="Times New Roman" w:eastAsia="Times New Roman" w:hAnsi="Times New Roman" w:cs="Times New Roman"/>
      <w:sz w:val="24"/>
      <w:szCs w:val="24"/>
      <w:lang w:val="uk-UA" w:eastAsia="uk-UA"/>
    </w:rPr>
  </w:style>
  <w:style w:type="character" w:styleId="ae">
    <w:name w:val="annotation reference"/>
    <w:basedOn w:val="a0"/>
    <w:uiPriority w:val="99"/>
    <w:semiHidden/>
    <w:unhideWhenUsed/>
    <w:rsid w:val="00A769D5"/>
    <w:rPr>
      <w:sz w:val="16"/>
      <w:szCs w:val="16"/>
    </w:rPr>
  </w:style>
  <w:style w:type="paragraph" w:styleId="af">
    <w:name w:val="annotation text"/>
    <w:basedOn w:val="a"/>
    <w:link w:val="af0"/>
    <w:uiPriority w:val="99"/>
    <w:semiHidden/>
    <w:unhideWhenUsed/>
    <w:rsid w:val="00A769D5"/>
    <w:rPr>
      <w:sz w:val="20"/>
      <w:szCs w:val="20"/>
    </w:rPr>
  </w:style>
  <w:style w:type="character" w:customStyle="1" w:styleId="af0">
    <w:name w:val="Текст примітки Знак"/>
    <w:basedOn w:val="a0"/>
    <w:link w:val="af"/>
    <w:uiPriority w:val="99"/>
    <w:semiHidden/>
    <w:rsid w:val="00A769D5"/>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A769D5"/>
    <w:rPr>
      <w:b/>
      <w:bCs/>
    </w:rPr>
  </w:style>
  <w:style w:type="character" w:customStyle="1" w:styleId="af2">
    <w:name w:val="Тема примітки Знак"/>
    <w:basedOn w:val="af0"/>
    <w:link w:val="af1"/>
    <w:uiPriority w:val="99"/>
    <w:semiHidden/>
    <w:rsid w:val="00A769D5"/>
    <w:rPr>
      <w:rFonts w:ascii="Times New Roman" w:eastAsia="Times New Roman" w:hAnsi="Times New Roman" w:cs="Times New Roman"/>
      <w:b/>
      <w:bCs/>
      <w:sz w:val="20"/>
      <w:szCs w:val="20"/>
      <w:lang w:eastAsia="ru-RU"/>
    </w:rPr>
  </w:style>
  <w:style w:type="paragraph" w:styleId="af3">
    <w:name w:val="Revision"/>
    <w:hidden/>
    <w:uiPriority w:val="99"/>
    <w:semiHidden/>
    <w:rsid w:val="001A4B1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09263">
      <w:bodyDiv w:val="1"/>
      <w:marLeft w:val="0"/>
      <w:marRight w:val="0"/>
      <w:marTop w:val="0"/>
      <w:marBottom w:val="0"/>
      <w:divBdr>
        <w:top w:val="none" w:sz="0" w:space="0" w:color="auto"/>
        <w:left w:val="none" w:sz="0" w:space="0" w:color="auto"/>
        <w:bottom w:val="none" w:sz="0" w:space="0" w:color="auto"/>
        <w:right w:val="none" w:sz="0" w:space="0" w:color="auto"/>
      </w:divBdr>
    </w:div>
    <w:div w:id="1131631685">
      <w:bodyDiv w:val="1"/>
      <w:marLeft w:val="0"/>
      <w:marRight w:val="0"/>
      <w:marTop w:val="0"/>
      <w:marBottom w:val="0"/>
      <w:divBdr>
        <w:top w:val="none" w:sz="0" w:space="0" w:color="auto"/>
        <w:left w:val="none" w:sz="0" w:space="0" w:color="auto"/>
        <w:bottom w:val="none" w:sz="0" w:space="0" w:color="auto"/>
        <w:right w:val="none" w:sz="0" w:space="0" w:color="auto"/>
      </w:divBdr>
      <w:divsChild>
        <w:div w:id="206836599">
          <w:marLeft w:val="0"/>
          <w:marRight w:val="0"/>
          <w:marTop w:val="0"/>
          <w:marBottom w:val="150"/>
          <w:divBdr>
            <w:top w:val="none" w:sz="0" w:space="0" w:color="auto"/>
            <w:left w:val="none" w:sz="0" w:space="0" w:color="auto"/>
            <w:bottom w:val="none" w:sz="0" w:space="0" w:color="auto"/>
            <w:right w:val="none" w:sz="0" w:space="0" w:color="auto"/>
          </w:divBdr>
        </w:div>
        <w:div w:id="2123383054">
          <w:marLeft w:val="0"/>
          <w:marRight w:val="0"/>
          <w:marTop w:val="150"/>
          <w:marBottom w:val="150"/>
          <w:divBdr>
            <w:top w:val="none" w:sz="0" w:space="0" w:color="auto"/>
            <w:left w:val="none" w:sz="0" w:space="0" w:color="auto"/>
            <w:bottom w:val="none" w:sz="0" w:space="0" w:color="auto"/>
            <w:right w:val="none" w:sz="0" w:space="0" w:color="auto"/>
          </w:divBdr>
        </w:div>
      </w:divsChild>
    </w:div>
    <w:div w:id="20048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38EF8-F0C0-4442-BD09-FEF523D05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6764</Words>
  <Characters>3856</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milova</dc:creator>
  <cp:keywords/>
  <dc:description/>
  <cp:lastModifiedBy>Григорій Туленко</cp:lastModifiedBy>
  <cp:revision>2</cp:revision>
  <cp:lastPrinted>2022-02-11T13:00:00Z</cp:lastPrinted>
  <dcterms:created xsi:type="dcterms:W3CDTF">2023-12-06T13:46:00Z</dcterms:created>
  <dcterms:modified xsi:type="dcterms:W3CDTF">2023-12-06T13:46:00Z</dcterms:modified>
</cp:coreProperties>
</file>