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B43" w:rsidRDefault="0040578D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A20EF">
        <w:rPr>
          <w:rFonts w:ascii="Times New Roman" w:hAnsi="Times New Roman" w:cs="Times New Roman"/>
          <w:b/>
          <w:sz w:val="27"/>
          <w:szCs w:val="27"/>
        </w:rPr>
        <w:t xml:space="preserve">Порівняльна таблиця до </w:t>
      </w:r>
      <w:proofErr w:type="spellStart"/>
      <w:r w:rsidRPr="004A20EF">
        <w:rPr>
          <w:rFonts w:ascii="Times New Roman" w:hAnsi="Times New Roman" w:cs="Times New Roman"/>
          <w:b/>
          <w:sz w:val="27"/>
          <w:szCs w:val="27"/>
        </w:rPr>
        <w:t>проєкту</w:t>
      </w:r>
      <w:proofErr w:type="spellEnd"/>
      <w:r w:rsidRPr="004A20EF">
        <w:rPr>
          <w:rFonts w:ascii="Times New Roman" w:hAnsi="Times New Roman" w:cs="Times New Roman"/>
          <w:b/>
          <w:sz w:val="27"/>
          <w:szCs w:val="27"/>
        </w:rPr>
        <w:t xml:space="preserve"> постанови НКРЕКП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</w:p>
    <w:p w:rsidR="008A543E" w:rsidRPr="004A20EF" w:rsidRDefault="008A543E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15308" w:type="dxa"/>
        <w:tblLook w:val="04A0" w:firstRow="1" w:lastRow="0" w:firstColumn="1" w:lastColumn="0" w:noHBand="0" w:noVBand="1"/>
      </w:tblPr>
      <w:tblGrid>
        <w:gridCol w:w="7654"/>
        <w:gridCol w:w="7654"/>
      </w:tblGrid>
      <w:tr w:rsidR="00DF31AD" w:rsidRPr="004A20EF" w:rsidTr="00717D95">
        <w:trPr>
          <w:trHeight w:val="610"/>
        </w:trPr>
        <w:tc>
          <w:tcPr>
            <w:tcW w:w="7654" w:type="dxa"/>
            <w:vAlign w:val="center"/>
          </w:tcPr>
          <w:p w:rsidR="003D5AAE" w:rsidRPr="004A20EF" w:rsidRDefault="0040578D" w:rsidP="003D5AA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A20EF">
              <w:rPr>
                <w:rFonts w:ascii="Times New Roman" w:hAnsi="Times New Roman" w:cs="Times New Roman"/>
                <w:b/>
                <w:sz w:val="27"/>
                <w:szCs w:val="27"/>
              </w:rPr>
              <w:t>ПОЛОЖЕННЯ ДІЮЧОЇ РЕДАКЦІЇ</w:t>
            </w:r>
          </w:p>
        </w:tc>
        <w:tc>
          <w:tcPr>
            <w:tcW w:w="7654" w:type="dxa"/>
            <w:vAlign w:val="center"/>
          </w:tcPr>
          <w:p w:rsidR="00DF31AD" w:rsidRPr="004A20EF" w:rsidRDefault="0040578D" w:rsidP="007E709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A20EF">
              <w:rPr>
                <w:rFonts w:ascii="Times New Roman" w:hAnsi="Times New Roman" w:cs="Times New Roman"/>
                <w:b/>
                <w:sz w:val="27"/>
                <w:szCs w:val="27"/>
              </w:rPr>
              <w:t>ЗМІСТ ПОЛОЖЕННЬ ПРОЄКТУ ПОСТАНОВИ</w:t>
            </w:r>
          </w:p>
        </w:tc>
      </w:tr>
      <w:tr w:rsidR="0040578D" w:rsidTr="00717D95">
        <w:trPr>
          <w:trHeight w:val="1271"/>
        </w:trPr>
        <w:tc>
          <w:tcPr>
            <w:tcW w:w="15308" w:type="dxa"/>
            <w:gridSpan w:val="2"/>
            <w:vAlign w:val="center"/>
          </w:tcPr>
          <w:p w:rsidR="0040578D" w:rsidRDefault="0040578D" w:rsidP="003D5AAE">
            <w:pPr>
              <w:pStyle w:val="3"/>
              <w:jc w:val="center"/>
              <w:outlineLvl w:val="2"/>
              <w:rPr>
                <w:rFonts w:eastAsia="Times New Roman"/>
              </w:rPr>
            </w:pPr>
            <w:r w:rsidRPr="0040578D">
              <w:rPr>
                <w:rFonts w:eastAsia="Times New Roman"/>
              </w:rPr>
              <w:t>Поряд</w:t>
            </w:r>
            <w:r>
              <w:rPr>
                <w:rFonts w:eastAsia="Times New Roman"/>
              </w:rPr>
              <w:t>о</w:t>
            </w:r>
            <w:r w:rsidRPr="0040578D">
              <w:rPr>
                <w:rFonts w:eastAsia="Times New Roman"/>
              </w:rPr>
              <w:t>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</w:t>
            </w:r>
            <w:r>
              <w:rPr>
                <w:rFonts w:eastAsia="Times New Roman"/>
              </w:rPr>
              <w:t> </w:t>
            </w:r>
            <w:r w:rsidRPr="0040578D">
              <w:rPr>
                <w:rFonts w:eastAsia="Times New Roman"/>
              </w:rPr>
              <w:t>428</w:t>
            </w:r>
          </w:p>
        </w:tc>
      </w:tr>
      <w:tr w:rsidR="009F310F" w:rsidTr="00717D95">
        <w:tc>
          <w:tcPr>
            <w:tcW w:w="7654" w:type="dxa"/>
          </w:tcPr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1.1. Дія цього Порядку поширюється на суб'єктів господарювання, що провадять діяльність у сферах енергетики та комунальних послуг, які отримали ліцензії на провадження господарської діяльності та регулювання, моніторинг та контроль за діяльністю яких здійснюється Національною комісією, що здійснює державне регулювання у сферах енергетики та комунальних послуг (далі - ліцензіати):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1) у сфері енергетики: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діяльності з виробництва, передачі, розподілу електричної енергії, зберігання енергії;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постачання електричної енергії споживачу;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proofErr w:type="spellStart"/>
            <w:r>
              <w:t>трейдерської</w:t>
            </w:r>
            <w:proofErr w:type="spellEnd"/>
            <w:r>
              <w:t xml:space="preserve"> діяльності на ринку електричної енергії;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здійснення функцій оператора ринку електричної енергії;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здійснення функцій гарантованого покупця на ринку електричної енергії;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діяльності з транспортування, розподілу, зберігання (закачування, відбору), надання послуг установки LNG, постачання природного газу;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діяльності з транспортування нафти, нафтопродуктів та інших речовин трубопровідним транспортом;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2) у сфері комунальних послуг: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lastRenderedPageBreak/>
              <w:t xml:space="preserve">діяльності з виробництва теплової енергії на </w:t>
            </w:r>
            <w:proofErr w:type="spellStart"/>
            <w:r>
              <w:t>теплогенеруючих</w:t>
            </w:r>
            <w:proofErr w:type="spellEnd"/>
            <w:r>
              <w:t xml:space="preserve"> установках, включаючи установки для комбінованого виробництва теплової та електричної енергії;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діяльності у сфері централізованого водопостачання та водовідведення.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B15863" w:rsidRDefault="00B15863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2.8. У разі неможливості працівника, якого включено до складу комісії з перевірки, з поважних причин взяти/продовжити участь у цій перевірці та з метою забезпечення мінімально необхідного складу комісії або необхідності включення додаткового члена комісії оформляється нове посвідчення без зміни строку та питань перевірки.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Оригінал такого посвідчення пред'являється ліцензіату та надається його копія.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У разі неможливості представника інших державних органів, органів місцевого самоврядування, якого включено до складу комісії з перевірки, взяти/продовжити участь у цій перевірці та за умови забезпечення мінімально необхідного складу комісії нове посвідчення не оформлюється, а перевірка розпочинається/продовжується.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AB675A" w:rsidP="00644D5C">
            <w:pPr>
              <w:pStyle w:val="a4"/>
              <w:spacing w:before="0" w:beforeAutospacing="0" w:after="0" w:afterAutospacing="0"/>
              <w:jc w:val="both"/>
            </w:pPr>
            <w:r w:rsidRPr="00AB675A">
              <w:t>2.10. Під час проведення перевірок не допускається вилучення у ліцензіатів оригіналів їхніх фінансово-господарських, бухгалтерських, інших документів, а також комп'ютерів та їх частин.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644D5C" w:rsidRDefault="00644D5C" w:rsidP="00644D5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  <w:r>
              <w:t xml:space="preserve">3.1. Планові перевірки ліцензіатів проводяться не частіше одного разу на рік відповідно до річного плану, який затверджується НКРЕКП до першого грудня року, що передує плановому, та оприлюднюється на офіційному </w:t>
            </w:r>
            <w:proofErr w:type="spellStart"/>
            <w:r>
              <w:t>вебсайті</w:t>
            </w:r>
            <w:proofErr w:type="spellEnd"/>
            <w:r>
              <w:t xml:space="preserve"> не пізніше п'яти днів до початку відповідного планового періоду.</w:t>
            </w: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  <w:r>
              <w:t>Внесення змін до річного плану здійснення заходів державного контролю допускається в частині виключення ліцензіата, зміни його найменування та/або місцезнаходження, дати та строку проведення перевірки та виправлення технічних помилок.</w:t>
            </w: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  <w:r>
              <w:t>Не допускається зміна дати проведення перевірки на більш ранній період ніж було визначено в річному плані здійснення заходів державного контролю, крім випадків зміни дати проведення перевірки на більш ранній період за заявою ліцензіата, господарська діяльність якого має перевірятися.</w:t>
            </w: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  <w:r>
              <w:t xml:space="preserve">НКРЕКП щорічно до 01 червня готує звіт про виконання річного плану державного контролю за попередній рік, який включається до річного звіту про діяльність Регулятора та підлягає оприлюдненню на офіційному </w:t>
            </w:r>
            <w:proofErr w:type="spellStart"/>
            <w:r>
              <w:t>вебсайті</w:t>
            </w:r>
            <w:proofErr w:type="spellEnd"/>
            <w:r>
              <w:t>.</w:t>
            </w: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11A7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11A7C">
            <w:pPr>
              <w:pStyle w:val="a4"/>
              <w:spacing w:before="0" w:beforeAutospacing="0" w:after="0" w:afterAutospacing="0"/>
              <w:jc w:val="both"/>
            </w:pPr>
            <w:r>
              <w:lastRenderedPageBreak/>
              <w:t>3.2. Річний план здійснення заходів державного контролю складається з урахуванням періодичності проведення планових перевірок:</w:t>
            </w:r>
          </w:p>
          <w:p w:rsidR="00AB675A" w:rsidRDefault="00AB675A" w:rsidP="00611A7C">
            <w:pPr>
              <w:pStyle w:val="a4"/>
              <w:spacing w:before="0" w:beforeAutospacing="0" w:after="0" w:afterAutospacing="0"/>
              <w:jc w:val="both"/>
            </w:pPr>
            <w:r>
              <w:t>для суб'єктів великого підприємництва, суб'єктів природних монополій та суб'єктів господарювання, на яких покладені спеціальні обов'язки для забезпечення загальносуспільних інтересів у процесі функціонування ринків у сфері енергетики, - не частіше одного разу на рік;</w:t>
            </w:r>
          </w:p>
          <w:p w:rsidR="00AB675A" w:rsidRDefault="00AB675A" w:rsidP="00611A7C">
            <w:pPr>
              <w:pStyle w:val="a4"/>
              <w:spacing w:before="0" w:beforeAutospacing="0" w:after="0" w:afterAutospacing="0"/>
              <w:jc w:val="both"/>
            </w:pPr>
            <w:r>
              <w:t>для суб'єктів середнього підприємництва - не частіше одного разу на два роки;</w:t>
            </w:r>
          </w:p>
          <w:p w:rsidR="00AB675A" w:rsidRDefault="00AB675A" w:rsidP="00611A7C">
            <w:pPr>
              <w:pStyle w:val="a4"/>
              <w:spacing w:before="0" w:beforeAutospacing="0" w:after="0" w:afterAutospacing="0"/>
              <w:jc w:val="both"/>
            </w:pPr>
            <w:r>
              <w:t xml:space="preserve">для суб'єктів малого підприємництва, у тому числі суб'єктів </w:t>
            </w:r>
            <w:proofErr w:type="spellStart"/>
            <w:r>
              <w:t>мікропідприємництва</w:t>
            </w:r>
            <w:proofErr w:type="spellEnd"/>
            <w:r>
              <w:t>, - не частіше одного разу на три роки.</w:t>
            </w:r>
          </w:p>
          <w:p w:rsidR="00AB675A" w:rsidRDefault="00AB675A" w:rsidP="00611A7C">
            <w:pPr>
              <w:pStyle w:val="a4"/>
              <w:spacing w:before="0" w:beforeAutospacing="0" w:after="0" w:afterAutospacing="0"/>
              <w:jc w:val="both"/>
            </w:pPr>
            <w:r>
              <w:t>Для цілей цього Порядку застосовуються критерії віднесення ліцензіатів до певних категорій суб'єктів господарювання, що визначені Господарським кодексом України.</w:t>
            </w:r>
          </w:p>
          <w:p w:rsidR="00AB675A" w:rsidRDefault="00AB675A" w:rsidP="00611A7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11A7C">
            <w:pPr>
              <w:pStyle w:val="a4"/>
              <w:spacing w:before="0" w:beforeAutospacing="0" w:after="0" w:afterAutospacing="0"/>
              <w:jc w:val="both"/>
            </w:pP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4.1. Підставами для здійснення позапланових виїзних перевірок є:</w:t>
            </w: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1) подання ліцензіатом письмової заяви про здійснення перевірки;</w:t>
            </w:r>
          </w:p>
          <w:p w:rsidR="005E55E3" w:rsidRDefault="005E55E3" w:rsidP="00B15863">
            <w:pPr>
              <w:pStyle w:val="a4"/>
              <w:spacing w:before="0" w:beforeAutospacing="0" w:after="0" w:afterAutospacing="0"/>
              <w:jc w:val="both"/>
            </w:pPr>
          </w:p>
          <w:p w:rsidR="005E55E3" w:rsidRDefault="005E55E3" w:rsidP="00B15863">
            <w:pPr>
              <w:pStyle w:val="a4"/>
              <w:spacing w:before="0" w:beforeAutospacing="0" w:after="0" w:afterAutospacing="0"/>
              <w:jc w:val="both"/>
            </w:pP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2) обґрунтоване звернення фізичної або юридичної особи про порушення ліцензіатом її законних прав;</w:t>
            </w:r>
          </w:p>
          <w:p w:rsidR="005E55E3" w:rsidRDefault="005E55E3" w:rsidP="00B15863">
            <w:pPr>
              <w:pStyle w:val="a4"/>
              <w:spacing w:before="0" w:beforeAutospacing="0" w:after="0" w:afterAutospacing="0"/>
              <w:jc w:val="both"/>
            </w:pP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3) обґрунтоване звернення суб'єктів господарювання та споживачів про порушення суб'єктом природної монополії законодавства з питань доступу до електричних/теплових/газових мереж та/або порушення ліцензійних умов;</w:t>
            </w: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4) перевірка виконання рішень НКРЕКП щодо усунення порушень вимог законодавства, прийнятих за результатами планових або позапланових перевірок;</w:t>
            </w: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5) перевірка достовірності наданих НКРЕКП даних у звітності або в інших документах.</w:t>
            </w: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Анонімні звернення не є підставою для проведення перевірок.</w:t>
            </w:r>
          </w:p>
          <w:p w:rsidR="00AB675A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Про проведення позапланової виїзної перевірки ліцензіат повідомляється у день початку перевірки.</w:t>
            </w:r>
          </w:p>
          <w:p w:rsidR="00AB675A" w:rsidRDefault="00AB675A" w:rsidP="00B15863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7522E3">
            <w:pPr>
              <w:pStyle w:val="a4"/>
              <w:spacing w:before="0" w:beforeAutospacing="0" w:after="0" w:afterAutospacing="0"/>
              <w:jc w:val="both"/>
            </w:pP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5.1. Підставою для проведення позапланової невиїзної перевірки ліцензіата, що провадить діяльність у сферах енергетики та комунальних послуг, є:</w:t>
            </w: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1) неподання, несвоєчасне подання, подання недостовірної інформації або необхідність перевірки достовірності такої інформації;</w:t>
            </w: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2) неподання, несвоєчасне подання, подання недостовірних даних у звітності або необхідність перевірки достовірності таких даних в установлений НКРЕКП строк або в інших документах;</w:t>
            </w: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3) неподання копій документів, засвідчених в установленому законодавством порядку, пояснень та іншої інформації на законну вимогу НКРЕКП;</w:t>
            </w: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4) обґрунтоване звернення фізичної або юридичної особи про порушення ліцензіатом її законних прав та надання документів (копій документів), що підтверджують таке порушення;</w:t>
            </w:r>
          </w:p>
          <w:p w:rsidR="00227FB9" w:rsidRDefault="00227FB9" w:rsidP="007522E3">
            <w:pPr>
              <w:pStyle w:val="a4"/>
              <w:spacing w:before="0" w:beforeAutospacing="0" w:after="0" w:afterAutospacing="0"/>
              <w:jc w:val="both"/>
            </w:pP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5) обґрунтоване звернення суб'єкта господарювання або споживача про порушення суб'єктом природної монополії законодавства з питань доступу до електричних/теплових/газових мереж, мереж централізованого водопостачання та/або водовідведення, порушення ліцензійних умов та надання документів (копій документів), що підтверджують таке порушення ліцензійних умов;</w:t>
            </w:r>
          </w:p>
          <w:p w:rsidR="00227FB9" w:rsidRDefault="00227FB9" w:rsidP="007522E3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6) виявлення під час аналізу звітності або моніторингу нецільового використання коштів, передбачених встановленою структурою тарифів та/або схваленою інвестиційною програмою.</w:t>
            </w:r>
          </w:p>
          <w:p w:rsidR="00AB675A" w:rsidRDefault="00AB675A" w:rsidP="007522E3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7522E3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ED1ABD" w:rsidP="007522E3">
            <w:pPr>
              <w:pStyle w:val="a4"/>
              <w:spacing w:before="0" w:beforeAutospacing="0" w:after="0" w:afterAutospacing="0"/>
              <w:jc w:val="both"/>
            </w:pPr>
            <w:r w:rsidRPr="00ED1ABD">
              <w:t>5.3. Позапланова невиїзна перевірка ліцензіата може проводитися без попередження заздалегідь.</w:t>
            </w:r>
          </w:p>
          <w:p w:rsidR="00C957E1" w:rsidRDefault="00C957E1" w:rsidP="007522E3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7522E3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ED1ABD" w:rsidP="007522E3">
            <w:pPr>
              <w:pStyle w:val="a4"/>
              <w:spacing w:before="0" w:beforeAutospacing="0" w:after="0" w:afterAutospacing="0"/>
              <w:jc w:val="both"/>
            </w:pPr>
            <w:r w:rsidRPr="00ED1ABD">
              <w:t>5.4. Згода ліцензіата, його повідомлення про проведення позапланової невиїзної перевірки, його присутність під час проведення такої перевірки є необов'язковими.</w:t>
            </w:r>
          </w:p>
          <w:p w:rsidR="00C957E1" w:rsidRDefault="00C957E1" w:rsidP="007522E3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ED1ABD">
            <w:pPr>
              <w:pStyle w:val="a4"/>
              <w:spacing w:before="0" w:beforeAutospacing="0" w:after="0" w:afterAutospacing="0"/>
              <w:jc w:val="both"/>
            </w:pP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7.1. За результатами проведених планових та позапланових перевірок складається акт перевірки за формою, наведеною в додатку 19 до цього Порядку, у двох примірниках.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В акті планової перевірки відображається інформація за результатами перевірки питань, визначених переліками питань для відповідних сфер енергетики та комунальних послуг (додатки 4 - 18), а в разі виявлення порушення - його детальний опис з посиланням на відповідну норму законодавства та/або ліцензійних умов.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В акті позапланової перевірки відображається інформація за результатами перевірки питань, необхідність перевірки яких стала підставою для здійснення такої перевірки, а в разі виявлення порушення - його детальний опис з посиланням на відповідну норму законодавства та/або ліцензійних умов.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Отримані від уповноважених осіб ліцензіата в ході перевірки належним чином завірені копії документів з питань, що підтверджують та/або спростовують вчинення ліцензіатом порушень вимог законодавства та/або ліцензійних умов, долучаються до </w:t>
            </w:r>
            <w:proofErr w:type="spellStart"/>
            <w:r>
              <w:t>акта</w:t>
            </w:r>
            <w:proofErr w:type="spellEnd"/>
            <w:r>
              <w:t xml:space="preserve"> перевірки у вигляді додатків.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Ліцензіат, діяльність якого перевірялася, має право надати до НКРЕКП письмові пояснення та обґрунтування щодо проведеної перевірки та/або виявлених порушень у строк до п'яти робочих днів з дня отримання </w:t>
            </w:r>
            <w:proofErr w:type="spellStart"/>
            <w:r>
              <w:t>акта</w:t>
            </w:r>
            <w:proofErr w:type="spellEnd"/>
            <w:r>
              <w:t xml:space="preserve"> про результати перевірки.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Письмові пояснення та обґрунтування ліцензіата є невід'ємною частиною </w:t>
            </w:r>
            <w:proofErr w:type="spellStart"/>
            <w:r>
              <w:t>акта</w:t>
            </w:r>
            <w:proofErr w:type="spellEnd"/>
            <w:r>
              <w:t xml:space="preserve"> перевірки.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У випадку якщо отримані від уповноважених осіб ліцензіата в ході перевірки або разом з поясненнями до </w:t>
            </w:r>
            <w:proofErr w:type="spellStart"/>
            <w:r>
              <w:t>акта</w:t>
            </w:r>
            <w:proofErr w:type="spellEnd"/>
            <w:r>
              <w:t xml:space="preserve"> перевірки копії документів, письмові пояснення та обґрунтування містять інформацію та/або дані конфіденційного характеру, які становлять комерційну таємницю, ліцензіат не пізніше останнього дня перевірки надає комісії з перевірки чіткий перелік такої інформації з урахуванням положень законів України </w:t>
            </w:r>
            <w:r>
              <w:lastRenderedPageBreak/>
              <w:t xml:space="preserve">"Про інформацію", "Про доступ до публічної інформації" та інших актів законодавства, який долучається до </w:t>
            </w:r>
            <w:proofErr w:type="spellStart"/>
            <w:r>
              <w:t>акта</w:t>
            </w:r>
            <w:proofErr w:type="spellEnd"/>
            <w:r>
              <w:t xml:space="preserve"> перевірки.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Обмеженню доступу підлягає інформація, визначена ліцензіатом як конфіденційна, а також конфіденційна інформація зазначена в копіях документів, письмові пояснення, обґрунтування та акти перевірки, а не копії документів, письмові пояснення, обґрунтування чи акт перевірки у цілому.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НКРЕКП не зобов'язана вважати інформацію та/або дані, надані ліцензіатом, такими, що мають конфіденційний характер та/або становлять комерційну таємницю, якщо: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ліцензіат не надав під час перевірки або разом з поясненнями до </w:t>
            </w:r>
            <w:proofErr w:type="spellStart"/>
            <w:r>
              <w:t>акта</w:t>
            </w:r>
            <w:proofErr w:type="spellEnd"/>
            <w:r>
              <w:t xml:space="preserve"> перевірки перелік інформації та/або даних, що мають конфіденційний характер та/або становлять комерційну таємницю;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відповідно до внутрішніх положень ліцензіата наданий перелік інформації та/або даних не віднесений до інформації, що має конфіденційний характер та/або становлять комерційну таємницю;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віднесення інформації та/або даних до конфіденційної суперечить чинному законодавству.</w:t>
            </w:r>
          </w:p>
          <w:p w:rsidR="00C957E1" w:rsidRDefault="00ED1ABD" w:rsidP="0006245F">
            <w:pPr>
              <w:pStyle w:val="a4"/>
              <w:spacing w:before="0" w:beforeAutospacing="0" w:after="0" w:afterAutospacing="0"/>
              <w:jc w:val="both"/>
            </w:pPr>
            <w:r>
              <w:t>У день складання акт перевірки реєструється у книзі реєстрації актів про результати перевірок щодо дотримання ліцензіатом вимог законодавства у відповідних сферах та ліцензійних умов за формою, наведеною в додатку 20 до цього Порядку, сторінки якої мають бути пронумеровані.</w:t>
            </w:r>
          </w:p>
          <w:p w:rsidR="0006245F" w:rsidRDefault="0006245F" w:rsidP="0006245F">
            <w:pPr>
              <w:pStyle w:val="a4"/>
              <w:spacing w:before="0" w:beforeAutospacing="0" w:after="0" w:afterAutospacing="0"/>
              <w:jc w:val="both"/>
            </w:pPr>
          </w:p>
          <w:p w:rsidR="0006245F" w:rsidRDefault="0006245F" w:rsidP="0006245F">
            <w:pPr>
              <w:pStyle w:val="a4"/>
              <w:spacing w:before="0" w:beforeAutospacing="0" w:after="0" w:afterAutospacing="0"/>
              <w:jc w:val="both"/>
            </w:pPr>
          </w:p>
          <w:p w:rsidR="0006245F" w:rsidRDefault="0006245F" w:rsidP="0006245F">
            <w:pPr>
              <w:pStyle w:val="a4"/>
              <w:spacing w:before="0" w:beforeAutospacing="0" w:after="0" w:afterAutospacing="0"/>
              <w:jc w:val="both"/>
            </w:pPr>
            <w:r>
              <w:t>7.3. За наявності достатніх підстав в останній день проведення перевірки, крім випадків, передбачених пунктами 7.5 та 7.6 цієї глави, за формою, наведеною в додатку 21 до цього Порядку, складаються такі документи:</w:t>
            </w:r>
          </w:p>
          <w:p w:rsidR="0006245F" w:rsidRDefault="0006245F" w:rsidP="0006245F">
            <w:pPr>
              <w:pStyle w:val="a4"/>
              <w:spacing w:before="0" w:beforeAutospacing="0" w:after="0" w:afterAutospacing="0"/>
              <w:jc w:val="both"/>
            </w:pPr>
            <w:r>
              <w:t>акт про невиконання рішення про усунення порушень;</w:t>
            </w:r>
          </w:p>
          <w:p w:rsidR="0006245F" w:rsidRDefault="0006245F" w:rsidP="0006245F">
            <w:pPr>
              <w:pStyle w:val="a4"/>
              <w:spacing w:before="0" w:beforeAutospacing="0" w:after="0" w:afterAutospacing="0"/>
              <w:jc w:val="both"/>
            </w:pPr>
            <w:r>
              <w:t>акт про повторне порушення ліцензіатом ліцензійних умов та законодавства у сферах енергетики та комунальних послуг;</w:t>
            </w:r>
          </w:p>
          <w:p w:rsidR="0006245F" w:rsidRDefault="0006245F" w:rsidP="0006245F">
            <w:pPr>
              <w:pStyle w:val="a4"/>
              <w:spacing w:before="0" w:beforeAutospacing="0" w:after="0" w:afterAutospacing="0"/>
              <w:jc w:val="both"/>
            </w:pPr>
            <w:r>
              <w:t xml:space="preserve">акт про </w:t>
            </w:r>
            <w:proofErr w:type="spellStart"/>
            <w:r>
              <w:t>неусунення</w:t>
            </w:r>
            <w:proofErr w:type="spellEnd"/>
            <w:r>
              <w:t xml:space="preserve"> ліцензіатом протягом строку зупинення дії ліцензії підстав, що стали причиною для її зупинення;</w:t>
            </w:r>
          </w:p>
          <w:p w:rsidR="0006245F" w:rsidRDefault="0006245F" w:rsidP="0006245F">
            <w:pPr>
              <w:pStyle w:val="a4"/>
              <w:spacing w:before="0" w:beforeAutospacing="0" w:after="0" w:afterAutospacing="0"/>
              <w:jc w:val="both"/>
            </w:pPr>
            <w:r>
              <w:t>акт про виявлення недостовірності даних у документах, поданих суб'єктом господарювання разом із заявою про отримання ліцензії;</w:t>
            </w:r>
          </w:p>
          <w:p w:rsidR="0006245F" w:rsidRDefault="0006245F" w:rsidP="0006245F">
            <w:pPr>
              <w:pStyle w:val="a4"/>
              <w:spacing w:before="0" w:beforeAutospacing="0" w:after="0" w:afterAutospacing="0"/>
              <w:jc w:val="both"/>
            </w:pPr>
            <w:r>
              <w:t>акт про відмову ліцензіата у проведенні перевірки;</w:t>
            </w:r>
          </w:p>
          <w:p w:rsidR="0006245F" w:rsidRDefault="0006245F" w:rsidP="0006245F">
            <w:pPr>
              <w:pStyle w:val="a4"/>
              <w:spacing w:before="0" w:beforeAutospacing="0" w:after="0" w:afterAutospacing="0"/>
              <w:jc w:val="both"/>
            </w:pPr>
            <w:r>
              <w:lastRenderedPageBreak/>
              <w:t>акт про документальне підтвердження встановлення факту контролю (вирішального впливу) за діяльністю ліцензіата осіб інших держав, що здійснюють збройну агресію проти України.</w:t>
            </w:r>
          </w:p>
          <w:p w:rsidR="00C957E1" w:rsidRDefault="0006245F" w:rsidP="0006245F">
            <w:pPr>
              <w:pStyle w:val="a4"/>
              <w:spacing w:before="0" w:beforeAutospacing="0" w:after="0" w:afterAutospacing="0"/>
              <w:jc w:val="both"/>
            </w:pPr>
            <w:r>
              <w:t xml:space="preserve">Один примірник </w:t>
            </w:r>
            <w:proofErr w:type="spellStart"/>
            <w:r>
              <w:t>акта</w:t>
            </w:r>
            <w:proofErr w:type="spellEnd"/>
            <w:r>
              <w:t xml:space="preserve">, зазначеного в цьому пункті, разом з одним примірником </w:t>
            </w:r>
            <w:proofErr w:type="spellStart"/>
            <w:r>
              <w:t>акта</w:t>
            </w:r>
            <w:proofErr w:type="spellEnd"/>
            <w:r>
              <w:t xml:space="preserve"> перевірки за формою, наведеною в додатку 19 до цього Порядку, передається уповноваженій особі ліцензіата, діяльність якого перевірялася.</w:t>
            </w:r>
          </w:p>
          <w:p w:rsidR="00C957E1" w:rsidRDefault="00C957E1" w:rsidP="0006245F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06245F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733A2B" w:rsidP="0006245F">
            <w:pPr>
              <w:pStyle w:val="a4"/>
              <w:spacing w:before="0" w:beforeAutospacing="0" w:after="0" w:afterAutospacing="0"/>
              <w:jc w:val="both"/>
            </w:pPr>
            <w:r w:rsidRPr="00733A2B">
              <w:t>9.3. Документи, належним чином завірені копії документів, довідки, відомості, матеріали з питань, що виникають під час перевірки, пояснення та/або обґрунтування надаються ліцензіатом за підписом уповноваженої особи.</w:t>
            </w:r>
          </w:p>
          <w:p w:rsidR="00C957E1" w:rsidRDefault="00C957E1" w:rsidP="007522E3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7522E3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733A2B" w:rsidP="007522E3">
            <w:pPr>
              <w:pStyle w:val="a4"/>
              <w:spacing w:before="0" w:beforeAutospacing="0" w:after="0" w:afterAutospacing="0"/>
              <w:jc w:val="both"/>
            </w:pPr>
            <w:r>
              <w:t>Відсутній</w:t>
            </w:r>
          </w:p>
          <w:p w:rsidR="00C957E1" w:rsidRDefault="00C957E1" w:rsidP="007522E3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7522E3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7522E3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7522E3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8943A8">
            <w:pPr>
              <w:pStyle w:val="a4"/>
              <w:spacing w:before="0" w:beforeAutospacing="0" w:after="0" w:afterAutospacing="0"/>
              <w:jc w:val="both"/>
            </w:pPr>
            <w:r>
              <w:t>Відсутній</w:t>
            </w: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8943A8">
            <w:pPr>
              <w:pStyle w:val="a4"/>
              <w:spacing w:before="0" w:beforeAutospacing="0" w:after="0" w:afterAutospacing="0"/>
              <w:jc w:val="both"/>
            </w:pPr>
            <w:r>
              <w:t>Відсутній</w:t>
            </w: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Default="008943A8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976C89" w:rsidRPr="00E614B7" w:rsidRDefault="00976C89" w:rsidP="00976C89">
            <w:pPr>
              <w:ind w:left="5670" w:right="-2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4"/>
              <w:gridCol w:w="3224"/>
            </w:tblGrid>
            <w:tr w:rsidR="00976C89" w:rsidRPr="00E614B7" w:rsidTr="00717D95">
              <w:tc>
                <w:tcPr>
                  <w:tcW w:w="2833" w:type="pct"/>
                </w:tcPr>
                <w:p w:rsidR="00976C89" w:rsidRPr="00E614B7" w:rsidRDefault="00976C89" w:rsidP="00976C89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67" w:type="pct"/>
                </w:tcPr>
                <w:p w:rsidR="00976C89" w:rsidRPr="00E614B7" w:rsidRDefault="00976C89" w:rsidP="00976C89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Додаток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2</w:t>
                  </w:r>
                </w:p>
                <w:p w:rsidR="00976C89" w:rsidRPr="00E614B7" w:rsidRDefault="00976C89" w:rsidP="00976C89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до Порядку контролю за дотриманням ліцензіатами, 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lastRenderedPageBreak/>
                    <w:t>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976C89" w:rsidRPr="00E614B7" w:rsidRDefault="00976C89" w:rsidP="00976C89">
                  <w:pPr>
                    <w:ind w:left="169"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(пункти 3.7, </w:t>
                  </w:r>
                  <w:r w:rsidR="00C32444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7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.1)</w:t>
                  </w:r>
                </w:p>
              </w:tc>
            </w:tr>
          </w:tbl>
          <w:p w:rsidR="00976C89" w:rsidRPr="00E614B7" w:rsidRDefault="00976C89" w:rsidP="00976C89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76C89" w:rsidRPr="00E614B7" w:rsidRDefault="00976C89" w:rsidP="00976C89">
            <w:pPr>
              <w:ind w:left="-28" w:right="-2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614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ПЕРЕЛІК ПИТАНЬ</w:t>
            </w:r>
          </w:p>
          <w:p w:rsidR="00976C89" w:rsidRPr="00E614B7" w:rsidRDefault="00976C89" w:rsidP="00976C89">
            <w:pPr>
              <w:ind w:left="-28"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4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для перевірки </w:t>
            </w:r>
            <w:r w:rsidRPr="00976C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дотримання вимог законодавства та ліцензійних умов провадження господарської діяльності з транспортування нафти, нафтопродуктів магістральним трубопроводом</w:t>
            </w: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C32444" w:rsidRPr="00E614B7" w:rsidRDefault="00C32444" w:rsidP="00C32444">
            <w:pPr>
              <w:ind w:left="5670" w:right="-2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4"/>
              <w:gridCol w:w="3224"/>
            </w:tblGrid>
            <w:tr w:rsidR="00C32444" w:rsidRPr="00E614B7" w:rsidTr="00717D95">
              <w:tc>
                <w:tcPr>
                  <w:tcW w:w="2833" w:type="pct"/>
                </w:tcPr>
                <w:p w:rsidR="00C32444" w:rsidRPr="00E614B7" w:rsidRDefault="00C32444" w:rsidP="00C32444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67" w:type="pct"/>
                </w:tcPr>
                <w:p w:rsidR="00C32444" w:rsidRPr="00E614B7" w:rsidRDefault="00C32444" w:rsidP="00C32444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Додаток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9</w:t>
                  </w:r>
                </w:p>
                <w:p w:rsidR="00C32444" w:rsidRPr="00E614B7" w:rsidRDefault="00C32444" w:rsidP="00C32444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C32444" w:rsidRPr="00E614B7" w:rsidRDefault="00C32444" w:rsidP="00C32444">
                  <w:pPr>
                    <w:ind w:left="169"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(пункт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 7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.1)</w:t>
                  </w:r>
                </w:p>
              </w:tc>
            </w:tr>
          </w:tbl>
          <w:p w:rsidR="00C32444" w:rsidRDefault="00C32444" w:rsidP="00717D95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17D95" w:rsidRPr="00E614B7" w:rsidRDefault="00717D95" w:rsidP="00717D95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17D95" w:rsidRDefault="00717D95" w:rsidP="00717D95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bookmarkStart w:id="0" w:name="14157"/>
            <w:r w:rsidRPr="00717D95">
              <w:rPr>
                <w:b/>
                <w:bCs/>
              </w:rPr>
              <w:t>ПЕРЕЛІК</w:t>
            </w:r>
          </w:p>
          <w:p w:rsidR="00717D95" w:rsidRPr="00717D95" w:rsidRDefault="00717D95" w:rsidP="00717D95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17D95">
              <w:rPr>
                <w:b/>
                <w:bCs/>
              </w:rPr>
              <w:t>питань щодо проведення перевірок</w:t>
            </w:r>
          </w:p>
          <w:tbl>
            <w:tblPr>
              <w:tblW w:w="5000" w:type="pct"/>
              <w:tblCellSpacing w:w="0" w:type="auto"/>
              <w:tblLook w:val="04A0" w:firstRow="1" w:lastRow="0" w:firstColumn="1" w:lastColumn="0" w:noHBand="0" w:noVBand="1"/>
            </w:tblPr>
            <w:tblGrid>
              <w:gridCol w:w="7438"/>
            </w:tblGrid>
            <w:tr w:rsidR="00717D95" w:rsidRPr="00717D95" w:rsidTr="00717D95">
              <w:trPr>
                <w:trHeight w:val="30"/>
                <w:tblCellSpacing w:w="0" w:type="auto"/>
              </w:trPr>
              <w:tc>
                <w:tcPr>
                  <w:tcW w:w="5000" w:type="pct"/>
                  <w:vAlign w:val="center"/>
                </w:tcPr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1" w:name="14158"/>
                  <w:bookmarkEnd w:id="0"/>
                  <w:r w:rsidRPr="00717D95">
                    <w:t>1. Перелік питань для перевірки дотримання вимог законодавства та ліцензійних умов провадження господарської діяльності зі здійснення функції гарантованого покупця (додаток 4).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2" w:name="14159"/>
                  <w:bookmarkEnd w:id="1"/>
                  <w:r w:rsidRPr="00717D95">
                    <w:lastRenderedPageBreak/>
                    <w:t>2. Перелік питань для перевірки дотримання вимог законодавства та ліцензійних умов суб'єктом господарської діяльності, що здійснює функції оператора ринку (додаток 5).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3" w:name="14160"/>
                  <w:bookmarkEnd w:id="2"/>
                  <w:r w:rsidRPr="00717D95">
                    <w:t>3. Перелік питань для перевірки дотримання вимог законодавства та ліцензійних умов суб'єктом господарської діяльності, що здійснює діяльність з передачі електричної енергії (додаток 6).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4" w:name="14161"/>
                  <w:bookmarkEnd w:id="3"/>
                  <w:r w:rsidRPr="00717D95">
                    <w:t>4. Перелік питань для перевірки дотримання вимог законодавства та ліцензійних умов провадження господарської діяльності з виробництва електричної енергії (додаток 7).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5" w:name="14162"/>
                  <w:bookmarkEnd w:id="4"/>
                  <w:r w:rsidRPr="00717D95">
                    <w:t>5. Перелік питань для перевірки дотримання вимог законодавства та ліцензійних умов суб'єктами господарської діяльності, які здійснюють постачання електричної енергії (додаток 8).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6" w:name="14163"/>
                  <w:bookmarkEnd w:id="5"/>
                  <w:r w:rsidRPr="00717D95">
                    <w:t>6. Перелік питань для перевірки дотримання вимог законодавства та ліцензійних умов провадження господарської діяльності з перепродажу електричної енергії (</w:t>
                  </w:r>
                  <w:proofErr w:type="spellStart"/>
                  <w:r w:rsidRPr="00717D95">
                    <w:t>трейдерської</w:t>
                  </w:r>
                  <w:proofErr w:type="spellEnd"/>
                  <w:r w:rsidRPr="00717D95">
                    <w:t xml:space="preserve"> діяльності) (додаток 9).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7" w:name="14164"/>
                  <w:bookmarkEnd w:id="6"/>
                  <w:r w:rsidRPr="00717D95">
                    <w:t>7. Перелік питань для перевірки дотримання вимог законодавства та ліцензійних умов провадження господарської діяльності з розподілу електричної енергії (додаток 10).</w:t>
                  </w:r>
                </w:p>
                <w:p w:rsid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8" w:name="18508"/>
                  <w:bookmarkEnd w:id="7"/>
                  <w:r w:rsidRPr="00717D95">
                    <w:t>8. Перелік питань для перевірки дотримання вимог законодавства та ліцензійних умов провадження господарської діяльності зі зберігання енергії (додаток 11).</w:t>
                  </w:r>
                </w:p>
                <w:p w:rsid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  <w:p w:rsid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  <w:p w:rsid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  <w:p w:rsid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  <w:p w:rsid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  <w:p w:rsid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  <w:p w:rsid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9" w:name="14165"/>
                  <w:bookmarkEnd w:id="8"/>
                  <w:r w:rsidRPr="00717D95">
                    <w:t>9. Перелік питань для перевірки дотримання вимог законодавства та ліцензійних умов провадження господарської діяльності з транспортування нафти, нафтопродуктів магістральним трубопроводом (додаток 12).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10" w:name="14166"/>
                  <w:bookmarkEnd w:id="9"/>
                  <w:r w:rsidRPr="00717D95">
                    <w:lastRenderedPageBreak/>
                    <w:t>10. Перелік питань для перевірки дотримання вимог законодавства та ліцензійних умов провадження господарської діяльності з транспортування природного газу (додаток 13).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11" w:name="14167"/>
                  <w:bookmarkEnd w:id="10"/>
                  <w:r w:rsidRPr="00717D95">
                    <w:t>11. Перелік питань для перевірки дотримання вимог законодавства та ліцензійних умов провадження господарської діяльності із зберігання (закачування, відбору) природного газу (додаток 14).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12" w:name="14168"/>
                  <w:bookmarkEnd w:id="11"/>
                  <w:r w:rsidRPr="00717D95">
                    <w:t>12. Перелік питань для перевірки дотримання вимог законодавства та ліцензійних умов провадження господарської діяльності з розподілу природного газу (додаток 15).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13" w:name="14169"/>
                  <w:bookmarkEnd w:id="12"/>
                  <w:r w:rsidRPr="00717D95">
                    <w:t>13. Перелік питань для перевірки дотримання вимог законодавства та ліцензійних умов провадження господарської діяльності з постачання природного газу (додаток 16).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14" w:name="14170"/>
                  <w:bookmarkEnd w:id="13"/>
                  <w:r w:rsidRPr="00717D95">
                    <w:t>14. Перелік питань для перевірки дотримання вимог законодавства та ліцензійних умов провадження господарської діяльності з виробництва теплової енергії (додаток 17).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15" w:name="14173"/>
                  <w:bookmarkEnd w:id="14"/>
                  <w:r w:rsidRPr="00717D95">
                    <w:t>15. Перелік питань для перевірки дотримання вимог законодавства та ліцензійних умов провадження господарської діяльності з централізованого водопостачання та водовідведення (додаток 18).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16" w:name="14174"/>
                  <w:bookmarkEnd w:id="15"/>
                  <w:r w:rsidRPr="00717D95">
                    <w:t>____________</w:t>
                  </w:r>
                  <w:r w:rsidRPr="00717D95">
                    <w:br/>
                  </w:r>
                </w:p>
              </w:tc>
              <w:bookmarkEnd w:id="16"/>
            </w:tr>
          </w:tbl>
          <w:p w:rsidR="00AE5808" w:rsidRDefault="00AE5808" w:rsidP="00326882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326882">
            <w:pPr>
              <w:pStyle w:val="a4"/>
              <w:spacing w:before="0" w:beforeAutospacing="0" w:after="0" w:afterAutospacing="0"/>
              <w:jc w:val="both"/>
            </w:pPr>
          </w:p>
          <w:p w:rsidR="00087197" w:rsidRDefault="00087197" w:rsidP="0008719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bookmarkStart w:id="17" w:name="14236"/>
            <w:r w:rsidRPr="00087197">
              <w:rPr>
                <w:b/>
              </w:rPr>
              <w:t xml:space="preserve">До </w:t>
            </w:r>
            <w:proofErr w:type="spellStart"/>
            <w:r w:rsidRPr="00087197">
              <w:rPr>
                <w:b/>
              </w:rPr>
              <w:t>Акта</w:t>
            </w:r>
            <w:proofErr w:type="spellEnd"/>
            <w:r w:rsidRPr="00087197">
              <w:rPr>
                <w:b/>
              </w:rPr>
              <w:t xml:space="preserve"> додаються такі документи, які є його невід'ємною частиною:</w:t>
            </w:r>
          </w:p>
          <w:p w:rsidR="00087197" w:rsidRPr="00087197" w:rsidRDefault="00087197" w:rsidP="00087197">
            <w:pPr>
              <w:pStyle w:val="a4"/>
              <w:spacing w:before="0" w:beforeAutospacing="0" w:after="0" w:afterAutospacing="0"/>
              <w:jc w:val="both"/>
            </w:pPr>
          </w:p>
          <w:tbl>
            <w:tblPr>
              <w:tblW w:w="0" w:type="auto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281"/>
              <w:gridCol w:w="1762"/>
            </w:tblGrid>
            <w:tr w:rsidR="00087197" w:rsidRPr="00087197" w:rsidTr="00A52A08">
              <w:trPr>
                <w:trHeight w:val="45"/>
                <w:tblCellSpacing w:w="0" w:type="auto"/>
              </w:trPr>
              <w:tc>
                <w:tcPr>
                  <w:tcW w:w="174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18" w:name="14237"/>
                  <w:bookmarkEnd w:id="17"/>
                  <w:r w:rsidRPr="00087197">
                    <w:rPr>
                      <w:b/>
                    </w:rPr>
                    <w:t>N</w:t>
                  </w:r>
                </w:p>
              </w:tc>
              <w:tc>
                <w:tcPr>
                  <w:tcW w:w="591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pStyle w:val="a4"/>
                    <w:jc w:val="both"/>
                  </w:pPr>
                  <w:bookmarkStart w:id="19" w:name="14238"/>
                  <w:bookmarkEnd w:id="18"/>
                  <w:r w:rsidRPr="00087197">
                    <w:rPr>
                      <w:b/>
                    </w:rPr>
                    <w:t>Назва документа</w:t>
                  </w:r>
                </w:p>
              </w:tc>
              <w:tc>
                <w:tcPr>
                  <w:tcW w:w="203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pStyle w:val="a4"/>
                    <w:jc w:val="both"/>
                  </w:pPr>
                  <w:bookmarkStart w:id="20" w:name="14239"/>
                  <w:bookmarkEnd w:id="19"/>
                  <w:r w:rsidRPr="00087197">
                    <w:rPr>
                      <w:b/>
                    </w:rPr>
                    <w:t>Кількість аркушів</w:t>
                  </w:r>
                </w:p>
              </w:tc>
              <w:bookmarkEnd w:id="20"/>
            </w:tr>
            <w:tr w:rsidR="00087197" w:rsidRPr="00087197" w:rsidTr="00A52A08">
              <w:trPr>
                <w:trHeight w:val="45"/>
                <w:tblCellSpacing w:w="0" w:type="auto"/>
              </w:trPr>
              <w:tc>
                <w:tcPr>
                  <w:tcW w:w="174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pStyle w:val="a4"/>
                    <w:jc w:val="both"/>
                  </w:pPr>
                  <w:bookmarkStart w:id="21" w:name="14240"/>
                  <w:r w:rsidRPr="00087197">
                    <w:t xml:space="preserve"> </w:t>
                  </w:r>
                </w:p>
              </w:tc>
              <w:tc>
                <w:tcPr>
                  <w:tcW w:w="591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pStyle w:val="a4"/>
                    <w:jc w:val="both"/>
                  </w:pPr>
                  <w:bookmarkStart w:id="22" w:name="14241"/>
                  <w:bookmarkEnd w:id="21"/>
                  <w:r w:rsidRPr="00087197">
                    <w:t xml:space="preserve"> </w:t>
                  </w:r>
                </w:p>
              </w:tc>
              <w:tc>
                <w:tcPr>
                  <w:tcW w:w="203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pStyle w:val="a4"/>
                    <w:jc w:val="both"/>
                  </w:pPr>
                  <w:bookmarkStart w:id="23" w:name="14242"/>
                  <w:bookmarkEnd w:id="22"/>
                  <w:r w:rsidRPr="00087197">
                    <w:t xml:space="preserve"> </w:t>
                  </w:r>
                </w:p>
              </w:tc>
              <w:bookmarkEnd w:id="23"/>
            </w:tr>
            <w:tr w:rsidR="00087197" w:rsidRPr="00087197" w:rsidTr="00A52A08">
              <w:trPr>
                <w:trHeight w:val="45"/>
                <w:tblCellSpacing w:w="0" w:type="auto"/>
              </w:trPr>
              <w:tc>
                <w:tcPr>
                  <w:tcW w:w="0" w:type="auto"/>
                  <w:gridSpan w:val="2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pStyle w:val="a4"/>
                    <w:jc w:val="both"/>
                  </w:pPr>
                  <w:bookmarkStart w:id="24" w:name="14243"/>
                  <w:r w:rsidRPr="00087197">
                    <w:rPr>
                      <w:b/>
                    </w:rPr>
                    <w:t>Усього аркушів:</w:t>
                  </w:r>
                </w:p>
              </w:tc>
              <w:tc>
                <w:tcPr>
                  <w:tcW w:w="203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pStyle w:val="a4"/>
                    <w:jc w:val="both"/>
                  </w:pPr>
                  <w:bookmarkStart w:id="25" w:name="14244"/>
                  <w:bookmarkEnd w:id="24"/>
                  <w:r w:rsidRPr="00087197">
                    <w:t xml:space="preserve"> </w:t>
                  </w:r>
                </w:p>
              </w:tc>
              <w:bookmarkEnd w:id="25"/>
            </w:tr>
          </w:tbl>
          <w:p w:rsidR="00AE5808" w:rsidRDefault="00AE5808" w:rsidP="00326882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326882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326882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326882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326882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326882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4"/>
              <w:gridCol w:w="3224"/>
            </w:tblGrid>
            <w:tr w:rsidR="009B014D" w:rsidRPr="00E614B7" w:rsidTr="00A52A08">
              <w:tc>
                <w:tcPr>
                  <w:tcW w:w="2833" w:type="pct"/>
                </w:tcPr>
                <w:p w:rsidR="009B014D" w:rsidRPr="00E614B7" w:rsidRDefault="009B014D" w:rsidP="009B014D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67" w:type="pct"/>
                </w:tcPr>
                <w:p w:rsidR="009B014D" w:rsidRPr="00E614B7" w:rsidRDefault="009B014D" w:rsidP="009B014D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21</w:t>
                  </w:r>
                </w:p>
                <w:p w:rsidR="009B014D" w:rsidRPr="00E614B7" w:rsidRDefault="009B014D" w:rsidP="009B014D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9B014D" w:rsidRPr="00E614B7" w:rsidRDefault="009B014D" w:rsidP="009B014D">
                  <w:pPr>
                    <w:ind w:left="169"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(пункт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 7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3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</w:tr>
          </w:tbl>
          <w:p w:rsidR="009B014D" w:rsidRDefault="009B014D" w:rsidP="009B014D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F7FE8" w:rsidRDefault="00CF7FE8" w:rsidP="00B26C4C">
            <w:pPr>
              <w:pStyle w:val="a4"/>
              <w:spacing w:before="0" w:beforeAutospacing="0" w:after="0" w:afterAutospacing="0"/>
              <w:jc w:val="both"/>
            </w:pPr>
          </w:p>
          <w:p w:rsidR="00B26C4C" w:rsidRPr="00B26C4C" w:rsidRDefault="00B26C4C" w:rsidP="00B26C4C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B26C4C">
              <w:rPr>
                <w:b/>
              </w:rPr>
              <w:t>АКТ</w:t>
            </w:r>
          </w:p>
          <w:p w:rsidR="00B26C4C" w:rsidRPr="00B26C4C" w:rsidRDefault="00B26C4C" w:rsidP="00B26C4C">
            <w:pPr>
              <w:pStyle w:val="a4"/>
              <w:spacing w:before="0" w:beforeAutospacing="0" w:after="0" w:afterAutospacing="0"/>
              <w:jc w:val="both"/>
            </w:pPr>
            <w:bookmarkStart w:id="26" w:name="14293"/>
            <w:r w:rsidRPr="00B26C4C">
              <w:t xml:space="preserve">від ____________________                                   N </w:t>
            </w:r>
            <w:r w:rsidRPr="00B26C4C">
              <w:rPr>
                <w:noProof/>
              </w:rPr>
              <w:drawing>
                <wp:inline distT="0" distB="0" distL="0" distR="0" wp14:anchorId="0F2AA41D" wp14:editId="71E693A5">
                  <wp:extent cx="1765300" cy="152400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26C4C">
              <w:br/>
              <w:t xml:space="preserve">     (дата складення </w:t>
            </w:r>
            <w:proofErr w:type="spellStart"/>
            <w:r w:rsidRPr="00B26C4C">
              <w:t>акта</w:t>
            </w:r>
            <w:proofErr w:type="spellEnd"/>
            <w:r w:rsidRPr="00B26C4C">
              <w:t>)</w:t>
            </w:r>
          </w:p>
          <w:p w:rsidR="00B26C4C" w:rsidRPr="00B26C4C" w:rsidRDefault="00B26C4C" w:rsidP="00B26C4C">
            <w:pPr>
              <w:pStyle w:val="a4"/>
              <w:spacing w:before="0" w:beforeAutospacing="0" w:after="0" w:afterAutospacing="0"/>
              <w:jc w:val="center"/>
            </w:pPr>
            <w:bookmarkStart w:id="27" w:name="14294"/>
            <w:bookmarkEnd w:id="26"/>
            <w:r w:rsidRPr="00B26C4C">
              <w:t xml:space="preserve">про невиконання рішення про усунення порушень / про повторне порушення ліцензіатом ліцензійних умов та законодавства у сферах енергетики та комунальних послуг / про </w:t>
            </w:r>
            <w:proofErr w:type="spellStart"/>
            <w:r w:rsidRPr="00B26C4C">
              <w:t>неусунення</w:t>
            </w:r>
            <w:proofErr w:type="spellEnd"/>
            <w:r w:rsidRPr="00B26C4C">
              <w:t xml:space="preserve"> ліцензіатом протягом строку зупинення дії ліцензії підстав, що стали причиною для її зупинення / про виявлення недостовірності даних у документах, поданих суб'єктом господарювання разом із заявою про отримання ліцензії / про відмову ліцензіата у проведенні перевірки / про документальне підтвердження встановлення факту контролю (вирішального впливу) за діяльністю ліцензіата осіб інших держав, що здійснюють збройну агресію проти України,</w:t>
            </w:r>
          </w:p>
          <w:p w:rsidR="00B26C4C" w:rsidRPr="00B26C4C" w:rsidRDefault="00B26C4C" w:rsidP="00B26C4C">
            <w:pPr>
              <w:pStyle w:val="a4"/>
              <w:spacing w:before="0" w:beforeAutospacing="0" w:after="0" w:afterAutospacing="0"/>
              <w:jc w:val="center"/>
            </w:pPr>
            <w:bookmarkStart w:id="28" w:name="14295"/>
            <w:bookmarkEnd w:id="27"/>
            <w:r w:rsidRPr="00B26C4C">
              <w:t>складений за результатами проведення планової / позапланової виїзної / позапланової невиїзної перевірки щодо дотримання суб'єктом господарювання вимог законодавства та ліцензійних умов з __________________________________</w:t>
            </w:r>
            <w:r w:rsidRPr="00B26C4C">
              <w:br/>
              <w:t>(вид господарської діяльності, що перевіряється)</w:t>
            </w:r>
            <w:r w:rsidRPr="00B26C4C">
              <w:br/>
              <w:t>__________________________________</w:t>
            </w:r>
            <w:r w:rsidRPr="00B26C4C">
              <w:br/>
              <w:t>(найменування юридичної особи (відокремленого підрозділу) або прізвище,</w:t>
            </w:r>
            <w:r w:rsidRPr="00B26C4C">
              <w:br/>
            </w:r>
            <w:r w:rsidRPr="00B26C4C">
              <w:lastRenderedPageBreak/>
              <w:t>__________________________________</w:t>
            </w:r>
            <w:r w:rsidRPr="00B26C4C">
              <w:br/>
              <w:t>ім'я та по батькові фізичної особи - підприємця)</w:t>
            </w:r>
          </w:p>
          <w:bookmarkEnd w:id="28"/>
          <w:p w:rsidR="00CF7FE8" w:rsidRDefault="00CF7FE8" w:rsidP="00B26C4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8F5AAA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8F5A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bookmarkStart w:id="29" w:name="17769"/>
            <w:r w:rsidRPr="008F5AAA">
              <w:rPr>
                <w:b/>
                <w:bCs/>
              </w:rPr>
              <w:t>ОПИС</w:t>
            </w:r>
          </w:p>
          <w:p w:rsidR="008F5AAA" w:rsidRDefault="008F5AAA" w:rsidP="008F5A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8F5AAA">
              <w:rPr>
                <w:b/>
                <w:bCs/>
              </w:rPr>
              <w:t xml:space="preserve"> виявлених порушень вимог ліцензійних умов та законодавства, які є підставою для складання </w:t>
            </w:r>
            <w:proofErr w:type="spellStart"/>
            <w:r w:rsidRPr="008F5AAA">
              <w:rPr>
                <w:b/>
                <w:bCs/>
              </w:rPr>
              <w:t>акта</w:t>
            </w:r>
            <w:proofErr w:type="spellEnd"/>
          </w:p>
          <w:p w:rsidR="008F5AAA" w:rsidRPr="008F5AAA" w:rsidRDefault="008F5AAA" w:rsidP="008F5AA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tbl>
            <w:tblPr>
              <w:tblW w:w="0" w:type="auto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502"/>
              <w:gridCol w:w="6801"/>
            </w:tblGrid>
            <w:tr w:rsidR="008F5AAA" w:rsidRPr="008F5AAA" w:rsidTr="00A52A08">
              <w:trPr>
                <w:trHeight w:val="45"/>
                <w:tblCellSpacing w:w="0" w:type="auto"/>
              </w:trPr>
              <w:tc>
                <w:tcPr>
                  <w:tcW w:w="58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F5AAA" w:rsidRPr="008F5AAA" w:rsidRDefault="008F5AAA" w:rsidP="008F5AAA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30" w:name="17771"/>
                  <w:bookmarkEnd w:id="29"/>
                  <w:r w:rsidRPr="008F5AAA">
                    <w:t>1</w:t>
                  </w:r>
                </w:p>
              </w:tc>
              <w:tc>
                <w:tcPr>
                  <w:tcW w:w="910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F5AAA" w:rsidRPr="008F5AAA" w:rsidRDefault="008F5AAA" w:rsidP="008F5AAA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31" w:name="17772"/>
                  <w:bookmarkEnd w:id="30"/>
                  <w:r w:rsidRPr="008F5AAA">
                    <w:rPr>
                      <w:b/>
                    </w:rPr>
                    <w:t xml:space="preserve">Опис фактичних обставин та відповідних доказів (письмових, речових, електронних або інших), що підтверджують невиконання рішення про усунення порушень / повторне порушення ліцензіатом ліцензійних умов та законодавства у сферах енергетики та комунальних послуг / </w:t>
                  </w:r>
                  <w:proofErr w:type="spellStart"/>
                  <w:r w:rsidRPr="008F5AAA">
                    <w:rPr>
                      <w:b/>
                    </w:rPr>
                    <w:t>неусунення</w:t>
                  </w:r>
                  <w:proofErr w:type="spellEnd"/>
                  <w:r w:rsidRPr="008F5AAA">
                    <w:rPr>
                      <w:b/>
                    </w:rPr>
                    <w:t xml:space="preserve"> ліцензіатом протягом строку зупинення дії ліцензії підстав, що стали причиною для її зупинення / недостовірність даних у документах, поданих суб'єктом господарювання разом із заявою про отримання ліцензії / відмову ліцензіата у проведенні перевірки / встановлення факту контролю (вирішального впливу) за діяльністю ліцензіата осіб з інших держав, що здійснюють збройну агресію проти України</w:t>
                  </w:r>
                </w:p>
              </w:tc>
              <w:bookmarkEnd w:id="31"/>
            </w:tr>
            <w:tr w:rsidR="008F5AAA" w:rsidRPr="008F5AAA" w:rsidTr="00A52A08">
              <w:trPr>
                <w:trHeight w:val="45"/>
                <w:tblCellSpacing w:w="0" w:type="auto"/>
              </w:trPr>
              <w:tc>
                <w:tcPr>
                  <w:tcW w:w="58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F5AAA" w:rsidRPr="008F5AAA" w:rsidRDefault="008F5AAA" w:rsidP="008F5AAA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32" w:name="17773"/>
                  <w:r w:rsidRPr="008F5AAA">
                    <w:t>2</w:t>
                  </w:r>
                </w:p>
              </w:tc>
              <w:tc>
                <w:tcPr>
                  <w:tcW w:w="910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F5AAA" w:rsidRPr="008F5AAA" w:rsidRDefault="008F5AAA" w:rsidP="008F5AAA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33" w:name="17774"/>
                  <w:bookmarkEnd w:id="32"/>
                  <w:r w:rsidRPr="008F5AAA">
                    <w:t xml:space="preserve"> </w:t>
                  </w:r>
                </w:p>
              </w:tc>
              <w:bookmarkEnd w:id="33"/>
            </w:tr>
            <w:tr w:rsidR="008F5AAA" w:rsidRPr="008F5AAA" w:rsidTr="00A52A08">
              <w:trPr>
                <w:trHeight w:val="45"/>
                <w:tblCellSpacing w:w="0" w:type="auto"/>
              </w:trPr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8F5AAA" w:rsidRPr="008F5AAA" w:rsidRDefault="008F5AAA" w:rsidP="008F5AAA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</w:tc>
              <w:tc>
                <w:tcPr>
                  <w:tcW w:w="910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F5AAA" w:rsidRPr="008F5AAA" w:rsidRDefault="008F5AAA" w:rsidP="008F5AAA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34" w:name="17775"/>
                  <w:r w:rsidRPr="008F5AAA">
                    <w:t xml:space="preserve"> </w:t>
                  </w:r>
                </w:p>
              </w:tc>
              <w:bookmarkEnd w:id="34"/>
            </w:tr>
            <w:tr w:rsidR="008F5AAA" w:rsidRPr="008F5AAA" w:rsidTr="00A52A08">
              <w:trPr>
                <w:trHeight w:val="45"/>
                <w:tblCellSpacing w:w="0" w:type="auto"/>
              </w:trPr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8F5AAA" w:rsidRPr="008F5AAA" w:rsidRDefault="008F5AAA" w:rsidP="008F5AAA">
                  <w:pPr>
                    <w:pStyle w:val="a4"/>
                    <w:spacing w:before="0" w:beforeAutospacing="0" w:after="0" w:afterAutospacing="0"/>
                    <w:jc w:val="both"/>
                  </w:pPr>
                </w:p>
              </w:tc>
              <w:tc>
                <w:tcPr>
                  <w:tcW w:w="910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F5AAA" w:rsidRPr="008F5AAA" w:rsidRDefault="008F5AAA" w:rsidP="008F5AAA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35" w:name="17776"/>
                  <w:r w:rsidRPr="008F5AAA">
                    <w:t xml:space="preserve"> </w:t>
                  </w:r>
                </w:p>
              </w:tc>
              <w:bookmarkEnd w:id="35"/>
            </w:tr>
          </w:tbl>
          <w:p w:rsidR="008F5AAA" w:rsidRPr="008F5AAA" w:rsidRDefault="008F5AAA" w:rsidP="0039054A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39054A">
            <w:pPr>
              <w:pStyle w:val="a4"/>
              <w:spacing w:before="0" w:beforeAutospacing="0" w:after="0" w:afterAutospacing="0"/>
              <w:jc w:val="both"/>
            </w:pPr>
          </w:p>
          <w:p w:rsidR="00067380" w:rsidRDefault="0039054A" w:rsidP="0039054A">
            <w:pPr>
              <w:pStyle w:val="a4"/>
              <w:spacing w:before="0" w:beforeAutospacing="0" w:after="0" w:afterAutospacing="0"/>
              <w:jc w:val="center"/>
              <w:rPr>
                <w:b/>
                <w:vertAlign w:val="superscript"/>
              </w:rPr>
            </w:pPr>
            <w:bookmarkStart w:id="36" w:name="14366"/>
            <w:r w:rsidRPr="0039054A">
              <w:rPr>
                <w:b/>
              </w:rPr>
              <w:t xml:space="preserve">Пояснення, зауваження або заперечення щодо проведеної перевірки та складеного </w:t>
            </w:r>
            <w:proofErr w:type="spellStart"/>
            <w:r w:rsidRPr="0039054A">
              <w:rPr>
                <w:b/>
              </w:rPr>
              <w:t>акта</w:t>
            </w:r>
            <w:proofErr w:type="spellEnd"/>
            <w:r w:rsidRPr="0039054A">
              <w:rPr>
                <w:b/>
              </w:rPr>
              <w:t xml:space="preserve"> перевірки</w:t>
            </w:r>
            <w:r w:rsidRPr="0039054A">
              <w:rPr>
                <w:b/>
                <w:vertAlign w:val="superscript"/>
              </w:rPr>
              <w:t>3</w:t>
            </w:r>
          </w:p>
          <w:p w:rsidR="0039054A" w:rsidRPr="0039054A" w:rsidRDefault="0039054A" w:rsidP="0039054A">
            <w:pPr>
              <w:pStyle w:val="a4"/>
              <w:spacing w:before="0" w:beforeAutospacing="0" w:after="0" w:afterAutospacing="0"/>
              <w:jc w:val="center"/>
            </w:pPr>
            <w:r w:rsidRPr="0039054A">
              <w:t xml:space="preserve">(частина </w:t>
            </w:r>
            <w:proofErr w:type="spellStart"/>
            <w:r w:rsidRPr="0039054A">
              <w:t>акта</w:t>
            </w:r>
            <w:proofErr w:type="spellEnd"/>
            <w:r w:rsidRPr="0039054A">
              <w:t xml:space="preserve"> заповнюється за бажанням суб'єкта господарювання (керівником суб'єкта господарювання або уповноваженою ним особою))</w:t>
            </w:r>
          </w:p>
          <w:tbl>
            <w:tblPr>
              <w:tblW w:w="0" w:type="auto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1469"/>
              <w:gridCol w:w="5834"/>
            </w:tblGrid>
            <w:tr w:rsidR="0039054A" w:rsidRPr="0039054A" w:rsidTr="00A52A08">
              <w:trPr>
                <w:trHeight w:val="45"/>
                <w:tblCellSpacing w:w="0" w:type="auto"/>
              </w:trPr>
              <w:tc>
                <w:tcPr>
                  <w:tcW w:w="145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9054A" w:rsidRPr="0039054A" w:rsidRDefault="0039054A" w:rsidP="0039054A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37" w:name="14367"/>
                  <w:bookmarkEnd w:id="36"/>
                  <w:r w:rsidRPr="0039054A">
                    <w:t>Порядковий номер</w:t>
                  </w:r>
                </w:p>
              </w:tc>
              <w:tc>
                <w:tcPr>
                  <w:tcW w:w="823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9054A" w:rsidRPr="0039054A" w:rsidRDefault="0039054A" w:rsidP="0039054A">
                  <w:pPr>
                    <w:pStyle w:val="a4"/>
                    <w:spacing w:before="0" w:beforeAutospacing="0" w:after="0" w:afterAutospacing="0"/>
                    <w:jc w:val="both"/>
                  </w:pPr>
                  <w:bookmarkStart w:id="38" w:name="14368"/>
                  <w:bookmarkEnd w:id="37"/>
                  <w:r w:rsidRPr="0039054A">
                    <w:t>Пояснення, зауваження або заперечення</w:t>
                  </w:r>
                </w:p>
              </w:tc>
              <w:bookmarkEnd w:id="38"/>
            </w:tr>
          </w:tbl>
          <w:p w:rsidR="0039054A" w:rsidRPr="0039054A" w:rsidRDefault="0039054A" w:rsidP="0039054A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39054A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D36656" w:rsidP="0039054A">
            <w:pPr>
              <w:pStyle w:val="a4"/>
              <w:spacing w:before="0" w:beforeAutospacing="0" w:after="0" w:afterAutospacing="0"/>
              <w:jc w:val="both"/>
            </w:pPr>
            <w:r>
              <w:lastRenderedPageBreak/>
              <w:t>Відсутній</w:t>
            </w:r>
          </w:p>
          <w:p w:rsidR="00CF7FE8" w:rsidRDefault="00CF7FE8" w:rsidP="0039054A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39054A" w:rsidRDefault="0039054A" w:rsidP="00644D5C">
            <w:pPr>
              <w:pStyle w:val="a4"/>
              <w:spacing w:before="0" w:beforeAutospacing="0" w:after="0" w:afterAutospacing="0"/>
              <w:jc w:val="both"/>
            </w:pPr>
          </w:p>
          <w:p w:rsidR="0039054A" w:rsidRDefault="0039054A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AE5808" w:rsidRDefault="00AE5808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7654" w:type="dxa"/>
          </w:tcPr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1.1. Дія цього Порядку поширюється на суб'єктів господарювання, що провадять діяльність у сферах енергетики та комунальних послуг, які отримали ліцензії на провадження господарської діяльності та регулювання, моніторинг та контроль за діяльністю яких здійснюється Національною комісією, що здійснює державне регулювання у сферах енергетики та комунальних послуг (далі - ліцензіати):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1) у сфері енергетики:</w:t>
            </w:r>
          </w:p>
          <w:p w:rsidR="009F310F" w:rsidRPr="009F310F" w:rsidRDefault="009F310F" w:rsidP="00644D5C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9F310F">
              <w:rPr>
                <w:b/>
                <w:u w:val="single"/>
              </w:rPr>
              <w:t>діяльності з виробництва, передачі, розподілу, розподілу малими системами розподілу електричної енергії, зберігання енергії, агрегації;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постачання електричної енергії споживачу;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proofErr w:type="spellStart"/>
            <w:r>
              <w:t>трейдерської</w:t>
            </w:r>
            <w:proofErr w:type="spellEnd"/>
            <w:r>
              <w:t xml:space="preserve"> діяльності на ринку електричної енергії;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здійснення функцій оператора ринку електричної енергії;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здійснення функцій гарантованого покупця на ринку електричної енергії;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діяльності з транспортування, розподілу, зберігання (закачування, відбору), надання послуг установки LNG, постачання природного газу;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діяльності з транспортування нафти, нафтопродуктів та інших речовин трубопровідним транспортом;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2) у сфері комунальних послуг: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lastRenderedPageBreak/>
              <w:t xml:space="preserve">діяльності з виробництва теплової енергії на </w:t>
            </w:r>
            <w:proofErr w:type="spellStart"/>
            <w:r>
              <w:t>теплогенеруючих</w:t>
            </w:r>
            <w:proofErr w:type="spellEnd"/>
            <w:r>
              <w:t xml:space="preserve"> установках, включаючи установки для комбінованого виробництва теплової та електричної енергії;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 xml:space="preserve">діяльності у сфері централізованого водопостачання та </w:t>
            </w:r>
            <w:r w:rsidRPr="009F310F">
              <w:rPr>
                <w:b/>
                <w:u w:val="single"/>
              </w:rPr>
              <w:t>централізованого</w:t>
            </w:r>
            <w:r w:rsidRPr="009F310F">
              <w:t xml:space="preserve"> </w:t>
            </w:r>
            <w:r>
              <w:t>водовідведення.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2.8. У разі неможливості працівника, якого включено до складу комісії з перевірки, з поважних причин взяти/продовжити участь у цій перевірці та з метою забезпечення мінімально необхідного складу комісії або необхідності включення додаткового члена комісії оформляється нове посвідчення без зміни строку та питань перевірки.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>Оригінал такого посвідчення пред'являється ліцензіату та надається його копія.</w:t>
            </w:r>
          </w:p>
          <w:p w:rsidR="009F310F" w:rsidRDefault="009F310F" w:rsidP="00644D5C">
            <w:pPr>
              <w:pStyle w:val="a4"/>
              <w:spacing w:before="0" w:beforeAutospacing="0" w:after="0" w:afterAutospacing="0"/>
              <w:jc w:val="both"/>
            </w:pPr>
            <w:r>
              <w:t xml:space="preserve">У разі неможливості представника інших державних органів, органів місцевого самоврядування, якого включено до складу комісії з перевірки, взяти/продовжити участь у цій перевірці </w:t>
            </w:r>
            <w:r w:rsidRPr="009F310F">
              <w:rPr>
                <w:b/>
                <w:strike/>
              </w:rPr>
              <w:t>та за умови забезпечення мінімально необхідного складу комісії</w:t>
            </w:r>
            <w:r>
              <w:t xml:space="preserve"> нове посвідчення не оформлюється, а перевірка розпочинається/продовжується.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  <w:r w:rsidRPr="00AB675A">
              <w:t>2.10. Під час проведення перевірок не допускається вилучення у ліцензіатів оригіналів їхніх фінансово-господарських, бухгалтерських, інших документів, а також комп'ютерів та їх частин.</w:t>
            </w:r>
          </w:p>
          <w:p w:rsidR="00AB675A" w:rsidRPr="00AB675A" w:rsidRDefault="00AB675A" w:rsidP="00644D5C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AB675A">
              <w:rPr>
                <w:b/>
                <w:u w:val="single"/>
              </w:rPr>
              <w:t>Документи, пояснення, довідки, відомості, матеріали з питань, що виникають під час перевірки, надаються ліцензіатом в паперовій або електронній формі. Матеріали в електронній формі надаються на оптичному диску та/або USB-флеш-накопичувачі та/або іншому, доступному для зчитування інформації носії та з забезпеченням цілісності інформації на таких носіях.</w:t>
            </w:r>
          </w:p>
          <w:p w:rsidR="00AB675A" w:rsidRPr="00AB675A" w:rsidRDefault="00AB675A" w:rsidP="00644D5C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AB675A">
              <w:rPr>
                <w:b/>
                <w:u w:val="single"/>
              </w:rPr>
              <w:t>При наданні інформації на електронному носії мають бути виконані такі вимоги:</w:t>
            </w:r>
          </w:p>
          <w:p w:rsidR="00AB675A" w:rsidRPr="00AB675A" w:rsidRDefault="00AB675A" w:rsidP="00644D5C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AB675A">
              <w:rPr>
                <w:b/>
                <w:u w:val="single"/>
              </w:rPr>
              <w:t>інформація, що міститься в електронних документах, повинна бути доступною для її подальшого використання;</w:t>
            </w:r>
          </w:p>
          <w:p w:rsidR="00AB675A" w:rsidRPr="00AB675A" w:rsidRDefault="00AB675A" w:rsidP="00644D5C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AB675A">
              <w:rPr>
                <w:b/>
                <w:u w:val="single"/>
              </w:rPr>
              <w:lastRenderedPageBreak/>
              <w:t>має бути забезпечена можливість відновлення електронного документа у тому форматі, в якому він був створений, відправлений або одержаний;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  <w:r w:rsidRPr="00AB675A">
              <w:rPr>
                <w:b/>
                <w:u w:val="single"/>
              </w:rPr>
              <w:t>у разі наявності повинна зберігатися інформація, яка дає змогу встановити походження та призначення електронного документа, а також дату і час його відправлення чи одержання.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  <w:r>
              <w:t xml:space="preserve">3.1. Планові перевірки ліцензіатів проводяться не частіше одного разу на рік відповідно до річного плану, який затверджується НКРЕКП до першого грудня року, що передує плановому, та оприлюднюється на офіційному </w:t>
            </w:r>
            <w:proofErr w:type="spellStart"/>
            <w:r>
              <w:t>вебсайті</w:t>
            </w:r>
            <w:proofErr w:type="spellEnd"/>
            <w:r>
              <w:t xml:space="preserve"> не пізніше п'яти днів до початку відповідного планового періоду.</w:t>
            </w: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  <w:r>
              <w:t>Внесення змін до річного плану здійснення заходів державного контролю допускається в частині виключення ліцензіата, зміни його найменування та/або місцезнаходження, дати та строку проведення перевірки та виправлення технічних помилок.</w:t>
            </w:r>
          </w:p>
          <w:p w:rsidR="00611A7C" w:rsidRPr="00611A7C" w:rsidRDefault="00611A7C" w:rsidP="00611A7C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611A7C">
              <w:rPr>
                <w:b/>
                <w:u w:val="single"/>
              </w:rPr>
              <w:t xml:space="preserve">Зміни до річного плану здійснення заходів державного контролю в частині його доповнення вносяться виключно щодо суб’єктів господарювання, які були розташовані та / або здійснювали діяльність в областях України, де наявні території активних бойових дій та окуповані території, після повного припинення активних бойових дій та </w:t>
            </w:r>
            <w:proofErr w:type="spellStart"/>
            <w:r w:rsidRPr="00611A7C">
              <w:rPr>
                <w:b/>
                <w:u w:val="single"/>
              </w:rPr>
              <w:t>деокупації</w:t>
            </w:r>
            <w:proofErr w:type="spellEnd"/>
            <w:r w:rsidRPr="00611A7C">
              <w:rPr>
                <w:b/>
                <w:u w:val="single"/>
              </w:rPr>
              <w:t xml:space="preserve"> на таких територіях.</w:t>
            </w: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  <w:r>
              <w:t>Не допускається зміна дати проведення перевірки на більш ранній період ніж було визначено в річному плані здійснення заходів державного контролю, крім випадків зміни дати проведення перевірки на більш ранній період за заявою ліцензіата, господарська діяльність якого має перевірятися.</w:t>
            </w: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  <w:r>
              <w:t xml:space="preserve">НКРЕКП щорічно до 01 червня готує звіт про виконання річного плану державного контролю за попередній рік, який включається до річного звіту про діяльність Регулятора та підлягає оприлюдненню на офіційному </w:t>
            </w:r>
            <w:proofErr w:type="spellStart"/>
            <w:r>
              <w:t>вебсайті</w:t>
            </w:r>
            <w:proofErr w:type="spellEnd"/>
            <w:r>
              <w:t>.</w:t>
            </w:r>
          </w:p>
          <w:p w:rsidR="00611A7C" w:rsidRDefault="00611A7C" w:rsidP="00611A7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  <w:r>
              <w:lastRenderedPageBreak/>
              <w:t>3.2. Річний план здійснення заходів державного контролю складається з урахуванням періодичності проведення планових перевірок: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  <w:r>
              <w:t>для суб'єктів великого підприємництва, суб'єктів природних монополій та суб'єктів господарювання, на яких покладені спеціальні обов'язки для забезпечення загальносуспільних інтересів у процесі функціонування ринків у сфері енергетики, - не частіше одного разу на рік;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  <w:r>
              <w:t>для суб'єктів середнього підприємництва - не частіше одного разу на два роки;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  <w:r>
              <w:t xml:space="preserve">для суб'єктів малого підприємництва, у тому числі суб'єктів </w:t>
            </w:r>
            <w:proofErr w:type="spellStart"/>
            <w:r>
              <w:t>мікропідприємництва</w:t>
            </w:r>
            <w:proofErr w:type="spellEnd"/>
            <w:r>
              <w:t>, - не частіше одного разу на три роки.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  <w:r>
              <w:t xml:space="preserve">Для цілей цього </w:t>
            </w:r>
            <w:r w:rsidR="00B15863" w:rsidRPr="00B15863">
              <w:rPr>
                <w:b/>
                <w:u w:val="single"/>
              </w:rPr>
              <w:t>пункту</w:t>
            </w:r>
            <w:r>
              <w:t xml:space="preserve"> застосовуються критерії віднесення ліцензіатів до певних категорій суб'єктів господарювання, що визначені Господарським кодексом України.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4.1. Підставами для здійснення позапланових виїзних перевірок є:</w:t>
            </w:r>
          </w:p>
          <w:p w:rsidR="00B15863" w:rsidRPr="005E55E3" w:rsidRDefault="005E55E3" w:rsidP="00B15863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5E55E3">
              <w:rPr>
                <w:b/>
                <w:u w:val="single"/>
              </w:rPr>
              <w:t>1) подання ліцензіатом, або суб’єктом, що належить до особливої групи споживачів, письмової заяви про здійснення заходу державного контролю;</w:t>
            </w: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2) обґрунтоване звернення фізичної або юридичної особи про порушення ліцензіатом</w:t>
            </w:r>
            <w:r w:rsidR="005E55E3" w:rsidRPr="005E55E3">
              <w:rPr>
                <w:b/>
                <w:u w:val="single"/>
              </w:rPr>
              <w:t>, або суб’єктом, що належить до особливої групи споживачів,</w:t>
            </w:r>
            <w:r w:rsidR="005E55E3">
              <w:t xml:space="preserve"> </w:t>
            </w:r>
            <w:r>
              <w:t>її законних прав;</w:t>
            </w: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3) обґрунтоване звернення суб'єктів господарювання та споживачів про порушення суб'єктом природної монополії</w:t>
            </w:r>
            <w:r w:rsidR="005E55E3" w:rsidRPr="005E55E3">
              <w:rPr>
                <w:b/>
                <w:u w:val="single"/>
              </w:rPr>
              <w:t>, оператором малої системи розподілу</w:t>
            </w:r>
            <w:r>
              <w:t xml:space="preserve"> законодавства з питань доступу до електричних/теплових/газових мереж та/або порушення ліцензійних умов;</w:t>
            </w: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4) перевірка виконання рішень НКРЕКП щодо усунення порушень вимог законодавства, прийнятих за результатами планових або позапланових перевірок;</w:t>
            </w: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5) перевірка достовірності наданих НКРЕКП даних у звітності або в інших документах.</w:t>
            </w:r>
          </w:p>
          <w:p w:rsidR="00B15863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Анонімні звернення не є підставою для проведення перевірок.</w:t>
            </w:r>
          </w:p>
          <w:p w:rsidR="00AB675A" w:rsidRDefault="00B15863" w:rsidP="00B15863">
            <w:pPr>
              <w:pStyle w:val="a4"/>
              <w:spacing w:before="0" w:beforeAutospacing="0" w:after="0" w:afterAutospacing="0"/>
              <w:jc w:val="both"/>
            </w:pPr>
            <w:r>
              <w:t>Про проведення позапланової виїзної перевірки ліцензіат повідомляється у день початку перевірки.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 xml:space="preserve">5.1. Підставою для проведення позапланової невиїзної перевірки </w:t>
            </w:r>
            <w:r w:rsidRPr="00B5227E">
              <w:rPr>
                <w:b/>
                <w:strike/>
              </w:rPr>
              <w:t>ліцензіата, що провадить діяльність у сферах енергетики та комунальних послуг,</w:t>
            </w:r>
            <w:r>
              <w:t xml:space="preserve"> є:</w:t>
            </w: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1) неподання, несвоєчасне подання, подання недостовірної інформації або необхідність перевірки достовірності такої інформації;</w:t>
            </w: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2) неподання, несвоєчасне подання, подання недостовірних даних у звітності або необхідність перевірки достовірності таких даних в установлений НКРЕКП строк або в інших документах;</w:t>
            </w: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3) неподання копій документів, засвідчених в установленому законодавством порядку, пояснень та іншої інформації на законну вимогу НК</w:t>
            </w:r>
            <w:bookmarkStart w:id="39" w:name="_GoBack"/>
            <w:bookmarkEnd w:id="39"/>
            <w:r>
              <w:t>РЕКП;</w:t>
            </w: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4) обґрунтоване звернення фізичної або юридичної особи про порушення ліцензіатом</w:t>
            </w:r>
            <w:r w:rsidR="0052330C" w:rsidRPr="0052330C">
              <w:rPr>
                <w:b/>
                <w:u w:val="single"/>
              </w:rPr>
              <w:t>, або суб’єктом, що належить до особливої групи споживачів,</w:t>
            </w:r>
            <w:r w:rsidR="0052330C">
              <w:t xml:space="preserve"> </w:t>
            </w:r>
            <w:r>
              <w:t>її законних прав та надання документів (копій документів), що підтверджують таке порушення;</w:t>
            </w:r>
          </w:p>
          <w:p w:rsidR="007522E3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5) обґрунтоване звернення суб'єкта господарювання або споживача про порушення суб'єктом природної монополії</w:t>
            </w:r>
            <w:r w:rsidR="00227FB9" w:rsidRPr="00227FB9">
              <w:rPr>
                <w:b/>
                <w:u w:val="single"/>
              </w:rPr>
              <w:t>, оператором малої системи розподілу</w:t>
            </w:r>
            <w:r>
              <w:t xml:space="preserve"> законодавства з питань доступу до електричних/теплових/газових мереж, мереж централізованого водопостачання та/або водовідведення, порушення ліцензійних умов та надання документів (копій документів), що підтверджують таке порушення ліцензійних умов;</w:t>
            </w:r>
          </w:p>
          <w:p w:rsidR="00AB675A" w:rsidRDefault="007522E3" w:rsidP="007522E3">
            <w:pPr>
              <w:pStyle w:val="a4"/>
              <w:spacing w:before="0" w:beforeAutospacing="0" w:after="0" w:afterAutospacing="0"/>
              <w:jc w:val="both"/>
            </w:pPr>
            <w:r>
              <w:t>6) виявлення під час аналізу звітності або моніторингу нецільового використання коштів, передбачених встановленою структурою тарифів та/або схваленою інвестиційною програмою.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ED1ABD" w:rsidP="00644D5C">
            <w:pPr>
              <w:pStyle w:val="a4"/>
              <w:spacing w:before="0" w:beforeAutospacing="0" w:after="0" w:afterAutospacing="0"/>
              <w:jc w:val="both"/>
            </w:pPr>
            <w:r w:rsidRPr="00ED1ABD">
              <w:t xml:space="preserve">5.3. Позапланова невиїзна перевірка </w:t>
            </w:r>
            <w:r w:rsidRPr="00ED1ABD">
              <w:rPr>
                <w:b/>
                <w:strike/>
              </w:rPr>
              <w:t>ліцензіата</w:t>
            </w:r>
            <w:r w:rsidRPr="00ED1ABD">
              <w:t xml:space="preserve"> може проводитися без попередження заздалегідь.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ED1ABD" w:rsidP="00644D5C">
            <w:pPr>
              <w:pStyle w:val="a4"/>
              <w:spacing w:before="0" w:beforeAutospacing="0" w:after="0" w:afterAutospacing="0"/>
              <w:jc w:val="both"/>
            </w:pPr>
            <w:r w:rsidRPr="00ED1ABD">
              <w:t xml:space="preserve">5.4. Згода </w:t>
            </w:r>
            <w:r w:rsidRPr="00ED1ABD">
              <w:rPr>
                <w:b/>
                <w:u w:val="single"/>
              </w:rPr>
              <w:t>суб’єкта, щодо якого здійснюється перевірка</w:t>
            </w:r>
            <w:r w:rsidRPr="00ED1ABD">
              <w:t>, його повідомлення про проведення позапланової невиїзної перевірки, його присутність під час проведення такої перевірки є необов'язковими.</w:t>
            </w:r>
          </w:p>
          <w:p w:rsidR="00C957E1" w:rsidRDefault="00C957E1" w:rsidP="00644D5C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644D5C">
            <w:pPr>
              <w:pStyle w:val="a4"/>
              <w:spacing w:before="0" w:beforeAutospacing="0" w:after="0" w:afterAutospacing="0"/>
              <w:jc w:val="both"/>
            </w:pP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7.1. За результатами проведених планових та позапланових перевірок складається акт перевірки за формою, наведеною в додатку </w:t>
            </w:r>
            <w:r w:rsidRPr="00ED1ABD">
              <w:rPr>
                <w:b/>
                <w:u w:val="single"/>
              </w:rPr>
              <w:t>21</w:t>
            </w:r>
            <w:r>
              <w:t xml:space="preserve"> до цього Порядку, у двох примірниках.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В акті планової перевірки відображається інформація за результатами перевірки питань, визначених переліками питань для відповідних сфер енергетики та комунальних послуг (додатки 4 - </w:t>
            </w:r>
            <w:r w:rsidRPr="00ED1ABD">
              <w:rPr>
                <w:b/>
                <w:u w:val="single"/>
              </w:rPr>
              <w:t>20</w:t>
            </w:r>
            <w:r>
              <w:t>), а в разі виявлення порушення - його детальний опис з посиланням на відповідну норму законодавства та/або ліцензійних умов.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В акті позапланової перевірки відображається інформація за результатами перевірки питань, необхідність перевірки яких стала підставою для здійснення такої перевірки, а в разі виявлення порушення - його детальний опис з посиланням на відповідну норму законодавства та/або ліцензійних умов.</w:t>
            </w:r>
          </w:p>
          <w:p w:rsidR="00ED1ABD" w:rsidRPr="00ED1ABD" w:rsidRDefault="00ED1ABD" w:rsidP="00ED1ABD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ED1ABD">
              <w:rPr>
                <w:b/>
                <w:u w:val="single"/>
              </w:rPr>
              <w:t xml:space="preserve">Отримані від уповноважених осіб суб’єкта господарювання, щодо якого здійснюється перевірка, в ході перевірки належним чином завірені копії документів та/або документи в електронній формі на електронному носії з питань, що підтверджують та/або спростовують вчинення ним порушень вимог законодавства та/або ліцензійних умов, долучаються до </w:t>
            </w:r>
            <w:proofErr w:type="spellStart"/>
            <w:r w:rsidRPr="00ED1ABD">
              <w:rPr>
                <w:b/>
                <w:u w:val="single"/>
              </w:rPr>
              <w:t>акта</w:t>
            </w:r>
            <w:proofErr w:type="spellEnd"/>
            <w:r w:rsidRPr="00ED1ABD">
              <w:rPr>
                <w:b/>
                <w:u w:val="single"/>
              </w:rPr>
              <w:t xml:space="preserve"> перевірки у вигляді додатків. У разі надання документів в електронній формі, до </w:t>
            </w:r>
            <w:proofErr w:type="spellStart"/>
            <w:r w:rsidRPr="00ED1ABD">
              <w:rPr>
                <w:b/>
                <w:u w:val="single"/>
              </w:rPr>
              <w:t>акта</w:t>
            </w:r>
            <w:proofErr w:type="spellEnd"/>
            <w:r w:rsidRPr="00ED1ABD">
              <w:rPr>
                <w:b/>
                <w:u w:val="single"/>
              </w:rPr>
              <w:t xml:space="preserve"> перевірки у вигляді додатків долучається відповідний електронний носій.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Ліцензіат, діяльність якого перевірялася, має право надати до НКРЕКП письмові пояснення та обґрунтування щодо проведеної перевірки та/або виявлених порушень у строк до п'яти робочих днів з дня отримання </w:t>
            </w:r>
            <w:proofErr w:type="spellStart"/>
            <w:r>
              <w:t>акта</w:t>
            </w:r>
            <w:proofErr w:type="spellEnd"/>
            <w:r>
              <w:t xml:space="preserve"> про результати перевірки.</w:t>
            </w:r>
          </w:p>
          <w:p w:rsidR="00ED1ABD" w:rsidRPr="00ED1ABD" w:rsidRDefault="00ED1ABD" w:rsidP="00ED1ABD">
            <w:pPr>
              <w:pStyle w:val="a4"/>
              <w:spacing w:before="0" w:beforeAutospacing="0" w:after="0" w:afterAutospacing="0"/>
              <w:jc w:val="both"/>
              <w:rPr>
                <w:b/>
                <w:strike/>
              </w:rPr>
            </w:pPr>
            <w:r w:rsidRPr="00ED1ABD">
              <w:rPr>
                <w:b/>
                <w:strike/>
              </w:rPr>
              <w:t xml:space="preserve">Письмові пояснення та обґрунтування ліцензіата є невід'ємною частиною </w:t>
            </w:r>
            <w:proofErr w:type="spellStart"/>
            <w:r w:rsidRPr="00ED1ABD">
              <w:rPr>
                <w:b/>
                <w:strike/>
              </w:rPr>
              <w:t>акта</w:t>
            </w:r>
            <w:proofErr w:type="spellEnd"/>
            <w:r w:rsidRPr="00ED1ABD">
              <w:rPr>
                <w:b/>
                <w:strike/>
              </w:rPr>
              <w:t xml:space="preserve"> перевірки.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У випадку якщо отримані від уповноважених осіб ліцензіата в ході перевірки або разом з поясненнями до </w:t>
            </w:r>
            <w:proofErr w:type="spellStart"/>
            <w:r>
              <w:t>акта</w:t>
            </w:r>
            <w:proofErr w:type="spellEnd"/>
            <w:r>
              <w:t xml:space="preserve"> перевірки копії документів, письмові пояснення та обґрунтування містять інформацію та/або дані конфіденційного характеру, які становлять комерційну таємницю, ліцензіат не пізніше останнього дня перевірки надає комісії з перевірки чіткий перелік такої інформації з урахуванням положень законів України </w:t>
            </w:r>
            <w:r>
              <w:lastRenderedPageBreak/>
              <w:t xml:space="preserve">"Про інформацію", "Про доступ до публічної інформації" та інших актів законодавства, який долучається до </w:t>
            </w:r>
            <w:proofErr w:type="spellStart"/>
            <w:r>
              <w:t>акта</w:t>
            </w:r>
            <w:proofErr w:type="spellEnd"/>
            <w:r>
              <w:t xml:space="preserve"> перевірки.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Обмеженню доступу підлягає інформація, визначена ліцензіатом як конфіденційна, а також конфіденційна інформація зазначена в копіях документів, письмові пояснення, обґрунтування та акти перевірки, а не копії документів, письмові пояснення, обґрунтування чи акт перевірки у цілому.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НКРЕКП не зобов'язана вважати інформацію та/або дані, надані ліцензіатом, такими, що мають конфіденційний характер та/або становлять комерційну таємницю, якщо: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ліцензіат не надав під час перевірки або разом з поясненнями до </w:t>
            </w:r>
            <w:proofErr w:type="spellStart"/>
            <w:r>
              <w:t>акта</w:t>
            </w:r>
            <w:proofErr w:type="spellEnd"/>
            <w:r>
              <w:t xml:space="preserve"> перевірки перелік інформації та/або даних, що мають конфіденційний характер та/або становлять комерційну таємницю;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відповідно до внутрішніх положень ліцензіата наданий перелік інформації та/або даних не віднесений до інформації, що має конфіденційний характер та/або становлять комерційну таємницю;</w:t>
            </w:r>
          </w:p>
          <w:p w:rsidR="00ED1ABD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>віднесення інформації та/або даних до конфіденційної суперечить чинному законодавству.</w:t>
            </w:r>
          </w:p>
          <w:p w:rsidR="00C957E1" w:rsidRDefault="00ED1ABD" w:rsidP="00ED1ABD">
            <w:pPr>
              <w:pStyle w:val="a4"/>
              <w:spacing w:before="0" w:beforeAutospacing="0" w:after="0" w:afterAutospacing="0"/>
              <w:jc w:val="both"/>
            </w:pPr>
            <w:r>
              <w:t xml:space="preserve">У день складання акт перевірки реєструється у книзі реєстрації актів про результати перевірок щодо дотримання ліцензіатом вимог законодавства у відповідних сферах та ліцензійних умов за формою, наведеною в додатку </w:t>
            </w:r>
            <w:r w:rsidRPr="00ED1ABD">
              <w:rPr>
                <w:b/>
                <w:u w:val="single"/>
              </w:rPr>
              <w:t>22</w:t>
            </w:r>
            <w:r>
              <w:t xml:space="preserve"> до цього Порядку, сторінки якої мають бути пронумеровані.</w:t>
            </w:r>
          </w:p>
          <w:p w:rsidR="00C957E1" w:rsidRDefault="00C957E1" w:rsidP="00644D5C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06245F">
            <w:pPr>
              <w:pStyle w:val="a4"/>
              <w:spacing w:before="0" w:beforeAutospacing="0" w:after="0" w:afterAutospacing="0"/>
              <w:jc w:val="both"/>
            </w:pPr>
          </w:p>
          <w:p w:rsidR="0006245F" w:rsidRPr="0006245F" w:rsidRDefault="0006245F" w:rsidP="0006245F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06245F">
              <w:rPr>
                <w:b/>
                <w:u w:val="single"/>
              </w:rPr>
              <w:t>7.3. За наявності достатніх підстав в акті перевірки також зазначається інформація про:</w:t>
            </w:r>
          </w:p>
          <w:p w:rsidR="0006245F" w:rsidRPr="0006245F" w:rsidRDefault="0006245F" w:rsidP="0006245F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06245F">
              <w:rPr>
                <w:b/>
                <w:u w:val="single"/>
              </w:rPr>
              <w:t>виявлення факту невиконання рішення про усунення порушень;</w:t>
            </w:r>
          </w:p>
          <w:p w:rsidR="0006245F" w:rsidRPr="0006245F" w:rsidRDefault="0006245F" w:rsidP="0006245F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06245F">
              <w:rPr>
                <w:b/>
                <w:u w:val="single"/>
              </w:rPr>
              <w:t>виявлення факту повторного порушення суб’єкта господарювання, щодо якого здійснюється перевірка, ліцензійних умов та законодавства у сферах енергетики та комунальних послуг;</w:t>
            </w:r>
          </w:p>
          <w:p w:rsidR="0006245F" w:rsidRPr="0006245F" w:rsidRDefault="0006245F" w:rsidP="0006245F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06245F">
              <w:rPr>
                <w:b/>
                <w:u w:val="single"/>
              </w:rPr>
              <w:t xml:space="preserve">виявлення факту </w:t>
            </w:r>
            <w:proofErr w:type="spellStart"/>
            <w:r w:rsidRPr="0006245F">
              <w:rPr>
                <w:b/>
                <w:u w:val="single"/>
              </w:rPr>
              <w:t>неусунення</w:t>
            </w:r>
            <w:proofErr w:type="spellEnd"/>
            <w:r w:rsidRPr="0006245F">
              <w:rPr>
                <w:b/>
                <w:u w:val="single"/>
              </w:rPr>
              <w:t xml:space="preserve"> ліцензіатом протягом строку зупинення дії ліцензії підстав, що стали причиною для її зупинення;</w:t>
            </w:r>
          </w:p>
          <w:p w:rsidR="0006245F" w:rsidRPr="0006245F" w:rsidRDefault="0006245F" w:rsidP="0006245F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06245F">
              <w:rPr>
                <w:b/>
                <w:u w:val="single"/>
              </w:rPr>
              <w:t>виявлення факту недостовірності даних у документах, поданих суб’єктом господарювання разом із заявою про отримання ліцензії;</w:t>
            </w:r>
          </w:p>
          <w:p w:rsidR="0006245F" w:rsidRPr="0006245F" w:rsidRDefault="0006245F" w:rsidP="0006245F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06245F">
              <w:rPr>
                <w:b/>
                <w:u w:val="single"/>
              </w:rPr>
              <w:t>виявлення факту відмови ліцензіата у проведенні перевірки;</w:t>
            </w:r>
          </w:p>
          <w:p w:rsidR="00C957E1" w:rsidRDefault="0006245F" w:rsidP="0006245F">
            <w:pPr>
              <w:pStyle w:val="a4"/>
              <w:spacing w:before="0" w:beforeAutospacing="0" w:after="0" w:afterAutospacing="0"/>
              <w:jc w:val="both"/>
            </w:pPr>
            <w:r w:rsidRPr="0006245F">
              <w:rPr>
                <w:b/>
                <w:u w:val="single"/>
              </w:rPr>
              <w:lastRenderedPageBreak/>
              <w:t>виявлення факту контролю (вирішального впливу) за діяльністю ліцензіата осіб інших держав, що здійснюють збройну агресію проти України.</w:t>
            </w:r>
          </w:p>
          <w:p w:rsidR="00C957E1" w:rsidRDefault="00C957E1" w:rsidP="0006245F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06245F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06245F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644D5C">
            <w:pPr>
              <w:pStyle w:val="a4"/>
              <w:spacing w:before="0" w:beforeAutospacing="0" w:after="0" w:afterAutospacing="0"/>
              <w:jc w:val="both"/>
            </w:pPr>
          </w:p>
          <w:p w:rsidR="00C957E1" w:rsidRDefault="00C957E1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733A2B" w:rsidP="00644D5C">
            <w:pPr>
              <w:pStyle w:val="a4"/>
              <w:spacing w:before="0" w:beforeAutospacing="0" w:after="0" w:afterAutospacing="0"/>
              <w:jc w:val="both"/>
            </w:pPr>
            <w:r w:rsidRPr="00733A2B">
              <w:t>9.3. Документи, належним чином завірені копії документів, довідки, відомості, матеріали з питань, що виникають під час перевірки, пояснення та/або обґрунтування надаються ліцензіатом за підписом уповноваженої особи</w:t>
            </w:r>
            <w:r>
              <w:t xml:space="preserve"> </w:t>
            </w:r>
            <w:r w:rsidRPr="00733A2B">
              <w:rPr>
                <w:b/>
                <w:u w:val="single"/>
              </w:rPr>
              <w:t>або в електронній формі на електронному носії</w:t>
            </w:r>
            <w:r w:rsidRPr="00733A2B">
              <w:t>.</w:t>
            </w: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Pr="00733A2B" w:rsidRDefault="00733A2B" w:rsidP="00644D5C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733A2B">
              <w:rPr>
                <w:b/>
                <w:u w:val="single"/>
              </w:rPr>
              <w:t>10.4. Розмір штрафу розраховується НКРЕКП відповідно до затвердженого нею порядку (методики) визначення розміру штрафів, які накладаються НКРЕКП.</w:t>
            </w: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Pr="00733A2B" w:rsidRDefault="00AB2C40" w:rsidP="00644D5C">
            <w:pPr>
              <w:pStyle w:val="a4"/>
              <w:spacing w:before="0" w:beforeAutospacing="0" w:after="0" w:afterAutospacing="0"/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[</w:t>
            </w:r>
            <w:r w:rsidR="00733A2B" w:rsidRPr="00733A2B">
              <w:rPr>
                <w:i/>
              </w:rPr>
              <w:t>У зв’язку з цим пункти 10.4 – 10.10 вважаються відповідно пунктами 10.5 – 10.11.</w:t>
            </w:r>
            <w:r>
              <w:rPr>
                <w:i/>
                <w:lang w:val="en-US"/>
              </w:rPr>
              <w:t>]</w:t>
            </w: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4"/>
              <w:gridCol w:w="3224"/>
            </w:tblGrid>
            <w:tr w:rsidR="00C24846" w:rsidRPr="00A02AC3" w:rsidTr="00717D95">
              <w:tc>
                <w:tcPr>
                  <w:tcW w:w="2833" w:type="pct"/>
                </w:tcPr>
                <w:p w:rsidR="00C24846" w:rsidRPr="00A02AC3" w:rsidRDefault="00C24846" w:rsidP="00C24846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67" w:type="pct"/>
                </w:tcPr>
                <w:p w:rsidR="00C24846" w:rsidRPr="00F863D2" w:rsidRDefault="00C24846" w:rsidP="00C24846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 w:eastAsia="uk-UA"/>
                    </w:rPr>
                  </w:pPr>
                  <w:r w:rsidRPr="00A02AC3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Додаток 1</w:t>
                  </w:r>
                  <w:r w:rsidRPr="00F863D2">
                    <w:rPr>
                      <w:rFonts w:ascii="Times New Roman" w:hAnsi="Times New Roman"/>
                      <w:sz w:val="24"/>
                      <w:szCs w:val="24"/>
                      <w:lang w:val="ru-RU" w:eastAsia="uk-UA"/>
                    </w:rPr>
                    <w:t>2</w:t>
                  </w:r>
                </w:p>
                <w:p w:rsidR="00C24846" w:rsidRPr="00A02AC3" w:rsidRDefault="00C24846" w:rsidP="00C24846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A02AC3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C24846" w:rsidRPr="00A02AC3" w:rsidRDefault="00C24846" w:rsidP="00C24846">
                  <w:pPr>
                    <w:ind w:left="169"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A02AC3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(пункти 3.7, </w:t>
                  </w:r>
                  <w:r w:rsidR="00C32444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7</w:t>
                  </w:r>
                  <w:r w:rsidRPr="00A02AC3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.1)</w:t>
                  </w:r>
                </w:p>
              </w:tc>
            </w:tr>
          </w:tbl>
          <w:p w:rsidR="00C24846" w:rsidRPr="00A02AC3" w:rsidRDefault="00C24846" w:rsidP="00C24846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24846" w:rsidRPr="00A02AC3" w:rsidRDefault="00C24846" w:rsidP="00C24846">
            <w:pPr>
              <w:ind w:left="-28" w:right="-2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02AC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ПЕРЕЛІК ПИТАНЬ</w:t>
            </w:r>
          </w:p>
          <w:p w:rsidR="00C24846" w:rsidRPr="00A02AC3" w:rsidRDefault="00C24846" w:rsidP="00C24846">
            <w:pPr>
              <w:ind w:left="-28"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AC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для перевірки дотримання вимог законодавства та ліцензійних умов провадження господарської діяльності з розподілу електричної енергії малою системою розподілу</w:t>
            </w: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Pr="008943A8" w:rsidRDefault="008943A8" w:rsidP="00644D5C">
            <w:pPr>
              <w:pStyle w:val="a4"/>
              <w:spacing w:before="0" w:beforeAutospacing="0" w:after="0" w:afterAutospacing="0"/>
              <w:jc w:val="both"/>
              <w:rPr>
                <w:lang w:val="en-US"/>
              </w:rPr>
            </w:pPr>
            <w:r>
              <w:rPr>
                <w:i/>
                <w:lang w:val="en-US"/>
              </w:rPr>
              <w:t>[</w:t>
            </w:r>
            <w:r>
              <w:rPr>
                <w:i/>
              </w:rPr>
              <w:t xml:space="preserve">Відповідний перелік питань у повному обсязі дивитись в </w:t>
            </w:r>
            <w:proofErr w:type="spellStart"/>
            <w:r>
              <w:rPr>
                <w:i/>
              </w:rPr>
              <w:t>проєкті</w:t>
            </w:r>
            <w:proofErr w:type="spellEnd"/>
            <w:r>
              <w:rPr>
                <w:i/>
              </w:rPr>
              <w:t xml:space="preserve"> рішення</w:t>
            </w:r>
            <w:r>
              <w:rPr>
                <w:i/>
                <w:lang w:val="en-US"/>
              </w:rPr>
              <w:t>]</w:t>
            </w: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Pr="00E614B7" w:rsidRDefault="008943A8" w:rsidP="008943A8">
            <w:pPr>
              <w:ind w:left="5670" w:right="-2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4"/>
              <w:gridCol w:w="3224"/>
            </w:tblGrid>
            <w:tr w:rsidR="008943A8" w:rsidRPr="00E614B7" w:rsidTr="00717D95">
              <w:tc>
                <w:tcPr>
                  <w:tcW w:w="2833" w:type="pct"/>
                </w:tcPr>
                <w:p w:rsidR="008943A8" w:rsidRPr="00E614B7" w:rsidRDefault="008943A8" w:rsidP="008943A8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67" w:type="pct"/>
                </w:tcPr>
                <w:p w:rsidR="008943A8" w:rsidRPr="00E614B7" w:rsidRDefault="008943A8" w:rsidP="008943A8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Додаток 13</w:t>
                  </w:r>
                </w:p>
                <w:p w:rsidR="008943A8" w:rsidRPr="00E614B7" w:rsidRDefault="008943A8" w:rsidP="008943A8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8943A8" w:rsidRPr="00E614B7" w:rsidRDefault="008943A8" w:rsidP="008943A8">
                  <w:pPr>
                    <w:ind w:left="169"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(пункти 3.7, </w:t>
                  </w:r>
                  <w:r w:rsidR="00C32444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7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.1)</w:t>
                  </w:r>
                </w:p>
              </w:tc>
            </w:tr>
          </w:tbl>
          <w:p w:rsidR="008943A8" w:rsidRPr="00E614B7" w:rsidRDefault="008943A8" w:rsidP="008943A8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943A8" w:rsidRPr="00E614B7" w:rsidRDefault="008943A8" w:rsidP="008943A8">
            <w:pPr>
              <w:ind w:left="-28" w:right="-2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614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ПЕРЕЛІК ПИТАНЬ</w:t>
            </w:r>
          </w:p>
          <w:p w:rsidR="008943A8" w:rsidRPr="00E614B7" w:rsidRDefault="008943A8" w:rsidP="008943A8">
            <w:pPr>
              <w:ind w:left="-28"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4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для перевірки дотримання вимог законодавства та ліцензійних умов провадження господарської діяльності з агрегації на ринку електричної енергії</w:t>
            </w: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8943A8" w:rsidRPr="008943A8" w:rsidRDefault="008943A8" w:rsidP="008943A8">
            <w:pPr>
              <w:pStyle w:val="a4"/>
              <w:spacing w:before="0" w:beforeAutospacing="0" w:after="0" w:afterAutospacing="0"/>
              <w:jc w:val="both"/>
              <w:rPr>
                <w:lang w:val="en-US"/>
              </w:rPr>
            </w:pPr>
            <w:r>
              <w:rPr>
                <w:i/>
                <w:lang w:val="en-US"/>
              </w:rPr>
              <w:t>[</w:t>
            </w:r>
            <w:r>
              <w:rPr>
                <w:i/>
              </w:rPr>
              <w:t xml:space="preserve">Відповідний перелік питань у повному обсязі дивитись в </w:t>
            </w:r>
            <w:proofErr w:type="spellStart"/>
            <w:r>
              <w:rPr>
                <w:i/>
              </w:rPr>
              <w:t>проєкті</w:t>
            </w:r>
            <w:proofErr w:type="spellEnd"/>
            <w:r>
              <w:rPr>
                <w:i/>
              </w:rPr>
              <w:t xml:space="preserve"> рішення</w:t>
            </w:r>
            <w:r>
              <w:rPr>
                <w:i/>
                <w:lang w:val="en-US"/>
              </w:rPr>
              <w:t>]</w:t>
            </w:r>
          </w:p>
          <w:p w:rsidR="00733A2B" w:rsidRDefault="00733A2B" w:rsidP="008943A8">
            <w:pPr>
              <w:pStyle w:val="a4"/>
              <w:spacing w:before="0" w:beforeAutospacing="0" w:after="0" w:afterAutospacing="0"/>
              <w:jc w:val="both"/>
            </w:pPr>
          </w:p>
          <w:p w:rsidR="008943A8" w:rsidRPr="008943A8" w:rsidRDefault="008943A8" w:rsidP="008943A8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  <w:r w:rsidRPr="008943A8">
              <w:rPr>
                <w:i/>
                <w:lang w:val="en-US"/>
              </w:rPr>
              <w:t>[</w:t>
            </w:r>
            <w:r w:rsidRPr="008943A8">
              <w:rPr>
                <w:i/>
              </w:rPr>
              <w:t>У зв’язку з цим додатки 12 – 28 вважати відповідно додатками 14 – 30.</w:t>
            </w:r>
          </w:p>
          <w:p w:rsidR="00733A2B" w:rsidRPr="008943A8" w:rsidRDefault="008943A8" w:rsidP="008943A8">
            <w:pPr>
              <w:pStyle w:val="a4"/>
              <w:spacing w:before="0" w:beforeAutospacing="0" w:after="0" w:afterAutospacing="0"/>
              <w:jc w:val="both"/>
              <w:rPr>
                <w:i/>
                <w:lang w:val="en-US"/>
              </w:rPr>
            </w:pPr>
            <w:r w:rsidRPr="008943A8">
              <w:rPr>
                <w:i/>
              </w:rPr>
              <w:t>У тексті Порядку посилання на додатки 12 – 28 замінити відповідно посиланнями на додатки 14 – 30.</w:t>
            </w:r>
            <w:r w:rsidRPr="008943A8">
              <w:rPr>
                <w:i/>
                <w:lang w:val="en-US"/>
              </w:rPr>
              <w:t>]</w:t>
            </w:r>
          </w:p>
          <w:p w:rsidR="00976C89" w:rsidRDefault="00976C89" w:rsidP="00976C89">
            <w:pPr>
              <w:pStyle w:val="a4"/>
              <w:spacing w:before="0" w:beforeAutospacing="0" w:after="0" w:afterAutospacing="0"/>
              <w:jc w:val="both"/>
            </w:pPr>
          </w:p>
          <w:p w:rsidR="00976C89" w:rsidRPr="00E614B7" w:rsidRDefault="00976C89" w:rsidP="00976C89">
            <w:pPr>
              <w:ind w:left="5670" w:right="-2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4"/>
              <w:gridCol w:w="3224"/>
            </w:tblGrid>
            <w:tr w:rsidR="00976C89" w:rsidRPr="00E614B7" w:rsidTr="00717D95">
              <w:tc>
                <w:tcPr>
                  <w:tcW w:w="2833" w:type="pct"/>
                </w:tcPr>
                <w:p w:rsidR="00976C89" w:rsidRPr="00E614B7" w:rsidRDefault="00976C89" w:rsidP="00976C89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67" w:type="pct"/>
                </w:tcPr>
                <w:p w:rsidR="00976C89" w:rsidRPr="00E614B7" w:rsidRDefault="00976C89" w:rsidP="00976C89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Додаток </w:t>
                  </w:r>
                  <w:r w:rsidRPr="00976C89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uk-UA"/>
                    </w:rPr>
                    <w:t>14</w:t>
                  </w:r>
                </w:p>
                <w:p w:rsidR="00976C89" w:rsidRPr="00E614B7" w:rsidRDefault="00976C89" w:rsidP="00976C89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до Порядку контролю за дотриманням ліцензіатами, 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lastRenderedPageBreak/>
                    <w:t>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976C89" w:rsidRPr="00E614B7" w:rsidRDefault="00976C89" w:rsidP="00976C89">
                  <w:pPr>
                    <w:ind w:left="169"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(пункти 3.7, </w:t>
                  </w:r>
                  <w:r w:rsidR="00C32444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7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.1)</w:t>
                  </w:r>
                </w:p>
              </w:tc>
            </w:tr>
          </w:tbl>
          <w:p w:rsidR="00976C89" w:rsidRPr="00E614B7" w:rsidRDefault="00976C89" w:rsidP="00976C89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76C89" w:rsidRPr="00E614B7" w:rsidRDefault="00976C89" w:rsidP="00976C89">
            <w:pPr>
              <w:ind w:left="-28" w:right="-2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614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ПЕРЕЛІК ПИТАНЬ</w:t>
            </w:r>
          </w:p>
          <w:p w:rsidR="00976C89" w:rsidRPr="00E614B7" w:rsidRDefault="00976C89" w:rsidP="00976C89">
            <w:pPr>
              <w:ind w:left="-28"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4B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для перевірки </w:t>
            </w:r>
            <w:r w:rsidRPr="00976C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дотримання вимог законодавства та ліцензійних умов провадження господарської діяльності з транспортування нафти, нафтопродуктів магістральним трубопроводом</w:t>
            </w:r>
          </w:p>
          <w:p w:rsidR="00976C89" w:rsidRDefault="00976C89" w:rsidP="00976C89">
            <w:pPr>
              <w:pStyle w:val="a4"/>
              <w:spacing w:before="0" w:beforeAutospacing="0" w:after="0" w:afterAutospacing="0"/>
              <w:jc w:val="both"/>
            </w:pPr>
          </w:p>
          <w:p w:rsidR="00976C89" w:rsidRPr="008943A8" w:rsidRDefault="00976C89" w:rsidP="00976C89">
            <w:pPr>
              <w:pStyle w:val="a4"/>
              <w:spacing w:before="0" w:beforeAutospacing="0" w:after="0" w:afterAutospacing="0"/>
              <w:jc w:val="both"/>
              <w:rPr>
                <w:lang w:val="en-US"/>
              </w:rPr>
            </w:pPr>
            <w:r>
              <w:rPr>
                <w:i/>
                <w:lang w:val="en-US"/>
              </w:rPr>
              <w:t>[</w:t>
            </w:r>
            <w:r>
              <w:rPr>
                <w:i/>
              </w:rPr>
              <w:t xml:space="preserve">Нову редакцію переліку питань у повному обсязі дивитись в </w:t>
            </w:r>
            <w:proofErr w:type="spellStart"/>
            <w:r>
              <w:rPr>
                <w:i/>
              </w:rPr>
              <w:t>проєкті</w:t>
            </w:r>
            <w:proofErr w:type="spellEnd"/>
            <w:r>
              <w:rPr>
                <w:i/>
              </w:rPr>
              <w:t xml:space="preserve"> рішення</w:t>
            </w:r>
            <w:r>
              <w:rPr>
                <w:i/>
                <w:lang w:val="en-US"/>
              </w:rPr>
              <w:t>]</w:t>
            </w:r>
          </w:p>
          <w:p w:rsidR="00733A2B" w:rsidRDefault="00733A2B" w:rsidP="008943A8">
            <w:pPr>
              <w:pStyle w:val="a4"/>
              <w:spacing w:before="0" w:beforeAutospacing="0" w:after="0" w:afterAutospacing="0"/>
              <w:jc w:val="both"/>
            </w:pPr>
          </w:p>
          <w:p w:rsidR="00C32444" w:rsidRPr="00E614B7" w:rsidRDefault="00C32444" w:rsidP="00C32444">
            <w:pPr>
              <w:ind w:left="5670" w:right="-2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4"/>
              <w:gridCol w:w="3224"/>
            </w:tblGrid>
            <w:tr w:rsidR="00C32444" w:rsidRPr="00E614B7" w:rsidTr="00717D95">
              <w:tc>
                <w:tcPr>
                  <w:tcW w:w="2833" w:type="pct"/>
                </w:tcPr>
                <w:p w:rsidR="00C32444" w:rsidRPr="00E614B7" w:rsidRDefault="00C32444" w:rsidP="00C32444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67" w:type="pct"/>
                </w:tcPr>
                <w:p w:rsidR="00C32444" w:rsidRPr="00E614B7" w:rsidRDefault="00C32444" w:rsidP="00C32444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Додаток </w:t>
                  </w:r>
                  <w:r w:rsidRPr="00C32444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uk-UA"/>
                    </w:rPr>
                    <w:t>21</w:t>
                  </w:r>
                </w:p>
                <w:p w:rsidR="00C32444" w:rsidRPr="00E614B7" w:rsidRDefault="00C32444" w:rsidP="00C32444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C32444" w:rsidRPr="00E614B7" w:rsidRDefault="00C32444" w:rsidP="00C32444">
                  <w:pPr>
                    <w:ind w:left="169"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(пункти </w:t>
                  </w:r>
                  <w:r w:rsidR="00717D95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7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.1)</w:t>
                  </w:r>
                </w:p>
              </w:tc>
            </w:tr>
          </w:tbl>
          <w:p w:rsidR="00C32444" w:rsidRDefault="00C32444" w:rsidP="00C32444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17D95" w:rsidRPr="00E614B7" w:rsidRDefault="00717D95" w:rsidP="00C32444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17D95" w:rsidRDefault="00717D95" w:rsidP="00717D95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17D95">
              <w:rPr>
                <w:b/>
                <w:bCs/>
              </w:rPr>
              <w:t>ПЕРЕЛІК</w:t>
            </w:r>
          </w:p>
          <w:p w:rsidR="00717D95" w:rsidRPr="00717D95" w:rsidRDefault="00717D95" w:rsidP="00717D95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17D95">
              <w:rPr>
                <w:b/>
                <w:bCs/>
              </w:rPr>
              <w:t>питань щодо проведення перевірок</w:t>
            </w:r>
          </w:p>
          <w:tbl>
            <w:tblPr>
              <w:tblW w:w="5000" w:type="pct"/>
              <w:tblCellSpacing w:w="0" w:type="auto"/>
              <w:tblLook w:val="04A0" w:firstRow="1" w:lastRow="0" w:firstColumn="1" w:lastColumn="0" w:noHBand="0" w:noVBand="1"/>
            </w:tblPr>
            <w:tblGrid>
              <w:gridCol w:w="7438"/>
            </w:tblGrid>
            <w:tr w:rsidR="00717D95" w:rsidRPr="00717D95" w:rsidTr="00A52A08">
              <w:trPr>
                <w:trHeight w:val="30"/>
                <w:tblCellSpacing w:w="0" w:type="auto"/>
              </w:trPr>
              <w:tc>
                <w:tcPr>
                  <w:tcW w:w="5000" w:type="pct"/>
                  <w:vAlign w:val="center"/>
                </w:tcPr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t>1. Перелік питань для перевірки дотримання вимог законодавства та ліцензійних умов провадження господарської діяльності зі здійснення функції гарантованого покупця (додаток 4).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lastRenderedPageBreak/>
                    <w:t>2. Перелік питань для перевірки дотримання вимог законодавства та ліцензійних умов суб'єктом господарської діяльності, що здійснює функції оператора ринку (додаток 5).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t>3. Перелік питань для перевірки дотримання вимог законодавства та ліцензійних умов суб'єктом господарської діяльності, що здійснює діяльність з передачі електричної енергії (додаток 6).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t>4. Перелік питань для перевірки дотримання вимог законодавства та ліцензійних умов провадження господарської діяльності з виробництва електричної енергії (додаток 7).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t>5. Перелік питань для перевірки дотримання вимог законодавства та ліцензійних умов суб'єктами господарської діяльності, які здійснюють постачання електричної енергії (додаток 8).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t>6. Перелік питань для перевірки дотримання вимог законодавства та ліцензійних умов провадження господарської діяльності з перепродажу електричної енергії (</w:t>
                  </w:r>
                  <w:proofErr w:type="spellStart"/>
                  <w:r w:rsidRPr="00717D95">
                    <w:t>трейдерської</w:t>
                  </w:r>
                  <w:proofErr w:type="spellEnd"/>
                  <w:r w:rsidRPr="00717D95">
                    <w:t xml:space="preserve"> діяльності) (додаток 9).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t>7. Перелік питань для перевірки дотримання вимог законодавства та ліцензійних умов провадження господарської діяльності з розподілу електричної енергії (додаток 10).</w:t>
                  </w:r>
                </w:p>
                <w:p w:rsid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t>8. Перелік питань для перевірки дотримання вимог законодавства та ліцензійних умов провадження господарської діяльності зі зберігання енергії (додаток 11).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  <w:rPr>
                      <w:b/>
                      <w:u w:val="single"/>
                    </w:rPr>
                  </w:pPr>
                  <w:r w:rsidRPr="00717D95">
                    <w:rPr>
                      <w:b/>
                      <w:u w:val="single"/>
                    </w:rPr>
                    <w:t>9. Перелік питань для перевірки дотримання вимог законодавства та ліцензійних умов провадження господарської діяльності з розподілу електричної енергії малою системою розподілу (додаток 12).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rPr>
                      <w:b/>
                      <w:u w:val="single"/>
                    </w:rPr>
                    <w:t>10. Перелік питань для перевірки дотримання вимог законодавства та ліцензійних умов провадження господарської діяльності з агрегації на ринку електричної енергії (додаток 13).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>
                    <w:rPr>
                      <w:b/>
                      <w:u w:val="single"/>
                    </w:rPr>
                    <w:t>11</w:t>
                  </w:r>
                  <w:r w:rsidRPr="00717D95">
                    <w:t xml:space="preserve">. Перелік питань для перевірки дотримання вимог законодавства та ліцензійних умов провадження господарської діяльності з транспортування нафти, нафтопродуктів магістральним трубопроводом (додаток </w:t>
                  </w:r>
                  <w:r w:rsidRPr="00717D95">
                    <w:rPr>
                      <w:b/>
                      <w:u w:val="single"/>
                    </w:rPr>
                    <w:t>14</w:t>
                  </w:r>
                  <w:r w:rsidRPr="00717D95">
                    <w:t>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rPr>
                      <w:b/>
                      <w:u w:val="single"/>
                    </w:rPr>
                    <w:lastRenderedPageBreak/>
                    <w:t>12</w:t>
                  </w:r>
                  <w:r w:rsidRPr="00717D95">
                    <w:t xml:space="preserve">. Перелік питань для перевірки дотримання вимог законодавства та ліцензійних умов провадження господарської діяльності з транспортування природного газу (додаток </w:t>
                  </w:r>
                  <w:r w:rsidRPr="00717D95">
                    <w:rPr>
                      <w:b/>
                      <w:u w:val="single"/>
                    </w:rPr>
                    <w:t>15</w:t>
                  </w:r>
                  <w:r w:rsidRPr="00717D95">
                    <w:t>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rPr>
                      <w:b/>
                      <w:u w:val="single"/>
                    </w:rPr>
                    <w:t>13</w:t>
                  </w:r>
                  <w:r w:rsidRPr="00717D95">
                    <w:t xml:space="preserve">. Перелік питань для перевірки дотримання вимог законодавства та ліцензійних умов провадження господарської діяльності із зберігання (закачування, відбору) природного газу (додаток </w:t>
                  </w:r>
                  <w:r w:rsidRPr="00717D95">
                    <w:rPr>
                      <w:b/>
                      <w:u w:val="single"/>
                    </w:rPr>
                    <w:t>16</w:t>
                  </w:r>
                  <w:r w:rsidRPr="00717D95">
                    <w:t>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rPr>
                      <w:b/>
                      <w:u w:val="single"/>
                    </w:rPr>
                    <w:t>14</w:t>
                  </w:r>
                  <w:r w:rsidRPr="00717D95">
                    <w:t xml:space="preserve">. Перелік питань для перевірки дотримання вимог законодавства та ліцензійних умов провадження господарської діяльності з розподілу природного газу (додаток </w:t>
                  </w:r>
                  <w:r w:rsidRPr="00E04CD7">
                    <w:rPr>
                      <w:b/>
                      <w:u w:val="single"/>
                    </w:rPr>
                    <w:t>17</w:t>
                  </w:r>
                  <w:r w:rsidRPr="00717D95">
                    <w:t>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rPr>
                      <w:b/>
                      <w:u w:val="single"/>
                    </w:rPr>
                    <w:t>15</w:t>
                  </w:r>
                  <w:r w:rsidRPr="00717D95">
                    <w:t xml:space="preserve">. Перелік питань для перевірки дотримання вимог законодавства та ліцензійних умов провадження господарської діяльності з постачання природного газу (додаток </w:t>
                  </w:r>
                  <w:r w:rsidRPr="00E04CD7">
                    <w:rPr>
                      <w:b/>
                      <w:u w:val="single"/>
                    </w:rPr>
                    <w:t>1</w:t>
                  </w:r>
                  <w:r w:rsidR="00E04CD7" w:rsidRPr="00E04CD7">
                    <w:rPr>
                      <w:b/>
                      <w:u w:val="single"/>
                    </w:rPr>
                    <w:t>8</w:t>
                  </w:r>
                  <w:r w:rsidRPr="00717D95">
                    <w:t>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rPr>
                      <w:b/>
                      <w:u w:val="single"/>
                    </w:rPr>
                    <w:t>16</w:t>
                  </w:r>
                  <w:r w:rsidRPr="00717D95">
                    <w:t xml:space="preserve">. Перелік питань для перевірки дотримання вимог законодавства та ліцензійних умов провадження господарської діяльності з виробництва теплової енергії (додаток </w:t>
                  </w:r>
                  <w:r w:rsidRPr="00E04CD7">
                    <w:rPr>
                      <w:b/>
                      <w:u w:val="single"/>
                    </w:rPr>
                    <w:t>1</w:t>
                  </w:r>
                  <w:r w:rsidR="00E04CD7" w:rsidRPr="00E04CD7">
                    <w:rPr>
                      <w:b/>
                      <w:u w:val="single"/>
                    </w:rPr>
                    <w:t>9</w:t>
                  </w:r>
                  <w:r w:rsidRPr="00717D95">
                    <w:t>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rPr>
                      <w:b/>
                      <w:u w:val="single"/>
                    </w:rPr>
                    <w:t>17</w:t>
                  </w:r>
                  <w:r w:rsidRPr="00717D95">
                    <w:t xml:space="preserve">. Перелік питань для перевірки дотримання вимог законодавства та ліцензійних умов провадження господарської діяльності з централізованого водопостачання та водовідведення (додаток </w:t>
                  </w:r>
                  <w:r w:rsidR="00E04CD7" w:rsidRPr="00E04CD7">
                    <w:rPr>
                      <w:b/>
                      <w:u w:val="single"/>
                    </w:rPr>
                    <w:t>20</w:t>
                  </w:r>
                  <w:r w:rsidRPr="00717D95">
                    <w:t>).</w:t>
                  </w:r>
                </w:p>
                <w:p w:rsidR="00717D95" w:rsidRPr="00717D95" w:rsidRDefault="00717D95" w:rsidP="00717D95">
                  <w:pPr>
                    <w:pStyle w:val="a4"/>
                    <w:spacing w:before="0" w:beforeAutospacing="0" w:after="0" w:afterAutospacing="0"/>
                    <w:jc w:val="both"/>
                  </w:pPr>
                  <w:r w:rsidRPr="00717D95">
                    <w:t>____________</w:t>
                  </w:r>
                  <w:r w:rsidRPr="00717D95">
                    <w:br/>
                  </w:r>
                </w:p>
              </w:tc>
            </w:tr>
          </w:tbl>
          <w:p w:rsidR="00733A2B" w:rsidRDefault="00733A2B" w:rsidP="008943A8">
            <w:pPr>
              <w:pStyle w:val="a4"/>
              <w:spacing w:before="0" w:beforeAutospacing="0" w:after="0" w:afterAutospacing="0"/>
              <w:jc w:val="both"/>
            </w:pPr>
          </w:p>
          <w:p w:rsidR="00733A2B" w:rsidRPr="00087197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087197" w:rsidRDefault="00087197" w:rsidP="00087197">
            <w:pPr>
              <w:tabs>
                <w:tab w:val="left" w:pos="284"/>
              </w:tabs>
              <w:spacing w:after="240"/>
              <w:ind w:firstLine="85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</w:t>
            </w:r>
            <w:proofErr w:type="spellStart"/>
            <w:r w:rsidRPr="0008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Акта</w:t>
            </w:r>
            <w:proofErr w:type="spellEnd"/>
            <w:r w:rsidRPr="0008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додаються такі документи, які є його невід</w:t>
            </w:r>
            <w:r w:rsidRPr="0008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’</w:t>
            </w:r>
            <w:r w:rsidRPr="0008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ємною частиною:</w:t>
            </w:r>
          </w:p>
          <w:p w:rsidR="00087197" w:rsidRPr="00087197" w:rsidRDefault="00087197" w:rsidP="00087197">
            <w:pPr>
              <w:tabs>
                <w:tab w:val="left" w:pos="284"/>
              </w:tabs>
              <w:spacing w:after="240"/>
              <w:ind w:firstLine="85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auto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1265"/>
              <w:gridCol w:w="4445"/>
              <w:gridCol w:w="1708"/>
            </w:tblGrid>
            <w:tr w:rsidR="00087197" w:rsidRPr="00087197" w:rsidTr="00A52A08">
              <w:trPr>
                <w:trHeight w:val="45"/>
                <w:tblCellSpacing w:w="0" w:type="auto"/>
              </w:trPr>
              <w:tc>
                <w:tcPr>
                  <w:tcW w:w="89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71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042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719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Назва документа, опис електронного носія</w:t>
                  </w:r>
                </w:p>
              </w:tc>
              <w:tc>
                <w:tcPr>
                  <w:tcW w:w="105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719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Кількість аркушів (зазначається лише для додатків у паперовій формі)</w:t>
                  </w:r>
                </w:p>
              </w:tc>
            </w:tr>
            <w:tr w:rsidR="00087197" w:rsidRPr="00087197" w:rsidTr="00A52A08">
              <w:trPr>
                <w:trHeight w:val="45"/>
                <w:tblCellSpacing w:w="0" w:type="auto"/>
              </w:trPr>
              <w:tc>
                <w:tcPr>
                  <w:tcW w:w="89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42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7197" w:rsidRPr="00087197" w:rsidTr="00A52A08">
              <w:trPr>
                <w:trHeight w:val="45"/>
                <w:tblCellSpacing w:w="0" w:type="auto"/>
              </w:trPr>
              <w:tc>
                <w:tcPr>
                  <w:tcW w:w="3941" w:type="pct"/>
                  <w:gridSpan w:val="2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719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Усього аркушів:</w:t>
                  </w:r>
                </w:p>
              </w:tc>
              <w:tc>
                <w:tcPr>
                  <w:tcW w:w="105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87197" w:rsidRPr="00087197" w:rsidRDefault="00087197" w:rsidP="000871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9B014D" w:rsidRPr="00E614B7" w:rsidRDefault="009B014D" w:rsidP="009B014D">
            <w:pPr>
              <w:ind w:left="5670" w:right="-2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4"/>
              <w:gridCol w:w="3224"/>
            </w:tblGrid>
            <w:tr w:rsidR="009B014D" w:rsidRPr="00E614B7" w:rsidTr="00A52A08">
              <w:tc>
                <w:tcPr>
                  <w:tcW w:w="2833" w:type="pct"/>
                </w:tcPr>
                <w:p w:rsidR="009B014D" w:rsidRPr="00E614B7" w:rsidRDefault="009B014D" w:rsidP="009B014D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167" w:type="pct"/>
                </w:tcPr>
                <w:p w:rsidR="009B014D" w:rsidRPr="00E614B7" w:rsidRDefault="009B014D" w:rsidP="009B014D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Додаток </w:t>
                  </w:r>
                  <w:r w:rsidRPr="009B01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eastAsia="uk-UA"/>
                    </w:rPr>
                    <w:t>23</w:t>
                  </w:r>
                </w:p>
                <w:p w:rsidR="009B014D" w:rsidRPr="00E614B7" w:rsidRDefault="009B014D" w:rsidP="009B014D">
                  <w:pPr>
                    <w:ind w:left="169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9B014D" w:rsidRPr="00E614B7" w:rsidRDefault="009B014D" w:rsidP="009B014D">
                  <w:pPr>
                    <w:ind w:left="169"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</w:pP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(пункт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 xml:space="preserve"> 7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3</w:t>
                  </w:r>
                  <w:r w:rsidRPr="00E614B7">
                    <w:rPr>
                      <w:rFonts w:ascii="Times New Roman" w:hAnsi="Times New Roman"/>
                      <w:sz w:val="24"/>
                      <w:szCs w:val="24"/>
                      <w:lang w:eastAsia="uk-UA"/>
                    </w:rPr>
                    <w:t>)</w:t>
                  </w:r>
                </w:p>
              </w:tc>
            </w:tr>
          </w:tbl>
          <w:p w:rsidR="009B014D" w:rsidRDefault="009B014D" w:rsidP="009B014D">
            <w:pPr>
              <w:ind w:left="-28" w:right="-28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B26C4C" w:rsidRPr="00B26C4C" w:rsidRDefault="00B26C4C" w:rsidP="00B26C4C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B26C4C">
              <w:rPr>
                <w:b/>
              </w:rPr>
              <w:t>АКТ</w:t>
            </w:r>
          </w:p>
          <w:p w:rsidR="00B26C4C" w:rsidRPr="00B26C4C" w:rsidRDefault="00B26C4C" w:rsidP="00B26C4C">
            <w:pPr>
              <w:pStyle w:val="a4"/>
              <w:spacing w:before="0" w:beforeAutospacing="0" w:after="0" w:afterAutospacing="0"/>
              <w:jc w:val="both"/>
            </w:pPr>
            <w:r w:rsidRPr="00B26C4C">
              <w:t xml:space="preserve">від ____________________                                   N </w:t>
            </w:r>
            <w:r w:rsidRPr="00B26C4C">
              <w:rPr>
                <w:noProof/>
              </w:rPr>
              <w:drawing>
                <wp:inline distT="0" distB="0" distL="0" distR="0" wp14:anchorId="054B6FCE" wp14:editId="3A0CD906">
                  <wp:extent cx="1765300" cy="152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26C4C">
              <w:br/>
              <w:t xml:space="preserve">     (дата складення </w:t>
            </w:r>
            <w:proofErr w:type="spellStart"/>
            <w:r w:rsidRPr="00B26C4C">
              <w:t>акта</w:t>
            </w:r>
            <w:proofErr w:type="spellEnd"/>
            <w:r w:rsidRPr="00B26C4C">
              <w:t>)</w:t>
            </w:r>
          </w:p>
          <w:p w:rsidR="00CF7FE8" w:rsidRDefault="008F5AAA" w:rsidP="008F5AAA">
            <w:pPr>
              <w:pStyle w:val="a4"/>
              <w:spacing w:before="0" w:beforeAutospacing="0" w:after="0" w:afterAutospacing="0"/>
              <w:jc w:val="center"/>
            </w:pPr>
            <w:r w:rsidRPr="008F5AAA">
              <w:rPr>
                <w:b/>
                <w:u w:val="single"/>
              </w:rPr>
              <w:t>про відмову суб’єкта у проведенні перевірки щодо дотримання ним</w:t>
            </w:r>
            <w:r w:rsidR="00B26C4C" w:rsidRPr="00B26C4C">
              <w:t xml:space="preserve"> вимог законодавства та ліцензійних умов з __________________________________</w:t>
            </w:r>
            <w:r w:rsidR="00B26C4C" w:rsidRPr="00B26C4C">
              <w:br/>
              <w:t>(вид господарської діяльності, що перевіряється)</w:t>
            </w:r>
            <w:r w:rsidR="00B26C4C" w:rsidRPr="00B26C4C">
              <w:br/>
              <w:t>__________________________________</w:t>
            </w:r>
            <w:r w:rsidR="00B26C4C" w:rsidRPr="00B26C4C">
              <w:br/>
              <w:t>(найменування юридичної особи (відокремленого підрозділу) або прізвище,</w:t>
            </w:r>
            <w:r w:rsidR="00B26C4C" w:rsidRPr="00B26C4C">
              <w:br/>
              <w:t>__________________________________</w:t>
            </w:r>
            <w:r w:rsidR="00B26C4C" w:rsidRPr="00B26C4C">
              <w:br/>
              <w:t>ім'я та по батькові фізичної особи - підприємця)</w:t>
            </w: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CF7FE8" w:rsidRDefault="00CF7FE8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Pr="008F5AAA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8F5AAA">
            <w:pPr>
              <w:tabs>
                <w:tab w:val="left" w:pos="284"/>
              </w:tabs>
              <w:spacing w:after="240"/>
              <w:ind w:firstLine="85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Опис виявлених порушень вимог ліцензійних умов та законодавства, які є підставою для складання </w:t>
            </w:r>
            <w:proofErr w:type="spellStart"/>
            <w:r w:rsidRPr="008F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акта</w:t>
            </w:r>
            <w:proofErr w:type="spellEnd"/>
          </w:p>
          <w:p w:rsidR="008F5AAA" w:rsidRPr="008F5AAA" w:rsidRDefault="008F5AAA" w:rsidP="008F5AAA">
            <w:pPr>
              <w:tabs>
                <w:tab w:val="left" w:pos="284"/>
              </w:tabs>
              <w:spacing w:after="240"/>
              <w:ind w:firstLine="85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auto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7418"/>
            </w:tblGrid>
            <w:tr w:rsidR="008F5AAA" w:rsidRPr="008F5AAA" w:rsidTr="00A52A08">
              <w:trPr>
                <w:trHeight w:val="45"/>
                <w:tblCellSpacing w:w="0" w:type="auto"/>
              </w:trPr>
              <w:tc>
                <w:tcPr>
                  <w:tcW w:w="5000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F5AAA" w:rsidRPr="008F5AAA" w:rsidRDefault="008F5AAA" w:rsidP="008F5AAA">
                  <w:pPr>
                    <w:spacing w:after="0" w:line="240" w:lineRule="auto"/>
                    <w:ind w:firstLine="85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5AA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Опис фактичних обставин та відповідних доказів (письмових, речових, електронних або інших), що підтверджують відмову ліцензіата у проведенні перевірки</w:t>
                  </w:r>
                </w:p>
              </w:tc>
            </w:tr>
            <w:tr w:rsidR="008F5AAA" w:rsidRPr="008F5AAA" w:rsidTr="00A52A08">
              <w:trPr>
                <w:trHeight w:val="45"/>
                <w:tblCellSpacing w:w="0" w:type="auto"/>
              </w:trPr>
              <w:tc>
                <w:tcPr>
                  <w:tcW w:w="5000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F5AAA" w:rsidRPr="008F5AAA" w:rsidRDefault="008F5AAA" w:rsidP="008F5AAA">
                  <w:pPr>
                    <w:spacing w:after="0" w:line="240" w:lineRule="auto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33A2B" w:rsidRPr="008F5AAA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Pr="008F5AAA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8F5AAA" w:rsidRPr="0039054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39054A" w:rsidRPr="0039054A" w:rsidRDefault="0039054A" w:rsidP="00390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390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Пояснення, зауваження або заперечення щодо заходу контролю та складеного акта</w:t>
            </w:r>
            <w:r w:rsidRPr="00390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39054A" w:rsidRPr="0039054A" w:rsidRDefault="0039054A" w:rsidP="00390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(частина </w:t>
            </w:r>
            <w:proofErr w:type="spellStart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</w:t>
            </w:r>
            <w:proofErr w:type="spellEnd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заповнюється за бажанням </w:t>
            </w:r>
            <w:proofErr w:type="spellStart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spellEnd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єкта</w:t>
            </w:r>
            <w:proofErr w:type="spellEnd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(керівником </w:t>
            </w:r>
            <w:proofErr w:type="spellStart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</w:t>
            </w:r>
            <w:proofErr w:type="spellEnd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єкта</w:t>
            </w:r>
            <w:proofErr w:type="spellEnd"/>
            <w:r w:rsidRPr="0039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або уповноваженою ним особою))</w:t>
            </w:r>
          </w:p>
          <w:p w:rsidR="0039054A" w:rsidRPr="0039054A" w:rsidRDefault="0039054A" w:rsidP="00390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auto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7418"/>
            </w:tblGrid>
            <w:tr w:rsidR="0039054A" w:rsidRPr="0039054A" w:rsidTr="00A52A08">
              <w:trPr>
                <w:trHeight w:val="45"/>
                <w:tblCellSpacing w:w="0" w:type="auto"/>
              </w:trPr>
              <w:tc>
                <w:tcPr>
                  <w:tcW w:w="5000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9054A" w:rsidRPr="0039054A" w:rsidRDefault="0039054A" w:rsidP="003905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905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Пояснення, зауваження або заперечення</w:t>
                  </w:r>
                </w:p>
              </w:tc>
            </w:tr>
            <w:tr w:rsidR="0039054A" w:rsidRPr="0039054A" w:rsidTr="00A52A08">
              <w:trPr>
                <w:trHeight w:val="45"/>
                <w:tblCellSpacing w:w="0" w:type="auto"/>
              </w:trPr>
              <w:tc>
                <w:tcPr>
                  <w:tcW w:w="5000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9054A" w:rsidRPr="0039054A" w:rsidRDefault="0039054A" w:rsidP="003905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F5AAA" w:rsidRDefault="008F5AAA" w:rsidP="00644D5C">
            <w:pPr>
              <w:pStyle w:val="a4"/>
              <w:spacing w:before="0" w:beforeAutospacing="0" w:after="0" w:afterAutospacing="0"/>
              <w:jc w:val="both"/>
            </w:pPr>
          </w:p>
          <w:p w:rsidR="0039054A" w:rsidRPr="00D36656" w:rsidRDefault="0039054A" w:rsidP="00644D5C">
            <w:pPr>
              <w:pStyle w:val="a4"/>
              <w:spacing w:before="0" w:beforeAutospacing="0" w:after="0" w:afterAutospacing="0"/>
              <w:jc w:val="both"/>
            </w:pPr>
          </w:p>
          <w:p w:rsidR="00D36656" w:rsidRPr="00D36656" w:rsidRDefault="00D36656" w:rsidP="00D36656">
            <w:pPr>
              <w:tabs>
                <w:tab w:val="left" w:pos="284"/>
              </w:tabs>
              <w:spacing w:after="240"/>
              <w:ind w:firstLine="85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До </w:t>
            </w:r>
            <w:proofErr w:type="spellStart"/>
            <w:r w:rsidRPr="00D3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Акта</w:t>
            </w:r>
            <w:proofErr w:type="spellEnd"/>
            <w:r w:rsidRPr="00D3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додаються такі документи, які є його невід</w:t>
            </w:r>
            <w:r w:rsidRPr="00D3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’</w:t>
            </w:r>
            <w:r w:rsidRPr="00D3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ємною частиною:</w:t>
            </w:r>
          </w:p>
          <w:tbl>
            <w:tblPr>
              <w:tblW w:w="5000" w:type="pct"/>
              <w:tblCellSpacing w:w="0" w:type="auto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1265"/>
              <w:gridCol w:w="4445"/>
              <w:gridCol w:w="1708"/>
            </w:tblGrid>
            <w:tr w:rsidR="00D36656" w:rsidRPr="00D36656" w:rsidTr="00A52A08">
              <w:trPr>
                <w:trHeight w:val="45"/>
                <w:tblCellSpacing w:w="0" w:type="auto"/>
              </w:trPr>
              <w:tc>
                <w:tcPr>
                  <w:tcW w:w="89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36656" w:rsidRPr="00D36656" w:rsidRDefault="00D36656" w:rsidP="00D36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66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042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36656" w:rsidRPr="00D36656" w:rsidRDefault="00D36656" w:rsidP="00D36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65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Назва документа, опис електронного носія</w:t>
                  </w:r>
                </w:p>
              </w:tc>
              <w:tc>
                <w:tcPr>
                  <w:tcW w:w="105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36656" w:rsidRPr="00D36656" w:rsidRDefault="00D36656" w:rsidP="00D36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65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Кількість аркушів (зазначається лише для додатків у паперовій формі)</w:t>
                  </w:r>
                </w:p>
              </w:tc>
            </w:tr>
            <w:tr w:rsidR="00D36656" w:rsidRPr="00D36656" w:rsidTr="00A52A08">
              <w:trPr>
                <w:trHeight w:val="45"/>
                <w:tblCellSpacing w:w="0" w:type="auto"/>
              </w:trPr>
              <w:tc>
                <w:tcPr>
                  <w:tcW w:w="89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36656" w:rsidRPr="00D36656" w:rsidRDefault="00D36656" w:rsidP="00D36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42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36656" w:rsidRPr="00D36656" w:rsidRDefault="00D36656" w:rsidP="00D36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5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36656" w:rsidRPr="00D36656" w:rsidRDefault="00D36656" w:rsidP="00D36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36656" w:rsidRPr="00D36656" w:rsidTr="00A52A08">
              <w:trPr>
                <w:trHeight w:val="45"/>
                <w:tblCellSpacing w:w="0" w:type="auto"/>
              </w:trPr>
              <w:tc>
                <w:tcPr>
                  <w:tcW w:w="3941" w:type="pct"/>
                  <w:gridSpan w:val="2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36656" w:rsidRPr="00D36656" w:rsidRDefault="00D36656" w:rsidP="00D366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65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Усього аркушів:</w:t>
                  </w:r>
                </w:p>
              </w:tc>
              <w:tc>
                <w:tcPr>
                  <w:tcW w:w="1059" w:type="pc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36656" w:rsidRPr="00D36656" w:rsidRDefault="00D36656" w:rsidP="00D366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33A2B" w:rsidRDefault="00733A2B" w:rsidP="00644D5C">
            <w:pPr>
              <w:pStyle w:val="a4"/>
              <w:spacing w:before="0" w:beforeAutospacing="0" w:after="0" w:afterAutospacing="0"/>
              <w:jc w:val="both"/>
            </w:pPr>
          </w:p>
          <w:p w:rsidR="00AB675A" w:rsidRDefault="00AB675A" w:rsidP="00644D5C">
            <w:pPr>
              <w:pStyle w:val="a4"/>
              <w:spacing w:before="0" w:beforeAutospacing="0" w:after="0" w:afterAutospacing="0"/>
              <w:jc w:val="both"/>
            </w:pPr>
          </w:p>
        </w:tc>
      </w:tr>
    </w:tbl>
    <w:p w:rsidR="00432349" w:rsidRDefault="00432349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876C1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876C1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  <w:gridCol w:w="5933"/>
        <w:gridCol w:w="3064"/>
      </w:tblGrid>
      <w:tr w:rsidR="00876C1D" w:rsidRPr="00876C1D" w:rsidTr="00AF7BAE">
        <w:trPr>
          <w:trHeight w:val="644"/>
          <w:jc w:val="center"/>
        </w:trPr>
        <w:tc>
          <w:tcPr>
            <w:tcW w:w="2028" w:type="pct"/>
          </w:tcPr>
          <w:p w:rsidR="00876C1D" w:rsidRPr="00876C1D" w:rsidRDefault="00876C1D" w:rsidP="00AF7BAE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76C1D">
              <w:rPr>
                <w:rFonts w:ascii="Times New Roman" w:hAnsi="Times New Roman" w:cs="Times New Roman"/>
                <w:b/>
                <w:sz w:val="27"/>
                <w:szCs w:val="27"/>
              </w:rPr>
              <w:t>Директор Департаменту ліцензійного контролю</w:t>
            </w:r>
          </w:p>
        </w:tc>
        <w:tc>
          <w:tcPr>
            <w:tcW w:w="1960" w:type="pct"/>
          </w:tcPr>
          <w:p w:rsidR="00876C1D" w:rsidRPr="00876C1D" w:rsidRDefault="00876C1D" w:rsidP="00AF7BAE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012" w:type="pct"/>
            <w:vAlign w:val="center"/>
          </w:tcPr>
          <w:p w:rsidR="00876C1D" w:rsidRPr="00876C1D" w:rsidRDefault="00876C1D" w:rsidP="00AF7BAE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76C1D">
              <w:rPr>
                <w:rFonts w:ascii="Times New Roman" w:hAnsi="Times New Roman" w:cs="Times New Roman"/>
                <w:b/>
                <w:sz w:val="27"/>
                <w:szCs w:val="27"/>
              </w:rPr>
              <w:t>Я</w:t>
            </w:r>
            <w:r w:rsidR="007F42F2">
              <w:rPr>
                <w:rFonts w:ascii="Times New Roman" w:hAnsi="Times New Roman" w:cs="Times New Roman"/>
                <w:b/>
                <w:sz w:val="27"/>
                <w:szCs w:val="27"/>
              </w:rPr>
              <w:t>рослав</w:t>
            </w:r>
            <w:r w:rsidRPr="00876C1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7F42F2" w:rsidRPr="00876C1D">
              <w:rPr>
                <w:rFonts w:ascii="Times New Roman" w:hAnsi="Times New Roman" w:cs="Times New Roman"/>
                <w:b/>
                <w:sz w:val="27"/>
                <w:szCs w:val="27"/>
              </w:rPr>
              <w:t>ЗЕЛЕНЮК</w:t>
            </w:r>
          </w:p>
        </w:tc>
      </w:tr>
    </w:tbl>
    <w:p w:rsidR="00876C1D" w:rsidRPr="00DF31A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sectPr w:rsidR="00876C1D" w:rsidRPr="00DF31AD" w:rsidSect="0040578D">
      <w:headerReference w:type="default" r:id="rId8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858" w:rsidRDefault="00312858" w:rsidP="00E82F7A">
      <w:pPr>
        <w:spacing w:after="0" w:line="240" w:lineRule="auto"/>
      </w:pPr>
      <w:r>
        <w:separator/>
      </w:r>
    </w:p>
  </w:endnote>
  <w:endnote w:type="continuationSeparator" w:id="0">
    <w:p w:rsidR="00312858" w:rsidRDefault="00312858" w:rsidP="00E8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858" w:rsidRDefault="00312858" w:rsidP="00E82F7A">
      <w:pPr>
        <w:spacing w:after="0" w:line="240" w:lineRule="auto"/>
      </w:pPr>
      <w:r>
        <w:separator/>
      </w:r>
    </w:p>
  </w:footnote>
  <w:footnote w:type="continuationSeparator" w:id="0">
    <w:p w:rsidR="00312858" w:rsidRDefault="00312858" w:rsidP="00E8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073083702"/>
      <w:docPartObj>
        <w:docPartGallery w:val="Page Numbers (Top of Page)"/>
        <w:docPartUnique/>
      </w:docPartObj>
    </w:sdtPr>
    <w:sdtEndPr/>
    <w:sdtContent>
      <w:p w:rsidR="00AB675A" w:rsidRPr="00E82F7A" w:rsidRDefault="00AB675A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82F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F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82F7A">
          <w:rPr>
            <w:rFonts w:ascii="Times New Roman" w:hAnsi="Times New Roman" w:cs="Times New Roman"/>
            <w:sz w:val="20"/>
            <w:szCs w:val="20"/>
          </w:rPr>
          <w:t>2</w: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B675A" w:rsidRPr="00E82F7A" w:rsidRDefault="00AB675A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AD"/>
    <w:rsid w:val="00003E7C"/>
    <w:rsid w:val="00012958"/>
    <w:rsid w:val="000147F3"/>
    <w:rsid w:val="000170C6"/>
    <w:rsid w:val="00021604"/>
    <w:rsid w:val="00027FE0"/>
    <w:rsid w:val="0004744E"/>
    <w:rsid w:val="00054641"/>
    <w:rsid w:val="00055888"/>
    <w:rsid w:val="0006245F"/>
    <w:rsid w:val="00067380"/>
    <w:rsid w:val="000700F7"/>
    <w:rsid w:val="00070BA8"/>
    <w:rsid w:val="000725AD"/>
    <w:rsid w:val="000726B0"/>
    <w:rsid w:val="00072B57"/>
    <w:rsid w:val="000759F0"/>
    <w:rsid w:val="0007634B"/>
    <w:rsid w:val="00081B66"/>
    <w:rsid w:val="00087197"/>
    <w:rsid w:val="00091A8C"/>
    <w:rsid w:val="00092646"/>
    <w:rsid w:val="000A1F13"/>
    <w:rsid w:val="000A3F17"/>
    <w:rsid w:val="000A75AA"/>
    <w:rsid w:val="000A7685"/>
    <w:rsid w:val="000C607F"/>
    <w:rsid w:val="000D3C0A"/>
    <w:rsid w:val="000E0131"/>
    <w:rsid w:val="000E0EAB"/>
    <w:rsid w:val="000E7505"/>
    <w:rsid w:val="000F7F02"/>
    <w:rsid w:val="0010682E"/>
    <w:rsid w:val="00113D08"/>
    <w:rsid w:val="001220B0"/>
    <w:rsid w:val="00124A2F"/>
    <w:rsid w:val="0012527A"/>
    <w:rsid w:val="00125DE4"/>
    <w:rsid w:val="001271E8"/>
    <w:rsid w:val="00131132"/>
    <w:rsid w:val="00132C2F"/>
    <w:rsid w:val="00142373"/>
    <w:rsid w:val="00142D61"/>
    <w:rsid w:val="001529E2"/>
    <w:rsid w:val="0015638C"/>
    <w:rsid w:val="001563FA"/>
    <w:rsid w:val="0016381E"/>
    <w:rsid w:val="001657B7"/>
    <w:rsid w:val="001729EC"/>
    <w:rsid w:val="001756C3"/>
    <w:rsid w:val="00175730"/>
    <w:rsid w:val="00176371"/>
    <w:rsid w:val="0018792B"/>
    <w:rsid w:val="00190398"/>
    <w:rsid w:val="001908C1"/>
    <w:rsid w:val="001A1EA1"/>
    <w:rsid w:val="001B03C0"/>
    <w:rsid w:val="001B49D9"/>
    <w:rsid w:val="001B73DD"/>
    <w:rsid w:val="001C0FB6"/>
    <w:rsid w:val="001F70C5"/>
    <w:rsid w:val="0020185F"/>
    <w:rsid w:val="002031A0"/>
    <w:rsid w:val="00206CC9"/>
    <w:rsid w:val="00216CEA"/>
    <w:rsid w:val="00226B32"/>
    <w:rsid w:val="002270F6"/>
    <w:rsid w:val="00227FB9"/>
    <w:rsid w:val="00233A21"/>
    <w:rsid w:val="00240063"/>
    <w:rsid w:val="002436E0"/>
    <w:rsid w:val="002460C7"/>
    <w:rsid w:val="002463F8"/>
    <w:rsid w:val="002512B8"/>
    <w:rsid w:val="00257310"/>
    <w:rsid w:val="002605A8"/>
    <w:rsid w:val="002764BA"/>
    <w:rsid w:val="0028277C"/>
    <w:rsid w:val="00283EC6"/>
    <w:rsid w:val="0028439B"/>
    <w:rsid w:val="00286D28"/>
    <w:rsid w:val="00287F16"/>
    <w:rsid w:val="002A10E3"/>
    <w:rsid w:val="002B1486"/>
    <w:rsid w:val="002B46B6"/>
    <w:rsid w:val="002B6B6B"/>
    <w:rsid w:val="002B70E6"/>
    <w:rsid w:val="002C1461"/>
    <w:rsid w:val="002C4180"/>
    <w:rsid w:val="002C4A50"/>
    <w:rsid w:val="002C6B07"/>
    <w:rsid w:val="002D72D4"/>
    <w:rsid w:val="002E3FDA"/>
    <w:rsid w:val="002F4732"/>
    <w:rsid w:val="002F7BC4"/>
    <w:rsid w:val="00304D9E"/>
    <w:rsid w:val="00307BFC"/>
    <w:rsid w:val="00312858"/>
    <w:rsid w:val="003204CD"/>
    <w:rsid w:val="00323427"/>
    <w:rsid w:val="00326882"/>
    <w:rsid w:val="003358B2"/>
    <w:rsid w:val="00336F1B"/>
    <w:rsid w:val="00341F78"/>
    <w:rsid w:val="00356237"/>
    <w:rsid w:val="003574A6"/>
    <w:rsid w:val="0038109F"/>
    <w:rsid w:val="00383E00"/>
    <w:rsid w:val="003858E3"/>
    <w:rsid w:val="00385C88"/>
    <w:rsid w:val="003866D5"/>
    <w:rsid w:val="003875D9"/>
    <w:rsid w:val="00390345"/>
    <w:rsid w:val="0039054A"/>
    <w:rsid w:val="003945D0"/>
    <w:rsid w:val="003A3D50"/>
    <w:rsid w:val="003B2E51"/>
    <w:rsid w:val="003D28AF"/>
    <w:rsid w:val="003D5AAE"/>
    <w:rsid w:val="003D76EB"/>
    <w:rsid w:val="003F0EB5"/>
    <w:rsid w:val="004013B5"/>
    <w:rsid w:val="0040578D"/>
    <w:rsid w:val="00405A25"/>
    <w:rsid w:val="004221F0"/>
    <w:rsid w:val="00424616"/>
    <w:rsid w:val="00426F3E"/>
    <w:rsid w:val="00432349"/>
    <w:rsid w:val="00447D4A"/>
    <w:rsid w:val="004510B4"/>
    <w:rsid w:val="004605B7"/>
    <w:rsid w:val="00460A1B"/>
    <w:rsid w:val="004646C3"/>
    <w:rsid w:val="00470891"/>
    <w:rsid w:val="00472088"/>
    <w:rsid w:val="004755E3"/>
    <w:rsid w:val="00476035"/>
    <w:rsid w:val="0048208D"/>
    <w:rsid w:val="004868D7"/>
    <w:rsid w:val="00493FF8"/>
    <w:rsid w:val="00496021"/>
    <w:rsid w:val="004A1FF9"/>
    <w:rsid w:val="004A20EF"/>
    <w:rsid w:val="004C4CEC"/>
    <w:rsid w:val="004F1AF3"/>
    <w:rsid w:val="004F6D2D"/>
    <w:rsid w:val="004F7F11"/>
    <w:rsid w:val="00510E01"/>
    <w:rsid w:val="005158DE"/>
    <w:rsid w:val="0051660A"/>
    <w:rsid w:val="0052330C"/>
    <w:rsid w:val="00524256"/>
    <w:rsid w:val="00527221"/>
    <w:rsid w:val="00530C00"/>
    <w:rsid w:val="00530CD9"/>
    <w:rsid w:val="005350FF"/>
    <w:rsid w:val="0056170A"/>
    <w:rsid w:val="00565758"/>
    <w:rsid w:val="005669FF"/>
    <w:rsid w:val="0057168F"/>
    <w:rsid w:val="00576BC1"/>
    <w:rsid w:val="00581C2C"/>
    <w:rsid w:val="005977EB"/>
    <w:rsid w:val="005A7420"/>
    <w:rsid w:val="005B0085"/>
    <w:rsid w:val="005B499B"/>
    <w:rsid w:val="005B7CF9"/>
    <w:rsid w:val="005C1071"/>
    <w:rsid w:val="005C6021"/>
    <w:rsid w:val="005C6AC5"/>
    <w:rsid w:val="005E2BB4"/>
    <w:rsid w:val="005E55E3"/>
    <w:rsid w:val="005E7BE8"/>
    <w:rsid w:val="00604177"/>
    <w:rsid w:val="00611A7C"/>
    <w:rsid w:val="00612C8C"/>
    <w:rsid w:val="00614869"/>
    <w:rsid w:val="00616735"/>
    <w:rsid w:val="00621B87"/>
    <w:rsid w:val="00632DEE"/>
    <w:rsid w:val="00634519"/>
    <w:rsid w:val="00636EFE"/>
    <w:rsid w:val="00644D5C"/>
    <w:rsid w:val="0064519E"/>
    <w:rsid w:val="00661FEC"/>
    <w:rsid w:val="006719BC"/>
    <w:rsid w:val="0067785D"/>
    <w:rsid w:val="00680E43"/>
    <w:rsid w:val="00682D44"/>
    <w:rsid w:val="00693C9C"/>
    <w:rsid w:val="00694AFF"/>
    <w:rsid w:val="006A69B6"/>
    <w:rsid w:val="006B7893"/>
    <w:rsid w:val="006B7DDC"/>
    <w:rsid w:val="006D6FC0"/>
    <w:rsid w:val="006F034A"/>
    <w:rsid w:val="006F08B1"/>
    <w:rsid w:val="006F255E"/>
    <w:rsid w:val="00704A18"/>
    <w:rsid w:val="007076DB"/>
    <w:rsid w:val="00707B90"/>
    <w:rsid w:val="00710666"/>
    <w:rsid w:val="00717D95"/>
    <w:rsid w:val="00721FC5"/>
    <w:rsid w:val="00726A22"/>
    <w:rsid w:val="00733A2B"/>
    <w:rsid w:val="00746593"/>
    <w:rsid w:val="007522E3"/>
    <w:rsid w:val="007706E5"/>
    <w:rsid w:val="0077164D"/>
    <w:rsid w:val="00776745"/>
    <w:rsid w:val="00777FB7"/>
    <w:rsid w:val="007819EB"/>
    <w:rsid w:val="007A5C23"/>
    <w:rsid w:val="007B517D"/>
    <w:rsid w:val="007C247D"/>
    <w:rsid w:val="007C5D7D"/>
    <w:rsid w:val="007C7199"/>
    <w:rsid w:val="007E7097"/>
    <w:rsid w:val="007F1D27"/>
    <w:rsid w:val="007F21C4"/>
    <w:rsid w:val="007F25A5"/>
    <w:rsid w:val="007F42F2"/>
    <w:rsid w:val="0080041E"/>
    <w:rsid w:val="00803ECC"/>
    <w:rsid w:val="00807AE7"/>
    <w:rsid w:val="00811987"/>
    <w:rsid w:val="008126B4"/>
    <w:rsid w:val="00812A3D"/>
    <w:rsid w:val="0081641E"/>
    <w:rsid w:val="00822B30"/>
    <w:rsid w:val="00824A91"/>
    <w:rsid w:val="0084268E"/>
    <w:rsid w:val="00844F01"/>
    <w:rsid w:val="008536B0"/>
    <w:rsid w:val="008624EF"/>
    <w:rsid w:val="008668DD"/>
    <w:rsid w:val="00873181"/>
    <w:rsid w:val="00876C1D"/>
    <w:rsid w:val="00881A5D"/>
    <w:rsid w:val="00884687"/>
    <w:rsid w:val="008943A8"/>
    <w:rsid w:val="008A0411"/>
    <w:rsid w:val="008A543E"/>
    <w:rsid w:val="008A6DE7"/>
    <w:rsid w:val="008A7E00"/>
    <w:rsid w:val="008B321F"/>
    <w:rsid w:val="008B793F"/>
    <w:rsid w:val="008C2421"/>
    <w:rsid w:val="008C2A20"/>
    <w:rsid w:val="008E0721"/>
    <w:rsid w:val="008E721D"/>
    <w:rsid w:val="008F5AAA"/>
    <w:rsid w:val="00906035"/>
    <w:rsid w:val="00906428"/>
    <w:rsid w:val="009102E9"/>
    <w:rsid w:val="009135BA"/>
    <w:rsid w:val="009270B4"/>
    <w:rsid w:val="00932B1F"/>
    <w:rsid w:val="00950E51"/>
    <w:rsid w:val="00951683"/>
    <w:rsid w:val="0095249B"/>
    <w:rsid w:val="00953230"/>
    <w:rsid w:val="00960FBC"/>
    <w:rsid w:val="00964E93"/>
    <w:rsid w:val="00970373"/>
    <w:rsid w:val="00976C89"/>
    <w:rsid w:val="00980319"/>
    <w:rsid w:val="009817BF"/>
    <w:rsid w:val="00983148"/>
    <w:rsid w:val="009A266B"/>
    <w:rsid w:val="009A4DD6"/>
    <w:rsid w:val="009A7094"/>
    <w:rsid w:val="009B014D"/>
    <w:rsid w:val="009B367F"/>
    <w:rsid w:val="009B6D1D"/>
    <w:rsid w:val="009E130E"/>
    <w:rsid w:val="009F310F"/>
    <w:rsid w:val="00A00B82"/>
    <w:rsid w:val="00A13719"/>
    <w:rsid w:val="00A159F7"/>
    <w:rsid w:val="00A16BDC"/>
    <w:rsid w:val="00A17DB4"/>
    <w:rsid w:val="00A20E64"/>
    <w:rsid w:val="00A2790F"/>
    <w:rsid w:val="00A27DEB"/>
    <w:rsid w:val="00A358EF"/>
    <w:rsid w:val="00A420C8"/>
    <w:rsid w:val="00A42363"/>
    <w:rsid w:val="00A444D8"/>
    <w:rsid w:val="00A52BDC"/>
    <w:rsid w:val="00A66C21"/>
    <w:rsid w:val="00A76B1E"/>
    <w:rsid w:val="00A81E08"/>
    <w:rsid w:val="00A87031"/>
    <w:rsid w:val="00A96F08"/>
    <w:rsid w:val="00AA4B7A"/>
    <w:rsid w:val="00AA5868"/>
    <w:rsid w:val="00AA7B75"/>
    <w:rsid w:val="00AB0402"/>
    <w:rsid w:val="00AB2C40"/>
    <w:rsid w:val="00AB5EF4"/>
    <w:rsid w:val="00AB675A"/>
    <w:rsid w:val="00AC6BC9"/>
    <w:rsid w:val="00AD4BE8"/>
    <w:rsid w:val="00AD69E4"/>
    <w:rsid w:val="00AE5808"/>
    <w:rsid w:val="00AF7BAE"/>
    <w:rsid w:val="00B04EA0"/>
    <w:rsid w:val="00B11403"/>
    <w:rsid w:val="00B15863"/>
    <w:rsid w:val="00B22305"/>
    <w:rsid w:val="00B22E44"/>
    <w:rsid w:val="00B24ADB"/>
    <w:rsid w:val="00B26554"/>
    <w:rsid w:val="00B26C4C"/>
    <w:rsid w:val="00B34A03"/>
    <w:rsid w:val="00B5227E"/>
    <w:rsid w:val="00B74585"/>
    <w:rsid w:val="00B80662"/>
    <w:rsid w:val="00B81CFD"/>
    <w:rsid w:val="00BA050A"/>
    <w:rsid w:val="00BA0839"/>
    <w:rsid w:val="00BB0556"/>
    <w:rsid w:val="00BC5B9D"/>
    <w:rsid w:val="00BC6F3C"/>
    <w:rsid w:val="00C00C25"/>
    <w:rsid w:val="00C01219"/>
    <w:rsid w:val="00C03EBF"/>
    <w:rsid w:val="00C161CC"/>
    <w:rsid w:val="00C173DF"/>
    <w:rsid w:val="00C234DD"/>
    <w:rsid w:val="00C24846"/>
    <w:rsid w:val="00C255BF"/>
    <w:rsid w:val="00C3169E"/>
    <w:rsid w:val="00C32444"/>
    <w:rsid w:val="00C33A37"/>
    <w:rsid w:val="00C40C71"/>
    <w:rsid w:val="00C41AB8"/>
    <w:rsid w:val="00C60666"/>
    <w:rsid w:val="00C61685"/>
    <w:rsid w:val="00C634D3"/>
    <w:rsid w:val="00C64683"/>
    <w:rsid w:val="00C6752B"/>
    <w:rsid w:val="00C92B62"/>
    <w:rsid w:val="00C957E1"/>
    <w:rsid w:val="00CA1F81"/>
    <w:rsid w:val="00CA5E31"/>
    <w:rsid w:val="00CA6437"/>
    <w:rsid w:val="00CB45B7"/>
    <w:rsid w:val="00CB6334"/>
    <w:rsid w:val="00CC243B"/>
    <w:rsid w:val="00CE423C"/>
    <w:rsid w:val="00CE565A"/>
    <w:rsid w:val="00CE663A"/>
    <w:rsid w:val="00CF10C5"/>
    <w:rsid w:val="00CF2015"/>
    <w:rsid w:val="00CF5851"/>
    <w:rsid w:val="00CF610C"/>
    <w:rsid w:val="00CF6808"/>
    <w:rsid w:val="00CF7F6C"/>
    <w:rsid w:val="00CF7FE8"/>
    <w:rsid w:val="00D03F59"/>
    <w:rsid w:val="00D100F5"/>
    <w:rsid w:val="00D12B50"/>
    <w:rsid w:val="00D16AF7"/>
    <w:rsid w:val="00D36656"/>
    <w:rsid w:val="00D415DF"/>
    <w:rsid w:val="00D50CE1"/>
    <w:rsid w:val="00D5543A"/>
    <w:rsid w:val="00D56761"/>
    <w:rsid w:val="00D66054"/>
    <w:rsid w:val="00D71D7B"/>
    <w:rsid w:val="00D778DB"/>
    <w:rsid w:val="00D81686"/>
    <w:rsid w:val="00DA1742"/>
    <w:rsid w:val="00DA17B7"/>
    <w:rsid w:val="00DC0D95"/>
    <w:rsid w:val="00DF2778"/>
    <w:rsid w:val="00DF31AD"/>
    <w:rsid w:val="00DF4E43"/>
    <w:rsid w:val="00E04CD7"/>
    <w:rsid w:val="00E058FE"/>
    <w:rsid w:val="00E05C39"/>
    <w:rsid w:val="00E065BD"/>
    <w:rsid w:val="00E13FF8"/>
    <w:rsid w:val="00E17B43"/>
    <w:rsid w:val="00E31929"/>
    <w:rsid w:val="00E45077"/>
    <w:rsid w:val="00E50069"/>
    <w:rsid w:val="00E51940"/>
    <w:rsid w:val="00E51D4A"/>
    <w:rsid w:val="00E53808"/>
    <w:rsid w:val="00E54AF2"/>
    <w:rsid w:val="00E561F5"/>
    <w:rsid w:val="00E81BA0"/>
    <w:rsid w:val="00E81FE9"/>
    <w:rsid w:val="00E8221B"/>
    <w:rsid w:val="00E82311"/>
    <w:rsid w:val="00E82F7A"/>
    <w:rsid w:val="00E8463D"/>
    <w:rsid w:val="00E92CFC"/>
    <w:rsid w:val="00E965D8"/>
    <w:rsid w:val="00EA0532"/>
    <w:rsid w:val="00EA45AD"/>
    <w:rsid w:val="00EC296B"/>
    <w:rsid w:val="00ED1461"/>
    <w:rsid w:val="00ED1ABD"/>
    <w:rsid w:val="00ED516B"/>
    <w:rsid w:val="00ED7296"/>
    <w:rsid w:val="00EE0BF6"/>
    <w:rsid w:val="00F06D8F"/>
    <w:rsid w:val="00F06F89"/>
    <w:rsid w:val="00F07B62"/>
    <w:rsid w:val="00F134F3"/>
    <w:rsid w:val="00F26527"/>
    <w:rsid w:val="00F3102A"/>
    <w:rsid w:val="00F31587"/>
    <w:rsid w:val="00F3160C"/>
    <w:rsid w:val="00F53D5B"/>
    <w:rsid w:val="00F63065"/>
    <w:rsid w:val="00F63505"/>
    <w:rsid w:val="00F654C1"/>
    <w:rsid w:val="00F72948"/>
    <w:rsid w:val="00F82938"/>
    <w:rsid w:val="00F93AF1"/>
    <w:rsid w:val="00F9499F"/>
    <w:rsid w:val="00F965DB"/>
    <w:rsid w:val="00F96DC9"/>
    <w:rsid w:val="00FA0DCA"/>
    <w:rsid w:val="00FB15BD"/>
    <w:rsid w:val="00FB1C33"/>
    <w:rsid w:val="00FC1552"/>
    <w:rsid w:val="00FC19A5"/>
    <w:rsid w:val="00FD74CD"/>
    <w:rsid w:val="00FF0E4F"/>
    <w:rsid w:val="00FF40C1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5473"/>
  <w15:chartTrackingRefBased/>
  <w15:docId w15:val="{A96B5DED-5E27-4E19-8AA8-9920BD96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71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164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7164D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7716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82F7A"/>
  </w:style>
  <w:style w:type="paragraph" w:styleId="a7">
    <w:name w:val="footer"/>
    <w:basedOn w:val="a"/>
    <w:link w:val="a8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82F7A"/>
  </w:style>
  <w:style w:type="character" w:customStyle="1" w:styleId="rvts40">
    <w:name w:val="rvts40"/>
    <w:qFormat/>
    <w:rsid w:val="004A1FF9"/>
  </w:style>
  <w:style w:type="paragraph" w:customStyle="1" w:styleId="rvps12">
    <w:name w:val="rvps12"/>
    <w:basedOn w:val="a"/>
    <w:qFormat/>
    <w:rsid w:val="004A1FF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9B3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871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FDB70-95A4-4225-BE39-6AAC6CED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15</Pages>
  <Words>22989</Words>
  <Characters>13104</Characters>
  <Application>Microsoft Office Word</Application>
  <DocSecurity>0</DocSecurity>
  <Lines>109</Lines>
  <Paragraphs>72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36021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37</cp:revision>
  <dcterms:created xsi:type="dcterms:W3CDTF">2022-01-31T13:02:00Z</dcterms:created>
  <dcterms:modified xsi:type="dcterms:W3CDTF">2023-11-22T08:39:00Z</dcterms:modified>
</cp:coreProperties>
</file>