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листопада</w:t>
            </w:r>
            <w:r w:rsidR="00A245C8">
              <w:rPr>
                <w:sz w:val="28"/>
                <w:szCs w:val="28"/>
                <w:lang w:eastAsia="ru-RU"/>
              </w:rPr>
              <w:t xml:space="preserve"> 2023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614CEC">
        <w:rPr>
          <w:rStyle w:val="afd"/>
          <w:b/>
          <w:bCs/>
          <w:sz w:val="28"/>
          <w:szCs w:val="28"/>
        </w:rPr>
        <w:t>затвердження 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616F0D" w:rsidRDefault="004660FF" w:rsidP="001176D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метою</w:t>
      </w:r>
      <w:r w:rsidR="00117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приведення положень Порядку контролю до положень </w:t>
      </w:r>
      <w:r w:rsidR="001176D0" w:rsidRPr="001176D0">
        <w:rPr>
          <w:sz w:val="28"/>
          <w:szCs w:val="28"/>
        </w:rPr>
        <w:t>Закон</w:t>
      </w:r>
      <w:r w:rsidR="00616F0D">
        <w:rPr>
          <w:sz w:val="28"/>
          <w:szCs w:val="28"/>
        </w:rPr>
        <w:t>у</w:t>
      </w:r>
      <w:r w:rsidR="001176D0" w:rsidRPr="001176D0">
        <w:rPr>
          <w:sz w:val="28"/>
          <w:szCs w:val="28"/>
        </w:rPr>
        <w:t xml:space="preserve"> України</w:t>
      </w:r>
      <w:r w:rsidR="001176D0">
        <w:rPr>
          <w:sz w:val="28"/>
          <w:szCs w:val="28"/>
        </w:rPr>
        <w:t xml:space="preserve"> «</w:t>
      </w:r>
      <w:r w:rsidR="001176D0" w:rsidRPr="001176D0">
        <w:rPr>
          <w:sz w:val="28"/>
          <w:szCs w:val="28"/>
        </w:rPr>
        <w:t xml:space="preserve">Про внесення змін до деяких законів України щодо відновлення та </w:t>
      </w:r>
      <w:r w:rsidR="00616F0D">
        <w:rPr>
          <w:sz w:val="28"/>
          <w:szCs w:val="28"/>
        </w:rPr>
        <w:t>«</w:t>
      </w:r>
      <w:r w:rsidR="001176D0" w:rsidRPr="001176D0">
        <w:rPr>
          <w:sz w:val="28"/>
          <w:szCs w:val="28"/>
        </w:rPr>
        <w:t>зеленої</w:t>
      </w:r>
      <w:r w:rsidR="00616F0D">
        <w:rPr>
          <w:sz w:val="28"/>
          <w:szCs w:val="28"/>
        </w:rPr>
        <w:t>»</w:t>
      </w:r>
      <w:r w:rsidR="001176D0" w:rsidRPr="001176D0">
        <w:rPr>
          <w:sz w:val="28"/>
          <w:szCs w:val="28"/>
        </w:rPr>
        <w:t xml:space="preserve"> трансформації енергетичної системи України</w:t>
      </w:r>
      <w:r w:rsidR="00616F0D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16F0D">
        <w:rPr>
          <w:sz w:val="28"/>
          <w:szCs w:val="28"/>
        </w:rPr>
        <w:t xml:space="preserve">Департаментом ліцензійного контролю підготовлено </w:t>
      </w:r>
      <w:r>
        <w:rPr>
          <w:sz w:val="28"/>
          <w:szCs w:val="28"/>
        </w:rPr>
        <w:t xml:space="preserve">відповідний </w:t>
      </w:r>
      <w:proofErr w:type="spellStart"/>
      <w:r w:rsidR="00616F0D">
        <w:rPr>
          <w:sz w:val="28"/>
          <w:szCs w:val="28"/>
        </w:rPr>
        <w:t>проєкт</w:t>
      </w:r>
      <w:proofErr w:type="spellEnd"/>
      <w:r w:rsidR="00616F0D">
        <w:rPr>
          <w:sz w:val="28"/>
          <w:szCs w:val="28"/>
        </w:rPr>
        <w:t xml:space="preserve"> змін до Порядку контролю.</w:t>
      </w:r>
    </w:p>
    <w:p w:rsidR="001176D0" w:rsidRDefault="00616F0D" w:rsidP="00C56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Крім того, пропонуються і інші зміни до Порядку контролю, спрямовані на його вдосконалення, зокрема в частині можливості </w:t>
      </w:r>
      <w:r w:rsidR="004660FF">
        <w:rPr>
          <w:sz w:val="28"/>
          <w:szCs w:val="28"/>
        </w:rPr>
        <w:t xml:space="preserve">формувати </w:t>
      </w:r>
      <w:r>
        <w:rPr>
          <w:sz w:val="28"/>
          <w:szCs w:val="28"/>
        </w:rPr>
        <w:t>додат</w:t>
      </w:r>
      <w:r w:rsidR="004660FF">
        <w:rPr>
          <w:sz w:val="28"/>
          <w:szCs w:val="28"/>
        </w:rPr>
        <w:t>к</w:t>
      </w:r>
      <w:r>
        <w:rPr>
          <w:sz w:val="28"/>
          <w:szCs w:val="28"/>
        </w:rPr>
        <w:t>и до актів перевір</w:t>
      </w:r>
      <w:r w:rsidR="004660FF">
        <w:rPr>
          <w:sz w:val="28"/>
          <w:szCs w:val="28"/>
        </w:rPr>
        <w:t>о</w:t>
      </w:r>
      <w:r>
        <w:rPr>
          <w:sz w:val="28"/>
          <w:szCs w:val="28"/>
        </w:rPr>
        <w:t>к в електронній формі, оптимізації переліку актів, що складаються за результатами перевір</w:t>
      </w:r>
      <w:r w:rsidR="004660FF">
        <w:rPr>
          <w:sz w:val="28"/>
          <w:szCs w:val="28"/>
        </w:rPr>
        <w:t>о</w:t>
      </w:r>
      <w:r>
        <w:rPr>
          <w:sz w:val="28"/>
          <w:szCs w:val="28"/>
        </w:rPr>
        <w:t>к тощо.</w:t>
      </w:r>
    </w:p>
    <w:p w:rsidR="00105DCE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:rsidR="005F7CCC" w:rsidRPr="00957E76" w:rsidRDefault="005F7CCC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lastRenderedPageBreak/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Pr="00E823CB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Pr="00E823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5523F3" w:rsidRDefault="005523F3" w:rsidP="004828A7">
      <w:pPr>
        <w:ind w:firstLine="567"/>
        <w:rPr>
          <w:sz w:val="28"/>
          <w:szCs w:val="28"/>
        </w:rPr>
      </w:pPr>
    </w:p>
    <w:p w:rsidR="005523F3" w:rsidRDefault="005523F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22530D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025" w:rsidRDefault="00C36025" w:rsidP="00F9322D">
      <w:r>
        <w:separator/>
      </w:r>
    </w:p>
  </w:endnote>
  <w:endnote w:type="continuationSeparator" w:id="0">
    <w:p w:rsidR="00C36025" w:rsidRDefault="00C36025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025" w:rsidRDefault="00C36025" w:rsidP="00F9322D">
      <w:r>
        <w:separator/>
      </w:r>
    </w:p>
  </w:footnote>
  <w:footnote w:type="continuationSeparator" w:id="0">
    <w:p w:rsidR="00C36025" w:rsidRDefault="00C36025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D24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4201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11667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562A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025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C04E3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1950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38</cp:revision>
  <cp:lastPrinted>2023-08-29T13:11:00Z</cp:lastPrinted>
  <dcterms:created xsi:type="dcterms:W3CDTF">2023-05-31T09:01:00Z</dcterms:created>
  <dcterms:modified xsi:type="dcterms:W3CDTF">2023-11-22T08:44:00Z</dcterms:modified>
</cp:coreProperties>
</file>