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4804"/>
        <w:gridCol w:w="4834"/>
      </w:tblGrid>
      <w:tr w:rsidR="00FC0060" w:rsidRPr="000D3826" w:rsidTr="005038D5">
        <w:tc>
          <w:tcPr>
            <w:tcW w:w="2492" w:type="pct"/>
          </w:tcPr>
          <w:p w:rsidR="004E4C7B" w:rsidRPr="00B906AF" w:rsidRDefault="004E4C7B" w:rsidP="00BB6662">
            <w:pPr>
              <w:rPr>
                <w:lang w:val="en-US" w:eastAsia="uk-UA"/>
              </w:rPr>
            </w:pPr>
          </w:p>
        </w:tc>
        <w:tc>
          <w:tcPr>
            <w:tcW w:w="2508" w:type="pct"/>
          </w:tcPr>
          <w:p w:rsidR="005038D5" w:rsidRPr="000D3826" w:rsidRDefault="005038D5" w:rsidP="005038D5">
            <w:pPr>
              <w:ind w:left="213"/>
              <w:jc w:val="both"/>
              <w:rPr>
                <w:lang w:val="uk-UA" w:eastAsia="uk-UA"/>
              </w:rPr>
            </w:pPr>
            <w:r w:rsidRPr="000D3826">
              <w:rPr>
                <w:lang w:val="uk-UA" w:eastAsia="uk-UA"/>
              </w:rPr>
              <w:t>Додаток 1</w:t>
            </w:r>
            <w:r w:rsidR="000E45C9" w:rsidRPr="000D3826">
              <w:rPr>
                <w:lang w:val="uk-UA" w:eastAsia="uk-UA"/>
              </w:rPr>
              <w:t>4</w:t>
            </w:r>
          </w:p>
          <w:p w:rsidR="005038D5" w:rsidRPr="000D3826" w:rsidRDefault="005038D5" w:rsidP="005038D5">
            <w:pPr>
              <w:ind w:left="213"/>
              <w:rPr>
                <w:lang w:val="uk-UA" w:eastAsia="uk-UA"/>
              </w:rPr>
            </w:pPr>
            <w:r w:rsidRPr="000D3826">
              <w:rPr>
                <w:lang w:val="uk-UA" w:eastAsia="uk-UA"/>
              </w:rPr>
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</w:p>
          <w:p w:rsidR="004E4C7B" w:rsidRPr="000D3826" w:rsidRDefault="005038D5" w:rsidP="005038D5">
            <w:pPr>
              <w:ind w:left="213"/>
              <w:jc w:val="both"/>
              <w:rPr>
                <w:lang w:val="uk-UA" w:eastAsia="uk-UA"/>
              </w:rPr>
            </w:pPr>
            <w:r w:rsidRPr="000D3826">
              <w:rPr>
                <w:lang w:val="uk-UA" w:eastAsia="uk-UA"/>
              </w:rPr>
              <w:t>(пункти 3.7, 7.1)</w:t>
            </w:r>
          </w:p>
        </w:tc>
      </w:tr>
    </w:tbl>
    <w:p w:rsidR="004E4C7B" w:rsidRPr="000D3826" w:rsidRDefault="004E4C7B" w:rsidP="005332F8">
      <w:pPr>
        <w:rPr>
          <w:lang w:val="uk-UA"/>
        </w:rPr>
      </w:pPr>
    </w:p>
    <w:p w:rsidR="004E4C7B" w:rsidRPr="000D3826" w:rsidRDefault="004E4C7B" w:rsidP="00BC2F18">
      <w:pPr>
        <w:jc w:val="center"/>
        <w:rPr>
          <w:b/>
          <w:lang w:val="uk-UA"/>
        </w:rPr>
      </w:pPr>
      <w:r w:rsidRPr="000D3826">
        <w:rPr>
          <w:b/>
          <w:lang w:val="uk-UA"/>
        </w:rPr>
        <w:t>ПЕРЕЛІК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ПИТАНЬ</w:t>
      </w:r>
    </w:p>
    <w:p w:rsidR="004E4C7B" w:rsidRPr="000D3826" w:rsidRDefault="004E4C7B" w:rsidP="00061F36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 w:rsidRPr="000D3826">
        <w:rPr>
          <w:b/>
          <w:lang w:val="uk-UA"/>
        </w:rPr>
        <w:t>для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перевірки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дотримання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вимог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законодавства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та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ліцензійних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умов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провадження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господарської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діяльності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з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транспортування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нафти,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нафтопродуктів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магістральним</w:t>
      </w:r>
      <w:r w:rsidR="009676D6" w:rsidRPr="000D3826">
        <w:rPr>
          <w:b/>
          <w:lang w:val="uk-UA"/>
        </w:rPr>
        <w:t xml:space="preserve"> </w:t>
      </w:r>
      <w:r w:rsidRPr="000D3826">
        <w:rPr>
          <w:b/>
          <w:lang w:val="uk-UA"/>
        </w:rPr>
        <w:t>трубопроводом</w:t>
      </w:r>
    </w:p>
    <w:p w:rsidR="004E4C7B" w:rsidRPr="000D3826" w:rsidRDefault="004E4C7B" w:rsidP="00061F36">
      <w:pPr>
        <w:pStyle w:val="a3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557"/>
        <w:gridCol w:w="3487"/>
        <w:gridCol w:w="1879"/>
        <w:gridCol w:w="443"/>
        <w:gridCol w:w="443"/>
        <w:gridCol w:w="443"/>
        <w:gridCol w:w="2376"/>
      </w:tblGrid>
      <w:tr w:rsidR="004E4C7B" w:rsidRPr="000D3826" w:rsidTr="009D5CCE">
        <w:tc>
          <w:tcPr>
            <w:tcW w:w="289" w:type="pct"/>
            <w:vMerge w:val="restart"/>
            <w:vAlign w:val="center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811" w:type="pct"/>
            <w:vMerge w:val="restart"/>
            <w:vAlign w:val="center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Питання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щодо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дотримання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суб’єктом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господарювання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вимог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законодавства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України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умов</w:t>
            </w:r>
          </w:p>
        </w:tc>
        <w:tc>
          <w:tcPr>
            <w:tcW w:w="976" w:type="pct"/>
            <w:vMerge w:val="restart"/>
            <w:vAlign w:val="center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Позиція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суб’єкта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господарювання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негативного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впливу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вимоги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законодавства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(від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1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4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балів)*</w:t>
            </w:r>
          </w:p>
        </w:tc>
        <w:tc>
          <w:tcPr>
            <w:tcW w:w="690" w:type="pct"/>
            <w:gridSpan w:val="3"/>
            <w:vAlign w:val="center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Відповіді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питання</w:t>
            </w:r>
          </w:p>
        </w:tc>
        <w:tc>
          <w:tcPr>
            <w:tcW w:w="1234" w:type="pct"/>
            <w:vMerge w:val="restart"/>
            <w:vAlign w:val="center"/>
          </w:tcPr>
          <w:p w:rsidR="004E4C7B" w:rsidRPr="000D3826" w:rsidRDefault="004E4C7B" w:rsidP="00B841B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Нормативне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обґрунтування</w:t>
            </w:r>
          </w:p>
        </w:tc>
      </w:tr>
      <w:tr w:rsidR="004E4C7B" w:rsidRPr="000D3826" w:rsidTr="005038D5">
        <w:trPr>
          <w:cantSplit/>
          <w:trHeight w:val="1872"/>
        </w:trPr>
        <w:tc>
          <w:tcPr>
            <w:tcW w:w="289" w:type="pct"/>
            <w:vMerge/>
            <w:tcBorders>
              <w:bottom w:val="nil"/>
            </w:tcBorders>
            <w:vAlign w:val="center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11" w:type="pct"/>
            <w:vMerge/>
            <w:tcBorders>
              <w:bottom w:val="nil"/>
            </w:tcBorders>
            <w:vAlign w:val="center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76" w:type="pct"/>
            <w:vMerge/>
            <w:vAlign w:val="center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  <w:textDirection w:val="btLr"/>
            <w:vAlign w:val="center"/>
          </w:tcPr>
          <w:p w:rsidR="004E4C7B" w:rsidRPr="000D3826" w:rsidRDefault="004E4C7B" w:rsidP="00B841B3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30" w:type="pct"/>
            <w:textDirection w:val="btLr"/>
            <w:vAlign w:val="center"/>
          </w:tcPr>
          <w:p w:rsidR="004E4C7B" w:rsidRPr="000D3826" w:rsidRDefault="004E4C7B" w:rsidP="00B841B3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ні</w:t>
            </w:r>
          </w:p>
        </w:tc>
        <w:tc>
          <w:tcPr>
            <w:tcW w:w="230" w:type="pct"/>
            <w:textDirection w:val="btLr"/>
            <w:vAlign w:val="center"/>
          </w:tcPr>
          <w:p w:rsidR="004E4C7B" w:rsidRPr="000D3826" w:rsidRDefault="004E4C7B" w:rsidP="00B841B3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не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розглядалося</w:t>
            </w:r>
          </w:p>
        </w:tc>
        <w:tc>
          <w:tcPr>
            <w:tcW w:w="1234" w:type="pct"/>
            <w:vMerge/>
            <w:tcBorders>
              <w:bottom w:val="nil"/>
            </w:tcBorders>
            <w:vAlign w:val="center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E4C7B" w:rsidRPr="000D3826" w:rsidTr="005038D5">
        <w:tc>
          <w:tcPr>
            <w:tcW w:w="5000" w:type="pct"/>
            <w:gridSpan w:val="7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Загальні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питання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забезпечив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968E3" w:rsidRPr="000D3826">
              <w:rPr>
                <w:sz w:val="22"/>
                <w:szCs w:val="22"/>
                <w:lang w:val="uk-UA"/>
              </w:rPr>
              <w:t>допуск членів комісії з перевірки до її здійснення та забезпечив присутність керівника, заступника або іншої уповноваженої особи під час проведення НКРЕКП перевірки дотримання ліцензіатом вимог законодавства та Ліцензійних умов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B906AF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підп</w:t>
            </w:r>
            <w:r w:rsidR="004E4C7B" w:rsidRPr="000D3826">
              <w:rPr>
                <w:sz w:val="22"/>
                <w:szCs w:val="22"/>
                <w:lang w:val="uk-UA"/>
              </w:rPr>
              <w:t>ункт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6</w:t>
            </w:r>
            <w:r w:rsidRPr="000D3826">
              <w:rPr>
                <w:sz w:val="22"/>
                <w:szCs w:val="22"/>
                <w:lang w:val="uk-UA"/>
              </w:rPr>
              <w:t xml:space="preserve"> пункту 2.2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  <w:r w:rsidR="009676D6" w:rsidRPr="000D3826">
              <w:rPr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провадження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господарської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діяльності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транспортування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нафтопродуктів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магістральним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трубопроводом,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затверджених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постановою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Національної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комісії,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здійснює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державне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регулювання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сферах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енергетики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комунальних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послуг,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від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16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лютого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2017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року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202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(далі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–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умови)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1.2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забезпечено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зберігання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протягом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документів,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копії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яких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подавалися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НКРЕКП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відповідно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вимог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Закону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4968E3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 пункту 2.2 глави 2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1.3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повідомля</w:t>
            </w:r>
            <w:r w:rsidR="004968E3" w:rsidRPr="000D3826">
              <w:rPr>
                <w:sz w:val="22"/>
                <w:szCs w:val="22"/>
                <w:lang w:val="uk-UA"/>
              </w:rPr>
              <w:t>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НКРЕКП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всі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зміни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даних,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які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були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зазначені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документах,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додавалися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заяви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отримання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ліцензії,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пізніше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одного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місяця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настання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таких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змін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4968E3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2 пункту 2.2 глави 2 Ліцензійних 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lastRenderedPageBreak/>
              <w:t>1.4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провадить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ліцензовану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діяльність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лише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допомогою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засобів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місцем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провадження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господарської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ліцензіата,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зазначених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документах,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додаються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заяви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отримання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(з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урахуванням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змін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документів,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поданих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ліцензіатом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НКРЕКП)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0E45C9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3 пункту 2.2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1.5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виконує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обов’язки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суб’єктів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природних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монополій,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визначен</w:t>
            </w:r>
            <w:r w:rsidR="001614F7">
              <w:rPr>
                <w:sz w:val="22"/>
                <w:szCs w:val="22"/>
                <w:lang w:val="uk-UA"/>
              </w:rPr>
              <w:t>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статтею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10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Закону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України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«Про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природні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монополії»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E128A1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4 пункту 2.2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Закон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України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«Про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природні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монополії»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1.6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забезпечено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повідомлення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сторони,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якою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укладено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договір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встановлений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договором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строк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дату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причини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припинення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ліцензованої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із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визначенням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приблизної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дати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відновлення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її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провадження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разі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планового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(у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зв’язку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консервацією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або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переведенням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режим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утримання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безпечному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стані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або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їх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ділянок,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відсутністю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обсягів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запланованих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транспортування)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або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позапланового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припинення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ліцензованої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(у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зв’язку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неможливістю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використання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матеріально-технічної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бази,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трубопроводом,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виникненням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форс-мажорних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обставин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тощо)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E128A1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</w:t>
            </w:r>
            <w:r w:rsidR="001614F7">
              <w:rPr>
                <w:sz w:val="22"/>
                <w:szCs w:val="22"/>
                <w:lang w:val="uk-UA"/>
              </w:rPr>
              <w:t>5</w:t>
            </w:r>
            <w:r w:rsidR="001614F7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 xml:space="preserve">пункту 2.2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</w:t>
            </w:r>
            <w:r w:rsidR="00D84DB2" w:rsidRPr="000D382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провадить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ліцензовану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діяльність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договірних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засадах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встановленими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НКРЕКП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тарифами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DC1A53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11 пункту 2.2 глави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Закон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України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«Про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природні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монополії»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</w:t>
            </w:r>
            <w:r w:rsidR="00DC1A53" w:rsidRPr="000D382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забезпечено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ведення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окремого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бухгалтерського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обліку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кожним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видом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діяльності,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підлягає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ліцензуванню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DC1A53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7 пункту 2.2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Закон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України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«Про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природні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монополії»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</w:t>
            </w:r>
            <w:r w:rsidR="00AB0A9A" w:rsidRPr="000D382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забезпечує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використання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коштів,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отриманих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рахунок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надання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послуг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трубопроводом,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цільовим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призначенням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дотриманням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принципів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lastRenderedPageBreak/>
              <w:t>здійснення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826">
              <w:rPr>
                <w:sz w:val="22"/>
                <w:szCs w:val="22"/>
                <w:lang w:val="uk-UA"/>
              </w:rPr>
              <w:t>закупівель</w:t>
            </w:r>
            <w:proofErr w:type="spellEnd"/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відповідно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вимог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Закону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України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«Про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публічні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закупівлі»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AB0A9A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9 пункту 2.2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Закон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України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«Про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публічні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закупівлі»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</w:t>
            </w:r>
            <w:r w:rsidR="000D46A1" w:rsidRPr="000D3826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811" w:type="pct"/>
          </w:tcPr>
          <w:p w:rsidR="004E4C7B" w:rsidRPr="000D3826" w:rsidRDefault="00562B7D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 п</w:t>
            </w:r>
            <w:r w:rsidR="004E4C7B" w:rsidRPr="000D3826">
              <w:rPr>
                <w:sz w:val="22"/>
                <w:szCs w:val="22"/>
                <w:lang w:val="uk-UA"/>
              </w:rPr>
              <w:t>ровадить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ліцензовану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діяльність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основі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договорів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урахуванням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економічної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ефективності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пропускної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спроможності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магістрального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трубопроводу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0D46A1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10 пункту 2.2 глави 2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</w:t>
            </w:r>
            <w:r w:rsidR="00DC72E9" w:rsidRPr="000D382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отримує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додатковий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дохід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шляхом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виконання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додаткових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послуг,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пов’язані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провадженням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ліцензованої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діяльності,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які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включені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тарифу,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таким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чином,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щоб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забезпечити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відшкодування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його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виправданих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витрат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отримання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обґрунтованого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доходу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здійсненні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цих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послуг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DC72E9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12 пункту 2.2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</w:t>
            </w:r>
            <w:r w:rsidR="00DC72E9" w:rsidRPr="000D382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ind w:left="-28" w:right="-113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Забезпеч</w:t>
            </w:r>
            <w:r w:rsidR="00562B7D" w:rsidRPr="000D3826">
              <w:rPr>
                <w:sz w:val="22"/>
                <w:szCs w:val="22"/>
                <w:lang w:val="uk-UA"/>
              </w:rPr>
              <w:t>ено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ведення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обліку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надходять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ліцензіата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транспортуються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ліцензіата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DC72E9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13 пункту 2.2 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</w:t>
            </w:r>
            <w:r w:rsidR="00597A3B" w:rsidRPr="000D38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11" w:type="pct"/>
          </w:tcPr>
          <w:p w:rsidR="004E4C7B" w:rsidRPr="004367D3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4367D3">
              <w:rPr>
                <w:sz w:val="22"/>
                <w:szCs w:val="22"/>
                <w:lang w:val="uk-UA"/>
              </w:rPr>
              <w:t>Наявні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факти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зловживання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своїм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монопольним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становищем,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як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це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визначено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в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антимонопольному</w:t>
            </w:r>
            <w:r w:rsidR="009676D6" w:rsidRPr="004367D3">
              <w:rPr>
                <w:sz w:val="22"/>
                <w:szCs w:val="22"/>
                <w:lang w:val="uk-UA"/>
              </w:rPr>
              <w:t xml:space="preserve"> </w:t>
            </w:r>
            <w:r w:rsidRPr="004367D3">
              <w:rPr>
                <w:sz w:val="22"/>
                <w:szCs w:val="22"/>
                <w:lang w:val="uk-UA"/>
              </w:rPr>
              <w:t>законодавстві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Закон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України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«Про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захист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економічної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конкуренції»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</w:t>
            </w:r>
            <w:r w:rsidR="00833C9E" w:rsidRPr="000D38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договорах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передбачені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умови,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яких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замовник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право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доступу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зчитувань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показів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засобів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вимірювальної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техніки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(комерційних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вузлах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обліку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ліцензіата),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встановлені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пунктах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прийому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здачі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замовнику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833C9E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14 пункту 2.2 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</w:t>
            </w:r>
            <w:r w:rsidR="00F95FD9" w:rsidRPr="000D38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 w:eastAsia="en-US"/>
              </w:rPr>
              <w:t>Ліцензіат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дотримується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порядку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сплати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внесків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на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регулювання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та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4367D3">
              <w:rPr>
                <w:sz w:val="22"/>
                <w:szCs w:val="22"/>
                <w:lang w:val="uk-UA" w:eastAsia="en-US"/>
              </w:rPr>
              <w:t>подання</w:t>
            </w:r>
            <w:r w:rsidR="009676D6" w:rsidRPr="004367D3">
              <w:rPr>
                <w:sz w:val="22"/>
                <w:szCs w:val="22"/>
                <w:lang w:val="uk-UA" w:eastAsia="en-US"/>
              </w:rPr>
              <w:t xml:space="preserve"> </w:t>
            </w:r>
            <w:r w:rsidRPr="004367D3">
              <w:rPr>
                <w:sz w:val="22"/>
                <w:szCs w:val="22"/>
                <w:lang w:val="uk-UA" w:eastAsia="en-US"/>
              </w:rPr>
              <w:t>до</w:t>
            </w:r>
            <w:r w:rsidR="009676D6" w:rsidRPr="004367D3">
              <w:rPr>
                <w:sz w:val="22"/>
                <w:szCs w:val="22"/>
                <w:lang w:val="uk-UA" w:eastAsia="en-US"/>
              </w:rPr>
              <w:t xml:space="preserve"> </w:t>
            </w:r>
            <w:r w:rsidRPr="004367D3">
              <w:rPr>
                <w:sz w:val="22"/>
                <w:szCs w:val="22"/>
                <w:lang w:val="uk-UA" w:eastAsia="en-US"/>
              </w:rPr>
              <w:t>відповідного</w:t>
            </w:r>
            <w:r w:rsidR="009676D6" w:rsidRPr="004367D3">
              <w:rPr>
                <w:sz w:val="22"/>
                <w:szCs w:val="22"/>
                <w:lang w:val="uk-UA" w:eastAsia="en-US"/>
              </w:rPr>
              <w:t xml:space="preserve"> </w:t>
            </w:r>
            <w:r w:rsidR="004367D3" w:rsidRPr="004367D3">
              <w:rPr>
                <w:sz w:val="22"/>
                <w:szCs w:val="22"/>
                <w:lang w:val="uk-UA" w:eastAsia="en-US"/>
              </w:rPr>
              <w:t>територіального органу</w:t>
            </w:r>
            <w:r w:rsidR="009676D6" w:rsidRPr="004367D3">
              <w:rPr>
                <w:sz w:val="22"/>
                <w:szCs w:val="22"/>
                <w:lang w:val="uk-UA" w:eastAsia="en-US"/>
              </w:rPr>
              <w:t xml:space="preserve"> </w:t>
            </w:r>
            <w:r w:rsidRPr="004367D3">
              <w:rPr>
                <w:sz w:val="22"/>
                <w:szCs w:val="22"/>
                <w:lang w:val="uk-UA" w:eastAsia="en-US"/>
              </w:rPr>
              <w:t>НКРЕКП</w:t>
            </w:r>
            <w:r w:rsidR="009676D6" w:rsidRPr="004367D3">
              <w:rPr>
                <w:sz w:val="22"/>
                <w:szCs w:val="22"/>
                <w:lang w:val="uk-UA" w:eastAsia="en-US"/>
              </w:rPr>
              <w:t xml:space="preserve"> </w:t>
            </w:r>
            <w:r w:rsidRPr="004367D3">
              <w:rPr>
                <w:sz w:val="22"/>
                <w:szCs w:val="22"/>
                <w:lang w:val="uk-UA" w:eastAsia="en-US"/>
              </w:rPr>
              <w:t>звіту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про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сплату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внеску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на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Pr="000D3826">
              <w:rPr>
                <w:sz w:val="22"/>
                <w:szCs w:val="22"/>
                <w:lang w:val="uk-UA" w:eastAsia="en-US"/>
              </w:rPr>
              <w:t>регулювання</w:t>
            </w:r>
            <w:bookmarkStart w:id="0" w:name="_GoBack"/>
            <w:bookmarkEnd w:id="0"/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F95FD9" w:rsidP="004367D3">
            <w:pPr>
              <w:spacing w:before="100" w:beforeAutospacing="1" w:after="100" w:afterAutospacing="1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17 пункту 2.2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Закон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України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«Про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Національну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комісію,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здійснює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державне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регулювання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сферах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енергетики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комунальних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послуг»,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Порядок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розрахунку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встановлення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ставки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внесків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регулювання,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затверджен</w:t>
            </w:r>
            <w:r w:rsidR="00562B7D" w:rsidRPr="000D3826">
              <w:rPr>
                <w:sz w:val="22"/>
                <w:szCs w:val="22"/>
                <w:lang w:val="uk-UA"/>
              </w:rPr>
              <w:t>ий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постановою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Національної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комісії,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lastRenderedPageBreak/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здійснює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державне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регулювання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сферах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енергетики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комунальних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послуг</w:t>
            </w:r>
            <w:r w:rsidR="00562B7D" w:rsidRPr="000D3826">
              <w:rPr>
                <w:sz w:val="22"/>
                <w:szCs w:val="22"/>
                <w:lang w:val="uk-UA"/>
              </w:rPr>
              <w:t>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від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06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квітня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2017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року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491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lastRenderedPageBreak/>
              <w:t>1.1</w:t>
            </w:r>
            <w:r w:rsidR="005558DD" w:rsidRPr="000D382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811" w:type="pct"/>
          </w:tcPr>
          <w:p w:rsidR="005558DD" w:rsidRPr="000D3826" w:rsidRDefault="004E4C7B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Ліцензіатом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bCs/>
                <w:sz w:val="22"/>
                <w:szCs w:val="22"/>
                <w:lang w:val="uk-UA"/>
              </w:rPr>
              <w:t>забезпечено</w:t>
            </w:r>
            <w:r w:rsidR="009676D6" w:rsidRPr="000D3826">
              <w:rPr>
                <w:bCs/>
                <w:sz w:val="22"/>
                <w:szCs w:val="22"/>
                <w:lang w:val="uk-UA"/>
              </w:rPr>
              <w:t xml:space="preserve"> </w:t>
            </w:r>
            <w:r w:rsidR="005558DD" w:rsidRPr="000D3826">
              <w:rPr>
                <w:bCs/>
                <w:sz w:val="22"/>
                <w:szCs w:val="22"/>
                <w:lang w:val="uk-UA"/>
              </w:rPr>
              <w:t xml:space="preserve">надання НКРЕКП звітності та копій фінансової звітності у встановленому НКРЕКП порядку та розміщувати її на власному </w:t>
            </w:r>
            <w:proofErr w:type="spellStart"/>
            <w:r w:rsidR="005558DD" w:rsidRPr="000D3826">
              <w:rPr>
                <w:bCs/>
                <w:sz w:val="22"/>
                <w:szCs w:val="22"/>
                <w:lang w:val="uk-UA"/>
              </w:rPr>
              <w:t>вебсайті</w:t>
            </w:r>
            <w:proofErr w:type="spellEnd"/>
            <w:r w:rsidR="005558DD" w:rsidRPr="000D3826">
              <w:rPr>
                <w:bCs/>
                <w:sz w:val="22"/>
                <w:szCs w:val="22"/>
                <w:lang w:val="uk-UA"/>
              </w:rPr>
              <w:t>.</w:t>
            </w:r>
          </w:p>
          <w:p w:rsidR="004E4C7B" w:rsidRPr="000D3826" w:rsidRDefault="005558DD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 xml:space="preserve">Річна фінансова звітність ліцензіата, яка відповідно до законодавства підлягає 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обов</w:t>
            </w:r>
            <w:proofErr w:type="spellEnd"/>
            <w:r w:rsidR="008B7C52" w:rsidRPr="000D3826">
              <w:rPr>
                <w:bCs/>
                <w:sz w:val="22"/>
                <w:szCs w:val="22"/>
                <w:lang w:val="en-US"/>
              </w:rPr>
              <w:t>’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язковій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перевірці аудитором, вимоги до якого встановлені Законом України </w:t>
            </w:r>
            <w:r w:rsidR="008B7C52" w:rsidRPr="000D3826">
              <w:rPr>
                <w:bCs/>
                <w:sz w:val="22"/>
                <w:szCs w:val="22"/>
                <w:lang w:val="uk-UA"/>
              </w:rPr>
              <w:t>«</w:t>
            </w:r>
            <w:r w:rsidRPr="000D3826">
              <w:rPr>
                <w:bCs/>
                <w:sz w:val="22"/>
                <w:szCs w:val="22"/>
                <w:lang w:val="uk-UA"/>
              </w:rPr>
              <w:t>Про аудит фінансової звітності та аудиторську діяльність</w:t>
            </w:r>
            <w:r w:rsidR="008B7C52" w:rsidRPr="000D3826">
              <w:rPr>
                <w:bCs/>
                <w:sz w:val="22"/>
                <w:szCs w:val="22"/>
                <w:lang w:val="uk-UA"/>
              </w:rPr>
              <w:t>»</w:t>
            </w:r>
            <w:r w:rsidRPr="000D3826">
              <w:rPr>
                <w:bCs/>
                <w:sz w:val="22"/>
                <w:szCs w:val="22"/>
                <w:lang w:val="uk-UA"/>
              </w:rPr>
              <w:t xml:space="preserve">, розміщена на 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вебсайті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ліцензіата у порядку, встановленому Законом України </w:t>
            </w:r>
            <w:r w:rsidR="008B7C52" w:rsidRPr="000D3826">
              <w:rPr>
                <w:bCs/>
                <w:sz w:val="22"/>
                <w:szCs w:val="22"/>
                <w:lang w:val="uk-UA"/>
              </w:rPr>
              <w:t>«</w:t>
            </w:r>
            <w:r w:rsidRPr="000D3826">
              <w:rPr>
                <w:bCs/>
                <w:sz w:val="22"/>
                <w:szCs w:val="22"/>
                <w:lang w:val="uk-UA"/>
              </w:rPr>
              <w:t>Про бухгалтерський облік та фінансову звітність в Україні</w:t>
            </w:r>
            <w:r w:rsidR="008B7C52" w:rsidRPr="000D3826">
              <w:rPr>
                <w:bCs/>
                <w:sz w:val="22"/>
                <w:szCs w:val="22"/>
                <w:lang w:val="uk-UA"/>
              </w:rPr>
              <w:t>»</w:t>
            </w:r>
            <w:r w:rsidRPr="000D3826">
              <w:rPr>
                <w:bCs/>
                <w:sz w:val="22"/>
                <w:szCs w:val="22"/>
                <w:lang w:val="uk-UA"/>
              </w:rPr>
              <w:t>, разом з аудиторським звітом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8B7C52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8 пункту 2.2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  <w:r w:rsidR="0036092A" w:rsidRPr="000D3826">
              <w:rPr>
                <w:sz w:val="22"/>
                <w:szCs w:val="22"/>
                <w:lang w:val="uk-UA"/>
              </w:rPr>
              <w:t>, постанова НКРЕКП від 17 лютого 2021 року №</w:t>
            </w:r>
            <w:r w:rsidR="0028565E" w:rsidRPr="000D3826">
              <w:rPr>
                <w:sz w:val="22"/>
                <w:szCs w:val="22"/>
                <w:lang w:val="uk-UA"/>
              </w:rPr>
              <w:t> </w:t>
            </w:r>
            <w:r w:rsidR="0036092A" w:rsidRPr="000D3826">
              <w:rPr>
                <w:sz w:val="22"/>
                <w:szCs w:val="22"/>
                <w:lang w:val="uk-UA"/>
              </w:rPr>
              <w:t>254 «Про подання фінансової звітності суб’єктами господарювання у сферах енергетики та комунальних послуг до Національної комісії, що здійснює державне регулювання у сферах енергетики та комунальних послуг»,</w:t>
            </w:r>
            <w:r w:rsidR="0028565E" w:rsidRPr="000D3826">
              <w:rPr>
                <w:sz w:val="22"/>
                <w:szCs w:val="22"/>
                <w:lang w:val="uk-UA"/>
              </w:rPr>
              <w:t xml:space="preserve"> </w:t>
            </w:r>
            <w:r w:rsidR="0036092A" w:rsidRPr="000D3826">
              <w:rPr>
                <w:sz w:val="22"/>
                <w:szCs w:val="22"/>
                <w:lang w:val="uk-UA"/>
              </w:rPr>
              <w:t>стаття 14 Закону України «Про бухгалтерський облік та фінансову звітність в Україні»</w:t>
            </w:r>
          </w:p>
        </w:tc>
      </w:tr>
      <w:tr w:rsidR="00DC73CA" w:rsidRPr="000D3826" w:rsidTr="005038D5">
        <w:tc>
          <w:tcPr>
            <w:tcW w:w="289" w:type="pct"/>
          </w:tcPr>
          <w:p w:rsidR="00DC73CA" w:rsidRPr="000D3826" w:rsidRDefault="00DC73CA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1.17</w:t>
            </w:r>
          </w:p>
        </w:tc>
        <w:tc>
          <w:tcPr>
            <w:tcW w:w="1811" w:type="pct"/>
          </w:tcPr>
          <w:p w:rsidR="00DC73CA" w:rsidRPr="000D3826" w:rsidRDefault="00DC73CA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Ліцензіат не використовує разом із спорідненими підприємствами наявну в нього інформацію для отримання необґрунтованої конкурентної переваги, а також не розголошує цю інформацію будь-кому, хто може використовувати її для одержання будь-якої невиправданої конкурентної переваги</w:t>
            </w:r>
          </w:p>
        </w:tc>
        <w:tc>
          <w:tcPr>
            <w:tcW w:w="976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18 пункту 2.2  глави 2 Ліцензійних умов</w:t>
            </w:r>
          </w:p>
        </w:tc>
      </w:tr>
      <w:tr w:rsidR="00DC73CA" w:rsidRPr="000D3826" w:rsidTr="005038D5">
        <w:tc>
          <w:tcPr>
            <w:tcW w:w="289" w:type="pct"/>
          </w:tcPr>
          <w:p w:rsidR="00DC73CA" w:rsidRPr="000D3826" w:rsidRDefault="00246F2A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1.18</w:t>
            </w:r>
          </w:p>
        </w:tc>
        <w:tc>
          <w:tcPr>
            <w:tcW w:w="1811" w:type="pct"/>
          </w:tcPr>
          <w:p w:rsidR="00246F2A" w:rsidRPr="000D3826" w:rsidRDefault="00246F2A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Ліцензіат не відмовляє у транспортуванні нафти, нафтопродуктів магістральним трубопроводом, якщо це дозволяють технічні можливості трубопроводу, крім випадків:</w:t>
            </w:r>
          </w:p>
          <w:p w:rsidR="00246F2A" w:rsidRPr="000D3826" w:rsidRDefault="00246F2A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неоплати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замовником послуг з транспортування нафти, нафтопродуктів магістральним трубопроводом відповідно до умов укладених договорів;</w:t>
            </w:r>
          </w:p>
          <w:p w:rsidR="00246F2A" w:rsidRPr="000D3826" w:rsidRDefault="00246F2A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 xml:space="preserve">відсутності в замовника документів, що підтверджують право власності на нафту, нафтопродукти або право на розпорядження ними за дорученням власника, а також документів, що засвідчують згоду 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вантажоприймальника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прийняти нафту, нафтопродукти;</w:t>
            </w:r>
          </w:p>
          <w:p w:rsidR="00246F2A" w:rsidRPr="000D3826" w:rsidRDefault="00246F2A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lastRenderedPageBreak/>
              <w:t>невідповідності якості нафти, нафтопродуктів вимогам нормативних документів та стандартів;</w:t>
            </w:r>
          </w:p>
          <w:p w:rsidR="00DC73CA" w:rsidRPr="000D3826" w:rsidRDefault="00246F2A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якщо якісні показники нафти, нафтопродуктів, які пропонуються до транспортування, не відповідають за класифікацією чи сортом нафті, нафтопродуктам, якими заповнено магістральний трубопровід</w:t>
            </w:r>
          </w:p>
        </w:tc>
        <w:tc>
          <w:tcPr>
            <w:tcW w:w="976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DC73CA" w:rsidRPr="000D3826" w:rsidRDefault="00246F2A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19 пункту 2.2  глави 2 Ліцензійних умов</w:t>
            </w:r>
          </w:p>
        </w:tc>
      </w:tr>
      <w:tr w:rsidR="00DC73CA" w:rsidRPr="000D3826" w:rsidTr="005038D5">
        <w:tc>
          <w:tcPr>
            <w:tcW w:w="289" w:type="pct"/>
          </w:tcPr>
          <w:p w:rsidR="00DC73CA" w:rsidRPr="000D3826" w:rsidRDefault="005123E4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1.19</w:t>
            </w:r>
          </w:p>
        </w:tc>
        <w:tc>
          <w:tcPr>
            <w:tcW w:w="1811" w:type="pct"/>
          </w:tcPr>
          <w:p w:rsidR="00DC73CA" w:rsidRPr="000D3826" w:rsidRDefault="00A42D82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 xml:space="preserve">Ліцензіат не припиняє свою діяльність </w:t>
            </w:r>
            <w:r w:rsidR="00DD0336" w:rsidRPr="000D3826">
              <w:rPr>
                <w:bCs/>
                <w:sz w:val="22"/>
                <w:szCs w:val="22"/>
                <w:lang w:val="uk-UA"/>
              </w:rPr>
              <w:t>та не</w:t>
            </w:r>
            <w:r w:rsidRPr="000D3826">
              <w:rPr>
                <w:bCs/>
                <w:sz w:val="22"/>
                <w:szCs w:val="22"/>
                <w:lang w:val="uk-UA"/>
              </w:rPr>
              <w:t xml:space="preserve"> зменшу</w:t>
            </w:r>
            <w:r w:rsidR="00DD0336" w:rsidRPr="000D3826">
              <w:rPr>
                <w:bCs/>
                <w:sz w:val="22"/>
                <w:szCs w:val="22"/>
                <w:lang w:val="uk-UA"/>
              </w:rPr>
              <w:t>є</w:t>
            </w:r>
            <w:r w:rsidRPr="000D3826">
              <w:rPr>
                <w:bCs/>
                <w:sz w:val="22"/>
                <w:szCs w:val="22"/>
                <w:lang w:val="uk-UA"/>
              </w:rPr>
              <w:t xml:space="preserve"> обсяги транспортування нафти, нафтопродуктів з метою штучного створення їх дефіциту, якщо необхідність такого обмеження не встановлена законодавством України</w:t>
            </w:r>
          </w:p>
        </w:tc>
        <w:tc>
          <w:tcPr>
            <w:tcW w:w="976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DC73CA" w:rsidRPr="000D3826" w:rsidRDefault="00DD0336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20 пункту 2.2  глави 2 Ліцензійних умов</w:t>
            </w:r>
          </w:p>
        </w:tc>
      </w:tr>
      <w:tr w:rsidR="00DC73CA" w:rsidRPr="000D3826" w:rsidTr="005038D5">
        <w:tc>
          <w:tcPr>
            <w:tcW w:w="289" w:type="pct"/>
          </w:tcPr>
          <w:p w:rsidR="00DC73CA" w:rsidRPr="000D3826" w:rsidRDefault="00932A85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1.20</w:t>
            </w:r>
          </w:p>
        </w:tc>
        <w:tc>
          <w:tcPr>
            <w:tcW w:w="1811" w:type="pct"/>
          </w:tcPr>
          <w:p w:rsidR="00932A85" w:rsidRPr="000D3826" w:rsidRDefault="00E50AC8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Ліцензіат</w:t>
            </w:r>
            <w:r w:rsidR="00215DB8" w:rsidRPr="000D3826">
              <w:rPr>
                <w:bCs/>
                <w:sz w:val="22"/>
                <w:szCs w:val="22"/>
                <w:lang w:val="uk-UA"/>
              </w:rPr>
              <w:t xml:space="preserve"> у</w:t>
            </w:r>
            <w:r w:rsidR="00932A85" w:rsidRPr="000D3826">
              <w:rPr>
                <w:bCs/>
                <w:sz w:val="22"/>
                <w:szCs w:val="22"/>
                <w:lang w:val="uk-UA"/>
              </w:rPr>
              <w:t xml:space="preserve"> строки, передбачені Порядком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послуг, затвердженим постановою НКРЕКП від 03 березня 2020 року </w:t>
            </w:r>
            <w:r w:rsidR="004B0F3C" w:rsidRPr="000D3826">
              <w:rPr>
                <w:bCs/>
                <w:sz w:val="22"/>
                <w:szCs w:val="22"/>
                <w:lang w:val="uk-UA"/>
              </w:rPr>
              <w:t>№ </w:t>
            </w:r>
            <w:r w:rsidR="00932A85" w:rsidRPr="000D3826">
              <w:rPr>
                <w:bCs/>
                <w:sz w:val="22"/>
                <w:szCs w:val="22"/>
                <w:lang w:val="uk-UA"/>
              </w:rPr>
              <w:t>548, зверну</w:t>
            </w:r>
            <w:r w:rsidR="00215DB8" w:rsidRPr="000D3826">
              <w:rPr>
                <w:bCs/>
                <w:sz w:val="22"/>
                <w:szCs w:val="22"/>
                <w:lang w:val="uk-UA"/>
              </w:rPr>
              <w:t>вся</w:t>
            </w:r>
            <w:r w:rsidR="00932A85" w:rsidRPr="000D3826">
              <w:rPr>
                <w:bCs/>
                <w:sz w:val="22"/>
                <w:szCs w:val="22"/>
                <w:lang w:val="uk-UA"/>
              </w:rPr>
              <w:t xml:space="preserve"> із письмовою заявою до НКРЕКП щодо проведення перевірки додержання ним ліцензійних умов та законодавства у сферах енергетики та комунальних послуг, якщо:</w:t>
            </w:r>
          </w:p>
          <w:p w:rsidR="00932A85" w:rsidRPr="000D3826" w:rsidRDefault="00932A85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ліцензіат має намір передати цілісний майновий комплекс іншому суб'єкту господарювання (якщо статутними документами не передбачено, що до суб'єкта господарювання, якому передається цілісний майновий комплекс, переходять усі права і обов'язки попереднього ліцензіата);</w:t>
            </w:r>
          </w:p>
          <w:p w:rsidR="00DC73CA" w:rsidRPr="000D3826" w:rsidRDefault="00932A85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ліцензіат, що здійснює господарську діяльність на цілісному майновому комплексі, має намір анулювати ліцензію</w:t>
            </w:r>
          </w:p>
        </w:tc>
        <w:tc>
          <w:tcPr>
            <w:tcW w:w="976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DC73CA" w:rsidRPr="000D3826" w:rsidRDefault="00215DB8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21 пункту 2.2  глави 2 Ліцензійних умов</w:t>
            </w:r>
          </w:p>
        </w:tc>
      </w:tr>
      <w:tr w:rsidR="00DC73CA" w:rsidRPr="000D3826" w:rsidTr="005038D5">
        <w:tc>
          <w:tcPr>
            <w:tcW w:w="289" w:type="pct"/>
          </w:tcPr>
          <w:p w:rsidR="00DC73CA" w:rsidRPr="000D3826" w:rsidRDefault="006D1991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1.21</w:t>
            </w:r>
          </w:p>
        </w:tc>
        <w:tc>
          <w:tcPr>
            <w:tcW w:w="1811" w:type="pct"/>
          </w:tcPr>
          <w:p w:rsidR="006D1991" w:rsidRPr="000D3826" w:rsidRDefault="006D1991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 xml:space="preserve">Ліцензіатом у разі зупинення дії ліцензії протягом строку, на який 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зупинено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дію ліцензії:</w:t>
            </w:r>
          </w:p>
          <w:p w:rsidR="006D1991" w:rsidRPr="000D3826" w:rsidRDefault="006D1991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здійснено дії, направлені на усунення причин зупинення дії ліцензії;</w:t>
            </w:r>
          </w:p>
          <w:p w:rsidR="006D1991" w:rsidRPr="000D3826" w:rsidRDefault="006D1991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 xml:space="preserve">виконано 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зобов</w:t>
            </w:r>
            <w:proofErr w:type="spellEnd"/>
            <w:r w:rsidRPr="000D3826">
              <w:rPr>
                <w:bCs/>
                <w:sz w:val="22"/>
                <w:szCs w:val="22"/>
                <w:lang w:val="en-US"/>
              </w:rPr>
              <w:t>’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язання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за укладеними договорами в межах </w:t>
            </w:r>
            <w:r w:rsidRPr="000D3826">
              <w:rPr>
                <w:bCs/>
                <w:sz w:val="22"/>
                <w:szCs w:val="22"/>
                <w:lang w:val="uk-UA"/>
              </w:rPr>
              <w:lastRenderedPageBreak/>
              <w:t xml:space="preserve">місць провадження господарської діяльності, в яких не 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зупинено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дію ліцензії.</w:t>
            </w:r>
          </w:p>
          <w:p w:rsidR="00DC73CA" w:rsidRPr="000D3826" w:rsidRDefault="006D1991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 xml:space="preserve">Протягом строку, на який 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зупинено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дію ліцензії, ліцензіатом не укладалися нові договори з транспортування нафти, нафтопродуктів у місцях провадження господарської діяльності, у яких </w:t>
            </w:r>
            <w:proofErr w:type="spellStart"/>
            <w:r w:rsidRPr="000D3826">
              <w:rPr>
                <w:bCs/>
                <w:sz w:val="22"/>
                <w:szCs w:val="22"/>
                <w:lang w:val="uk-UA"/>
              </w:rPr>
              <w:t>зупинено</w:t>
            </w:r>
            <w:proofErr w:type="spellEnd"/>
            <w:r w:rsidRPr="000D3826">
              <w:rPr>
                <w:bCs/>
                <w:sz w:val="22"/>
                <w:szCs w:val="22"/>
                <w:lang w:val="uk-UA"/>
              </w:rPr>
              <w:t xml:space="preserve"> дію ліцензії</w:t>
            </w:r>
          </w:p>
        </w:tc>
        <w:tc>
          <w:tcPr>
            <w:tcW w:w="976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DC73CA" w:rsidRPr="000D3826" w:rsidRDefault="006D1991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22 пункту 2.2  глави 2 Ліцензійних умов</w:t>
            </w:r>
          </w:p>
        </w:tc>
      </w:tr>
      <w:tr w:rsidR="00DC73CA" w:rsidRPr="000D3826" w:rsidTr="005038D5">
        <w:tc>
          <w:tcPr>
            <w:tcW w:w="289" w:type="pct"/>
          </w:tcPr>
          <w:p w:rsidR="00DC73CA" w:rsidRPr="000D3826" w:rsidRDefault="0022465A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1.22</w:t>
            </w:r>
          </w:p>
        </w:tc>
        <w:tc>
          <w:tcPr>
            <w:tcW w:w="1811" w:type="pct"/>
          </w:tcPr>
          <w:p w:rsidR="00DC73CA" w:rsidRPr="000D3826" w:rsidRDefault="0022465A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Надає НКРЕКП документи, інформацію та звітність, що містять достовірні дані, необхідні для виконання НКРЕКП своїх повноважень, в обсягах та у строки, встановлені НКРЕКП</w:t>
            </w:r>
          </w:p>
        </w:tc>
        <w:tc>
          <w:tcPr>
            <w:tcW w:w="976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DC73CA" w:rsidRPr="000D3826" w:rsidRDefault="0022465A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23 пункту 2.2  глави 2 Ліцензійних умов</w:t>
            </w:r>
          </w:p>
        </w:tc>
      </w:tr>
      <w:tr w:rsidR="00DC73CA" w:rsidRPr="000D3826" w:rsidTr="005038D5">
        <w:tc>
          <w:tcPr>
            <w:tcW w:w="289" w:type="pct"/>
          </w:tcPr>
          <w:p w:rsidR="00DC73CA" w:rsidRPr="000D3826" w:rsidRDefault="0022465A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1.23</w:t>
            </w:r>
          </w:p>
        </w:tc>
        <w:tc>
          <w:tcPr>
            <w:tcW w:w="1811" w:type="pct"/>
          </w:tcPr>
          <w:p w:rsidR="00DC73CA" w:rsidRPr="000D3826" w:rsidRDefault="0022465A" w:rsidP="004367D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D3826">
              <w:rPr>
                <w:bCs/>
                <w:sz w:val="22"/>
                <w:szCs w:val="22"/>
                <w:lang w:val="uk-UA"/>
              </w:rPr>
              <w:t>Виконує рішення НКРЕКП у строки, встановлені відповідним рішенням та/або законодавством.</w:t>
            </w:r>
          </w:p>
        </w:tc>
        <w:tc>
          <w:tcPr>
            <w:tcW w:w="976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DC73CA" w:rsidRPr="000D3826" w:rsidRDefault="00DC73CA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DC73CA" w:rsidRPr="000D3826" w:rsidRDefault="0022465A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підпункт 24 пункту 2.2  глави 2 Ліцензійних умов</w:t>
            </w:r>
          </w:p>
        </w:tc>
      </w:tr>
      <w:tr w:rsidR="004E4C7B" w:rsidRPr="000D3826" w:rsidTr="005038D5">
        <w:tc>
          <w:tcPr>
            <w:tcW w:w="5000" w:type="pct"/>
            <w:gridSpan w:val="7"/>
            <w:shd w:val="clear" w:color="auto" w:fill="auto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2.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Кадрові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вимоги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провадження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господарської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2.1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Організаційна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структура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ліцензіата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включає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мінімальну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кількість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працівників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окремими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посадами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наявність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певних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працівників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відповідної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освіти,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кваліфікації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(або)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стажу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роботи,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необхідних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для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провадження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ліцензованого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виду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діяльності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  <w:shd w:val="clear" w:color="auto" w:fill="auto"/>
          </w:tcPr>
          <w:p w:rsidR="004E4C7B" w:rsidRPr="000D3826" w:rsidRDefault="0028565E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 пункту 2.3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2.2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Оформлення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трудових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відносин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персоналом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здійснюється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шляхом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укладення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трудових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договорів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відповідно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положень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Кодексу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законів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працю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України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4173D6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2 пункту 2.3 глави 2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  <w:r w:rsidR="004E4C7B" w:rsidRPr="000D3826">
              <w:rPr>
                <w:lang w:val="uk-UA"/>
              </w:rPr>
              <w:t>,</w:t>
            </w:r>
            <w:r w:rsidR="009676D6" w:rsidRPr="000D3826">
              <w:rPr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Кодекс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законів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про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працю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України</w:t>
            </w:r>
          </w:p>
        </w:tc>
      </w:tr>
      <w:tr w:rsidR="004E4C7B" w:rsidRPr="000D3826" w:rsidTr="005038D5">
        <w:tc>
          <w:tcPr>
            <w:tcW w:w="5000" w:type="pct"/>
            <w:gridSpan w:val="7"/>
          </w:tcPr>
          <w:p w:rsidR="004E4C7B" w:rsidRPr="000D3826" w:rsidRDefault="004E4C7B" w:rsidP="00B841B3">
            <w:pPr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3.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Технологічні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вимоги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провадження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господарської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діяльності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3.1</w:t>
            </w:r>
          </w:p>
        </w:tc>
        <w:tc>
          <w:tcPr>
            <w:tcW w:w="1811" w:type="pct"/>
          </w:tcPr>
          <w:p w:rsidR="004E4C7B" w:rsidRPr="000D3826" w:rsidRDefault="00D27176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 провадить ліцензовану діяльність за умови наявності у нього у власності або користуванні (у тому числі на праві господарського відання, управління на підставі договору управління активами (майна), укладеного з Національним агентством України з питань виявлення, розшуку та управління активами, одержаними від корупційних та інших злочинів) магістрального трубопроводу для транспортування нафти, нафтопродуктів, розташованого у місці провадження діяльності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D27176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 пункту 2.4 глави 2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Закон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України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«Про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трубопровідний</w:t>
            </w:r>
            <w:r w:rsidR="009676D6" w:rsidRPr="000D3826">
              <w:rPr>
                <w:sz w:val="22"/>
                <w:szCs w:val="22"/>
                <w:lang w:val="uk-UA" w:eastAsia="en-US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 w:eastAsia="en-US"/>
              </w:rPr>
              <w:t>транспорт»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3.2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забезпечив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здійснення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консервації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або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переведення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режиму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режим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утримання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безпечному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стані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lastRenderedPageBreak/>
              <w:t>трубопровод</w:t>
            </w:r>
            <w:r w:rsidR="00CB200B" w:rsidRPr="000D3826">
              <w:rPr>
                <w:sz w:val="22"/>
                <w:szCs w:val="22"/>
                <w:lang w:val="uk-UA"/>
              </w:rPr>
              <w:t>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чи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CB200B" w:rsidRPr="000D3826">
              <w:rPr>
                <w:sz w:val="22"/>
                <w:szCs w:val="22"/>
                <w:lang w:val="uk-UA"/>
              </w:rPr>
              <w:t>їх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об’єктів,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що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чи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інших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причин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функціонують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більше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одного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року,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із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забезпеченням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постійного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технічного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нагляду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станом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</w:t>
            </w:r>
            <w:r w:rsidR="00CB200B" w:rsidRPr="000D3826">
              <w:rPr>
                <w:sz w:val="22"/>
                <w:szCs w:val="22"/>
                <w:lang w:val="uk-UA"/>
              </w:rPr>
              <w:t>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метою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підтримки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їх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експлуатаційної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придатності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CB200B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2 пункту 2.4 глави 2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3.</w:t>
            </w:r>
            <w:r w:rsidR="00ED1C8F" w:rsidRPr="000D382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здійснив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передачу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матеріалів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виконавчої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зйомки,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оформлених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встановленому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порядку,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місцевим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органам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державної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виконавчої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влади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органам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місцевого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самоврядування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для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нанесення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їх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районні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карти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землекористування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F10A1B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3 пункту 2.4 глави 2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3.</w:t>
            </w:r>
            <w:r w:rsidR="00ED1C8F" w:rsidRPr="000D382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1479F2" w:rsidRPr="000D3826">
              <w:rPr>
                <w:sz w:val="22"/>
                <w:szCs w:val="22"/>
                <w:lang w:val="uk-UA"/>
              </w:rPr>
              <w:t>видає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замовникам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послуг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їх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письмовий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запит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паспорт</w:t>
            </w:r>
            <w:r w:rsidR="00031B7B" w:rsidRPr="000D3826">
              <w:rPr>
                <w:sz w:val="22"/>
                <w:szCs w:val="22"/>
                <w:lang w:val="uk-UA"/>
              </w:rPr>
              <w:t>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якості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1479F2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</w:t>
            </w:r>
            <w:r w:rsidR="00107B1A" w:rsidRPr="000D3826">
              <w:rPr>
                <w:sz w:val="22"/>
                <w:szCs w:val="22"/>
                <w:lang w:val="uk-UA"/>
              </w:rPr>
              <w:t>4</w:t>
            </w:r>
            <w:r w:rsidRPr="000D3826">
              <w:rPr>
                <w:sz w:val="22"/>
                <w:szCs w:val="22"/>
                <w:lang w:val="uk-UA"/>
              </w:rPr>
              <w:t xml:space="preserve"> пункту 2.4 глави 2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3.</w:t>
            </w:r>
            <w:r w:rsidR="00ED1C8F" w:rsidRPr="000D382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забезпечено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рівні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права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доступу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для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всіх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замовників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послуг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транспортування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нафти,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нафтопродуктів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магістральним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трубопроводом,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в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разі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недостатності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пропускної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потужності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(нафтотранспортних,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826">
              <w:rPr>
                <w:sz w:val="22"/>
                <w:szCs w:val="22"/>
                <w:lang w:val="uk-UA"/>
              </w:rPr>
              <w:t>нафтопродуктотранспортних</w:t>
            </w:r>
            <w:proofErr w:type="spellEnd"/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D3826">
              <w:rPr>
                <w:sz w:val="22"/>
                <w:szCs w:val="22"/>
                <w:lang w:val="uk-UA"/>
              </w:rPr>
              <w:t>потужностей</w:t>
            </w:r>
            <w:proofErr w:type="spellEnd"/>
            <w:r w:rsidRPr="000D3826">
              <w:rPr>
                <w:sz w:val="22"/>
                <w:szCs w:val="22"/>
                <w:lang w:val="uk-UA"/>
              </w:rPr>
              <w:t>)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–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дотримання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установленого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механізму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її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розподілу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145B39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15 пункту 2.2 глави 2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4E4C7B" w:rsidRPr="000D3826" w:rsidTr="005038D5">
        <w:tc>
          <w:tcPr>
            <w:tcW w:w="289" w:type="pct"/>
          </w:tcPr>
          <w:p w:rsidR="004E4C7B" w:rsidRPr="000D3826" w:rsidRDefault="004E4C7B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3.</w:t>
            </w:r>
            <w:r w:rsidR="00ED1C8F" w:rsidRPr="000D382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811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Ліцензіатом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забезпечено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контроль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за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режимами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роботи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магістрального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трубопроводу</w:t>
            </w:r>
          </w:p>
        </w:tc>
        <w:tc>
          <w:tcPr>
            <w:tcW w:w="976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4E4C7B" w:rsidRPr="000D3826" w:rsidRDefault="004E4C7B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4E4C7B" w:rsidRPr="000D3826" w:rsidRDefault="00951FA4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 w:eastAsia="en-US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підпункт 16 </w:t>
            </w:r>
            <w:r w:rsidR="004E4C7B" w:rsidRPr="000D3826">
              <w:rPr>
                <w:sz w:val="22"/>
                <w:szCs w:val="22"/>
                <w:lang w:val="uk-UA"/>
              </w:rPr>
              <w:t>пункт</w:t>
            </w:r>
            <w:r w:rsidRPr="000D3826">
              <w:rPr>
                <w:sz w:val="22"/>
                <w:szCs w:val="22"/>
                <w:lang w:val="uk-UA"/>
              </w:rPr>
              <w:t>у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Pr="000D3826">
              <w:rPr>
                <w:sz w:val="22"/>
                <w:szCs w:val="22"/>
                <w:lang w:val="uk-UA"/>
              </w:rPr>
              <w:t>2.2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глави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2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Ліцензійних</w:t>
            </w:r>
            <w:r w:rsidR="009676D6" w:rsidRPr="000D3826">
              <w:rPr>
                <w:sz w:val="22"/>
                <w:szCs w:val="22"/>
                <w:lang w:val="uk-UA"/>
              </w:rPr>
              <w:t xml:space="preserve"> </w:t>
            </w:r>
            <w:r w:rsidR="004E4C7B" w:rsidRPr="000D3826">
              <w:rPr>
                <w:sz w:val="22"/>
                <w:szCs w:val="22"/>
                <w:lang w:val="uk-UA"/>
              </w:rPr>
              <w:t>умов</w:t>
            </w:r>
          </w:p>
        </w:tc>
      </w:tr>
      <w:tr w:rsidR="00AE7114" w:rsidRPr="000D3826" w:rsidTr="00AE7114">
        <w:tc>
          <w:tcPr>
            <w:tcW w:w="5000" w:type="pct"/>
            <w:gridSpan w:val="7"/>
          </w:tcPr>
          <w:p w:rsidR="00AE7114" w:rsidRPr="000D3826" w:rsidRDefault="00AE7114" w:rsidP="00B841B3">
            <w:pPr>
              <w:pStyle w:val="nospacing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4. Спеціальні вимоги</w:t>
            </w:r>
          </w:p>
        </w:tc>
      </w:tr>
      <w:tr w:rsidR="00AE7114" w:rsidRPr="000D3826" w:rsidTr="005038D5">
        <w:tc>
          <w:tcPr>
            <w:tcW w:w="289" w:type="pct"/>
          </w:tcPr>
          <w:p w:rsidR="00AE7114" w:rsidRPr="000D3826" w:rsidRDefault="00AE7114" w:rsidP="004367D3">
            <w:pPr>
              <w:ind w:right="-42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4.1</w:t>
            </w:r>
          </w:p>
        </w:tc>
        <w:tc>
          <w:tcPr>
            <w:tcW w:w="1811" w:type="pct"/>
          </w:tcPr>
          <w:p w:rsidR="00AE7114" w:rsidRPr="000D3826" w:rsidRDefault="00AE7114" w:rsidP="004367D3">
            <w:pPr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 xml:space="preserve">При провадженні ліцензованої діяльності ліцензіат дотримується спеціальних вимог щодо недопущення під час провадження ліцензованої діяльності здійснення над </w:t>
            </w:r>
            <w:proofErr w:type="spellStart"/>
            <w:r w:rsidRPr="000D3826">
              <w:rPr>
                <w:sz w:val="22"/>
                <w:szCs w:val="22"/>
                <w:lang w:val="uk-UA"/>
              </w:rPr>
              <w:t>суб</w:t>
            </w:r>
            <w:proofErr w:type="spellEnd"/>
            <w:r w:rsidRPr="000D3826">
              <w:rPr>
                <w:sz w:val="22"/>
                <w:szCs w:val="22"/>
                <w:lang w:val="en-US"/>
              </w:rPr>
              <w:t>’</w:t>
            </w:r>
            <w:proofErr w:type="spellStart"/>
            <w:r w:rsidRPr="000D3826">
              <w:rPr>
                <w:sz w:val="22"/>
                <w:szCs w:val="22"/>
                <w:lang w:val="uk-UA"/>
              </w:rPr>
              <w:t>єктом</w:t>
            </w:r>
            <w:proofErr w:type="spellEnd"/>
            <w:r w:rsidRPr="000D3826">
              <w:rPr>
                <w:sz w:val="22"/>
                <w:szCs w:val="22"/>
                <w:lang w:val="uk-UA"/>
              </w:rPr>
              <w:t xml:space="preserve"> господарювання контролю у значенні, наведеному у статті 1 Закону України «Про захист економічної конкуренції», резидентами держав, що здійснюють збройну агресію проти України у значенні, наведеному у статті 1 Закону України «Про оборону України», та/або дії яких створюють умови для виникнення воєнного конфлікту та застосування воєнної сили проти України</w:t>
            </w:r>
          </w:p>
        </w:tc>
        <w:tc>
          <w:tcPr>
            <w:tcW w:w="976" w:type="pct"/>
          </w:tcPr>
          <w:p w:rsidR="00AE7114" w:rsidRPr="000D3826" w:rsidRDefault="00AE7114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AE7114" w:rsidRPr="000D3826" w:rsidRDefault="00AE7114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AE7114" w:rsidRPr="000D3826" w:rsidRDefault="00AE7114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30" w:type="pct"/>
          </w:tcPr>
          <w:p w:rsidR="00AE7114" w:rsidRPr="000D3826" w:rsidRDefault="00AE7114" w:rsidP="004367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34" w:type="pct"/>
          </w:tcPr>
          <w:p w:rsidR="00AE7114" w:rsidRPr="000D3826" w:rsidRDefault="00AE7114" w:rsidP="004367D3">
            <w:pPr>
              <w:pStyle w:val="nospacing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0D3826">
              <w:rPr>
                <w:sz w:val="22"/>
                <w:szCs w:val="22"/>
                <w:lang w:val="uk-UA"/>
              </w:rPr>
              <w:t>пункт 2.5 глави 2 Ліцензійних умов</w:t>
            </w:r>
          </w:p>
        </w:tc>
      </w:tr>
    </w:tbl>
    <w:p w:rsidR="004E4C7B" w:rsidRPr="000D3826" w:rsidRDefault="004E4C7B" w:rsidP="00341CF1">
      <w:pPr>
        <w:ind w:firstLine="567"/>
        <w:jc w:val="both"/>
        <w:rPr>
          <w:lang w:val="uk-UA"/>
        </w:rPr>
      </w:pPr>
    </w:p>
    <w:p w:rsidR="00732E90" w:rsidRPr="005038D5" w:rsidRDefault="004E4C7B" w:rsidP="005038D5">
      <w:pPr>
        <w:ind w:firstLine="567"/>
        <w:jc w:val="both"/>
        <w:rPr>
          <w:sz w:val="20"/>
          <w:szCs w:val="20"/>
          <w:lang w:val="uk-UA"/>
        </w:rPr>
      </w:pPr>
      <w:r w:rsidRPr="000D3826">
        <w:rPr>
          <w:sz w:val="20"/>
          <w:szCs w:val="20"/>
          <w:lang w:val="uk-UA"/>
        </w:rPr>
        <w:lastRenderedPageBreak/>
        <w:t>*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заповнюється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керівником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суб’єкта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господарювання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або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уповноваженою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ним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особою</w:t>
      </w:r>
      <w:r w:rsidR="009676D6" w:rsidRPr="000D3826">
        <w:rPr>
          <w:sz w:val="20"/>
          <w:szCs w:val="20"/>
          <w:lang w:val="uk-UA"/>
        </w:rPr>
        <w:t xml:space="preserve"> </w:t>
      </w:r>
      <w:r w:rsidR="00031B7B" w:rsidRPr="000D3826">
        <w:rPr>
          <w:sz w:val="20"/>
          <w:szCs w:val="20"/>
          <w:lang w:val="uk-UA"/>
        </w:rPr>
        <w:t xml:space="preserve">в </w:t>
      </w:r>
      <w:r w:rsidRPr="000D3826">
        <w:rPr>
          <w:sz w:val="20"/>
          <w:szCs w:val="20"/>
          <w:lang w:val="uk-UA"/>
        </w:rPr>
        <w:t>добровільному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порядку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шляхом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присвоєння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кожному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з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питань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від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1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до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4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балів,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де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4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позначає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питання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щодо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вимоги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законодавства,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дотримання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якої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має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найбільше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адміністративне,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фінансове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або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будь-яке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інше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навантаження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на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суб’єкта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господарювання,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а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1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–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питання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щодо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вимоги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законодавства,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дотримання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якої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не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передбачає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такого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навантаження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на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суб’єкта</w:t>
      </w:r>
      <w:r w:rsidR="009676D6" w:rsidRPr="000D3826">
        <w:rPr>
          <w:sz w:val="20"/>
          <w:szCs w:val="20"/>
          <w:lang w:val="uk-UA"/>
        </w:rPr>
        <w:t xml:space="preserve"> </w:t>
      </w:r>
      <w:r w:rsidRPr="000D3826">
        <w:rPr>
          <w:sz w:val="20"/>
          <w:szCs w:val="20"/>
          <w:lang w:val="uk-UA"/>
        </w:rPr>
        <w:t>господарювання.</w:t>
      </w:r>
    </w:p>
    <w:sectPr w:rsidR="00732E90" w:rsidRPr="005038D5" w:rsidSect="00E128A1">
      <w:headerReference w:type="even" r:id="rId7"/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E5A" w:rsidRDefault="00230E5A">
      <w:r>
        <w:separator/>
      </w:r>
    </w:p>
  </w:endnote>
  <w:endnote w:type="continuationSeparator" w:id="0">
    <w:p w:rsidR="00230E5A" w:rsidRDefault="0023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E5A" w:rsidRDefault="00230E5A">
      <w:r>
        <w:separator/>
      </w:r>
    </w:p>
  </w:footnote>
  <w:footnote w:type="continuationSeparator" w:id="0">
    <w:p w:rsidR="00230E5A" w:rsidRDefault="00230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6D6" w:rsidRDefault="009676D6" w:rsidP="00215666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76D6" w:rsidRDefault="009676D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060" w:rsidRDefault="00FC006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32E90" w:rsidRPr="00732E90">
      <w:rPr>
        <w:noProof/>
        <w:lang w:val="uk-UA"/>
      </w:rPr>
      <w:t>6</w:t>
    </w:r>
    <w:r>
      <w:fldChar w:fldCharType="end"/>
    </w:r>
  </w:p>
  <w:p w:rsidR="009676D6" w:rsidRDefault="00FC0060" w:rsidP="00A82E8B">
    <w:pPr>
      <w:pStyle w:val="a8"/>
      <w:jc w:val="right"/>
      <w:rPr>
        <w:lang w:val="uk-UA"/>
      </w:rPr>
    </w:pPr>
    <w:r>
      <w:rPr>
        <w:lang w:val="uk-UA"/>
      </w:rPr>
      <w:t>Продовження додатк</w:t>
    </w:r>
    <w:r w:rsidR="001B34AE">
      <w:rPr>
        <w:lang w:val="uk-UA"/>
      </w:rPr>
      <w:t>а</w:t>
    </w:r>
    <w:r>
      <w:rPr>
        <w:lang w:val="uk-UA"/>
      </w:rPr>
      <w:t xml:space="preserve"> 1</w:t>
    </w:r>
    <w:r w:rsidR="00E128A1">
      <w:rPr>
        <w:lang w:val="uk-UA"/>
      </w:rPr>
      <w:t>4</w:t>
    </w:r>
  </w:p>
  <w:p w:rsidR="00FC0060" w:rsidRPr="000722B9" w:rsidRDefault="00FC0060" w:rsidP="00A82E8B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16B34"/>
    <w:multiLevelType w:val="hybridMultilevel"/>
    <w:tmpl w:val="D8A84B6C"/>
    <w:lvl w:ilvl="0" w:tplc="155A948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14763CA"/>
    <w:multiLevelType w:val="hybridMultilevel"/>
    <w:tmpl w:val="30CA07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354748"/>
    <w:multiLevelType w:val="hybridMultilevel"/>
    <w:tmpl w:val="69EC05A6"/>
    <w:lvl w:ilvl="0" w:tplc="153C1F62">
      <w:start w:val="1"/>
      <w:numFmt w:val="decimal"/>
      <w:lvlText w:val="%1)"/>
      <w:lvlJc w:val="left"/>
      <w:pPr>
        <w:ind w:left="90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B68"/>
    <w:rsid w:val="00001DD9"/>
    <w:rsid w:val="00001EF5"/>
    <w:rsid w:val="000056B4"/>
    <w:rsid w:val="00010F32"/>
    <w:rsid w:val="0001264E"/>
    <w:rsid w:val="0001290C"/>
    <w:rsid w:val="000155FD"/>
    <w:rsid w:val="00023A28"/>
    <w:rsid w:val="00025285"/>
    <w:rsid w:val="00025575"/>
    <w:rsid w:val="00027D60"/>
    <w:rsid w:val="00031B7B"/>
    <w:rsid w:val="000328A0"/>
    <w:rsid w:val="00040F02"/>
    <w:rsid w:val="000410EE"/>
    <w:rsid w:val="00041A8C"/>
    <w:rsid w:val="00042D69"/>
    <w:rsid w:val="0004486A"/>
    <w:rsid w:val="00044A02"/>
    <w:rsid w:val="000458B7"/>
    <w:rsid w:val="0004689C"/>
    <w:rsid w:val="00047F70"/>
    <w:rsid w:val="000502CC"/>
    <w:rsid w:val="00051FF7"/>
    <w:rsid w:val="0005663A"/>
    <w:rsid w:val="000566BB"/>
    <w:rsid w:val="00061F36"/>
    <w:rsid w:val="0006355E"/>
    <w:rsid w:val="000677D8"/>
    <w:rsid w:val="000722B9"/>
    <w:rsid w:val="00072B86"/>
    <w:rsid w:val="000745EA"/>
    <w:rsid w:val="00076056"/>
    <w:rsid w:val="00076758"/>
    <w:rsid w:val="00077AAA"/>
    <w:rsid w:val="0008119B"/>
    <w:rsid w:val="0009063E"/>
    <w:rsid w:val="00092475"/>
    <w:rsid w:val="00094DA2"/>
    <w:rsid w:val="000975B8"/>
    <w:rsid w:val="0009798B"/>
    <w:rsid w:val="000A0994"/>
    <w:rsid w:val="000A1F7D"/>
    <w:rsid w:val="000A26D1"/>
    <w:rsid w:val="000A4C9B"/>
    <w:rsid w:val="000A64F7"/>
    <w:rsid w:val="000B0854"/>
    <w:rsid w:val="000B3A41"/>
    <w:rsid w:val="000B6FF2"/>
    <w:rsid w:val="000C0CAA"/>
    <w:rsid w:val="000C5C92"/>
    <w:rsid w:val="000C5F5B"/>
    <w:rsid w:val="000D02E9"/>
    <w:rsid w:val="000D057E"/>
    <w:rsid w:val="000D0F85"/>
    <w:rsid w:val="000D2B39"/>
    <w:rsid w:val="000D3600"/>
    <w:rsid w:val="000D3826"/>
    <w:rsid w:val="000D46A1"/>
    <w:rsid w:val="000D677A"/>
    <w:rsid w:val="000E0BA4"/>
    <w:rsid w:val="000E0CED"/>
    <w:rsid w:val="000E295F"/>
    <w:rsid w:val="000E45C9"/>
    <w:rsid w:val="000F0917"/>
    <w:rsid w:val="000F0CFF"/>
    <w:rsid w:val="000F69E2"/>
    <w:rsid w:val="00101B4D"/>
    <w:rsid w:val="00105258"/>
    <w:rsid w:val="00107B1A"/>
    <w:rsid w:val="00110E09"/>
    <w:rsid w:val="00113F50"/>
    <w:rsid w:val="00120309"/>
    <w:rsid w:val="0012456C"/>
    <w:rsid w:val="00124781"/>
    <w:rsid w:val="00125E69"/>
    <w:rsid w:val="001311F4"/>
    <w:rsid w:val="00132F5D"/>
    <w:rsid w:val="00140718"/>
    <w:rsid w:val="001407FC"/>
    <w:rsid w:val="001452CD"/>
    <w:rsid w:val="00145B39"/>
    <w:rsid w:val="00146D52"/>
    <w:rsid w:val="001479F2"/>
    <w:rsid w:val="00150166"/>
    <w:rsid w:val="00150DE2"/>
    <w:rsid w:val="001602D9"/>
    <w:rsid w:val="001614F7"/>
    <w:rsid w:val="00162E34"/>
    <w:rsid w:val="00163020"/>
    <w:rsid w:val="001637FF"/>
    <w:rsid w:val="00163A78"/>
    <w:rsid w:val="001675BA"/>
    <w:rsid w:val="001704F1"/>
    <w:rsid w:val="00175FC7"/>
    <w:rsid w:val="00176696"/>
    <w:rsid w:val="00176F1A"/>
    <w:rsid w:val="001846D0"/>
    <w:rsid w:val="001855A1"/>
    <w:rsid w:val="001868E6"/>
    <w:rsid w:val="001869C3"/>
    <w:rsid w:val="001902D1"/>
    <w:rsid w:val="001905C7"/>
    <w:rsid w:val="00191394"/>
    <w:rsid w:val="00193AE1"/>
    <w:rsid w:val="00194C9C"/>
    <w:rsid w:val="001954A0"/>
    <w:rsid w:val="001A0273"/>
    <w:rsid w:val="001A0493"/>
    <w:rsid w:val="001A07BD"/>
    <w:rsid w:val="001A11E7"/>
    <w:rsid w:val="001A2910"/>
    <w:rsid w:val="001A2B37"/>
    <w:rsid w:val="001A440D"/>
    <w:rsid w:val="001A5896"/>
    <w:rsid w:val="001B15F3"/>
    <w:rsid w:val="001B34AE"/>
    <w:rsid w:val="001B46D0"/>
    <w:rsid w:val="001B5600"/>
    <w:rsid w:val="001C30D1"/>
    <w:rsid w:val="001C36E0"/>
    <w:rsid w:val="001C5E8D"/>
    <w:rsid w:val="001D1D6B"/>
    <w:rsid w:val="001D237E"/>
    <w:rsid w:val="001D2B56"/>
    <w:rsid w:val="001D30F9"/>
    <w:rsid w:val="001D69CD"/>
    <w:rsid w:val="001D6D60"/>
    <w:rsid w:val="001D7410"/>
    <w:rsid w:val="001E18C1"/>
    <w:rsid w:val="001E3F10"/>
    <w:rsid w:val="001E5107"/>
    <w:rsid w:val="001F2320"/>
    <w:rsid w:val="001F7996"/>
    <w:rsid w:val="002008B3"/>
    <w:rsid w:val="002037C2"/>
    <w:rsid w:val="002056D5"/>
    <w:rsid w:val="002111A4"/>
    <w:rsid w:val="00211557"/>
    <w:rsid w:val="00213A41"/>
    <w:rsid w:val="0021536A"/>
    <w:rsid w:val="00215666"/>
    <w:rsid w:val="00215DB8"/>
    <w:rsid w:val="0021633A"/>
    <w:rsid w:val="00217E47"/>
    <w:rsid w:val="002205AB"/>
    <w:rsid w:val="0022335B"/>
    <w:rsid w:val="00223EDC"/>
    <w:rsid w:val="0022465A"/>
    <w:rsid w:val="00224783"/>
    <w:rsid w:val="002279FB"/>
    <w:rsid w:val="00230E5A"/>
    <w:rsid w:val="002311B0"/>
    <w:rsid w:val="0023333D"/>
    <w:rsid w:val="00235BA3"/>
    <w:rsid w:val="00240B72"/>
    <w:rsid w:val="00241138"/>
    <w:rsid w:val="00241553"/>
    <w:rsid w:val="00244560"/>
    <w:rsid w:val="00244A43"/>
    <w:rsid w:val="002466C3"/>
    <w:rsid w:val="00246C66"/>
    <w:rsid w:val="00246F2A"/>
    <w:rsid w:val="0025055C"/>
    <w:rsid w:val="00250A93"/>
    <w:rsid w:val="0025214B"/>
    <w:rsid w:val="002534E1"/>
    <w:rsid w:val="002544C8"/>
    <w:rsid w:val="00254D1F"/>
    <w:rsid w:val="00255487"/>
    <w:rsid w:val="002662A3"/>
    <w:rsid w:val="00267605"/>
    <w:rsid w:val="00270998"/>
    <w:rsid w:val="00270BE1"/>
    <w:rsid w:val="002728CE"/>
    <w:rsid w:val="0027424A"/>
    <w:rsid w:val="00274A77"/>
    <w:rsid w:val="002750B0"/>
    <w:rsid w:val="00284CC8"/>
    <w:rsid w:val="0028565E"/>
    <w:rsid w:val="002868BA"/>
    <w:rsid w:val="002933F9"/>
    <w:rsid w:val="00293CD6"/>
    <w:rsid w:val="00294F00"/>
    <w:rsid w:val="002A0D83"/>
    <w:rsid w:val="002B2284"/>
    <w:rsid w:val="002B6F7D"/>
    <w:rsid w:val="002C0191"/>
    <w:rsid w:val="002C09BE"/>
    <w:rsid w:val="002C1110"/>
    <w:rsid w:val="002C1F67"/>
    <w:rsid w:val="002C3127"/>
    <w:rsid w:val="002C3A4F"/>
    <w:rsid w:val="002C4AE1"/>
    <w:rsid w:val="002D2267"/>
    <w:rsid w:val="002D3677"/>
    <w:rsid w:val="002D44B6"/>
    <w:rsid w:val="002D6132"/>
    <w:rsid w:val="002E18A0"/>
    <w:rsid w:val="002E27D7"/>
    <w:rsid w:val="002E3E16"/>
    <w:rsid w:val="002E442C"/>
    <w:rsid w:val="002E7AA7"/>
    <w:rsid w:val="002F1520"/>
    <w:rsid w:val="00300CC8"/>
    <w:rsid w:val="00300EF3"/>
    <w:rsid w:val="003042E1"/>
    <w:rsid w:val="003137A9"/>
    <w:rsid w:val="0031677C"/>
    <w:rsid w:val="0031681D"/>
    <w:rsid w:val="00317770"/>
    <w:rsid w:val="003232F9"/>
    <w:rsid w:val="003264FD"/>
    <w:rsid w:val="0032767B"/>
    <w:rsid w:val="00336E8E"/>
    <w:rsid w:val="00341CF1"/>
    <w:rsid w:val="00342B9E"/>
    <w:rsid w:val="00346693"/>
    <w:rsid w:val="00347802"/>
    <w:rsid w:val="00351FC4"/>
    <w:rsid w:val="00353FC3"/>
    <w:rsid w:val="00356C0B"/>
    <w:rsid w:val="0036092A"/>
    <w:rsid w:val="00376AA6"/>
    <w:rsid w:val="003811EC"/>
    <w:rsid w:val="00391318"/>
    <w:rsid w:val="0039189E"/>
    <w:rsid w:val="0039279C"/>
    <w:rsid w:val="00392A27"/>
    <w:rsid w:val="00392C0D"/>
    <w:rsid w:val="0039493A"/>
    <w:rsid w:val="003A0E72"/>
    <w:rsid w:val="003A187C"/>
    <w:rsid w:val="003A1F3D"/>
    <w:rsid w:val="003A2035"/>
    <w:rsid w:val="003A2E85"/>
    <w:rsid w:val="003A41C9"/>
    <w:rsid w:val="003A4A4F"/>
    <w:rsid w:val="003A7E9A"/>
    <w:rsid w:val="003B404F"/>
    <w:rsid w:val="003B5E3C"/>
    <w:rsid w:val="003B6745"/>
    <w:rsid w:val="003C4641"/>
    <w:rsid w:val="003D291B"/>
    <w:rsid w:val="003D4C2B"/>
    <w:rsid w:val="003D6279"/>
    <w:rsid w:val="003E70CE"/>
    <w:rsid w:val="003E7230"/>
    <w:rsid w:val="003F0114"/>
    <w:rsid w:val="003F1565"/>
    <w:rsid w:val="003F1AA2"/>
    <w:rsid w:val="003F4147"/>
    <w:rsid w:val="003F79A2"/>
    <w:rsid w:val="003F7B21"/>
    <w:rsid w:val="00403D6E"/>
    <w:rsid w:val="004122B9"/>
    <w:rsid w:val="004134B6"/>
    <w:rsid w:val="004143EA"/>
    <w:rsid w:val="0041445C"/>
    <w:rsid w:val="004153A9"/>
    <w:rsid w:val="00416EDF"/>
    <w:rsid w:val="004173D6"/>
    <w:rsid w:val="004173E3"/>
    <w:rsid w:val="004202FC"/>
    <w:rsid w:val="00420C2D"/>
    <w:rsid w:val="00422095"/>
    <w:rsid w:val="004262C8"/>
    <w:rsid w:val="004266CA"/>
    <w:rsid w:val="00433521"/>
    <w:rsid w:val="00434D22"/>
    <w:rsid w:val="00436010"/>
    <w:rsid w:val="00436562"/>
    <w:rsid w:val="004367D3"/>
    <w:rsid w:val="00436888"/>
    <w:rsid w:val="00437003"/>
    <w:rsid w:val="004539FE"/>
    <w:rsid w:val="00453A4A"/>
    <w:rsid w:val="00453D73"/>
    <w:rsid w:val="00453F82"/>
    <w:rsid w:val="004543DC"/>
    <w:rsid w:val="0046299D"/>
    <w:rsid w:val="00462B25"/>
    <w:rsid w:val="00465CB8"/>
    <w:rsid w:val="00467581"/>
    <w:rsid w:val="0047130C"/>
    <w:rsid w:val="0047277B"/>
    <w:rsid w:val="0047336E"/>
    <w:rsid w:val="00477F08"/>
    <w:rsid w:val="00480657"/>
    <w:rsid w:val="00484827"/>
    <w:rsid w:val="00485427"/>
    <w:rsid w:val="00487740"/>
    <w:rsid w:val="00490520"/>
    <w:rsid w:val="0049126F"/>
    <w:rsid w:val="00491FB9"/>
    <w:rsid w:val="00495766"/>
    <w:rsid w:val="00495FF8"/>
    <w:rsid w:val="004968E3"/>
    <w:rsid w:val="004A4F72"/>
    <w:rsid w:val="004A71FD"/>
    <w:rsid w:val="004A7CF6"/>
    <w:rsid w:val="004B0F3C"/>
    <w:rsid w:val="004B2788"/>
    <w:rsid w:val="004B3DDB"/>
    <w:rsid w:val="004B5920"/>
    <w:rsid w:val="004B6CE9"/>
    <w:rsid w:val="004E315A"/>
    <w:rsid w:val="004E4C7B"/>
    <w:rsid w:val="004E61CC"/>
    <w:rsid w:val="004F3D35"/>
    <w:rsid w:val="004F5C4F"/>
    <w:rsid w:val="00502F50"/>
    <w:rsid w:val="00503100"/>
    <w:rsid w:val="005038D5"/>
    <w:rsid w:val="00506D0A"/>
    <w:rsid w:val="005123E4"/>
    <w:rsid w:val="0051429B"/>
    <w:rsid w:val="0051643D"/>
    <w:rsid w:val="00516D0E"/>
    <w:rsid w:val="005178C4"/>
    <w:rsid w:val="005205AC"/>
    <w:rsid w:val="0052281D"/>
    <w:rsid w:val="00525232"/>
    <w:rsid w:val="005278A1"/>
    <w:rsid w:val="00527AFC"/>
    <w:rsid w:val="005332F8"/>
    <w:rsid w:val="00533D58"/>
    <w:rsid w:val="00536B89"/>
    <w:rsid w:val="00541574"/>
    <w:rsid w:val="00546C46"/>
    <w:rsid w:val="005558DD"/>
    <w:rsid w:val="005601C1"/>
    <w:rsid w:val="00560652"/>
    <w:rsid w:val="00562183"/>
    <w:rsid w:val="00562706"/>
    <w:rsid w:val="00562B7D"/>
    <w:rsid w:val="005650A6"/>
    <w:rsid w:val="00566512"/>
    <w:rsid w:val="00567125"/>
    <w:rsid w:val="005671BB"/>
    <w:rsid w:val="00571D8E"/>
    <w:rsid w:val="005724BE"/>
    <w:rsid w:val="005830E4"/>
    <w:rsid w:val="005837C0"/>
    <w:rsid w:val="0058592C"/>
    <w:rsid w:val="00597A3B"/>
    <w:rsid w:val="005A205A"/>
    <w:rsid w:val="005A4799"/>
    <w:rsid w:val="005A52FB"/>
    <w:rsid w:val="005A6772"/>
    <w:rsid w:val="005A79AB"/>
    <w:rsid w:val="005B2CD1"/>
    <w:rsid w:val="005B38E7"/>
    <w:rsid w:val="005B587F"/>
    <w:rsid w:val="005B5F38"/>
    <w:rsid w:val="005C3E29"/>
    <w:rsid w:val="005D0937"/>
    <w:rsid w:val="005D1A51"/>
    <w:rsid w:val="005D3543"/>
    <w:rsid w:val="005D3DCE"/>
    <w:rsid w:val="005D5965"/>
    <w:rsid w:val="005D6583"/>
    <w:rsid w:val="005D6D45"/>
    <w:rsid w:val="005E3190"/>
    <w:rsid w:val="005E3270"/>
    <w:rsid w:val="005E402C"/>
    <w:rsid w:val="005E4DD7"/>
    <w:rsid w:val="005E6EF6"/>
    <w:rsid w:val="005F0368"/>
    <w:rsid w:val="005F1C76"/>
    <w:rsid w:val="005F1F06"/>
    <w:rsid w:val="005F4448"/>
    <w:rsid w:val="005F46A5"/>
    <w:rsid w:val="005F4C83"/>
    <w:rsid w:val="005F4ED6"/>
    <w:rsid w:val="005F6A83"/>
    <w:rsid w:val="005F72F6"/>
    <w:rsid w:val="005F7FDD"/>
    <w:rsid w:val="00600812"/>
    <w:rsid w:val="00605266"/>
    <w:rsid w:val="0060683F"/>
    <w:rsid w:val="00606D94"/>
    <w:rsid w:val="00606E2F"/>
    <w:rsid w:val="00606F73"/>
    <w:rsid w:val="006102AB"/>
    <w:rsid w:val="00611398"/>
    <w:rsid w:val="006118F7"/>
    <w:rsid w:val="00613103"/>
    <w:rsid w:val="006138E2"/>
    <w:rsid w:val="00616F2E"/>
    <w:rsid w:val="0062015B"/>
    <w:rsid w:val="00622489"/>
    <w:rsid w:val="006245E8"/>
    <w:rsid w:val="00625A52"/>
    <w:rsid w:val="00627D45"/>
    <w:rsid w:val="00630230"/>
    <w:rsid w:val="00630962"/>
    <w:rsid w:val="00633E65"/>
    <w:rsid w:val="00634B26"/>
    <w:rsid w:val="0063640C"/>
    <w:rsid w:val="006402DA"/>
    <w:rsid w:val="006406AC"/>
    <w:rsid w:val="00642BB1"/>
    <w:rsid w:val="00643E4C"/>
    <w:rsid w:val="00650555"/>
    <w:rsid w:val="00652C4D"/>
    <w:rsid w:val="00653714"/>
    <w:rsid w:val="00655DA6"/>
    <w:rsid w:val="00657797"/>
    <w:rsid w:val="0066401E"/>
    <w:rsid w:val="00664BE0"/>
    <w:rsid w:val="006713B8"/>
    <w:rsid w:val="00672FED"/>
    <w:rsid w:val="006731B9"/>
    <w:rsid w:val="0067564D"/>
    <w:rsid w:val="00677011"/>
    <w:rsid w:val="0068278D"/>
    <w:rsid w:val="00682C78"/>
    <w:rsid w:val="00683BAC"/>
    <w:rsid w:val="00684C68"/>
    <w:rsid w:val="00685638"/>
    <w:rsid w:val="006912B1"/>
    <w:rsid w:val="00692023"/>
    <w:rsid w:val="00693931"/>
    <w:rsid w:val="00694A0F"/>
    <w:rsid w:val="006A29A9"/>
    <w:rsid w:val="006A2ECD"/>
    <w:rsid w:val="006A3551"/>
    <w:rsid w:val="006A50C9"/>
    <w:rsid w:val="006B1998"/>
    <w:rsid w:val="006B1FB5"/>
    <w:rsid w:val="006B26C2"/>
    <w:rsid w:val="006B32D8"/>
    <w:rsid w:val="006B3EAD"/>
    <w:rsid w:val="006B5E9A"/>
    <w:rsid w:val="006B6E29"/>
    <w:rsid w:val="006C0F36"/>
    <w:rsid w:val="006C17A6"/>
    <w:rsid w:val="006C34D6"/>
    <w:rsid w:val="006C36EE"/>
    <w:rsid w:val="006C489E"/>
    <w:rsid w:val="006D17AB"/>
    <w:rsid w:val="006D1991"/>
    <w:rsid w:val="006D23DE"/>
    <w:rsid w:val="006D3791"/>
    <w:rsid w:val="006D3BFE"/>
    <w:rsid w:val="006D47E9"/>
    <w:rsid w:val="006D6C49"/>
    <w:rsid w:val="006D6F64"/>
    <w:rsid w:val="006D734D"/>
    <w:rsid w:val="006F1543"/>
    <w:rsid w:val="006F30CB"/>
    <w:rsid w:val="006F703F"/>
    <w:rsid w:val="007005D9"/>
    <w:rsid w:val="00700D0B"/>
    <w:rsid w:val="00701F82"/>
    <w:rsid w:val="00702137"/>
    <w:rsid w:val="007031C4"/>
    <w:rsid w:val="00704487"/>
    <w:rsid w:val="00707AE8"/>
    <w:rsid w:val="00710161"/>
    <w:rsid w:val="007121FB"/>
    <w:rsid w:val="0071327F"/>
    <w:rsid w:val="00717D84"/>
    <w:rsid w:val="007204C7"/>
    <w:rsid w:val="00720BF6"/>
    <w:rsid w:val="00723DEA"/>
    <w:rsid w:val="0072549F"/>
    <w:rsid w:val="00727FEA"/>
    <w:rsid w:val="00730FD0"/>
    <w:rsid w:val="00731BA2"/>
    <w:rsid w:val="00732E90"/>
    <w:rsid w:val="00735AA0"/>
    <w:rsid w:val="00737892"/>
    <w:rsid w:val="00752575"/>
    <w:rsid w:val="00762B28"/>
    <w:rsid w:val="007717ED"/>
    <w:rsid w:val="00772E3E"/>
    <w:rsid w:val="00785359"/>
    <w:rsid w:val="00785FD9"/>
    <w:rsid w:val="007869C0"/>
    <w:rsid w:val="007870F7"/>
    <w:rsid w:val="0079059A"/>
    <w:rsid w:val="007917C8"/>
    <w:rsid w:val="00796687"/>
    <w:rsid w:val="00797D4E"/>
    <w:rsid w:val="007A1ADE"/>
    <w:rsid w:val="007A4811"/>
    <w:rsid w:val="007A7EB5"/>
    <w:rsid w:val="007B11F4"/>
    <w:rsid w:val="007B435D"/>
    <w:rsid w:val="007B55BA"/>
    <w:rsid w:val="007B6463"/>
    <w:rsid w:val="007C0F7F"/>
    <w:rsid w:val="007C51E8"/>
    <w:rsid w:val="007C5837"/>
    <w:rsid w:val="007C6D5B"/>
    <w:rsid w:val="007D0A80"/>
    <w:rsid w:val="007D3552"/>
    <w:rsid w:val="007D37AB"/>
    <w:rsid w:val="007D51B1"/>
    <w:rsid w:val="007E2CEB"/>
    <w:rsid w:val="007E48B4"/>
    <w:rsid w:val="007F05FE"/>
    <w:rsid w:val="007F2F4B"/>
    <w:rsid w:val="007F4AAE"/>
    <w:rsid w:val="008008C6"/>
    <w:rsid w:val="008008E9"/>
    <w:rsid w:val="00804817"/>
    <w:rsid w:val="00805E52"/>
    <w:rsid w:val="00805EEF"/>
    <w:rsid w:val="008066C0"/>
    <w:rsid w:val="00806DB1"/>
    <w:rsid w:val="0081071B"/>
    <w:rsid w:val="0081121B"/>
    <w:rsid w:val="008116F0"/>
    <w:rsid w:val="00813C23"/>
    <w:rsid w:val="00817E43"/>
    <w:rsid w:val="00823E76"/>
    <w:rsid w:val="008247EC"/>
    <w:rsid w:val="00825D4E"/>
    <w:rsid w:val="00832F1E"/>
    <w:rsid w:val="00833C9E"/>
    <w:rsid w:val="00837532"/>
    <w:rsid w:val="00837817"/>
    <w:rsid w:val="00844F25"/>
    <w:rsid w:val="00846970"/>
    <w:rsid w:val="00847671"/>
    <w:rsid w:val="008500F4"/>
    <w:rsid w:val="0085089E"/>
    <w:rsid w:val="00850BA9"/>
    <w:rsid w:val="00852B27"/>
    <w:rsid w:val="00854267"/>
    <w:rsid w:val="00856383"/>
    <w:rsid w:val="008574EA"/>
    <w:rsid w:val="008579F5"/>
    <w:rsid w:val="00862680"/>
    <w:rsid w:val="00871B97"/>
    <w:rsid w:val="008728B2"/>
    <w:rsid w:val="00872B09"/>
    <w:rsid w:val="008742A3"/>
    <w:rsid w:val="00875573"/>
    <w:rsid w:val="00880539"/>
    <w:rsid w:val="008865CE"/>
    <w:rsid w:val="00886D26"/>
    <w:rsid w:val="00887E6C"/>
    <w:rsid w:val="00893B0B"/>
    <w:rsid w:val="0089573D"/>
    <w:rsid w:val="00895CF4"/>
    <w:rsid w:val="00896B0C"/>
    <w:rsid w:val="008A132A"/>
    <w:rsid w:val="008A4305"/>
    <w:rsid w:val="008A63E1"/>
    <w:rsid w:val="008A75FB"/>
    <w:rsid w:val="008B0356"/>
    <w:rsid w:val="008B42BE"/>
    <w:rsid w:val="008B5822"/>
    <w:rsid w:val="008B7C52"/>
    <w:rsid w:val="008C234A"/>
    <w:rsid w:val="008C3967"/>
    <w:rsid w:val="008C4753"/>
    <w:rsid w:val="008C5436"/>
    <w:rsid w:val="008C6B27"/>
    <w:rsid w:val="008D0083"/>
    <w:rsid w:val="008D0CE1"/>
    <w:rsid w:val="008D596F"/>
    <w:rsid w:val="008D6747"/>
    <w:rsid w:val="008E210F"/>
    <w:rsid w:val="008E61D2"/>
    <w:rsid w:val="008E7494"/>
    <w:rsid w:val="008F1E40"/>
    <w:rsid w:val="008F502C"/>
    <w:rsid w:val="008F6130"/>
    <w:rsid w:val="00902BB7"/>
    <w:rsid w:val="009043ED"/>
    <w:rsid w:val="00905A94"/>
    <w:rsid w:val="00906AEB"/>
    <w:rsid w:val="00906B8E"/>
    <w:rsid w:val="00910EC4"/>
    <w:rsid w:val="00913CC1"/>
    <w:rsid w:val="00915850"/>
    <w:rsid w:val="00916CFB"/>
    <w:rsid w:val="00920A5E"/>
    <w:rsid w:val="009217D8"/>
    <w:rsid w:val="00922EF1"/>
    <w:rsid w:val="00923171"/>
    <w:rsid w:val="009255C9"/>
    <w:rsid w:val="009262F4"/>
    <w:rsid w:val="00927920"/>
    <w:rsid w:val="00927AC3"/>
    <w:rsid w:val="00927DC5"/>
    <w:rsid w:val="00931935"/>
    <w:rsid w:val="009327CB"/>
    <w:rsid w:val="00932A85"/>
    <w:rsid w:val="0093647A"/>
    <w:rsid w:val="00940538"/>
    <w:rsid w:val="009460A5"/>
    <w:rsid w:val="00946292"/>
    <w:rsid w:val="00946535"/>
    <w:rsid w:val="00947818"/>
    <w:rsid w:val="00951FA4"/>
    <w:rsid w:val="00957E90"/>
    <w:rsid w:val="00960B4C"/>
    <w:rsid w:val="00965650"/>
    <w:rsid w:val="009671E7"/>
    <w:rsid w:val="009676D6"/>
    <w:rsid w:val="0097182F"/>
    <w:rsid w:val="00972191"/>
    <w:rsid w:val="00974BE3"/>
    <w:rsid w:val="00975745"/>
    <w:rsid w:val="00977501"/>
    <w:rsid w:val="0098180A"/>
    <w:rsid w:val="00984E3A"/>
    <w:rsid w:val="009856C3"/>
    <w:rsid w:val="00985780"/>
    <w:rsid w:val="00991C88"/>
    <w:rsid w:val="00992CFF"/>
    <w:rsid w:val="00994415"/>
    <w:rsid w:val="00994F4F"/>
    <w:rsid w:val="009A120C"/>
    <w:rsid w:val="009A2172"/>
    <w:rsid w:val="009A302B"/>
    <w:rsid w:val="009A327A"/>
    <w:rsid w:val="009A50E6"/>
    <w:rsid w:val="009A7D7F"/>
    <w:rsid w:val="009B215E"/>
    <w:rsid w:val="009B3CA7"/>
    <w:rsid w:val="009B3CE3"/>
    <w:rsid w:val="009B6EF8"/>
    <w:rsid w:val="009C18AC"/>
    <w:rsid w:val="009C18DB"/>
    <w:rsid w:val="009C28A7"/>
    <w:rsid w:val="009C6456"/>
    <w:rsid w:val="009C708C"/>
    <w:rsid w:val="009C71AF"/>
    <w:rsid w:val="009D0806"/>
    <w:rsid w:val="009D10A9"/>
    <w:rsid w:val="009D19DD"/>
    <w:rsid w:val="009D403F"/>
    <w:rsid w:val="009D4095"/>
    <w:rsid w:val="009D452D"/>
    <w:rsid w:val="009D5CCE"/>
    <w:rsid w:val="009E2EEF"/>
    <w:rsid w:val="009E6C5F"/>
    <w:rsid w:val="009F21D9"/>
    <w:rsid w:val="009F46DE"/>
    <w:rsid w:val="009F4AF8"/>
    <w:rsid w:val="009F7927"/>
    <w:rsid w:val="00A00460"/>
    <w:rsid w:val="00A02AB2"/>
    <w:rsid w:val="00A06A64"/>
    <w:rsid w:val="00A102BA"/>
    <w:rsid w:val="00A1103A"/>
    <w:rsid w:val="00A121CA"/>
    <w:rsid w:val="00A14871"/>
    <w:rsid w:val="00A22EAB"/>
    <w:rsid w:val="00A23554"/>
    <w:rsid w:val="00A24089"/>
    <w:rsid w:val="00A242E4"/>
    <w:rsid w:val="00A24425"/>
    <w:rsid w:val="00A246F1"/>
    <w:rsid w:val="00A255FF"/>
    <w:rsid w:val="00A25ED9"/>
    <w:rsid w:val="00A2675E"/>
    <w:rsid w:val="00A2718A"/>
    <w:rsid w:val="00A31C54"/>
    <w:rsid w:val="00A32A40"/>
    <w:rsid w:val="00A336BD"/>
    <w:rsid w:val="00A352FF"/>
    <w:rsid w:val="00A353E1"/>
    <w:rsid w:val="00A355D2"/>
    <w:rsid w:val="00A37350"/>
    <w:rsid w:val="00A405C6"/>
    <w:rsid w:val="00A4093C"/>
    <w:rsid w:val="00A40941"/>
    <w:rsid w:val="00A4148E"/>
    <w:rsid w:val="00A42D82"/>
    <w:rsid w:val="00A42E75"/>
    <w:rsid w:val="00A44A27"/>
    <w:rsid w:val="00A50BBE"/>
    <w:rsid w:val="00A50E1B"/>
    <w:rsid w:val="00A52498"/>
    <w:rsid w:val="00A54B93"/>
    <w:rsid w:val="00A601F7"/>
    <w:rsid w:val="00A61728"/>
    <w:rsid w:val="00A62EC6"/>
    <w:rsid w:val="00A62EF1"/>
    <w:rsid w:val="00A634DA"/>
    <w:rsid w:val="00A6377E"/>
    <w:rsid w:val="00A65F88"/>
    <w:rsid w:val="00A7073F"/>
    <w:rsid w:val="00A72A73"/>
    <w:rsid w:val="00A74128"/>
    <w:rsid w:val="00A74D26"/>
    <w:rsid w:val="00A75597"/>
    <w:rsid w:val="00A82E8B"/>
    <w:rsid w:val="00A841E3"/>
    <w:rsid w:val="00A84699"/>
    <w:rsid w:val="00A85987"/>
    <w:rsid w:val="00A8712A"/>
    <w:rsid w:val="00A90C62"/>
    <w:rsid w:val="00AA0AA8"/>
    <w:rsid w:val="00AA0BD6"/>
    <w:rsid w:val="00AA370B"/>
    <w:rsid w:val="00AA41B3"/>
    <w:rsid w:val="00AA4E23"/>
    <w:rsid w:val="00AB0A9A"/>
    <w:rsid w:val="00AB3387"/>
    <w:rsid w:val="00AB3E12"/>
    <w:rsid w:val="00AB5638"/>
    <w:rsid w:val="00AB5861"/>
    <w:rsid w:val="00AB6E47"/>
    <w:rsid w:val="00AC0883"/>
    <w:rsid w:val="00AC2D68"/>
    <w:rsid w:val="00AC5850"/>
    <w:rsid w:val="00AD085A"/>
    <w:rsid w:val="00AD678B"/>
    <w:rsid w:val="00AE4CDD"/>
    <w:rsid w:val="00AE57E2"/>
    <w:rsid w:val="00AE7114"/>
    <w:rsid w:val="00AF072C"/>
    <w:rsid w:val="00AF4A54"/>
    <w:rsid w:val="00AF6E22"/>
    <w:rsid w:val="00B00D30"/>
    <w:rsid w:val="00B01034"/>
    <w:rsid w:val="00B0299F"/>
    <w:rsid w:val="00B05091"/>
    <w:rsid w:val="00B109C4"/>
    <w:rsid w:val="00B118EF"/>
    <w:rsid w:val="00B165BE"/>
    <w:rsid w:val="00B16B58"/>
    <w:rsid w:val="00B2121D"/>
    <w:rsid w:val="00B271B2"/>
    <w:rsid w:val="00B356EB"/>
    <w:rsid w:val="00B40091"/>
    <w:rsid w:val="00B40F46"/>
    <w:rsid w:val="00B50EDE"/>
    <w:rsid w:val="00B51AD5"/>
    <w:rsid w:val="00B562E1"/>
    <w:rsid w:val="00B573B0"/>
    <w:rsid w:val="00B657E0"/>
    <w:rsid w:val="00B727BD"/>
    <w:rsid w:val="00B8009A"/>
    <w:rsid w:val="00B80C6E"/>
    <w:rsid w:val="00B824E3"/>
    <w:rsid w:val="00B841B3"/>
    <w:rsid w:val="00B84507"/>
    <w:rsid w:val="00B876CF"/>
    <w:rsid w:val="00B906AF"/>
    <w:rsid w:val="00B910AE"/>
    <w:rsid w:val="00B925C5"/>
    <w:rsid w:val="00B95AC7"/>
    <w:rsid w:val="00B9647F"/>
    <w:rsid w:val="00BA0B86"/>
    <w:rsid w:val="00BA5513"/>
    <w:rsid w:val="00BA722D"/>
    <w:rsid w:val="00BA7E5D"/>
    <w:rsid w:val="00BB1868"/>
    <w:rsid w:val="00BB29C7"/>
    <w:rsid w:val="00BB5D02"/>
    <w:rsid w:val="00BB5E43"/>
    <w:rsid w:val="00BB6662"/>
    <w:rsid w:val="00BB7746"/>
    <w:rsid w:val="00BC1EE0"/>
    <w:rsid w:val="00BC2821"/>
    <w:rsid w:val="00BC2B40"/>
    <w:rsid w:val="00BC2F18"/>
    <w:rsid w:val="00BC34DB"/>
    <w:rsid w:val="00BC3703"/>
    <w:rsid w:val="00BC5A9C"/>
    <w:rsid w:val="00BD2C92"/>
    <w:rsid w:val="00BD3A87"/>
    <w:rsid w:val="00BD3BF6"/>
    <w:rsid w:val="00BD4601"/>
    <w:rsid w:val="00BD52B7"/>
    <w:rsid w:val="00BD610F"/>
    <w:rsid w:val="00BD6775"/>
    <w:rsid w:val="00BD6D4E"/>
    <w:rsid w:val="00BD7152"/>
    <w:rsid w:val="00BE01A5"/>
    <w:rsid w:val="00BE03D5"/>
    <w:rsid w:val="00BE0A76"/>
    <w:rsid w:val="00BE1368"/>
    <w:rsid w:val="00BE18C8"/>
    <w:rsid w:val="00BE2806"/>
    <w:rsid w:val="00BE730D"/>
    <w:rsid w:val="00BE79B6"/>
    <w:rsid w:val="00BF1081"/>
    <w:rsid w:val="00BF47F3"/>
    <w:rsid w:val="00BF6FD6"/>
    <w:rsid w:val="00C00A95"/>
    <w:rsid w:val="00C00FF8"/>
    <w:rsid w:val="00C0134D"/>
    <w:rsid w:val="00C059BF"/>
    <w:rsid w:val="00C12EB6"/>
    <w:rsid w:val="00C16B25"/>
    <w:rsid w:val="00C17CEA"/>
    <w:rsid w:val="00C21EEF"/>
    <w:rsid w:val="00C24E1E"/>
    <w:rsid w:val="00C263DB"/>
    <w:rsid w:val="00C27CE0"/>
    <w:rsid w:val="00C32C32"/>
    <w:rsid w:val="00C3729A"/>
    <w:rsid w:val="00C40392"/>
    <w:rsid w:val="00C42006"/>
    <w:rsid w:val="00C42137"/>
    <w:rsid w:val="00C44898"/>
    <w:rsid w:val="00C51B66"/>
    <w:rsid w:val="00C5299F"/>
    <w:rsid w:val="00C5548E"/>
    <w:rsid w:val="00C606EC"/>
    <w:rsid w:val="00C608A7"/>
    <w:rsid w:val="00C61ED5"/>
    <w:rsid w:val="00C626E3"/>
    <w:rsid w:val="00C63036"/>
    <w:rsid w:val="00C70442"/>
    <w:rsid w:val="00C70F0F"/>
    <w:rsid w:val="00C7159B"/>
    <w:rsid w:val="00C73CC0"/>
    <w:rsid w:val="00C7758C"/>
    <w:rsid w:val="00C7758F"/>
    <w:rsid w:val="00C77CF9"/>
    <w:rsid w:val="00C82C26"/>
    <w:rsid w:val="00C84AA8"/>
    <w:rsid w:val="00C85BE0"/>
    <w:rsid w:val="00C86984"/>
    <w:rsid w:val="00C902B6"/>
    <w:rsid w:val="00C91056"/>
    <w:rsid w:val="00C92569"/>
    <w:rsid w:val="00C94479"/>
    <w:rsid w:val="00C94657"/>
    <w:rsid w:val="00C9466C"/>
    <w:rsid w:val="00C97107"/>
    <w:rsid w:val="00C972B7"/>
    <w:rsid w:val="00CA3B2B"/>
    <w:rsid w:val="00CA44FB"/>
    <w:rsid w:val="00CA64D8"/>
    <w:rsid w:val="00CB0E7D"/>
    <w:rsid w:val="00CB200B"/>
    <w:rsid w:val="00CB2929"/>
    <w:rsid w:val="00CB4899"/>
    <w:rsid w:val="00CC2852"/>
    <w:rsid w:val="00CC45C7"/>
    <w:rsid w:val="00CC4A90"/>
    <w:rsid w:val="00CD5DAA"/>
    <w:rsid w:val="00CD7272"/>
    <w:rsid w:val="00CE1013"/>
    <w:rsid w:val="00CE1F25"/>
    <w:rsid w:val="00CE248E"/>
    <w:rsid w:val="00CE49C2"/>
    <w:rsid w:val="00CE7456"/>
    <w:rsid w:val="00CF0189"/>
    <w:rsid w:val="00CF0EBF"/>
    <w:rsid w:val="00CF18A3"/>
    <w:rsid w:val="00CF56CB"/>
    <w:rsid w:val="00CF5AAE"/>
    <w:rsid w:val="00D00846"/>
    <w:rsid w:val="00D012BB"/>
    <w:rsid w:val="00D01F77"/>
    <w:rsid w:val="00D021F5"/>
    <w:rsid w:val="00D022ED"/>
    <w:rsid w:val="00D052DD"/>
    <w:rsid w:val="00D060DB"/>
    <w:rsid w:val="00D0627C"/>
    <w:rsid w:val="00D07702"/>
    <w:rsid w:val="00D11BB2"/>
    <w:rsid w:val="00D128AA"/>
    <w:rsid w:val="00D12D7F"/>
    <w:rsid w:val="00D13A07"/>
    <w:rsid w:val="00D24AA8"/>
    <w:rsid w:val="00D254AF"/>
    <w:rsid w:val="00D25B87"/>
    <w:rsid w:val="00D27176"/>
    <w:rsid w:val="00D31DE3"/>
    <w:rsid w:val="00D36052"/>
    <w:rsid w:val="00D42C43"/>
    <w:rsid w:val="00D42F19"/>
    <w:rsid w:val="00D46F15"/>
    <w:rsid w:val="00D470AE"/>
    <w:rsid w:val="00D47464"/>
    <w:rsid w:val="00D50B9B"/>
    <w:rsid w:val="00D52B01"/>
    <w:rsid w:val="00D534F1"/>
    <w:rsid w:val="00D538A6"/>
    <w:rsid w:val="00D548CD"/>
    <w:rsid w:val="00D55658"/>
    <w:rsid w:val="00D55843"/>
    <w:rsid w:val="00D57CFA"/>
    <w:rsid w:val="00D60B76"/>
    <w:rsid w:val="00D61B82"/>
    <w:rsid w:val="00D61B8F"/>
    <w:rsid w:val="00D61C27"/>
    <w:rsid w:val="00D64226"/>
    <w:rsid w:val="00D71FD2"/>
    <w:rsid w:val="00D75C2A"/>
    <w:rsid w:val="00D76521"/>
    <w:rsid w:val="00D76E6A"/>
    <w:rsid w:val="00D80661"/>
    <w:rsid w:val="00D81CCE"/>
    <w:rsid w:val="00D82CEB"/>
    <w:rsid w:val="00D8394C"/>
    <w:rsid w:val="00D84C16"/>
    <w:rsid w:val="00D84DB2"/>
    <w:rsid w:val="00D90953"/>
    <w:rsid w:val="00D93D69"/>
    <w:rsid w:val="00D949A6"/>
    <w:rsid w:val="00D95D33"/>
    <w:rsid w:val="00DA025C"/>
    <w:rsid w:val="00DA37A6"/>
    <w:rsid w:val="00DA7CD3"/>
    <w:rsid w:val="00DB1BCC"/>
    <w:rsid w:val="00DB43A0"/>
    <w:rsid w:val="00DC05A0"/>
    <w:rsid w:val="00DC1A53"/>
    <w:rsid w:val="00DC23D8"/>
    <w:rsid w:val="00DC67B3"/>
    <w:rsid w:val="00DC6AFD"/>
    <w:rsid w:val="00DC725B"/>
    <w:rsid w:val="00DC72E9"/>
    <w:rsid w:val="00DC73CA"/>
    <w:rsid w:val="00DD0336"/>
    <w:rsid w:val="00DD1142"/>
    <w:rsid w:val="00DD2B68"/>
    <w:rsid w:val="00DD39A8"/>
    <w:rsid w:val="00DD6DB3"/>
    <w:rsid w:val="00DD7039"/>
    <w:rsid w:val="00DD7AA4"/>
    <w:rsid w:val="00DE1660"/>
    <w:rsid w:val="00DE1B2B"/>
    <w:rsid w:val="00DE5455"/>
    <w:rsid w:val="00DE5D0F"/>
    <w:rsid w:val="00DE686B"/>
    <w:rsid w:val="00DF1C7B"/>
    <w:rsid w:val="00DF5065"/>
    <w:rsid w:val="00E01FB2"/>
    <w:rsid w:val="00E01FBF"/>
    <w:rsid w:val="00E02E61"/>
    <w:rsid w:val="00E128A1"/>
    <w:rsid w:val="00E128E1"/>
    <w:rsid w:val="00E136AD"/>
    <w:rsid w:val="00E141E6"/>
    <w:rsid w:val="00E23E23"/>
    <w:rsid w:val="00E24760"/>
    <w:rsid w:val="00E249B8"/>
    <w:rsid w:val="00E258E3"/>
    <w:rsid w:val="00E30911"/>
    <w:rsid w:val="00E316F9"/>
    <w:rsid w:val="00E319D8"/>
    <w:rsid w:val="00E31BDC"/>
    <w:rsid w:val="00E33609"/>
    <w:rsid w:val="00E35520"/>
    <w:rsid w:val="00E36E50"/>
    <w:rsid w:val="00E426E1"/>
    <w:rsid w:val="00E43EE6"/>
    <w:rsid w:val="00E474AE"/>
    <w:rsid w:val="00E475B8"/>
    <w:rsid w:val="00E50AC8"/>
    <w:rsid w:val="00E532BE"/>
    <w:rsid w:val="00E603AD"/>
    <w:rsid w:val="00E608F7"/>
    <w:rsid w:val="00E63990"/>
    <w:rsid w:val="00E646E0"/>
    <w:rsid w:val="00E67B08"/>
    <w:rsid w:val="00E71253"/>
    <w:rsid w:val="00E73CD0"/>
    <w:rsid w:val="00E74811"/>
    <w:rsid w:val="00E762BA"/>
    <w:rsid w:val="00E763B5"/>
    <w:rsid w:val="00E8093C"/>
    <w:rsid w:val="00E8174C"/>
    <w:rsid w:val="00E84E59"/>
    <w:rsid w:val="00E8788C"/>
    <w:rsid w:val="00E919FB"/>
    <w:rsid w:val="00E92F2A"/>
    <w:rsid w:val="00E95A10"/>
    <w:rsid w:val="00EA0608"/>
    <w:rsid w:val="00EB306C"/>
    <w:rsid w:val="00EB4035"/>
    <w:rsid w:val="00EB53A0"/>
    <w:rsid w:val="00EB5F2D"/>
    <w:rsid w:val="00EC1A86"/>
    <w:rsid w:val="00EC228A"/>
    <w:rsid w:val="00EC513B"/>
    <w:rsid w:val="00EC5A33"/>
    <w:rsid w:val="00EC76BD"/>
    <w:rsid w:val="00ED0896"/>
    <w:rsid w:val="00ED1C8F"/>
    <w:rsid w:val="00ED2C3A"/>
    <w:rsid w:val="00ED2FBE"/>
    <w:rsid w:val="00ED48EA"/>
    <w:rsid w:val="00ED65D2"/>
    <w:rsid w:val="00ED7DD2"/>
    <w:rsid w:val="00EE553E"/>
    <w:rsid w:val="00EF15FF"/>
    <w:rsid w:val="00EF1B19"/>
    <w:rsid w:val="00EF1FD0"/>
    <w:rsid w:val="00EF3AFB"/>
    <w:rsid w:val="00EF446A"/>
    <w:rsid w:val="00EF5E93"/>
    <w:rsid w:val="00EF6041"/>
    <w:rsid w:val="00EF7219"/>
    <w:rsid w:val="00EF73B7"/>
    <w:rsid w:val="00EF7E66"/>
    <w:rsid w:val="00F02BE0"/>
    <w:rsid w:val="00F03039"/>
    <w:rsid w:val="00F0428C"/>
    <w:rsid w:val="00F04532"/>
    <w:rsid w:val="00F10A1B"/>
    <w:rsid w:val="00F10C91"/>
    <w:rsid w:val="00F11D0F"/>
    <w:rsid w:val="00F135F2"/>
    <w:rsid w:val="00F1383B"/>
    <w:rsid w:val="00F16E89"/>
    <w:rsid w:val="00F20D8F"/>
    <w:rsid w:val="00F24201"/>
    <w:rsid w:val="00F260E6"/>
    <w:rsid w:val="00F32F0E"/>
    <w:rsid w:val="00F3382E"/>
    <w:rsid w:val="00F352D1"/>
    <w:rsid w:val="00F3747F"/>
    <w:rsid w:val="00F37968"/>
    <w:rsid w:val="00F40A3D"/>
    <w:rsid w:val="00F40EA3"/>
    <w:rsid w:val="00F42554"/>
    <w:rsid w:val="00F53FDA"/>
    <w:rsid w:val="00F5591A"/>
    <w:rsid w:val="00F55CFD"/>
    <w:rsid w:val="00F57BE0"/>
    <w:rsid w:val="00F70CB9"/>
    <w:rsid w:val="00F70DF2"/>
    <w:rsid w:val="00F75E02"/>
    <w:rsid w:val="00F75EA2"/>
    <w:rsid w:val="00F77909"/>
    <w:rsid w:val="00F80E89"/>
    <w:rsid w:val="00F82E83"/>
    <w:rsid w:val="00F83AE6"/>
    <w:rsid w:val="00F85215"/>
    <w:rsid w:val="00F90E52"/>
    <w:rsid w:val="00F911EB"/>
    <w:rsid w:val="00F95FD9"/>
    <w:rsid w:val="00FA2114"/>
    <w:rsid w:val="00FA26FE"/>
    <w:rsid w:val="00FA4F13"/>
    <w:rsid w:val="00FA56F5"/>
    <w:rsid w:val="00FC0060"/>
    <w:rsid w:val="00FC1BC1"/>
    <w:rsid w:val="00FC2EA7"/>
    <w:rsid w:val="00FC3ECE"/>
    <w:rsid w:val="00FC3EE0"/>
    <w:rsid w:val="00FC5078"/>
    <w:rsid w:val="00FC5803"/>
    <w:rsid w:val="00FC75FA"/>
    <w:rsid w:val="00FD0936"/>
    <w:rsid w:val="00FD106A"/>
    <w:rsid w:val="00FD34BF"/>
    <w:rsid w:val="00FD7472"/>
    <w:rsid w:val="00FE1B5D"/>
    <w:rsid w:val="00FE2D13"/>
    <w:rsid w:val="00FE3253"/>
    <w:rsid w:val="00FE57AE"/>
    <w:rsid w:val="00FE6E35"/>
    <w:rsid w:val="00FE79CD"/>
    <w:rsid w:val="00FF1ABF"/>
    <w:rsid w:val="00FF2A4C"/>
    <w:rsid w:val="00FF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144D7"/>
  <w15:docId w15:val="{118AB27D-E15A-4B7C-BD24-1A94BAFE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312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4713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DD2B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2B68"/>
    <w:pPr>
      <w:spacing w:before="100" w:beforeAutospacing="1" w:after="100" w:afterAutospacing="1"/>
    </w:pPr>
  </w:style>
  <w:style w:type="character" w:customStyle="1" w:styleId="spelle">
    <w:name w:val="spelle"/>
    <w:rsid w:val="00DD2B68"/>
    <w:rPr>
      <w:rFonts w:cs="Times New Roman"/>
    </w:rPr>
  </w:style>
  <w:style w:type="paragraph" w:customStyle="1" w:styleId="nospacing">
    <w:name w:val="nospacing"/>
    <w:basedOn w:val="a"/>
    <w:rsid w:val="00DD2B68"/>
    <w:pPr>
      <w:spacing w:before="100" w:beforeAutospacing="1" w:after="100" w:afterAutospacing="1"/>
    </w:pPr>
  </w:style>
  <w:style w:type="table" w:styleId="a4">
    <w:name w:val="Table Grid"/>
    <w:basedOn w:val="a1"/>
    <w:rsid w:val="00DD2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351FC4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page number"/>
    <w:rsid w:val="0047130C"/>
    <w:rPr>
      <w:rFonts w:cs="Times New Roman"/>
    </w:rPr>
  </w:style>
  <w:style w:type="paragraph" w:styleId="HTML">
    <w:name w:val="HTML Preformatted"/>
    <w:basedOn w:val="a"/>
    <w:link w:val="HTML0"/>
    <w:rsid w:val="00471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Без интервала1"/>
    <w:rsid w:val="0047130C"/>
    <w:rPr>
      <w:rFonts w:ascii="Calibri" w:hAnsi="Calibri"/>
      <w:sz w:val="22"/>
      <w:szCs w:val="22"/>
      <w:lang w:val="ru-RU" w:eastAsia="en-US"/>
    </w:rPr>
  </w:style>
  <w:style w:type="character" w:customStyle="1" w:styleId="HTML0">
    <w:name w:val="Стандартний HTML Знак"/>
    <w:link w:val="HTML"/>
    <w:locked/>
    <w:rsid w:val="0047130C"/>
    <w:rPr>
      <w:rFonts w:ascii="Courier New" w:eastAsia="Times New Roman" w:hAnsi="Courier New"/>
      <w:lang w:val="ru-RU" w:eastAsia="ru-RU"/>
    </w:rPr>
  </w:style>
  <w:style w:type="paragraph" w:styleId="a7">
    <w:name w:val="Body Text Indent"/>
    <w:basedOn w:val="a"/>
    <w:rsid w:val="0047130C"/>
    <w:pPr>
      <w:widowControl w:val="0"/>
      <w:spacing w:line="360" w:lineRule="auto"/>
      <w:ind w:firstLine="500"/>
    </w:pPr>
    <w:rPr>
      <w:szCs w:val="20"/>
      <w:lang w:val="uk-UA"/>
    </w:rPr>
  </w:style>
  <w:style w:type="character" w:customStyle="1" w:styleId="grame">
    <w:name w:val="grame"/>
    <w:rsid w:val="0047130C"/>
    <w:rPr>
      <w:rFonts w:cs="Times New Roman"/>
    </w:rPr>
  </w:style>
  <w:style w:type="character" w:customStyle="1" w:styleId="work">
    <w:name w:val="work"/>
    <w:semiHidden/>
    <w:rsid w:val="00965650"/>
    <w:rPr>
      <w:rFonts w:ascii="Arial" w:hAnsi="Arial"/>
      <w:color w:val="auto"/>
      <w:sz w:val="20"/>
    </w:rPr>
  </w:style>
  <w:style w:type="paragraph" w:styleId="a8">
    <w:name w:val="header"/>
    <w:basedOn w:val="a"/>
    <w:link w:val="a9"/>
    <w:uiPriority w:val="99"/>
    <w:rsid w:val="00D470AE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D470AE"/>
    <w:pPr>
      <w:tabs>
        <w:tab w:val="center" w:pos="4677"/>
        <w:tab w:val="right" w:pos="9355"/>
      </w:tabs>
    </w:pPr>
  </w:style>
  <w:style w:type="paragraph" w:customStyle="1" w:styleId="10">
    <w:name w:val="Знак Знак Знак Знак Знак Знак Знак Знак1 Знак Знак Знак Знак Знак Знак Знак Знак Знак Знак"/>
    <w:basedOn w:val="a"/>
    <w:rsid w:val="00FC75FA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0A26D1"/>
    <w:rPr>
      <w:rFonts w:cs="Times New Roman"/>
    </w:rPr>
  </w:style>
  <w:style w:type="character" w:styleId="ab">
    <w:name w:val="Hyperlink"/>
    <w:rsid w:val="000A26D1"/>
    <w:rPr>
      <w:color w:val="0000FF"/>
      <w:u w:val="single"/>
    </w:rPr>
  </w:style>
  <w:style w:type="character" w:customStyle="1" w:styleId="rvts9">
    <w:name w:val="rvts9"/>
    <w:rsid w:val="00A85987"/>
    <w:rPr>
      <w:rFonts w:cs="Times New Roman"/>
    </w:rPr>
  </w:style>
  <w:style w:type="character" w:customStyle="1" w:styleId="rvts23">
    <w:name w:val="rvts23"/>
    <w:rsid w:val="00A85987"/>
    <w:rPr>
      <w:rFonts w:cs="Times New Roman"/>
    </w:rPr>
  </w:style>
  <w:style w:type="paragraph" w:customStyle="1" w:styleId="11">
    <w:name w:val="Знак Знак1 Знак Знак Знак Знак"/>
    <w:basedOn w:val="a"/>
    <w:rsid w:val="003A2035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Нормальний текст"/>
    <w:basedOn w:val="a"/>
    <w:rsid w:val="00094DA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12">
    <w:name w:val="Абзац списка1"/>
    <w:basedOn w:val="a"/>
    <w:rsid w:val="007C6D5B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character" w:customStyle="1" w:styleId="a9">
    <w:name w:val="Верхній колонтитул Знак"/>
    <w:link w:val="a8"/>
    <w:uiPriority w:val="99"/>
    <w:locked/>
    <w:rsid w:val="00376AA6"/>
    <w:rPr>
      <w:sz w:val="24"/>
      <w:lang w:val="ru-RU" w:eastAsia="ru-RU"/>
    </w:rPr>
  </w:style>
  <w:style w:type="table" w:customStyle="1" w:styleId="13">
    <w:name w:val="Сетка таблицы1"/>
    <w:rsid w:val="005332F8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semiHidden/>
    <w:rsid w:val="00BC1EE0"/>
    <w:rPr>
      <w:sz w:val="16"/>
    </w:rPr>
  </w:style>
  <w:style w:type="paragraph" w:styleId="ae">
    <w:name w:val="annotation text"/>
    <w:basedOn w:val="a"/>
    <w:semiHidden/>
    <w:rsid w:val="00BC1EE0"/>
    <w:rPr>
      <w:sz w:val="20"/>
      <w:szCs w:val="20"/>
    </w:rPr>
  </w:style>
  <w:style w:type="paragraph" w:styleId="af">
    <w:name w:val="annotation subject"/>
    <w:basedOn w:val="ae"/>
    <w:next w:val="ae"/>
    <w:semiHidden/>
    <w:rsid w:val="00BC1EE0"/>
    <w:rPr>
      <w:b/>
      <w:bCs/>
    </w:rPr>
  </w:style>
  <w:style w:type="paragraph" w:styleId="af0">
    <w:name w:val="Balloon Text"/>
    <w:basedOn w:val="a"/>
    <w:semiHidden/>
    <w:rsid w:val="00BC1EE0"/>
    <w:rPr>
      <w:rFonts w:ascii="Tahoma" w:hAnsi="Tahoma" w:cs="Tahoma"/>
      <w:sz w:val="16"/>
      <w:szCs w:val="16"/>
    </w:rPr>
  </w:style>
  <w:style w:type="character" w:customStyle="1" w:styleId="st131">
    <w:name w:val="st131"/>
    <w:uiPriority w:val="99"/>
    <w:rsid w:val="00BA5513"/>
    <w:rPr>
      <w:i/>
      <w:iCs/>
      <w:color w:val="0000FF"/>
    </w:rPr>
  </w:style>
  <w:style w:type="character" w:customStyle="1" w:styleId="st46">
    <w:name w:val="st46"/>
    <w:uiPriority w:val="99"/>
    <w:rsid w:val="00BA5513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8623</Words>
  <Characters>4916</Characters>
  <Application>Microsoft Office Word</Application>
  <DocSecurity>0</DocSecurity>
  <Lines>40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Григорій Туленко</cp:lastModifiedBy>
  <cp:revision>2</cp:revision>
  <cp:lastPrinted>2017-11-14T12:41:00Z</cp:lastPrinted>
  <dcterms:created xsi:type="dcterms:W3CDTF">2023-11-15T13:30:00Z</dcterms:created>
  <dcterms:modified xsi:type="dcterms:W3CDTF">2023-11-15T13:30:00Z</dcterms:modified>
</cp:coreProperties>
</file>