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2CE307" w14:textId="63CC17FA" w:rsidR="00A42981" w:rsidRDefault="00FE6878" w:rsidP="00FE6878">
      <w:pPr>
        <w:jc w:val="center"/>
      </w:pPr>
      <w:r>
        <w:t>Порівняльна таблиц</w:t>
      </w:r>
      <w:r w:rsidRPr="00CC4DB9">
        <w:t xml:space="preserve">я </w:t>
      </w:r>
      <w:r w:rsidR="00A42981" w:rsidRPr="00CC4DB9">
        <w:t>до проєкту постанови НКРЕКП «Про затвердження Типового договору на технічне обслуговування внутрішньобудинкових систем газопостачання багатоквартирного будинку та</w:t>
      </w:r>
      <w:r w:rsidR="00247440" w:rsidRPr="00CC4DB9">
        <w:t xml:space="preserve"> внесення</w:t>
      </w:r>
      <w:r w:rsidR="00A42981" w:rsidRPr="00CC4DB9">
        <w:t xml:space="preserve"> змін до Кодексу газорозподільних систем»</w:t>
      </w:r>
    </w:p>
    <w:p w14:paraId="27C0AE35" w14:textId="77777777" w:rsidR="002E687D" w:rsidRPr="00CC4DB9" w:rsidRDefault="002E687D" w:rsidP="00FE6878">
      <w:pPr>
        <w:jc w:val="center"/>
      </w:pPr>
    </w:p>
    <w:tbl>
      <w:tblPr>
        <w:tblStyle w:val="a3"/>
        <w:tblW w:w="0" w:type="auto"/>
        <w:tblLook w:val="04A0" w:firstRow="1" w:lastRow="0" w:firstColumn="1" w:lastColumn="0" w:noHBand="0" w:noVBand="1"/>
      </w:tblPr>
      <w:tblGrid>
        <w:gridCol w:w="7564"/>
        <w:gridCol w:w="7564"/>
      </w:tblGrid>
      <w:tr w:rsidR="00CC4DB9" w:rsidRPr="00CC4DB9" w14:paraId="4EC09CC4" w14:textId="77777777" w:rsidTr="00A42981">
        <w:tc>
          <w:tcPr>
            <w:tcW w:w="7564" w:type="dxa"/>
          </w:tcPr>
          <w:p w14:paraId="206152F6" w14:textId="4A65B143" w:rsidR="00A42981" w:rsidRPr="00CC4DB9" w:rsidRDefault="003B7AF5" w:rsidP="00FE6878">
            <w:pPr>
              <w:jc w:val="center"/>
            </w:pPr>
            <w:r w:rsidRPr="00CC4DB9">
              <w:rPr>
                <w:b/>
                <w:i/>
              </w:rPr>
              <w:t>Поточна редакція Кодексу газорозподільних систем</w:t>
            </w:r>
          </w:p>
        </w:tc>
        <w:tc>
          <w:tcPr>
            <w:tcW w:w="7564" w:type="dxa"/>
          </w:tcPr>
          <w:p w14:paraId="50B8707F" w14:textId="658E1625" w:rsidR="00A42981" w:rsidRPr="00CC4DB9" w:rsidRDefault="003B7AF5" w:rsidP="00FE6878">
            <w:pPr>
              <w:jc w:val="center"/>
            </w:pPr>
            <w:r w:rsidRPr="00CC4DB9">
              <w:rPr>
                <w:b/>
                <w:i/>
              </w:rPr>
              <w:t>Проєкт Постанови</w:t>
            </w:r>
          </w:p>
        </w:tc>
      </w:tr>
      <w:tr w:rsidR="00CC4DB9" w:rsidRPr="00CC4DB9" w14:paraId="0E218285" w14:textId="77777777" w:rsidTr="00A42981">
        <w:tc>
          <w:tcPr>
            <w:tcW w:w="7564" w:type="dxa"/>
          </w:tcPr>
          <w:p w14:paraId="02E402CC" w14:textId="77777777" w:rsidR="00D317B8" w:rsidRPr="00CC4DB9" w:rsidRDefault="00D317B8" w:rsidP="00502FA2">
            <w:pPr>
              <w:rPr>
                <w:sz w:val="24"/>
              </w:rPr>
            </w:pPr>
          </w:p>
          <w:p w14:paraId="13D1EB5B" w14:textId="07026B88" w:rsidR="00502FA2" w:rsidRPr="00CC4DB9" w:rsidRDefault="00502FA2" w:rsidP="00502FA2">
            <w:pPr>
              <w:rPr>
                <w:sz w:val="24"/>
              </w:rPr>
            </w:pPr>
            <w:r w:rsidRPr="00CC4DB9">
              <w:rPr>
                <w:sz w:val="24"/>
              </w:rPr>
              <w:t>3. Дія цього Кодексу поширюється на операторів газорозподільних систем, замовників доступу та приєднання до газорозподільної системи, споживачів (у тому числі побутових споживачів), об’єкти яких підключені до газорозподільних систем, та на їх постачальників. Крім того, цим Кодексом регулюються взаємовідносини:</w:t>
            </w:r>
          </w:p>
          <w:p w14:paraId="3A3A6C4A" w14:textId="77777777" w:rsidR="00502FA2" w:rsidRPr="00CC4DB9" w:rsidRDefault="00502FA2" w:rsidP="00502FA2">
            <w:pPr>
              <w:rPr>
                <w:sz w:val="24"/>
              </w:rPr>
            </w:pPr>
            <w:r w:rsidRPr="00CC4DB9">
              <w:rPr>
                <w:sz w:val="24"/>
              </w:rPr>
              <w:t xml:space="preserve">між оператором газорозподільної системи і газодобувними підприємствами та виробниками </w:t>
            </w:r>
            <w:proofErr w:type="spellStart"/>
            <w:r w:rsidRPr="00CC4DB9">
              <w:rPr>
                <w:sz w:val="24"/>
              </w:rPr>
              <w:t>біометану</w:t>
            </w:r>
            <w:proofErr w:type="spellEnd"/>
            <w:r w:rsidRPr="00CC4DB9">
              <w:rPr>
                <w:sz w:val="24"/>
              </w:rPr>
              <w:t xml:space="preserve"> або інших видів газу з альтернативних джерел, які підключені (приєднуються) до газорозподільної системи;</w:t>
            </w:r>
          </w:p>
          <w:p w14:paraId="1EEBF541" w14:textId="6D01934B" w:rsidR="00502FA2" w:rsidRPr="00CC4DB9" w:rsidRDefault="00502FA2" w:rsidP="00502FA2">
            <w:pPr>
              <w:rPr>
                <w:lang w:val="ru-RU"/>
              </w:rPr>
            </w:pPr>
            <w:r w:rsidRPr="00CC4DB9">
              <w:rPr>
                <w:sz w:val="24"/>
              </w:rPr>
              <w:t>між оператором газорозподільної системи та несанкціонованими споживачами, які втручаються в роботу газорозподільної системи, у тому числі шляхом самовільного під’єднання несанкціонованого газопроводу.</w:t>
            </w:r>
          </w:p>
        </w:tc>
        <w:tc>
          <w:tcPr>
            <w:tcW w:w="7564" w:type="dxa"/>
          </w:tcPr>
          <w:p w14:paraId="3AEF3CF6" w14:textId="5CA2F3BB" w:rsidR="00D317B8" w:rsidRPr="00CC4DB9" w:rsidRDefault="00B12456" w:rsidP="00D317B8">
            <w:pPr>
              <w:rPr>
                <w:i/>
                <w:sz w:val="24"/>
              </w:rPr>
            </w:pPr>
            <w:r w:rsidRPr="00CC4DB9">
              <w:rPr>
                <w:i/>
                <w:sz w:val="24"/>
              </w:rPr>
              <w:t>П</w:t>
            </w:r>
            <w:r w:rsidR="00D317B8" w:rsidRPr="00CC4DB9">
              <w:rPr>
                <w:i/>
                <w:sz w:val="24"/>
              </w:rPr>
              <w:t>ункт 3 глави 1 розділу І доповнити новим абзацом</w:t>
            </w:r>
          </w:p>
          <w:p w14:paraId="768BC340" w14:textId="2F8FCE6F" w:rsidR="00D317B8" w:rsidRPr="00CC4DB9" w:rsidRDefault="00D317B8" w:rsidP="00D317B8">
            <w:pPr>
              <w:rPr>
                <w:sz w:val="24"/>
              </w:rPr>
            </w:pPr>
            <w:r w:rsidRPr="00CC4DB9">
              <w:rPr>
                <w:sz w:val="24"/>
              </w:rPr>
              <w:t>3. Дія цього Кодексу поширюється на операторів газорозподільних систем, замовників доступу та приєднання до газорозподільної системи, споживачів (у тому числі побутових споживачів), об’єкти яких підключені до газорозподільних систем, та на їх постачальників. Крім того, цим Кодексом регулюються взаємовідносини:</w:t>
            </w:r>
          </w:p>
          <w:p w14:paraId="6ACE739F" w14:textId="77777777" w:rsidR="00D317B8" w:rsidRPr="00CC4DB9" w:rsidRDefault="00D317B8" w:rsidP="00D317B8">
            <w:pPr>
              <w:rPr>
                <w:sz w:val="24"/>
              </w:rPr>
            </w:pPr>
            <w:r w:rsidRPr="00CC4DB9">
              <w:rPr>
                <w:sz w:val="24"/>
              </w:rPr>
              <w:t xml:space="preserve">між оператором газорозподільної системи і газодобувними підприємствами та виробниками </w:t>
            </w:r>
            <w:proofErr w:type="spellStart"/>
            <w:r w:rsidRPr="00CC4DB9">
              <w:rPr>
                <w:sz w:val="24"/>
              </w:rPr>
              <w:t>біометану</w:t>
            </w:r>
            <w:proofErr w:type="spellEnd"/>
            <w:r w:rsidRPr="00CC4DB9">
              <w:rPr>
                <w:sz w:val="24"/>
              </w:rPr>
              <w:t xml:space="preserve"> або інших видів газу з альтернативних джерел, які підключені (приєднуються) до газорозподільної системи;</w:t>
            </w:r>
          </w:p>
          <w:p w14:paraId="0FB081BB" w14:textId="77777777" w:rsidR="00502FA2" w:rsidRPr="00CC4DB9" w:rsidRDefault="00D317B8" w:rsidP="00D317B8">
            <w:pPr>
              <w:rPr>
                <w:sz w:val="24"/>
              </w:rPr>
            </w:pPr>
            <w:r w:rsidRPr="00CC4DB9">
              <w:rPr>
                <w:sz w:val="24"/>
              </w:rPr>
              <w:t>між оператором газорозподільної системи та несанкціонованими споживачами, які втручаються в роботу газорозподільної системи, у тому числі шляхом самовільного під’єднання несанкціонованого газопроводу.</w:t>
            </w:r>
          </w:p>
          <w:p w14:paraId="5D2C78C2" w14:textId="047B7140" w:rsidR="00D317B8" w:rsidRPr="00CC4DB9" w:rsidRDefault="00B70D3A" w:rsidP="00D317B8">
            <w:pPr>
              <w:rPr>
                <w:b/>
              </w:rPr>
            </w:pPr>
            <w:r w:rsidRPr="00B70D3A">
              <w:rPr>
                <w:b/>
                <w:sz w:val="24"/>
              </w:rPr>
              <w:t>Питання пов’язані з технічним обслуговуванням внутрішньобудинкових систем газопостачання, зокрема в багатоквартирних будинках, регулюються Порядком технічного обслуговування внутрішньобудинкових систем газопостачання у багатоквартирному будинку, затвердженим наказом Міністерства енергетики України від 29 вересня 2023 року № 292, зареєстрованим в Міністерстві юстиції України 04 жовтня 2023 року за № 1741/40797 (далі − Порядок ТО ВБСГ), та Правилами безпеки систем газопостачання, затверджених наказом Міністерства енергетики та вугільної промисловості України від 15 травня 2015 року № 285, зареєстрованих в Міністерстві юстиції України 08 червня 2015 року за № 674/27119 (далі – ПБСГ).</w:t>
            </w:r>
          </w:p>
        </w:tc>
      </w:tr>
      <w:tr w:rsidR="00CC4DB9" w:rsidRPr="00CC4DB9" w14:paraId="35F682AF" w14:textId="77777777" w:rsidTr="000623A1">
        <w:tc>
          <w:tcPr>
            <w:tcW w:w="15128" w:type="dxa"/>
            <w:gridSpan w:val="2"/>
          </w:tcPr>
          <w:p w14:paraId="29EE4C6C" w14:textId="093B2A65" w:rsidR="00B12456" w:rsidRPr="00CC4DB9" w:rsidRDefault="00B12456" w:rsidP="00B12456">
            <w:pPr>
              <w:pStyle w:val="rvps2"/>
              <w:shd w:val="clear" w:color="auto" w:fill="FFFFFF"/>
              <w:tabs>
                <w:tab w:val="left" w:pos="7095"/>
              </w:tabs>
              <w:spacing w:before="0" w:beforeAutospacing="0" w:after="0" w:afterAutospacing="0"/>
              <w:ind w:firstLine="450"/>
              <w:jc w:val="center"/>
              <w:rPr>
                <w:i/>
                <w:lang w:val="uk-UA"/>
              </w:rPr>
            </w:pPr>
            <w:r w:rsidRPr="00CC4DB9">
              <w:rPr>
                <w:b/>
                <w:bCs/>
                <w:szCs w:val="28"/>
                <w:shd w:val="clear" w:color="auto" w:fill="FFFFFF"/>
              </w:rPr>
              <w:t>III</w:t>
            </w:r>
            <w:r w:rsidRPr="00CC4DB9">
              <w:rPr>
                <w:b/>
                <w:bCs/>
                <w:szCs w:val="28"/>
                <w:shd w:val="clear" w:color="auto" w:fill="FFFFFF"/>
                <w:lang w:val="uk-UA"/>
              </w:rPr>
              <w:t>. Основні правила технічної експлуатації газорозподільної системи</w:t>
            </w:r>
          </w:p>
        </w:tc>
      </w:tr>
      <w:tr w:rsidR="00CC4DB9" w:rsidRPr="00CC4DB9" w14:paraId="1555048D" w14:textId="77777777" w:rsidTr="00A42981">
        <w:tc>
          <w:tcPr>
            <w:tcW w:w="7564" w:type="dxa"/>
          </w:tcPr>
          <w:p w14:paraId="16A5908B" w14:textId="333CF205" w:rsidR="00B12456" w:rsidRPr="00CC4DB9" w:rsidRDefault="00B12456" w:rsidP="00B12456">
            <w:pPr>
              <w:pStyle w:val="rvps2"/>
              <w:shd w:val="clear" w:color="auto" w:fill="FFFFFF"/>
              <w:spacing w:before="0" w:beforeAutospacing="0" w:after="0" w:afterAutospacing="0"/>
              <w:ind w:firstLine="450"/>
              <w:jc w:val="both"/>
              <w:rPr>
                <w:lang w:val="uk-UA"/>
              </w:rPr>
            </w:pPr>
            <w:r w:rsidRPr="00CC4DB9">
              <w:rPr>
                <w:lang w:val="uk-UA"/>
              </w:rPr>
              <w:lastRenderedPageBreak/>
              <w:t>2. Власники газової мережі, яка згідно з розділом ІІ цього Кодексу кваліфікується як газорозподільна система (крім газорозподільної системи, що відноситься до державного майна), що не є Операторами ГРМ, та Оператор ГРМ, до мереж якого підключені належні власникам газорозподільні системи (або на території ліцензованої діяльності якого знаходяться споживачі, підключені до цих газорозподільних систем), зобов’язані укласти договір про експлуатацію таких газорозподільних систем, або договір господарського відання чи користування з передачею газорозподільних систем на баланс Оператору ГРМ, або оформити передачу належних власникам газорозподільних систем у власність зазначеному Оператору ГРМ (у тому числі шляхом купівлі-продажу).</w:t>
            </w:r>
          </w:p>
          <w:p w14:paraId="68A6EE00" w14:textId="77777777" w:rsidR="00B12456" w:rsidRPr="00CC4DB9" w:rsidRDefault="00B12456" w:rsidP="00B12456">
            <w:pPr>
              <w:pStyle w:val="rvps2"/>
              <w:shd w:val="clear" w:color="auto" w:fill="FFFFFF"/>
              <w:spacing w:before="0" w:beforeAutospacing="0" w:after="0" w:afterAutospacing="0"/>
              <w:ind w:firstLine="450"/>
              <w:jc w:val="both"/>
              <w:rPr>
                <w:lang w:val="uk-UA"/>
              </w:rPr>
            </w:pPr>
            <w:r w:rsidRPr="00CC4DB9">
              <w:rPr>
                <w:lang w:val="uk-UA"/>
              </w:rPr>
              <w:t>Договори експлуатації, господарського відання та користування укладаються за формами, визначеними у додатках 3-5 цього Кодексу (крім газових мереж, що є державним майном).</w:t>
            </w:r>
          </w:p>
          <w:p w14:paraId="6705571B" w14:textId="77777777" w:rsidR="00B12456" w:rsidRPr="00CC4DB9" w:rsidRDefault="00B12456" w:rsidP="00B12456">
            <w:pPr>
              <w:pStyle w:val="rvps2"/>
              <w:shd w:val="clear" w:color="auto" w:fill="FFFFFF"/>
              <w:spacing w:before="0" w:beforeAutospacing="0" w:after="0" w:afterAutospacing="0"/>
              <w:ind w:firstLine="450"/>
              <w:jc w:val="both"/>
              <w:rPr>
                <w:lang w:val="uk-UA"/>
              </w:rPr>
            </w:pPr>
            <w:r w:rsidRPr="00CC4DB9">
              <w:rPr>
                <w:lang w:val="uk-UA"/>
              </w:rPr>
              <w:t>Технічне обслуговування та поточний ремонт внутрішньобудинкових газових мереж у багатоквартирному будинку здійснюється на умовах договору, укладеного між співвласниками/особою, уповноваженою на це співвласниками, і суб’єктом, що має право на виконання таких робіт.</w:t>
            </w:r>
          </w:p>
          <w:p w14:paraId="52EB903B" w14:textId="77777777" w:rsidR="00B12456" w:rsidRPr="00CC4DB9" w:rsidRDefault="00B12456" w:rsidP="00B12456">
            <w:pPr>
              <w:pStyle w:val="rvps2"/>
              <w:shd w:val="clear" w:color="auto" w:fill="FFFFFF"/>
              <w:spacing w:before="0" w:beforeAutospacing="0" w:after="0" w:afterAutospacing="0"/>
              <w:ind w:firstLine="450"/>
              <w:jc w:val="both"/>
              <w:rPr>
                <w:lang w:val="uk-UA"/>
              </w:rPr>
            </w:pPr>
            <w:r w:rsidRPr="00CC4DB9">
              <w:rPr>
                <w:lang w:val="uk-UA"/>
              </w:rPr>
              <w:t>При цьому види робіт, які входять до технічного обслуговування внутрішньобудинкових систем газопостачання в житлових будинках та здійснюються виключно Операторами ГРМ, визначаються центральним органом виконавчої влади, що забезпечує формування та реалізує державну політику в нафтогазовому комплексі, відповідно до Закону України «Про житлово-комунальні послуги».</w:t>
            </w:r>
          </w:p>
          <w:p w14:paraId="32091714" w14:textId="77777777" w:rsidR="00B12456" w:rsidRPr="00CC4DB9" w:rsidRDefault="00B12456" w:rsidP="00B12456">
            <w:pPr>
              <w:pStyle w:val="rvps2"/>
              <w:shd w:val="clear" w:color="auto" w:fill="FFFFFF"/>
              <w:spacing w:before="0" w:beforeAutospacing="0" w:after="0" w:afterAutospacing="0"/>
              <w:ind w:firstLine="450"/>
              <w:jc w:val="both"/>
              <w:rPr>
                <w:lang w:val="uk-UA"/>
              </w:rPr>
            </w:pPr>
            <w:r w:rsidRPr="00CC4DB9">
              <w:rPr>
                <w:lang w:val="uk-UA"/>
              </w:rPr>
              <w:t>Відповідно до вимог Правил безпеки систем газопостачання, затверджених наказом Міністерства енергетики та вугільної промисловості України від 15 травня 2015 року № 285, зареєстрованих у Міністерстві юстиції України 08 червня 2015 року за № 674/27119 (далі - ПБСГ), у випадку незабезпечення технічного обслуговування та поточного ремонту внутрішньобудинкових газових мереж у багатоквартирному будинку розподіл природного газу припиняється.</w:t>
            </w:r>
          </w:p>
          <w:p w14:paraId="6F4B8110" w14:textId="21C72678" w:rsidR="00B12456" w:rsidRPr="00CC4DB9" w:rsidRDefault="00B12456" w:rsidP="00B12456">
            <w:pPr>
              <w:pStyle w:val="rvps2"/>
              <w:shd w:val="clear" w:color="auto" w:fill="FFFFFF"/>
              <w:spacing w:before="0" w:beforeAutospacing="0" w:after="0" w:afterAutospacing="0"/>
              <w:ind w:firstLine="450"/>
              <w:jc w:val="both"/>
              <w:rPr>
                <w:lang w:val="uk-UA"/>
              </w:rPr>
            </w:pPr>
            <w:r w:rsidRPr="00CC4DB9">
              <w:rPr>
                <w:lang w:val="uk-UA"/>
              </w:rPr>
              <w:lastRenderedPageBreak/>
              <w:t>Взаємовідносини між власниками газорозподільних систем, які відносяться до державного майна, та Операторами ГРМ врегульовуються відповідно до вимог законодавства.</w:t>
            </w:r>
          </w:p>
        </w:tc>
        <w:tc>
          <w:tcPr>
            <w:tcW w:w="7564" w:type="dxa"/>
          </w:tcPr>
          <w:p w14:paraId="281E6E09" w14:textId="24AC6F5F" w:rsidR="00B12456" w:rsidRPr="00CC4DB9" w:rsidRDefault="00B12456" w:rsidP="00B12456">
            <w:pPr>
              <w:pStyle w:val="rvps2"/>
              <w:shd w:val="clear" w:color="auto" w:fill="FFFFFF"/>
              <w:spacing w:before="0" w:beforeAutospacing="0" w:after="0" w:afterAutospacing="0"/>
              <w:ind w:firstLine="450"/>
              <w:jc w:val="both"/>
              <w:rPr>
                <w:lang w:val="uk-UA"/>
              </w:rPr>
            </w:pPr>
            <w:r w:rsidRPr="00CC4DB9">
              <w:rPr>
                <w:lang w:val="uk-UA"/>
              </w:rPr>
              <w:lastRenderedPageBreak/>
              <w:t>2. Власники газової мережі, яка згідно з розділом ІІ цього Кодексу кваліфікується як газорозподільна система (крім газорозподільної системи, що відноситься до державного майна), що не є Операторами ГРМ, та Оператор ГРМ, до мереж якого підключені належні власникам газорозподільні системи (або на території ліцензованої діяльності якого знаходяться споживачі, підключені до цих газорозподільних систем), зобов’язані укласти договір про експлуатацію таких газорозподільних систем, або договір господарського відання чи користування з передачею газорозподільних систем на баланс Оператору ГРМ, або оформити передачу належних власникам газорозподільних систем у власність зазначеному Оператору ГРМ (у тому числі шляхом купівлі-продажу).</w:t>
            </w:r>
          </w:p>
          <w:p w14:paraId="32700585" w14:textId="77777777" w:rsidR="00B12456" w:rsidRPr="00CC4DB9" w:rsidRDefault="00B12456" w:rsidP="00B12456">
            <w:pPr>
              <w:pStyle w:val="rvps2"/>
              <w:shd w:val="clear" w:color="auto" w:fill="FFFFFF"/>
              <w:spacing w:before="0" w:beforeAutospacing="0" w:after="0" w:afterAutospacing="0"/>
              <w:ind w:firstLine="450"/>
              <w:jc w:val="both"/>
              <w:rPr>
                <w:lang w:val="uk-UA"/>
              </w:rPr>
            </w:pPr>
            <w:r w:rsidRPr="00CC4DB9">
              <w:rPr>
                <w:lang w:val="uk-UA"/>
              </w:rPr>
              <w:t>Договори експлуатації, господарського відання та користування укладаються за формами, визначеними у додатках 3-5 цього Кодексу (крім газових мереж, що є державним майном).</w:t>
            </w:r>
          </w:p>
          <w:p w14:paraId="0E908647" w14:textId="77777777" w:rsidR="00B12456" w:rsidRPr="00CC4DB9" w:rsidRDefault="00B12456" w:rsidP="00B12456">
            <w:pPr>
              <w:pStyle w:val="rvps2"/>
              <w:shd w:val="clear" w:color="auto" w:fill="FFFFFF"/>
              <w:spacing w:before="0" w:beforeAutospacing="0" w:after="0" w:afterAutospacing="0"/>
              <w:ind w:firstLine="450"/>
              <w:jc w:val="both"/>
              <w:rPr>
                <w:strike/>
                <w:lang w:val="uk-UA"/>
              </w:rPr>
            </w:pPr>
            <w:r w:rsidRPr="00CC4DB9">
              <w:rPr>
                <w:strike/>
                <w:lang w:val="uk-UA"/>
              </w:rPr>
              <w:t>Технічне обслуговування та поточний ремонт внутрішньобудинкових газових мереж у багатоквартирному будинку здійснюється на умовах договору, укладеного між співвласниками/особою, уповноваженою на це співвласниками, і суб’єктом, що має право на виконання таких робіт.</w:t>
            </w:r>
          </w:p>
          <w:p w14:paraId="597C05CB" w14:textId="77777777" w:rsidR="00B12456" w:rsidRPr="00CC4DB9" w:rsidRDefault="00B12456" w:rsidP="00B12456">
            <w:pPr>
              <w:pStyle w:val="rvps2"/>
              <w:shd w:val="clear" w:color="auto" w:fill="FFFFFF"/>
              <w:spacing w:before="0" w:beforeAutospacing="0" w:after="0" w:afterAutospacing="0"/>
              <w:ind w:firstLine="450"/>
              <w:jc w:val="both"/>
              <w:rPr>
                <w:strike/>
                <w:lang w:val="uk-UA"/>
              </w:rPr>
            </w:pPr>
            <w:r w:rsidRPr="00CC4DB9">
              <w:rPr>
                <w:strike/>
                <w:lang w:val="uk-UA"/>
              </w:rPr>
              <w:t>При цьому види робіт, які входять до технічного обслуговування внутрішньобудинкових систем газопостачання в житлових будинках та здійснюються виключно Операторами ГРМ, визначаються центральним органом виконавчої влади, що забезпечує формування та реалізує державну політику в нафтогазовому комплексі, відповідно до Закону України «Про житлово-комунальні послуги».</w:t>
            </w:r>
          </w:p>
          <w:p w14:paraId="05F718D6" w14:textId="77777777" w:rsidR="00B12456" w:rsidRPr="00CC4DB9" w:rsidRDefault="00B12456" w:rsidP="00B12456">
            <w:pPr>
              <w:pStyle w:val="rvps2"/>
              <w:shd w:val="clear" w:color="auto" w:fill="FFFFFF"/>
              <w:spacing w:before="0" w:beforeAutospacing="0" w:after="0" w:afterAutospacing="0"/>
              <w:ind w:firstLine="450"/>
              <w:jc w:val="both"/>
              <w:rPr>
                <w:strike/>
                <w:lang w:val="uk-UA"/>
              </w:rPr>
            </w:pPr>
            <w:r w:rsidRPr="00CC4DB9">
              <w:rPr>
                <w:strike/>
                <w:lang w:val="uk-UA"/>
              </w:rPr>
              <w:t>Відповідно до вимог Правил безпеки систем газопостачання, затверджених наказом Міністерства енергетики та вугільної промисловості України від 15 травня 2015 року № 285, зареєстрованих у Міністерстві юстиції України 08 червня 2015 року за № 674/27119 (далі - ПБСГ), у випадку незабезпечення технічного обслуговування та поточного ремонту внутрішньобудинкових газових мереж у багатоквартирному будинку розподіл природного газу припиняється.</w:t>
            </w:r>
          </w:p>
          <w:p w14:paraId="3EA32F29" w14:textId="73808648" w:rsidR="00B12456" w:rsidRPr="00CC4DB9" w:rsidRDefault="00B12456" w:rsidP="00B12456">
            <w:pPr>
              <w:pStyle w:val="rvps2"/>
              <w:shd w:val="clear" w:color="auto" w:fill="FFFFFF"/>
              <w:spacing w:before="0" w:beforeAutospacing="0" w:after="0" w:afterAutospacing="0"/>
              <w:ind w:firstLine="450"/>
              <w:jc w:val="both"/>
              <w:rPr>
                <w:i/>
                <w:lang w:val="uk-UA"/>
              </w:rPr>
            </w:pPr>
            <w:r w:rsidRPr="00CC4DB9">
              <w:rPr>
                <w:lang w:val="uk-UA"/>
              </w:rPr>
              <w:lastRenderedPageBreak/>
              <w:t>Взаємовідносини між власниками газорозподільних систем, які відносяться до державного майна, та Операторами ГРМ врегульовуються відповідно до вимог законодавства.</w:t>
            </w:r>
          </w:p>
        </w:tc>
      </w:tr>
      <w:tr w:rsidR="00CC4DB9" w:rsidRPr="00CC4DB9" w14:paraId="07E6BA48" w14:textId="77777777" w:rsidTr="00A42981">
        <w:tc>
          <w:tcPr>
            <w:tcW w:w="7564" w:type="dxa"/>
          </w:tcPr>
          <w:p w14:paraId="135D328E" w14:textId="50CE65F3" w:rsidR="00911AD3" w:rsidRPr="00CC4DB9" w:rsidRDefault="00911AD3" w:rsidP="00911AD3">
            <w:pPr>
              <w:pStyle w:val="rvps2"/>
              <w:shd w:val="clear" w:color="auto" w:fill="FFFFFF"/>
              <w:spacing w:before="0" w:beforeAutospacing="0" w:after="0" w:afterAutospacing="0"/>
              <w:ind w:firstLine="450"/>
              <w:jc w:val="both"/>
              <w:rPr>
                <w:lang w:val="uk-UA"/>
              </w:rPr>
            </w:pPr>
            <w:r w:rsidRPr="00CC4DB9">
              <w:rPr>
                <w:lang w:val="uk-UA"/>
              </w:rPr>
              <w:lastRenderedPageBreak/>
              <w:t>1. Межа балансової належності та експлуатаційної відповідальності між Оператором ГРМ та споживачем (суміжним суб’єктом ринку природного газу) визначається в акті розмежування балансової належності та експлуатаційної відповідальності сторін, що є невід’ємною частиною договору розподілу природного газу (або у передбачених цим Кодексом випадках технічній угоді про умови приймання-передачі газу ГРМ).</w:t>
            </w:r>
          </w:p>
          <w:p w14:paraId="51440E0B" w14:textId="77777777" w:rsidR="00911AD3" w:rsidRPr="00CC4DB9" w:rsidRDefault="00911AD3" w:rsidP="00911AD3">
            <w:pPr>
              <w:pStyle w:val="rvps2"/>
              <w:shd w:val="clear" w:color="auto" w:fill="FFFFFF"/>
              <w:spacing w:before="0" w:beforeAutospacing="0" w:after="0" w:afterAutospacing="0"/>
              <w:ind w:firstLine="450"/>
              <w:jc w:val="both"/>
              <w:rPr>
                <w:lang w:val="uk-UA"/>
              </w:rPr>
            </w:pPr>
            <w:r w:rsidRPr="00CC4DB9">
              <w:rPr>
                <w:lang w:val="uk-UA"/>
              </w:rPr>
              <w:t>Акт розмежування балансової належності та експлуатаційної відповідальності сторін в обов’язковому порядку має містити схему газопроводів з визначенням на них межі балансової належності, точки вимірювання (місця встановлення вузла обліку) та напрямів потоків природного газу.</w:t>
            </w:r>
          </w:p>
          <w:p w14:paraId="1890DC11" w14:textId="77777777" w:rsidR="00911AD3" w:rsidRPr="00CC4DB9" w:rsidRDefault="00911AD3" w:rsidP="00911AD3">
            <w:pPr>
              <w:pStyle w:val="rvps2"/>
              <w:shd w:val="clear" w:color="auto" w:fill="FFFFFF"/>
              <w:spacing w:before="0" w:beforeAutospacing="0" w:after="0" w:afterAutospacing="0"/>
              <w:ind w:firstLine="450"/>
              <w:jc w:val="both"/>
              <w:rPr>
                <w:lang w:val="uk-UA"/>
              </w:rPr>
            </w:pPr>
            <w:r w:rsidRPr="00CC4DB9">
              <w:rPr>
                <w:lang w:val="uk-UA"/>
              </w:rPr>
              <w:t>За відсутності акта розмежування балансової належності та експлуатаційної відповідальності сторін за об’єктами суміжних суб’єктів ринку природного газу (включаючи споживачів) Оператор ГРМ, до/через ГРМ якого підключені зазначені об’єкти, зобов’язаний в установлені законодавством строки здійснити заходи з укладання з їх власниками акта розмежування балансової належності та експлуатаційної відповідальності сторін.</w:t>
            </w:r>
          </w:p>
          <w:p w14:paraId="602E50A9" w14:textId="15EA180C" w:rsidR="00B12456" w:rsidRPr="00CC4DB9" w:rsidRDefault="00911AD3" w:rsidP="00911AD3">
            <w:pPr>
              <w:pStyle w:val="rvps2"/>
              <w:shd w:val="clear" w:color="auto" w:fill="FFFFFF"/>
              <w:spacing w:before="0" w:beforeAutospacing="0" w:after="0" w:afterAutospacing="0"/>
              <w:ind w:firstLine="450"/>
              <w:jc w:val="both"/>
              <w:rPr>
                <w:lang w:val="uk-UA"/>
              </w:rPr>
            </w:pPr>
            <w:r w:rsidRPr="00CC4DB9">
              <w:rPr>
                <w:lang w:val="uk-UA"/>
              </w:rPr>
              <w:t>Власники (балансоутримувачі, управителі, інші особи), на балансі чи в управлінні яких знаходяться багатоквартирні будинки чи гуртожитки (незалежно від того, є вони споживачами природного газу чи ні), укладають з Оператором ГРМ, до об’єктів газорозподільної системи якого підключені зазначені будинки/гуртожитки, акт розмежування балансової належності та експлуатаційної відповідальності сторін відносно їх внутрішньобудинкових систем газопостачання.</w:t>
            </w:r>
          </w:p>
        </w:tc>
        <w:tc>
          <w:tcPr>
            <w:tcW w:w="7564" w:type="dxa"/>
          </w:tcPr>
          <w:p w14:paraId="33689E8C" w14:textId="77777777" w:rsidR="00911AD3" w:rsidRPr="00CC4DB9" w:rsidRDefault="00911AD3" w:rsidP="00911AD3">
            <w:pPr>
              <w:pStyle w:val="rvps2"/>
              <w:shd w:val="clear" w:color="auto" w:fill="FFFFFF"/>
              <w:spacing w:before="0" w:beforeAutospacing="0" w:after="0" w:afterAutospacing="0"/>
              <w:ind w:firstLine="450"/>
              <w:jc w:val="both"/>
              <w:rPr>
                <w:lang w:val="uk-UA"/>
              </w:rPr>
            </w:pPr>
            <w:r w:rsidRPr="00CC4DB9">
              <w:rPr>
                <w:lang w:val="uk-UA"/>
              </w:rPr>
              <w:t>1. Межа балансової належності та експлуатаційної відповідальності між Оператором ГРМ та споживачем (суміжним суб’єктом ринку природного газу) визначається в акті розмежування балансової належності та експлуатаційної відповідальності сторін, що є невід’ємною частиною договору розподілу природного газу (або у передбачених цим Кодексом випадках технічній угоді про умови приймання-передачі газу ГРМ).</w:t>
            </w:r>
          </w:p>
          <w:p w14:paraId="4F97324E" w14:textId="77777777" w:rsidR="00911AD3" w:rsidRPr="00CC4DB9" w:rsidRDefault="00911AD3" w:rsidP="00911AD3">
            <w:pPr>
              <w:pStyle w:val="rvps2"/>
              <w:shd w:val="clear" w:color="auto" w:fill="FFFFFF"/>
              <w:spacing w:before="0" w:beforeAutospacing="0" w:after="0" w:afterAutospacing="0"/>
              <w:ind w:firstLine="450"/>
              <w:jc w:val="both"/>
              <w:rPr>
                <w:lang w:val="uk-UA"/>
              </w:rPr>
            </w:pPr>
            <w:r w:rsidRPr="00CC4DB9">
              <w:rPr>
                <w:lang w:val="uk-UA"/>
              </w:rPr>
              <w:t>Акт розмежування балансової належності та експлуатаційної відповідальності сторін в обов’язковому порядку має містити схему газопроводів з визначенням на них межі балансової належності, точки вимірювання (місця встановлення вузла обліку) та напрямів потоків природного газу.</w:t>
            </w:r>
          </w:p>
          <w:p w14:paraId="7671C52E" w14:textId="77777777" w:rsidR="00911AD3" w:rsidRPr="00CC4DB9" w:rsidRDefault="00911AD3" w:rsidP="00911AD3">
            <w:pPr>
              <w:pStyle w:val="rvps2"/>
              <w:shd w:val="clear" w:color="auto" w:fill="FFFFFF"/>
              <w:spacing w:before="0" w:beforeAutospacing="0" w:after="0" w:afterAutospacing="0"/>
              <w:ind w:firstLine="450"/>
              <w:jc w:val="both"/>
              <w:rPr>
                <w:lang w:val="uk-UA"/>
              </w:rPr>
            </w:pPr>
            <w:r w:rsidRPr="00CC4DB9">
              <w:rPr>
                <w:lang w:val="uk-UA"/>
              </w:rPr>
              <w:t>За відсутності акта розмежування балансової належності та експлуатаційної відповідальності сторін за об’єктами суміжних суб’єктів ринку природного газу (включаючи споживачів) Оператор ГРМ, до/через ГРМ якого підключені зазначені об’єкти, зобов’язаний в установлені законодавством строки здійснити заходи з укладання з їх власниками акта розмежування балансової належності та експлуатаційної відповідальності сторін.</w:t>
            </w:r>
          </w:p>
          <w:p w14:paraId="6BD93C2F" w14:textId="1970EC7C" w:rsidR="00911AD3" w:rsidRPr="00CC4DB9" w:rsidRDefault="00324D20" w:rsidP="00911AD3">
            <w:pPr>
              <w:pStyle w:val="rvps2"/>
              <w:shd w:val="clear" w:color="auto" w:fill="FFFFFF"/>
              <w:spacing w:before="0" w:beforeAutospacing="0" w:after="0" w:afterAutospacing="0"/>
              <w:ind w:firstLine="450"/>
              <w:jc w:val="both"/>
              <w:rPr>
                <w:b/>
                <w:lang w:val="uk-UA"/>
              </w:rPr>
            </w:pPr>
            <w:r w:rsidRPr="00324D20">
              <w:rPr>
                <w:b/>
                <w:lang w:val="uk-UA"/>
              </w:rPr>
              <w:t>Укладення акта розмежування балансової належності та експлуатаційної відповідальності сторін в багатоквартирних будинках між Оператором ГРМ та співвласниками багатоквартирного будинку не є обов’язковим. Межі експлуатаційної відповідальності в багатоквартирному будинку визначаються відповідно до Закону України «Про житлово-комунальні послуги» та Порядку ТО ВБСГ.</w:t>
            </w:r>
          </w:p>
        </w:tc>
      </w:tr>
      <w:tr w:rsidR="00CC4DB9" w:rsidRPr="00CC4DB9" w14:paraId="1DCA7FE7" w14:textId="77777777" w:rsidTr="00A42981">
        <w:tc>
          <w:tcPr>
            <w:tcW w:w="7564" w:type="dxa"/>
          </w:tcPr>
          <w:p w14:paraId="4D0036EF" w14:textId="30C49F48" w:rsidR="00B12456" w:rsidRPr="00CC4DB9" w:rsidRDefault="00CC5E8C" w:rsidP="005B39E8">
            <w:pPr>
              <w:rPr>
                <w:sz w:val="24"/>
              </w:rPr>
            </w:pPr>
            <w:r w:rsidRPr="00CC4DB9">
              <w:rPr>
                <w:sz w:val="24"/>
              </w:rPr>
              <w:t xml:space="preserve">3. Власники газових мереж, у тому числі побутові споживачі та співвласники/особа, уповноважена на це співвласниками, внутрішньобудинкових систем газопостачання, які згідно з актом розмежування балансової належності та експлуатаційної </w:t>
            </w:r>
            <w:r w:rsidRPr="00CC4DB9">
              <w:rPr>
                <w:sz w:val="24"/>
              </w:rPr>
              <w:lastRenderedPageBreak/>
              <w:t>відповідальності сторін відповідають за експлуатацію цих мереж та їх складових, забезпечують належну їх експлуатацію згідно з чинним законодавством, у тому числі ПБСГ, зокрема укладають відповідний договір із суб’єктом господарювання, який має право на виконання таких робіт.</w:t>
            </w:r>
          </w:p>
        </w:tc>
        <w:tc>
          <w:tcPr>
            <w:tcW w:w="7564" w:type="dxa"/>
          </w:tcPr>
          <w:p w14:paraId="1C4853FB" w14:textId="33A0E082" w:rsidR="00B12456" w:rsidRPr="00CC4DB9" w:rsidRDefault="00224780" w:rsidP="00D865A8">
            <w:r w:rsidRPr="00CC4DB9">
              <w:rPr>
                <w:sz w:val="24"/>
              </w:rPr>
              <w:lastRenderedPageBreak/>
              <w:t xml:space="preserve">3. Власники газових мереж, у тому числі побутові споживачі </w:t>
            </w:r>
            <w:r w:rsidR="004A19BF" w:rsidRPr="00CC4DB9">
              <w:rPr>
                <w:b/>
                <w:sz w:val="24"/>
              </w:rPr>
              <w:t>відповідають за експлуатацію власних</w:t>
            </w:r>
            <w:r w:rsidRPr="00CC4DB9">
              <w:rPr>
                <w:sz w:val="24"/>
              </w:rPr>
              <w:t xml:space="preserve"> мереж та їх складових, забезпечують належну їх експлуатацію згідно з чинним законодавством, у тому числі ПБСГ, зокрема укладають відповідний </w:t>
            </w:r>
            <w:r w:rsidRPr="00CC4DB9">
              <w:rPr>
                <w:sz w:val="24"/>
              </w:rPr>
              <w:lastRenderedPageBreak/>
              <w:t>договір із суб’єктом господарювання, який має право на виконання таких робіт.</w:t>
            </w:r>
            <w:bookmarkStart w:id="0" w:name="_GoBack"/>
            <w:bookmarkEnd w:id="0"/>
          </w:p>
        </w:tc>
      </w:tr>
      <w:tr w:rsidR="00CC4DB9" w:rsidRPr="00CC4DB9" w14:paraId="5CCBE317" w14:textId="77777777" w:rsidTr="00430DEC">
        <w:tc>
          <w:tcPr>
            <w:tcW w:w="15128" w:type="dxa"/>
            <w:gridSpan w:val="2"/>
          </w:tcPr>
          <w:p w14:paraId="0F1CBEAE" w14:textId="00FE43DD" w:rsidR="00340CAE" w:rsidRPr="00CC4DB9" w:rsidRDefault="00340CAE" w:rsidP="00340CAE">
            <w:pPr>
              <w:jc w:val="center"/>
              <w:rPr>
                <w:sz w:val="24"/>
              </w:rPr>
            </w:pPr>
            <w:r w:rsidRPr="00CC4DB9">
              <w:rPr>
                <w:b/>
                <w:bCs/>
                <w:sz w:val="24"/>
                <w:szCs w:val="28"/>
                <w:shd w:val="clear" w:color="auto" w:fill="FFFFFF"/>
              </w:rPr>
              <w:lastRenderedPageBreak/>
              <w:t>V. Порядок приєднання об’єктів замовників (технічного доступу) до ГРМ</w:t>
            </w:r>
          </w:p>
        </w:tc>
      </w:tr>
      <w:tr w:rsidR="00CC4DB9" w:rsidRPr="00CC4DB9" w14:paraId="4064581F" w14:textId="77777777" w:rsidTr="00A42981">
        <w:tc>
          <w:tcPr>
            <w:tcW w:w="7564" w:type="dxa"/>
          </w:tcPr>
          <w:p w14:paraId="34EE8D68" w14:textId="59A60514" w:rsidR="00340CAE" w:rsidRPr="005B39E8" w:rsidRDefault="00340CAE" w:rsidP="005B39E8">
            <w:pPr>
              <w:pStyle w:val="rvps2"/>
              <w:shd w:val="clear" w:color="auto" w:fill="FFFFFF"/>
              <w:spacing w:before="0" w:beforeAutospacing="0" w:after="0" w:afterAutospacing="0"/>
              <w:ind w:firstLine="450"/>
              <w:jc w:val="both"/>
              <w:rPr>
                <w:lang w:val="en-US"/>
              </w:rPr>
            </w:pPr>
            <w:r w:rsidRPr="00CC4DB9">
              <w:rPr>
                <w:lang w:val="uk-UA"/>
              </w:rPr>
              <w:t xml:space="preserve">11. </w:t>
            </w:r>
            <w:r w:rsidR="005B39E8">
              <w:rPr>
                <w:lang w:val="uk-UA"/>
              </w:rPr>
              <w:t>…</w:t>
            </w:r>
          </w:p>
          <w:p w14:paraId="3EB3A6D3" w14:textId="77777777" w:rsidR="00340CAE" w:rsidRPr="00CC4DB9" w:rsidRDefault="00340CAE" w:rsidP="00340CAE">
            <w:pPr>
              <w:pStyle w:val="rvps2"/>
              <w:shd w:val="clear" w:color="auto" w:fill="FFFFFF"/>
              <w:spacing w:before="0" w:beforeAutospacing="0" w:after="0" w:afterAutospacing="0"/>
              <w:ind w:firstLine="450"/>
              <w:jc w:val="both"/>
              <w:rPr>
                <w:lang w:val="uk-UA"/>
              </w:rPr>
            </w:pPr>
            <w:bookmarkStart w:id="1" w:name="n2645"/>
            <w:bookmarkEnd w:id="1"/>
            <w:r w:rsidRPr="00CC4DB9">
              <w:rPr>
                <w:lang w:val="uk-UA"/>
              </w:rPr>
              <w:t xml:space="preserve">Для забезпечення підключення до ГРМ </w:t>
            </w:r>
            <w:proofErr w:type="spellStart"/>
            <w:r w:rsidRPr="00CC4DB9">
              <w:rPr>
                <w:lang w:val="uk-UA"/>
              </w:rPr>
              <w:t>дво</w:t>
            </w:r>
            <w:proofErr w:type="spellEnd"/>
            <w:r w:rsidRPr="00CC4DB9">
              <w:rPr>
                <w:lang w:val="uk-UA"/>
              </w:rPr>
              <w:t>- або багатоквартирного будинку:</w:t>
            </w:r>
          </w:p>
          <w:p w14:paraId="0D13B08A" w14:textId="77777777" w:rsidR="00340CAE" w:rsidRPr="00CC4DB9" w:rsidRDefault="00340CAE" w:rsidP="00340CAE">
            <w:pPr>
              <w:pStyle w:val="rvps2"/>
              <w:shd w:val="clear" w:color="auto" w:fill="FFFFFF"/>
              <w:spacing w:before="0" w:beforeAutospacing="0" w:after="0" w:afterAutospacing="0"/>
              <w:ind w:firstLine="450"/>
              <w:jc w:val="both"/>
              <w:rPr>
                <w:lang w:val="uk-UA"/>
              </w:rPr>
            </w:pPr>
            <w:bookmarkStart w:id="2" w:name="n2646"/>
            <w:bookmarkEnd w:id="2"/>
            <w:r w:rsidRPr="00CC4DB9">
              <w:rPr>
                <w:lang w:val="uk-UA"/>
              </w:rPr>
              <w:t>1) замовник має надати Оператору ГРМ підтвердні документи про введення в експлуатацію об’єкта будівництва;</w:t>
            </w:r>
          </w:p>
          <w:p w14:paraId="47686756" w14:textId="77777777" w:rsidR="00340CAE" w:rsidRPr="00CC4DB9" w:rsidRDefault="00340CAE" w:rsidP="00340CAE">
            <w:pPr>
              <w:pStyle w:val="rvps2"/>
              <w:shd w:val="clear" w:color="auto" w:fill="FFFFFF"/>
              <w:spacing w:before="0" w:beforeAutospacing="0" w:after="0" w:afterAutospacing="0"/>
              <w:ind w:firstLine="450"/>
              <w:jc w:val="both"/>
              <w:rPr>
                <w:lang w:val="uk-UA"/>
              </w:rPr>
            </w:pPr>
            <w:bookmarkStart w:id="3" w:name="n2647"/>
            <w:bookmarkEnd w:id="3"/>
            <w:r w:rsidRPr="00CC4DB9">
              <w:rPr>
                <w:lang w:val="uk-UA"/>
              </w:rPr>
              <w:t xml:space="preserve">2) Оператором ГРМ має бути забезпечено прийняття загальнобудинкового або </w:t>
            </w:r>
            <w:proofErr w:type="spellStart"/>
            <w:r w:rsidRPr="00CC4DB9">
              <w:rPr>
                <w:lang w:val="uk-UA"/>
              </w:rPr>
              <w:t>поквартирних</w:t>
            </w:r>
            <w:proofErr w:type="spellEnd"/>
            <w:r w:rsidRPr="00CC4DB9">
              <w:rPr>
                <w:lang w:val="uk-UA"/>
              </w:rPr>
              <w:t xml:space="preserve"> комерційних вузлів обліку газу в експлуатацію відповідно до вимог цього Кодексу;</w:t>
            </w:r>
          </w:p>
          <w:p w14:paraId="37C878CC" w14:textId="6E403881" w:rsidR="00340CAE" w:rsidRPr="00CC4DB9" w:rsidRDefault="00340CAE" w:rsidP="005B39E8">
            <w:pPr>
              <w:pStyle w:val="rvps2"/>
              <w:shd w:val="clear" w:color="auto" w:fill="FFFFFF"/>
              <w:spacing w:before="0" w:beforeAutospacing="0" w:after="0" w:afterAutospacing="0"/>
              <w:ind w:firstLine="450"/>
              <w:jc w:val="both"/>
            </w:pPr>
            <w:bookmarkStart w:id="4" w:name="n2648"/>
            <w:bookmarkEnd w:id="4"/>
            <w:r w:rsidRPr="00CC4DB9">
              <w:rPr>
                <w:lang w:val="uk-UA"/>
              </w:rPr>
              <w:t>3) між Оператором ГРМ та замовником має бути складений та підписаний акт балансової належності та експлуатаційної відповідальності сторін.</w:t>
            </w:r>
            <w:bookmarkStart w:id="5" w:name="n2649"/>
            <w:bookmarkEnd w:id="5"/>
          </w:p>
        </w:tc>
        <w:tc>
          <w:tcPr>
            <w:tcW w:w="7564" w:type="dxa"/>
          </w:tcPr>
          <w:p w14:paraId="36002606" w14:textId="111EBA40" w:rsidR="00340CAE" w:rsidRPr="005B39E8" w:rsidRDefault="00340CAE" w:rsidP="005B39E8">
            <w:pPr>
              <w:pStyle w:val="rvps2"/>
              <w:shd w:val="clear" w:color="auto" w:fill="FFFFFF"/>
              <w:spacing w:before="0" w:beforeAutospacing="0" w:after="0" w:afterAutospacing="0"/>
              <w:ind w:firstLine="450"/>
              <w:jc w:val="both"/>
              <w:rPr>
                <w:lang w:val="en-US"/>
              </w:rPr>
            </w:pPr>
            <w:r w:rsidRPr="00CC4DB9">
              <w:rPr>
                <w:lang w:val="uk-UA"/>
              </w:rPr>
              <w:t xml:space="preserve">11. </w:t>
            </w:r>
            <w:r w:rsidR="005B39E8">
              <w:rPr>
                <w:lang w:val="en-US"/>
              </w:rPr>
              <w:t>…</w:t>
            </w:r>
          </w:p>
          <w:p w14:paraId="3EBF8939" w14:textId="77777777" w:rsidR="00340CAE" w:rsidRPr="00CC4DB9" w:rsidRDefault="00340CAE" w:rsidP="00340CAE">
            <w:pPr>
              <w:pStyle w:val="rvps2"/>
              <w:shd w:val="clear" w:color="auto" w:fill="FFFFFF"/>
              <w:spacing w:before="0" w:beforeAutospacing="0" w:after="0" w:afterAutospacing="0"/>
              <w:ind w:firstLine="450"/>
              <w:jc w:val="both"/>
              <w:rPr>
                <w:lang w:val="uk-UA"/>
              </w:rPr>
            </w:pPr>
            <w:r w:rsidRPr="00CC4DB9">
              <w:rPr>
                <w:lang w:val="uk-UA"/>
              </w:rPr>
              <w:t xml:space="preserve">Для забезпечення підключення до ГРМ </w:t>
            </w:r>
            <w:proofErr w:type="spellStart"/>
            <w:r w:rsidRPr="00CC4DB9">
              <w:rPr>
                <w:lang w:val="uk-UA"/>
              </w:rPr>
              <w:t>дво</w:t>
            </w:r>
            <w:proofErr w:type="spellEnd"/>
            <w:r w:rsidRPr="00CC4DB9">
              <w:rPr>
                <w:lang w:val="uk-UA"/>
              </w:rPr>
              <w:t>- або багатоквартирного будинку:</w:t>
            </w:r>
          </w:p>
          <w:p w14:paraId="55002FC4" w14:textId="77777777" w:rsidR="00340CAE" w:rsidRPr="00CC4DB9" w:rsidRDefault="00340CAE" w:rsidP="00340CAE">
            <w:pPr>
              <w:pStyle w:val="rvps2"/>
              <w:shd w:val="clear" w:color="auto" w:fill="FFFFFF"/>
              <w:spacing w:before="0" w:beforeAutospacing="0" w:after="0" w:afterAutospacing="0"/>
              <w:ind w:firstLine="450"/>
              <w:jc w:val="both"/>
              <w:rPr>
                <w:lang w:val="uk-UA"/>
              </w:rPr>
            </w:pPr>
            <w:r w:rsidRPr="00CC4DB9">
              <w:rPr>
                <w:lang w:val="uk-UA"/>
              </w:rPr>
              <w:t>1) замовник має надати Оператору ГРМ підтвердні документи про введення в експлуатацію об’єкта будівництва;</w:t>
            </w:r>
          </w:p>
          <w:p w14:paraId="033546CD" w14:textId="77777777" w:rsidR="00340CAE" w:rsidRPr="00CC4DB9" w:rsidRDefault="00340CAE" w:rsidP="00340CAE">
            <w:pPr>
              <w:pStyle w:val="rvps2"/>
              <w:shd w:val="clear" w:color="auto" w:fill="FFFFFF"/>
              <w:spacing w:before="0" w:beforeAutospacing="0" w:after="0" w:afterAutospacing="0"/>
              <w:ind w:firstLine="450"/>
              <w:jc w:val="both"/>
              <w:rPr>
                <w:lang w:val="uk-UA"/>
              </w:rPr>
            </w:pPr>
            <w:r w:rsidRPr="00CC4DB9">
              <w:rPr>
                <w:lang w:val="uk-UA"/>
              </w:rPr>
              <w:t xml:space="preserve">2) Оператором ГРМ має бути забезпечено прийняття загальнобудинкового або </w:t>
            </w:r>
            <w:proofErr w:type="spellStart"/>
            <w:r w:rsidRPr="00CC4DB9">
              <w:rPr>
                <w:lang w:val="uk-UA"/>
              </w:rPr>
              <w:t>поквартирних</w:t>
            </w:r>
            <w:proofErr w:type="spellEnd"/>
            <w:r w:rsidRPr="00CC4DB9">
              <w:rPr>
                <w:lang w:val="uk-UA"/>
              </w:rPr>
              <w:t xml:space="preserve"> комерційних вузлів обліку газу в експлуатацію відповідно до вимог цього Кодексу;</w:t>
            </w:r>
          </w:p>
          <w:p w14:paraId="20CF00F4" w14:textId="50E4A2A3" w:rsidR="00340CAE" w:rsidRPr="005B39E8" w:rsidRDefault="002E687D" w:rsidP="00824AA4">
            <w:pPr>
              <w:pStyle w:val="rvps2"/>
              <w:shd w:val="clear" w:color="auto" w:fill="FFFFFF"/>
              <w:spacing w:before="0" w:beforeAutospacing="0" w:after="0" w:afterAutospacing="0"/>
              <w:ind w:firstLine="450"/>
              <w:jc w:val="both"/>
              <w:rPr>
                <w:b/>
              </w:rPr>
            </w:pPr>
            <w:r w:rsidRPr="002E687D">
              <w:rPr>
                <w:b/>
                <w:lang w:val="uk-UA"/>
              </w:rPr>
              <w:t>3) між Оператором ГРМ та замовником може бути складений та підписаний акт балансової належності та експлуатаційної відповідальності сторін (за згодою сторін)</w:t>
            </w:r>
            <w:r w:rsidR="005B39E8" w:rsidRPr="005B39E8">
              <w:rPr>
                <w:b/>
              </w:rPr>
              <w:t>.</w:t>
            </w:r>
          </w:p>
        </w:tc>
      </w:tr>
    </w:tbl>
    <w:p w14:paraId="19744F81" w14:textId="1E1AD830" w:rsidR="00A42981" w:rsidRDefault="00A42981" w:rsidP="00FE6878">
      <w:pPr>
        <w:jc w:val="center"/>
      </w:pPr>
    </w:p>
    <w:sectPr w:rsidR="00A42981" w:rsidSect="00FE6878">
      <w:pgSz w:w="16838" w:h="11906" w:orient="landscape"/>
      <w:pgMar w:top="1417" w:right="850" w:bottom="850" w:left="850"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7A11"/>
    <w:rsid w:val="00014621"/>
    <w:rsid w:val="00027A76"/>
    <w:rsid w:val="000846D6"/>
    <w:rsid w:val="00130344"/>
    <w:rsid w:val="001D1EA8"/>
    <w:rsid w:val="00224780"/>
    <w:rsid w:val="00247440"/>
    <w:rsid w:val="002E687D"/>
    <w:rsid w:val="00324D20"/>
    <w:rsid w:val="00340056"/>
    <w:rsid w:val="00340CAE"/>
    <w:rsid w:val="003B7AF5"/>
    <w:rsid w:val="004279C9"/>
    <w:rsid w:val="004500D6"/>
    <w:rsid w:val="00495626"/>
    <w:rsid w:val="004A19BF"/>
    <w:rsid w:val="00502FA2"/>
    <w:rsid w:val="005B39E8"/>
    <w:rsid w:val="005F5B01"/>
    <w:rsid w:val="006C1884"/>
    <w:rsid w:val="007204DF"/>
    <w:rsid w:val="007F0E08"/>
    <w:rsid w:val="007F58C7"/>
    <w:rsid w:val="00824AA4"/>
    <w:rsid w:val="00845F4E"/>
    <w:rsid w:val="008C2689"/>
    <w:rsid w:val="00911AD3"/>
    <w:rsid w:val="009D0CDB"/>
    <w:rsid w:val="00A15386"/>
    <w:rsid w:val="00A16CC3"/>
    <w:rsid w:val="00A42981"/>
    <w:rsid w:val="00A7144D"/>
    <w:rsid w:val="00AA5617"/>
    <w:rsid w:val="00AB1E80"/>
    <w:rsid w:val="00B12456"/>
    <w:rsid w:val="00B147C1"/>
    <w:rsid w:val="00B70D3A"/>
    <w:rsid w:val="00C262BD"/>
    <w:rsid w:val="00CC4DB9"/>
    <w:rsid w:val="00CC5E8C"/>
    <w:rsid w:val="00D30842"/>
    <w:rsid w:val="00D317B8"/>
    <w:rsid w:val="00D43054"/>
    <w:rsid w:val="00D53D34"/>
    <w:rsid w:val="00D54737"/>
    <w:rsid w:val="00D865A8"/>
    <w:rsid w:val="00E73767"/>
    <w:rsid w:val="00EC03AE"/>
    <w:rsid w:val="00F2601F"/>
    <w:rsid w:val="00F62CAA"/>
    <w:rsid w:val="00FA7A11"/>
    <w:rsid w:val="00FE6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48C49"/>
  <w15:chartTrackingRefBased/>
  <w15:docId w15:val="{9F314922-318E-4A2D-8886-41DDC75E2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F0E08"/>
    <w:pPr>
      <w:spacing w:after="40"/>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429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0846D6"/>
    <w:pPr>
      <w:spacing w:before="100" w:beforeAutospacing="1" w:after="100" w:afterAutospacing="1" w:line="240" w:lineRule="auto"/>
      <w:jc w:val="left"/>
    </w:pPr>
    <w:rPr>
      <w:rFonts w:eastAsia="Times New Roman" w:cs="Times New Roman"/>
      <w:sz w:val="24"/>
      <w:szCs w:val="24"/>
      <w:lang w:val="ru-RU" w:eastAsia="ru-RU"/>
    </w:rPr>
  </w:style>
  <w:style w:type="character" w:styleId="a4">
    <w:name w:val="Hyperlink"/>
    <w:basedOn w:val="a0"/>
    <w:uiPriority w:val="99"/>
    <w:semiHidden/>
    <w:unhideWhenUsed/>
    <w:rsid w:val="000846D6"/>
    <w:rPr>
      <w:color w:val="0000FF"/>
      <w:u w:val="single"/>
    </w:rPr>
  </w:style>
  <w:style w:type="character" w:customStyle="1" w:styleId="rvts46">
    <w:name w:val="rvts46"/>
    <w:basedOn w:val="a0"/>
    <w:rsid w:val="00084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333582">
      <w:bodyDiv w:val="1"/>
      <w:marLeft w:val="0"/>
      <w:marRight w:val="0"/>
      <w:marTop w:val="0"/>
      <w:marBottom w:val="0"/>
      <w:divBdr>
        <w:top w:val="none" w:sz="0" w:space="0" w:color="auto"/>
        <w:left w:val="none" w:sz="0" w:space="0" w:color="auto"/>
        <w:bottom w:val="none" w:sz="0" w:space="0" w:color="auto"/>
        <w:right w:val="none" w:sz="0" w:space="0" w:color="auto"/>
      </w:divBdr>
    </w:div>
    <w:div w:id="516845505">
      <w:bodyDiv w:val="1"/>
      <w:marLeft w:val="0"/>
      <w:marRight w:val="0"/>
      <w:marTop w:val="0"/>
      <w:marBottom w:val="0"/>
      <w:divBdr>
        <w:top w:val="none" w:sz="0" w:space="0" w:color="auto"/>
        <w:left w:val="none" w:sz="0" w:space="0" w:color="auto"/>
        <w:bottom w:val="none" w:sz="0" w:space="0" w:color="auto"/>
        <w:right w:val="none" w:sz="0" w:space="0" w:color="auto"/>
      </w:divBdr>
    </w:div>
    <w:div w:id="821770085">
      <w:bodyDiv w:val="1"/>
      <w:marLeft w:val="0"/>
      <w:marRight w:val="0"/>
      <w:marTop w:val="0"/>
      <w:marBottom w:val="0"/>
      <w:divBdr>
        <w:top w:val="none" w:sz="0" w:space="0" w:color="auto"/>
        <w:left w:val="none" w:sz="0" w:space="0" w:color="auto"/>
        <w:bottom w:val="none" w:sz="0" w:space="0" w:color="auto"/>
        <w:right w:val="none" w:sz="0" w:space="0" w:color="auto"/>
      </w:divBdr>
    </w:div>
    <w:div w:id="916287314">
      <w:bodyDiv w:val="1"/>
      <w:marLeft w:val="0"/>
      <w:marRight w:val="0"/>
      <w:marTop w:val="0"/>
      <w:marBottom w:val="0"/>
      <w:divBdr>
        <w:top w:val="none" w:sz="0" w:space="0" w:color="auto"/>
        <w:left w:val="none" w:sz="0" w:space="0" w:color="auto"/>
        <w:bottom w:val="none" w:sz="0" w:space="0" w:color="auto"/>
        <w:right w:val="none" w:sz="0" w:space="0" w:color="auto"/>
      </w:divBdr>
    </w:div>
    <w:div w:id="1071923086">
      <w:bodyDiv w:val="1"/>
      <w:marLeft w:val="0"/>
      <w:marRight w:val="0"/>
      <w:marTop w:val="0"/>
      <w:marBottom w:val="0"/>
      <w:divBdr>
        <w:top w:val="none" w:sz="0" w:space="0" w:color="auto"/>
        <w:left w:val="none" w:sz="0" w:space="0" w:color="auto"/>
        <w:bottom w:val="none" w:sz="0" w:space="0" w:color="auto"/>
        <w:right w:val="none" w:sz="0" w:space="0" w:color="auto"/>
      </w:divBdr>
    </w:div>
    <w:div w:id="1250307594">
      <w:bodyDiv w:val="1"/>
      <w:marLeft w:val="0"/>
      <w:marRight w:val="0"/>
      <w:marTop w:val="0"/>
      <w:marBottom w:val="0"/>
      <w:divBdr>
        <w:top w:val="none" w:sz="0" w:space="0" w:color="auto"/>
        <w:left w:val="none" w:sz="0" w:space="0" w:color="auto"/>
        <w:bottom w:val="none" w:sz="0" w:space="0" w:color="auto"/>
        <w:right w:val="none" w:sz="0" w:space="0" w:color="auto"/>
      </w:divBdr>
    </w:div>
    <w:div w:id="1267344854">
      <w:bodyDiv w:val="1"/>
      <w:marLeft w:val="0"/>
      <w:marRight w:val="0"/>
      <w:marTop w:val="0"/>
      <w:marBottom w:val="0"/>
      <w:divBdr>
        <w:top w:val="none" w:sz="0" w:space="0" w:color="auto"/>
        <w:left w:val="none" w:sz="0" w:space="0" w:color="auto"/>
        <w:bottom w:val="none" w:sz="0" w:space="0" w:color="auto"/>
        <w:right w:val="none" w:sz="0" w:space="0" w:color="auto"/>
      </w:divBdr>
    </w:div>
    <w:div w:id="1279144973">
      <w:bodyDiv w:val="1"/>
      <w:marLeft w:val="0"/>
      <w:marRight w:val="0"/>
      <w:marTop w:val="0"/>
      <w:marBottom w:val="0"/>
      <w:divBdr>
        <w:top w:val="none" w:sz="0" w:space="0" w:color="auto"/>
        <w:left w:val="none" w:sz="0" w:space="0" w:color="auto"/>
        <w:bottom w:val="none" w:sz="0" w:space="0" w:color="auto"/>
        <w:right w:val="none" w:sz="0" w:space="0" w:color="auto"/>
      </w:divBdr>
    </w:div>
    <w:div w:id="1473139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4</Pages>
  <Words>1748</Words>
  <Characters>9964</Characters>
  <Application>Microsoft Office Word</Application>
  <DocSecurity>0</DocSecurity>
  <Lines>83</Lines>
  <Paragraphs>23</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11689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Кужильна</dc:creator>
  <cp:keywords/>
  <dc:description/>
  <cp:lastModifiedBy>Інна Кужильна</cp:lastModifiedBy>
  <cp:revision>7</cp:revision>
  <dcterms:created xsi:type="dcterms:W3CDTF">2023-10-23T06:51:00Z</dcterms:created>
  <dcterms:modified xsi:type="dcterms:W3CDTF">2023-11-07T15:05:00Z</dcterms:modified>
</cp:coreProperties>
</file>