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93D" w:rsidRPr="00263D8E" w:rsidRDefault="0082293D" w:rsidP="00271531">
      <w:pPr>
        <w:pStyle w:val="Normal1"/>
        <w:spacing w:after="0" w:line="23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3D8E">
        <w:rPr>
          <w:rFonts w:ascii="Times New Roman" w:eastAsia="Times New Roman" w:hAnsi="Times New Roman" w:cs="Times New Roman"/>
          <w:b/>
          <w:sz w:val="28"/>
          <w:szCs w:val="28"/>
        </w:rPr>
        <w:t>АНАЛІЗ ВПЛИВУ</w:t>
      </w:r>
    </w:p>
    <w:p w:rsidR="0082293D" w:rsidRPr="000F74BA" w:rsidRDefault="0082293D" w:rsidP="00232C94">
      <w:pPr>
        <w:pStyle w:val="Normal1"/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3D8E">
        <w:rPr>
          <w:rFonts w:ascii="Times New Roman" w:eastAsia="Times New Roman" w:hAnsi="Times New Roman" w:cs="Times New Roman"/>
          <w:b/>
          <w:sz w:val="28"/>
          <w:szCs w:val="28"/>
        </w:rPr>
        <w:t>проєкту постанови Національної комісії, що здійснює державне регулювання у сферах енергетики та кому</w:t>
      </w:r>
      <w:r w:rsidR="00C2686D" w:rsidRPr="00263D8E">
        <w:rPr>
          <w:rFonts w:ascii="Times New Roman" w:eastAsia="Times New Roman" w:hAnsi="Times New Roman" w:cs="Times New Roman"/>
          <w:b/>
          <w:sz w:val="28"/>
          <w:szCs w:val="28"/>
        </w:rPr>
        <w:t>нальних послуг</w:t>
      </w:r>
      <w:r w:rsidR="006A32AC" w:rsidRPr="00263D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E287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bookmarkStart w:id="0" w:name="_Hlk149041435"/>
      <w:r w:rsidR="00232C94" w:rsidRPr="006114C5">
        <w:rPr>
          <w:rFonts w:ascii="Times New Roman" w:hAnsi="Times New Roman" w:cs="Times New Roman"/>
          <w:b/>
          <w:sz w:val="28"/>
          <w:szCs w:val="28"/>
        </w:rPr>
        <w:t>Про затвердження Типового договору на технічне обслуговування внутрішньобудинкових систем газопостачання багатоквартирного будинку та внесення змін до Кодексу газорозподільних систем</w:t>
      </w:r>
      <w:bookmarkEnd w:id="0"/>
      <w:r w:rsidR="000E1D97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263D8E">
        <w:rPr>
          <w:rFonts w:ascii="Times New Roman" w:eastAsia="Times New Roman" w:hAnsi="Times New Roman" w:cs="Times New Roman"/>
          <w:b/>
          <w:sz w:val="28"/>
          <w:szCs w:val="28"/>
        </w:rPr>
        <w:t>, що має ознаки регуляторного акта</w:t>
      </w:r>
    </w:p>
    <w:p w:rsidR="00C762F0" w:rsidRPr="00263D8E" w:rsidRDefault="00C762F0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248" w:rsidRPr="00263D8E" w:rsidRDefault="00312248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І. Визначення проблеми</w:t>
      </w:r>
    </w:p>
    <w:p w:rsidR="001759A1" w:rsidRPr="00263D8E" w:rsidRDefault="001759A1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00AF" w:rsidRPr="00D42BFB" w:rsidRDefault="00BB00AF" w:rsidP="00BB00AF">
      <w:pPr>
        <w:spacing w:after="0" w:line="23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41F8">
        <w:rPr>
          <w:rFonts w:ascii="Times New Roman" w:hAnsi="Times New Roman" w:cs="Times New Roman"/>
          <w:color w:val="000000" w:themeColor="text1"/>
          <w:sz w:val="28"/>
          <w:szCs w:val="28"/>
        </w:rPr>
        <w:t>Законом України від 03.12.2020 № 1060-IX «Про внесення змін до деяких законів України щодо врегулювання окремих питань у сфері надання житлово-комунальних послуг» (далі – Закон  № 1060-IX)  частину третю статті 4 Закону України «Про ринок природного газу» (далі – Закон про ринок газу) доповнено новим пунктом 4</w:t>
      </w:r>
      <w:r w:rsidR="00154697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1B41F8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 </w:t>
      </w:r>
      <w:r w:rsidRPr="001B41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згідно з яким до компетенції Регулятора на ринку природного газу належить, зокрема, затвердження </w:t>
      </w:r>
      <w:r w:rsidR="00154697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154697" w:rsidRPr="00232C94">
        <w:rPr>
          <w:rFonts w:ascii="Times New Roman" w:hAnsi="Times New Roman" w:cs="Times New Roman"/>
          <w:color w:val="000000" w:themeColor="text1"/>
          <w:sz w:val="28"/>
          <w:szCs w:val="28"/>
        </w:rPr>
        <w:t>ипов</w:t>
      </w:r>
      <w:r w:rsidR="00154697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154697" w:rsidRPr="00232C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</w:t>
      </w:r>
      <w:r w:rsidR="00154697">
        <w:rPr>
          <w:rFonts w:ascii="Times New Roman" w:hAnsi="Times New Roman" w:cs="Times New Roman"/>
          <w:color w:val="000000" w:themeColor="text1"/>
          <w:sz w:val="28"/>
          <w:szCs w:val="28"/>
        </w:rPr>
        <w:t>ору</w:t>
      </w:r>
      <w:r w:rsidR="00154697" w:rsidRPr="00232C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технічне обслуговування внутрішньобудинкових систем газопостачання багатоквартирного будинку</w:t>
      </w:r>
      <w:r w:rsidRPr="001B41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00AF" w:rsidRDefault="00BB00AF" w:rsidP="00BB00A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GoBack"/>
      <w:bookmarkEnd w:id="1"/>
      <w:r w:rsidRPr="001B41F8">
        <w:rPr>
          <w:rFonts w:ascii="Times New Roman" w:hAnsi="Times New Roman" w:cs="Times New Roman"/>
          <w:color w:val="000000" w:themeColor="text1"/>
          <w:sz w:val="28"/>
          <w:szCs w:val="28"/>
        </w:rPr>
        <w:t>При цьому відповідно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пункту 4 Прикінцевих та перехідних положень Закону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 1060-IX НКРЕКП у двомісячний строк з дня набрання чинності Порядком технічного обслуговування внутрішньобудинкових систем газопостачання багатоквартирного будинку та видів робіт, які є обов’язковими під час технічного обслуговування,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має 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розробити та затвердити, зокрема, </w:t>
      </w:r>
      <w:r w:rsidR="00E6043F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E6043F" w:rsidRPr="00232C94">
        <w:rPr>
          <w:rFonts w:ascii="Times New Roman" w:hAnsi="Times New Roman" w:cs="Times New Roman"/>
          <w:color w:val="000000" w:themeColor="text1"/>
          <w:sz w:val="28"/>
          <w:szCs w:val="28"/>
        </w:rPr>
        <w:t>иповий договір на технічне обслуговування внутрішньобудинкових систем газопостачання багатоквартирного будинку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675AE" w:rsidRDefault="008675AE" w:rsidP="008675A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Порядок технічного обслуговування внутрішньобудинкових систем газопостачання багатоквартирного будинку та види робіт, які є обов’язковими під час технічного обслуговування затверджен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наказом Міністерства енергетики України від 29.09.2023 № 292,</w:t>
      </w:r>
      <w:r w:rsidRPr="001B41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зареєстрован</w:t>
      </w:r>
      <w:r w:rsidRPr="000D2577">
        <w:rPr>
          <w:rFonts w:ascii="Times New Roman" w:hAnsi="Times New Roman" w:cs="Times New Roman"/>
          <w:color w:val="000000" w:themeColor="text1"/>
          <w:sz w:val="28"/>
          <w:szCs w:val="28"/>
        </w:rPr>
        <w:t>им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Міністерстві юстиції України 04.10.2023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№ 1741/40797.</w:t>
      </w:r>
    </w:p>
    <w:p w:rsidR="00E6043F" w:rsidRPr="00DC797B" w:rsidRDefault="00E6043F" w:rsidP="00BB00A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7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Крім того, </w:t>
      </w:r>
      <w:r w:rsidR="00C14A98" w:rsidRPr="00FA671F">
        <w:rPr>
          <w:rFonts w:ascii="Times New Roman" w:hAnsi="Times New Roman" w:cs="Times New Roman"/>
          <w:color w:val="000000" w:themeColor="text1"/>
          <w:sz w:val="28"/>
          <w:szCs w:val="28"/>
        </w:rPr>
        <w:t>виникла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необхідність внесення змін до Кодексу газорозподільних систем, затвердженого постановою НКРЕКП від 30.09.2015 № 2494</w:t>
      </w:r>
      <w:r w:rsidR="00187F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(далі – Кодекс)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87F29">
        <w:rPr>
          <w:rFonts w:ascii="Times New Roman" w:hAnsi="Times New Roman" w:cs="Times New Roman"/>
          <w:bCs/>
          <w:sz w:val="28"/>
          <w:szCs w:val="28"/>
        </w:rPr>
        <w:t>в частині приведення у відповідність положень Кодексу до положень Закону України «Про житлово-комунальні послуги» щодо технічного обслуговування внутрішньобудинкових мереж газопостачання.</w:t>
      </w:r>
    </w:p>
    <w:p w:rsidR="00BB00AF" w:rsidRPr="00DC797B" w:rsidRDefault="00BB00AF" w:rsidP="00BB00A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97B">
        <w:rPr>
          <w:rFonts w:ascii="Times New Roman" w:hAnsi="Times New Roman" w:cs="Times New Roman"/>
          <w:bCs/>
          <w:sz w:val="28"/>
          <w:szCs w:val="28"/>
        </w:rPr>
        <w:t xml:space="preserve">Враховуючи зазначене,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НКРЕКП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розроблено проєкт постанови «</w:t>
      </w:r>
      <w:r w:rsidR="00187F29" w:rsidRPr="00187F29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Типового договору на технічне обслуговування внутрішньобудинкових систем газопостачання багатоквартирного будинку та внесення змін до Кодексу газорозподільних систем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» (далі – Проєкт постанови).</w:t>
      </w:r>
    </w:p>
    <w:p w:rsidR="006C15AA" w:rsidRDefault="00CA49BC" w:rsidP="00CA49B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797B">
        <w:rPr>
          <w:rFonts w:ascii="Times New Roman" w:hAnsi="Times New Roman" w:cs="Times New Roman"/>
          <w:bCs/>
          <w:sz w:val="28"/>
          <w:szCs w:val="28"/>
        </w:rPr>
        <w:t>Проєктом постанови передбачено</w:t>
      </w:r>
      <w:r w:rsidR="006C15AA">
        <w:rPr>
          <w:rFonts w:ascii="Times New Roman" w:hAnsi="Times New Roman" w:cs="Times New Roman"/>
          <w:bCs/>
          <w:sz w:val="28"/>
          <w:szCs w:val="28"/>
        </w:rPr>
        <w:t>:</w:t>
      </w:r>
    </w:p>
    <w:p w:rsidR="006C15AA" w:rsidRDefault="006C15AA" w:rsidP="00CA49B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797B">
        <w:rPr>
          <w:rFonts w:ascii="Times New Roman" w:hAnsi="Times New Roman" w:cs="Times New Roman"/>
          <w:bCs/>
          <w:sz w:val="28"/>
          <w:szCs w:val="28"/>
        </w:rPr>
        <w:t xml:space="preserve">затвердження </w:t>
      </w:r>
      <w:r w:rsidRPr="00C96CEA">
        <w:rPr>
          <w:rFonts w:ascii="Times New Roman" w:hAnsi="Times New Roman" w:cs="Times New Roman"/>
          <w:bCs/>
          <w:sz w:val="28"/>
          <w:szCs w:val="28"/>
        </w:rPr>
        <w:t>Типового договору на технічне обслуговування внутрішньобудинкових систем газопостачання багатоквартирного будинку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CA49BC" w:rsidRPr="00DC797B" w:rsidRDefault="00631C30" w:rsidP="00CA49B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6CEA">
        <w:rPr>
          <w:rFonts w:ascii="Times New Roman" w:hAnsi="Times New Roman" w:cs="Times New Roman"/>
          <w:bCs/>
          <w:sz w:val="28"/>
          <w:szCs w:val="28"/>
        </w:rPr>
        <w:t>внесення змін до Кодексу</w:t>
      </w:r>
      <w:r w:rsidRPr="00DC797B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частині приведення положень Кодексу </w:t>
      </w:r>
      <w:r w:rsidR="008675AE" w:rsidRPr="00FA671F">
        <w:rPr>
          <w:rFonts w:ascii="Times New Roman" w:hAnsi="Times New Roman" w:cs="Times New Roman"/>
          <w:bCs/>
          <w:sz w:val="28"/>
          <w:szCs w:val="28"/>
        </w:rPr>
        <w:t>у відповідність</w:t>
      </w:r>
      <w:r w:rsidR="008675A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до положень Закону України «Про житлово-комунальні послуги» щодо технічного обслуговування внутрішньобудинкових мереж газопостачання</w:t>
      </w:r>
      <w:r w:rsidR="00CA49BC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B2AF1" w:rsidRDefault="009B2AF1" w:rsidP="00795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31C30" w:rsidRPr="00827EFC" w:rsidRDefault="00631C30" w:rsidP="00795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9B2AF1" w:rsidRPr="00795CCE" w:rsidRDefault="009B2AF1" w:rsidP="00795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12248" w:rsidRPr="00263D8E" w:rsidRDefault="00312248" w:rsidP="00795CCE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 w:cs="Times New Roman"/>
          <w:sz w:val="28"/>
          <w:szCs w:val="28"/>
        </w:rPr>
        <w:t>Основні г</w:t>
      </w:r>
      <w:r w:rsidR="003C3700" w:rsidRPr="00263D8E">
        <w:rPr>
          <w:rFonts w:ascii="Times New Roman" w:hAnsi="Times New Roman" w:cs="Times New Roman"/>
          <w:sz w:val="28"/>
          <w:szCs w:val="28"/>
        </w:rPr>
        <w:t>рупи (підгрупи), на які проблема справляє</w:t>
      </w:r>
      <w:r w:rsidRPr="00263D8E">
        <w:rPr>
          <w:rFonts w:ascii="Times New Roman" w:hAnsi="Times New Roman" w:cs="Times New Roman"/>
          <w:sz w:val="28"/>
          <w:szCs w:val="28"/>
        </w:rPr>
        <w:t xml:space="preserve"> вплив: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5"/>
        <w:gridCol w:w="3833"/>
        <w:gridCol w:w="3060"/>
      </w:tblGrid>
      <w:tr w:rsidR="00312248" w:rsidRPr="00263D8E" w:rsidTr="006A32AC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b/>
                <w:sz w:val="24"/>
                <w:szCs w:val="24"/>
              </w:rPr>
              <w:t>Так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b/>
                <w:sz w:val="24"/>
                <w:szCs w:val="24"/>
              </w:rPr>
              <w:t>Ні</w:t>
            </w:r>
          </w:p>
        </w:tc>
      </w:tr>
      <w:tr w:rsidR="00312248" w:rsidRPr="00263D8E" w:rsidTr="006A32AC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sz w:val="24"/>
                <w:szCs w:val="24"/>
              </w:rPr>
              <w:t>Громадяни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E662F9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248" w:rsidRPr="00263D8E" w:rsidTr="006A32AC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sz w:val="24"/>
                <w:szCs w:val="24"/>
              </w:rPr>
              <w:t>Держава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8675AE" w:rsidRDefault="00312248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8675AE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A2A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312248" w:rsidRPr="00263D8E" w:rsidTr="006A32AC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sz w:val="24"/>
                <w:szCs w:val="24"/>
              </w:rPr>
              <w:t>Суб’єкти господарювання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F6" w:rsidRPr="00263D8E" w:rsidRDefault="00A112DB" w:rsidP="00271531">
            <w:pPr>
              <w:spacing w:after="0" w:line="230" w:lineRule="auto"/>
              <w:jc w:val="both"/>
              <w:rPr>
                <w:sz w:val="28"/>
                <w:szCs w:val="28"/>
              </w:rPr>
            </w:pPr>
            <w:r w:rsidRPr="00263D8E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2B62" w:rsidRDefault="00502B62" w:rsidP="00271531">
      <w:pPr>
        <w:spacing w:after="0" w:line="23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664D5" w:rsidRPr="00263D8E" w:rsidRDefault="006664D5" w:rsidP="00271531">
      <w:pPr>
        <w:spacing w:after="0" w:line="23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2248" w:rsidRPr="00263D8E" w:rsidRDefault="00312248" w:rsidP="00271531">
      <w:pPr>
        <w:spacing w:after="0" w:line="23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ІІ. Цілі державного регулювання</w:t>
      </w:r>
    </w:p>
    <w:p w:rsidR="00505CA8" w:rsidRDefault="00505CA8" w:rsidP="00271531">
      <w:pPr>
        <w:spacing w:after="0" w:line="23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7F29" w:rsidRDefault="00187F29" w:rsidP="00187F29">
      <w:pPr>
        <w:spacing w:after="0" w:line="23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Основними цілями розроблення Проєкту постанови </w:t>
      </w:r>
      <w:r w:rsidRPr="009B48AF">
        <w:rPr>
          <w:rFonts w:ascii="Times New Roman" w:hAnsi="Times New Roman" w:cs="Times New Roman"/>
          <w:bCs/>
          <w:sz w:val="28"/>
          <w:szCs w:val="28"/>
        </w:rPr>
        <w:t>є  виконання вимог пункту 4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9B48AF">
        <w:rPr>
          <w:rFonts w:ascii="Times New Roman" w:hAnsi="Times New Roman" w:cs="Times New Roman"/>
          <w:bCs/>
          <w:sz w:val="28"/>
          <w:szCs w:val="28"/>
        </w:rPr>
        <w:t xml:space="preserve"> частини третьої статті 4 Закону про ринок газу та</w:t>
      </w:r>
      <w:r w:rsidRPr="009B4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пункту 4 Прикінцевих та перехідних положень Закону № 1060-IX</w:t>
      </w:r>
      <w:r w:rsidRPr="009B48AF">
        <w:rPr>
          <w:rFonts w:ascii="Times New Roman" w:hAnsi="Times New Roman" w:cs="Times New Roman"/>
          <w:bCs/>
          <w:sz w:val="28"/>
          <w:szCs w:val="28"/>
        </w:rPr>
        <w:t xml:space="preserve">, а саме, затвердження Регулятором </w:t>
      </w:r>
      <w:r w:rsidR="001669F9" w:rsidRPr="00C96CEA">
        <w:rPr>
          <w:rFonts w:ascii="Times New Roman" w:hAnsi="Times New Roman" w:cs="Times New Roman"/>
          <w:bCs/>
          <w:sz w:val="28"/>
          <w:szCs w:val="28"/>
        </w:rPr>
        <w:t>Типового договору на технічне обслуговування внутрішньобудинкових систем газопостачання багатоквартирного будинку</w:t>
      </w:r>
      <w:r w:rsidR="001669F9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r w:rsidR="001669F9" w:rsidRPr="00C96CEA">
        <w:rPr>
          <w:rFonts w:ascii="Times New Roman" w:hAnsi="Times New Roman" w:cs="Times New Roman"/>
          <w:bCs/>
          <w:sz w:val="28"/>
          <w:szCs w:val="28"/>
        </w:rPr>
        <w:t>внесення змін до Кодексу</w:t>
      </w:r>
      <w:r w:rsidR="001669F9" w:rsidRPr="00DC797B">
        <w:rPr>
          <w:rFonts w:ascii="Times New Roman" w:hAnsi="Times New Roman" w:cs="Times New Roman"/>
          <w:bCs/>
          <w:sz w:val="28"/>
          <w:szCs w:val="28"/>
        </w:rPr>
        <w:t>,</w:t>
      </w:r>
      <w:r w:rsidR="001669F9">
        <w:rPr>
          <w:rFonts w:ascii="Times New Roman" w:hAnsi="Times New Roman" w:cs="Times New Roman"/>
          <w:bCs/>
          <w:sz w:val="28"/>
          <w:szCs w:val="28"/>
        </w:rPr>
        <w:t xml:space="preserve"> в частині приведення у відповідність положень Кодексу до </w:t>
      </w:r>
      <w:r w:rsidR="00840366" w:rsidRPr="00BD1A70">
        <w:rPr>
          <w:rFonts w:ascii="Times New Roman" w:hAnsi="Times New Roman" w:cs="Times New Roman"/>
          <w:bCs/>
          <w:sz w:val="28"/>
          <w:szCs w:val="28"/>
        </w:rPr>
        <w:t xml:space="preserve">вимог </w:t>
      </w:r>
      <w:r w:rsidR="00BF45C7">
        <w:rPr>
          <w:rFonts w:ascii="Times New Roman" w:hAnsi="Times New Roman" w:cs="Times New Roman"/>
          <w:bCs/>
          <w:sz w:val="28"/>
          <w:szCs w:val="28"/>
        </w:rPr>
        <w:t>чинного законодавства</w:t>
      </w:r>
      <w:r w:rsidR="001669F9">
        <w:rPr>
          <w:rFonts w:ascii="Times New Roman" w:hAnsi="Times New Roman" w:cs="Times New Roman"/>
          <w:bCs/>
          <w:sz w:val="28"/>
          <w:szCs w:val="28"/>
        </w:rPr>
        <w:t xml:space="preserve"> щодо технічного обслуговування внутрішньобудинкових мереж газопостачання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90AF4" w:rsidRDefault="00E90AF4" w:rsidP="003148CB">
      <w:pPr>
        <w:spacing w:after="0" w:line="23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5013" w:rsidRDefault="00BC5013" w:rsidP="004F6658">
      <w:pPr>
        <w:spacing w:after="0" w:line="23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248" w:rsidRPr="00263D8E" w:rsidRDefault="00312248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ІІІ. Визначення та оцінка альтернативних способів досягнення цілей</w:t>
      </w:r>
    </w:p>
    <w:p w:rsidR="00D7018C" w:rsidRPr="00263D8E" w:rsidRDefault="00D7018C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248" w:rsidRPr="00263D8E" w:rsidRDefault="00312248" w:rsidP="00271531">
      <w:pPr>
        <w:numPr>
          <w:ilvl w:val="0"/>
          <w:numId w:val="4"/>
        </w:numPr>
        <w:tabs>
          <w:tab w:val="clear" w:pos="720"/>
          <w:tab w:val="num" w:pos="142"/>
          <w:tab w:val="left" w:pos="993"/>
        </w:tabs>
        <w:spacing w:after="0" w:line="230" w:lineRule="auto"/>
        <w:ind w:hanging="86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D8E">
        <w:rPr>
          <w:rFonts w:ascii="Times New Roman" w:hAnsi="Times New Roman" w:cs="Times New Roman"/>
          <w:b/>
          <w:sz w:val="28"/>
          <w:szCs w:val="28"/>
        </w:rPr>
        <w:t>Визначення альтернативних способів</w:t>
      </w:r>
    </w:p>
    <w:p w:rsidR="00BB47EE" w:rsidRPr="00263D8E" w:rsidRDefault="00BB47EE" w:rsidP="00BB47EE">
      <w:pPr>
        <w:tabs>
          <w:tab w:val="left" w:pos="993"/>
        </w:tabs>
        <w:spacing w:after="0" w:line="23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0"/>
        <w:gridCol w:w="7583"/>
      </w:tblGrid>
      <w:tr w:rsidR="003767FC" w:rsidRPr="00263D8E" w:rsidTr="003767FC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Вид альтернативи</w:t>
            </w:r>
          </w:p>
        </w:tc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Опис альтернативи</w:t>
            </w:r>
          </w:p>
        </w:tc>
      </w:tr>
      <w:tr w:rsidR="003767FC" w:rsidRPr="00263D8E" w:rsidTr="003767FC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312248" w:rsidRPr="00263D8E" w:rsidRDefault="009121EB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szCs w:val="28"/>
                <w:lang w:val="uk-UA"/>
              </w:rPr>
              <w:t>Відсутність регулювання</w:t>
            </w:r>
          </w:p>
        </w:tc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44" w:rsidRPr="00460222" w:rsidRDefault="001C7EFC" w:rsidP="00387F4C">
            <w:pPr>
              <w:spacing w:after="0" w:line="23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222">
              <w:rPr>
                <w:rFonts w:ascii="Times New Roman" w:eastAsia="Calibri" w:hAnsi="Times New Roman" w:cs="Times New Roman"/>
                <w:sz w:val="24"/>
                <w:szCs w:val="24"/>
              </w:rPr>
              <w:t>Відсутність нормативно-правового акта</w:t>
            </w:r>
            <w:r w:rsidR="00C87002" w:rsidRPr="004602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яким </w:t>
            </w:r>
            <w:r w:rsidR="00F014F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F014F6" w:rsidRPr="00F014F6">
              <w:rPr>
                <w:rFonts w:ascii="Times New Roman" w:eastAsia="Calibri" w:hAnsi="Times New Roman" w:cs="Times New Roman"/>
                <w:sz w:val="24"/>
                <w:szCs w:val="24"/>
              </w:rPr>
              <w:t>регул</w:t>
            </w:r>
            <w:r w:rsidR="00F014F6">
              <w:rPr>
                <w:rFonts w:ascii="Times New Roman" w:eastAsia="Calibri" w:hAnsi="Times New Roman" w:cs="Times New Roman"/>
                <w:sz w:val="24"/>
                <w:szCs w:val="24"/>
              </w:rPr>
              <w:t>ьову</w:t>
            </w:r>
            <w:r w:rsidR="001B2B20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F014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ться </w:t>
            </w:r>
            <w:r w:rsidR="00F014F6" w:rsidRPr="00F014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взаємовідносин</w:t>
            </w:r>
            <w:r w:rsidR="001B2B2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F014F6" w:rsidRPr="00F014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між співвласниками будинку або за їхнім рішенням </w:t>
            </w:r>
            <w:r w:rsidR="008472D5">
              <w:rPr>
                <w:rFonts w:ascii="Times New Roman" w:eastAsia="Calibri" w:hAnsi="Times New Roman" w:cs="Times New Roman"/>
                <w:sz w:val="24"/>
                <w:szCs w:val="24"/>
              </w:rPr>
              <w:t>−</w:t>
            </w:r>
            <w:r w:rsidR="00F014F6" w:rsidRPr="00F014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управителем багатоквартирного будинку, об’єднанням співвласників багатоквартирного будинку, іншою уповноваженою співвласниками особою та оператором газорозподільних систем під час технічного обслуговування внутрішньобудинкових систем газопостачання  багатоквартирного будинку</w:t>
            </w:r>
            <w:r w:rsidR="001669F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DE45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E45A5" w:rsidRPr="009B48AF">
              <w:rPr>
                <w:rFonts w:ascii="Times New Roman" w:hAnsi="Times New Roman" w:cs="Times New Roman"/>
                <w:bCs/>
                <w:sz w:val="24"/>
                <w:szCs w:val="24"/>
              </w:rPr>
              <w:t>невиконання вимог Закону про ринок газу</w:t>
            </w:r>
            <w:r w:rsidR="00DE45A5" w:rsidRPr="009B48AF">
              <w:t xml:space="preserve"> </w:t>
            </w:r>
            <w:r w:rsidR="00DE45A5" w:rsidRPr="009B48AF">
              <w:rPr>
                <w:rFonts w:ascii="Times New Roman" w:hAnsi="Times New Roman" w:cs="Times New Roman"/>
              </w:rPr>
              <w:t xml:space="preserve">та Закону </w:t>
            </w:r>
            <w:r w:rsidR="00DE45A5" w:rsidRPr="009B48AF">
              <w:rPr>
                <w:rFonts w:ascii="Times New Roman" w:hAnsi="Times New Roman" w:cs="Times New Roman"/>
                <w:color w:val="000000" w:themeColor="text1"/>
              </w:rPr>
              <w:t>№ 1060-IX</w:t>
            </w:r>
            <w:r w:rsidR="00DE45A5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166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E45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також продовжить існувати </w:t>
            </w:r>
            <w:r w:rsidR="00166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потреба приведення положень </w:t>
            </w:r>
            <w:r w:rsidR="00D66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Кодексу до </w:t>
            </w:r>
            <w:r w:rsidR="008675AE" w:rsidRPr="00687A2A">
              <w:rPr>
                <w:rFonts w:ascii="Times New Roman" w:eastAsia="Calibri" w:hAnsi="Times New Roman" w:cs="Times New Roman"/>
                <w:sz w:val="24"/>
                <w:szCs w:val="24"/>
              </w:rPr>
              <w:t>вимог</w:t>
            </w:r>
            <w:r w:rsidR="008675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66C63">
              <w:rPr>
                <w:rFonts w:ascii="Times New Roman" w:eastAsia="Calibri" w:hAnsi="Times New Roman" w:cs="Times New Roman"/>
                <w:sz w:val="24"/>
                <w:szCs w:val="24"/>
              </w:rPr>
              <w:t>чинного законодавства</w:t>
            </w:r>
          </w:p>
        </w:tc>
      </w:tr>
      <w:tr w:rsidR="003767FC" w:rsidRPr="00263D8E" w:rsidTr="003767FC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2 </w:t>
            </w:r>
          </w:p>
          <w:p w:rsidR="0054391F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F3" w:rsidRPr="00443F30" w:rsidRDefault="002E5E3B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B48AF">
              <w:rPr>
                <w:bCs/>
                <w:lang w:val="uk-UA"/>
              </w:rPr>
              <w:t>Прийняття нового регуляторного акта</w:t>
            </w:r>
            <w:r w:rsidRPr="009B48AF">
              <w:rPr>
                <w:lang w:val="uk-UA"/>
              </w:rPr>
              <w:t xml:space="preserve"> </w:t>
            </w:r>
            <w:r w:rsidRPr="009B48AF">
              <w:rPr>
                <w:bCs/>
                <w:lang w:val="uk-UA"/>
              </w:rPr>
              <w:t>сприятиме реалізації положень З</w:t>
            </w:r>
            <w:r w:rsidRPr="009B48AF">
              <w:rPr>
                <w:lang w:val="uk-UA" w:eastAsia="en-US"/>
              </w:rPr>
              <w:t xml:space="preserve">акону про ринок газу </w:t>
            </w:r>
            <w:r w:rsidRPr="009B48AF">
              <w:rPr>
                <w:sz w:val="22"/>
                <w:szCs w:val="22"/>
                <w:lang w:val="uk-UA" w:eastAsia="en-US"/>
              </w:rPr>
              <w:t xml:space="preserve">та Закону </w:t>
            </w:r>
            <w:r w:rsidRPr="009B48AF">
              <w:rPr>
                <w:color w:val="000000" w:themeColor="text1"/>
                <w:sz w:val="22"/>
                <w:szCs w:val="22"/>
              </w:rPr>
              <w:t>№ 1060-IX</w:t>
            </w:r>
            <w:r w:rsidR="00D66C63">
              <w:rPr>
                <w:lang w:val="uk-UA" w:eastAsia="en-US"/>
              </w:rPr>
              <w:t xml:space="preserve">, а також забезпечить </w:t>
            </w:r>
            <w:r w:rsidR="00D66C63" w:rsidRPr="00D66C63">
              <w:rPr>
                <w:lang w:val="uk-UA" w:eastAsia="en-US"/>
              </w:rPr>
              <w:t xml:space="preserve">приведення положень Кодексу </w:t>
            </w:r>
            <w:r w:rsidR="00D66C63" w:rsidRPr="00687A2A">
              <w:rPr>
                <w:lang w:val="uk-UA" w:eastAsia="en-US"/>
              </w:rPr>
              <w:t xml:space="preserve">до </w:t>
            </w:r>
            <w:r w:rsidR="008675AE" w:rsidRPr="00687A2A">
              <w:rPr>
                <w:lang w:val="uk-UA" w:eastAsia="en-US"/>
              </w:rPr>
              <w:t>вимог</w:t>
            </w:r>
            <w:r w:rsidR="00D66C63" w:rsidRPr="00D66C63">
              <w:rPr>
                <w:lang w:val="uk-UA" w:eastAsia="en-US"/>
              </w:rPr>
              <w:t xml:space="preserve"> чинного законодавства</w:t>
            </w:r>
          </w:p>
        </w:tc>
      </w:tr>
    </w:tbl>
    <w:p w:rsidR="001B31D4" w:rsidRPr="00263D8E" w:rsidRDefault="00312248" w:rsidP="00271531">
      <w:pPr>
        <w:spacing w:after="80" w:line="23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3D8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12248" w:rsidRPr="00263D8E" w:rsidRDefault="00312248" w:rsidP="00271531">
      <w:pPr>
        <w:spacing w:line="230" w:lineRule="auto"/>
        <w:rPr>
          <w:rFonts w:ascii="Times New Roman" w:hAnsi="Times New Roman" w:cs="Times New Roman"/>
          <w:b/>
          <w:sz w:val="28"/>
          <w:szCs w:val="28"/>
        </w:rPr>
      </w:pPr>
      <w:r w:rsidRPr="00263D8E">
        <w:rPr>
          <w:rFonts w:ascii="Times New Roman" w:hAnsi="Times New Roman" w:cs="Times New Roman"/>
          <w:b/>
          <w:sz w:val="28"/>
          <w:szCs w:val="28"/>
        </w:rPr>
        <w:t>2. Оцінка вибраних альтернативних способів досягнення цілей</w:t>
      </w:r>
    </w:p>
    <w:p w:rsidR="0054391F" w:rsidRPr="00263D8E" w:rsidRDefault="00312248" w:rsidP="00271531">
      <w:pPr>
        <w:spacing w:after="120" w:line="230" w:lineRule="auto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 w:cs="Times New Roman"/>
          <w:sz w:val="28"/>
          <w:szCs w:val="28"/>
        </w:rPr>
        <w:t>1) Оцінка впливу на сферу інтересів держави: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3147"/>
        <w:gridCol w:w="3945"/>
      </w:tblGrid>
      <w:tr w:rsidR="00DC2C74" w:rsidRPr="00263D8E" w:rsidTr="00B1080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Вид альтернативи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Вигоди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Витрати</w:t>
            </w:r>
          </w:p>
        </w:tc>
      </w:tr>
      <w:tr w:rsidR="00DC2C74" w:rsidRPr="00847A28" w:rsidTr="00B1080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DC2C74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312248" w:rsidRPr="00263D8E" w:rsidRDefault="00BA658B" w:rsidP="00DC2C74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>
              <w:rPr>
                <w:szCs w:val="28"/>
                <w:lang w:val="uk-UA"/>
              </w:rPr>
              <w:t>Відсутність регулювання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5F7105" w:rsidRDefault="00312248" w:rsidP="005F7105">
            <w:pPr>
              <w:pStyle w:val="a5"/>
              <w:spacing w:line="230" w:lineRule="auto"/>
              <w:jc w:val="center"/>
              <w:rPr>
                <w:szCs w:val="22"/>
                <w:lang w:val="uk-UA" w:eastAsia="en-US"/>
              </w:rPr>
            </w:pPr>
            <w:r w:rsidRPr="005F7105">
              <w:rPr>
                <w:szCs w:val="22"/>
                <w:lang w:val="uk-UA" w:eastAsia="en-US"/>
              </w:rPr>
              <w:t>Відсутні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AE" w:rsidRPr="005F7105" w:rsidRDefault="008675AE" w:rsidP="005F7105">
            <w:pPr>
              <w:pStyle w:val="a5"/>
              <w:spacing w:before="0" w:beforeAutospacing="0" w:after="0" w:afterAutospacing="0" w:line="230" w:lineRule="auto"/>
              <w:jc w:val="center"/>
              <w:rPr>
                <w:szCs w:val="22"/>
                <w:lang w:val="uk-UA"/>
              </w:rPr>
            </w:pPr>
            <w:r w:rsidRPr="005F7105">
              <w:rPr>
                <w:szCs w:val="22"/>
                <w:lang w:val="uk-UA"/>
              </w:rPr>
              <w:t>Відсутні</w:t>
            </w:r>
          </w:p>
          <w:p w:rsidR="00505CA8" w:rsidRPr="005F7105" w:rsidRDefault="00505CA8" w:rsidP="005F7105">
            <w:pPr>
              <w:pStyle w:val="a5"/>
              <w:spacing w:before="0" w:beforeAutospacing="0" w:after="0" w:afterAutospacing="0" w:line="230" w:lineRule="auto"/>
              <w:jc w:val="center"/>
              <w:rPr>
                <w:szCs w:val="22"/>
                <w:lang w:val="uk-UA" w:eastAsia="en-US"/>
              </w:rPr>
            </w:pPr>
          </w:p>
        </w:tc>
      </w:tr>
      <w:tr w:rsidR="00DC2C74" w:rsidRPr="00847A28" w:rsidTr="00B10804">
        <w:trPr>
          <w:trHeight w:val="8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DC2C74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2 </w:t>
            </w:r>
          </w:p>
          <w:p w:rsidR="00312248" w:rsidRPr="00263D8E" w:rsidRDefault="00312248" w:rsidP="00DC2C74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065C0A" w:rsidRDefault="005B29D9" w:rsidP="005B29D9">
            <w:pPr>
              <w:pStyle w:val="a5"/>
              <w:spacing w:before="0" w:beforeAutospacing="0" w:after="0" w:afterAutospacing="0" w:line="230" w:lineRule="auto"/>
              <w:jc w:val="center"/>
              <w:rPr>
                <w:szCs w:val="22"/>
                <w:lang w:val="uk-UA"/>
              </w:rPr>
            </w:pPr>
            <w:r w:rsidRPr="004342AE">
              <w:rPr>
                <w:szCs w:val="22"/>
                <w:lang w:val="uk-UA" w:eastAsia="en-US"/>
              </w:rPr>
              <w:t>Відсутні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A8" w:rsidRPr="004342AE" w:rsidRDefault="00067582" w:rsidP="00DC2C74">
            <w:pPr>
              <w:pStyle w:val="a5"/>
              <w:spacing w:before="0" w:beforeAutospacing="0" w:after="0" w:afterAutospacing="0" w:line="230" w:lineRule="auto"/>
              <w:jc w:val="center"/>
              <w:rPr>
                <w:szCs w:val="22"/>
                <w:lang w:val="uk-UA" w:eastAsia="en-US"/>
              </w:rPr>
            </w:pPr>
            <w:r w:rsidRPr="004342AE">
              <w:rPr>
                <w:szCs w:val="22"/>
                <w:lang w:val="uk-UA" w:eastAsia="en-US"/>
              </w:rPr>
              <w:t>Відсутні</w:t>
            </w:r>
          </w:p>
        </w:tc>
      </w:tr>
    </w:tbl>
    <w:p w:rsidR="00284BA7" w:rsidRPr="00263D8E" w:rsidRDefault="00284BA7" w:rsidP="00271531">
      <w:pPr>
        <w:spacing w:before="240" w:after="120" w:line="230" w:lineRule="auto"/>
        <w:rPr>
          <w:rFonts w:ascii="Times New Roman" w:hAnsi="Times New Roman" w:cs="Times New Roman"/>
          <w:sz w:val="28"/>
          <w:szCs w:val="28"/>
        </w:rPr>
      </w:pPr>
    </w:p>
    <w:p w:rsidR="00312248" w:rsidRPr="00263D8E" w:rsidRDefault="00312248" w:rsidP="00271531">
      <w:pPr>
        <w:spacing w:before="240" w:after="120" w:line="230" w:lineRule="auto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 w:cs="Times New Roman"/>
          <w:sz w:val="28"/>
          <w:szCs w:val="28"/>
        </w:rPr>
        <w:t>2) Оцінка впливу на сферу інтересів громадян: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8"/>
        <w:gridCol w:w="4313"/>
        <w:gridCol w:w="3373"/>
      </w:tblGrid>
      <w:tr w:rsidR="00DC2C74" w:rsidRPr="00263D8E" w:rsidTr="002E5E3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Вид альтернативи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Вигоди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Витрати</w:t>
            </w:r>
          </w:p>
        </w:tc>
      </w:tr>
      <w:tr w:rsidR="00DC2C74" w:rsidRPr="00263D8E" w:rsidTr="002E5E3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54391F" w:rsidRPr="00263D8E" w:rsidRDefault="00924727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szCs w:val="28"/>
                <w:lang w:val="uk-UA"/>
              </w:rPr>
              <w:t>Відсутність регулювання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0525C" w:rsidRDefault="00312248" w:rsidP="00271531">
            <w:pPr>
              <w:pStyle w:val="a5"/>
              <w:spacing w:line="230" w:lineRule="auto"/>
              <w:rPr>
                <w:lang w:val="uk-UA" w:eastAsia="en-US"/>
              </w:rPr>
            </w:pPr>
            <w:r w:rsidRPr="0020525C">
              <w:rPr>
                <w:lang w:val="uk-UA" w:eastAsia="en-US"/>
              </w:rPr>
              <w:t>Відсутні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0525C" w:rsidRDefault="00681C6D" w:rsidP="00681C6D">
            <w:pPr>
              <w:pStyle w:val="a5"/>
              <w:spacing w:line="230" w:lineRule="auto"/>
              <w:jc w:val="both"/>
              <w:rPr>
                <w:lang w:val="uk-UA" w:eastAsia="en-US"/>
              </w:rPr>
            </w:pPr>
            <w:r w:rsidRPr="005B29D9">
              <w:rPr>
                <w:lang w:val="uk-UA" w:eastAsia="en-US"/>
              </w:rPr>
              <w:t>Відсутність реалізації положень чинного законодавства у частині врегулювання взаємовідносин між співвласниками будинку або за їхнім рішенням - управителем багатоквартирного будинку, об’єднанням співвласників багатоквартирного будинку, іншою уповноваженою співвласниками особою та оператором газорозподільних систем під час технічного обслуговування внутрішньобудинкових систем газопостачання  багатоквартирного будинку   відсутн</w:t>
            </w:r>
            <w:r>
              <w:rPr>
                <w:lang w:val="uk-UA" w:eastAsia="en-US"/>
              </w:rPr>
              <w:t>і</w:t>
            </w:r>
            <w:r w:rsidRPr="005B29D9">
              <w:rPr>
                <w:lang w:val="uk-UA" w:eastAsia="en-US"/>
              </w:rPr>
              <w:t>ст</w:t>
            </w:r>
            <w:r>
              <w:rPr>
                <w:lang w:val="uk-UA" w:eastAsia="en-US"/>
              </w:rPr>
              <w:t>ь</w:t>
            </w:r>
            <w:r w:rsidRPr="005B29D9">
              <w:rPr>
                <w:lang w:val="uk-UA" w:eastAsia="en-US"/>
              </w:rPr>
              <w:t xml:space="preserve"> Типового договору на технічне обслуговування внутрішньобудинкових систем газопостачання багатоквартирного будинку, а також потреба приведення положень Кодексу до </w:t>
            </w:r>
            <w:r>
              <w:rPr>
                <w:lang w:val="uk-UA" w:eastAsia="en-US"/>
              </w:rPr>
              <w:t>вимог</w:t>
            </w:r>
            <w:r w:rsidRPr="005B29D9">
              <w:rPr>
                <w:lang w:val="uk-UA" w:eastAsia="en-US"/>
              </w:rPr>
              <w:t xml:space="preserve"> чинного законодавства</w:t>
            </w:r>
          </w:p>
        </w:tc>
      </w:tr>
      <w:tr w:rsidR="00DC2C74" w:rsidRPr="00263D8E" w:rsidTr="002E5E3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2 </w:t>
            </w:r>
          </w:p>
          <w:p w:rsidR="0054391F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F69B9" w:rsidRDefault="005132AE" w:rsidP="00074990">
            <w:pPr>
              <w:pStyle w:val="a5"/>
              <w:spacing w:before="0" w:beforeAutospacing="0" w:after="0" w:afterAutospacing="0" w:line="230" w:lineRule="auto"/>
              <w:jc w:val="both"/>
              <w:rPr>
                <w:szCs w:val="22"/>
                <w:lang w:val="uk-UA"/>
              </w:rPr>
            </w:pPr>
            <w:r w:rsidRPr="005132AE">
              <w:rPr>
                <w:szCs w:val="22"/>
                <w:lang w:val="uk-UA"/>
              </w:rPr>
              <w:t>Прийняття регуляторного акта забезпечить</w:t>
            </w:r>
            <w:r w:rsidR="00F34716">
              <w:rPr>
                <w:szCs w:val="22"/>
                <w:lang w:val="uk-UA"/>
              </w:rPr>
              <w:t xml:space="preserve"> </w:t>
            </w:r>
            <w:r w:rsidR="00157541">
              <w:rPr>
                <w:szCs w:val="22"/>
                <w:lang w:val="uk-UA"/>
              </w:rPr>
              <w:t>в</w:t>
            </w:r>
            <w:r w:rsidR="00157541" w:rsidRPr="00AD601D">
              <w:rPr>
                <w:lang w:val="uk-UA"/>
              </w:rPr>
              <w:t>регул</w:t>
            </w:r>
            <w:r w:rsidR="00733A65">
              <w:rPr>
                <w:lang w:val="uk-UA"/>
              </w:rPr>
              <w:t>ю</w:t>
            </w:r>
            <w:r w:rsidR="00157541" w:rsidRPr="00AD601D">
              <w:rPr>
                <w:lang w:val="uk-UA"/>
              </w:rPr>
              <w:t>в</w:t>
            </w:r>
            <w:r w:rsidR="00157541">
              <w:rPr>
                <w:lang w:val="uk-UA"/>
              </w:rPr>
              <w:t xml:space="preserve">ання </w:t>
            </w:r>
            <w:r w:rsidR="00157541" w:rsidRPr="00AD601D">
              <w:rPr>
                <w:lang w:val="uk-UA"/>
              </w:rPr>
              <w:t>взаємовідносин між співвласниками будинку або за їхнім рішенням - управителем багатоквартирного будинку, об’єднанням співвласників багатоквартирного будинку, іншою уповноваженою співвласниками особою та оператором газорозподільних систем під час технічного обслуговування внутрішньобудинкових систем газопостачання  багатоквартирного будинку</w:t>
            </w:r>
            <w:r w:rsidR="002C4668">
              <w:rPr>
                <w:lang w:val="uk-UA"/>
              </w:rPr>
              <w:t xml:space="preserve">, а також забезпечить </w:t>
            </w:r>
            <w:r w:rsidR="002C4668" w:rsidRPr="002C4668">
              <w:rPr>
                <w:lang w:val="uk-UA"/>
              </w:rPr>
              <w:t xml:space="preserve">приведення положень Кодексу </w:t>
            </w:r>
            <w:r w:rsidR="002C4668" w:rsidRPr="00BD1A70">
              <w:rPr>
                <w:lang w:val="uk-UA"/>
              </w:rPr>
              <w:t xml:space="preserve">до </w:t>
            </w:r>
            <w:r w:rsidR="005239C1" w:rsidRPr="00BD1A70">
              <w:rPr>
                <w:lang w:val="uk-UA"/>
              </w:rPr>
              <w:t>вимог</w:t>
            </w:r>
            <w:r w:rsidR="002C4668" w:rsidRPr="002C4668">
              <w:rPr>
                <w:lang w:val="uk-UA"/>
              </w:rPr>
              <w:t xml:space="preserve"> чинного законодавства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DF3B8E" w:rsidRDefault="00F34716" w:rsidP="00937794">
            <w:pPr>
              <w:pStyle w:val="a5"/>
              <w:spacing w:line="230" w:lineRule="auto"/>
              <w:jc w:val="both"/>
              <w:rPr>
                <w:highlight w:val="yellow"/>
                <w:lang w:val="uk-UA" w:eastAsia="en-US"/>
              </w:rPr>
            </w:pPr>
            <w:r>
              <w:rPr>
                <w:szCs w:val="22"/>
                <w:lang w:val="uk-UA"/>
              </w:rPr>
              <w:t>Відсутні</w:t>
            </w:r>
          </w:p>
        </w:tc>
      </w:tr>
    </w:tbl>
    <w:p w:rsidR="00312248" w:rsidRPr="00263D8E" w:rsidRDefault="00312248" w:rsidP="00271531">
      <w:pPr>
        <w:spacing w:before="240" w:after="120" w:line="230" w:lineRule="auto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 w:cs="Times New Roman"/>
          <w:sz w:val="28"/>
          <w:szCs w:val="28"/>
        </w:rPr>
        <w:t xml:space="preserve">3) Оцінка впливу на сферу інтересів </w:t>
      </w:r>
      <w:r w:rsidR="00686DD8" w:rsidRPr="00263D8E">
        <w:rPr>
          <w:rFonts w:ascii="Times New Roman" w:hAnsi="Times New Roman" w:cs="Times New Roman"/>
          <w:sz w:val="28"/>
          <w:szCs w:val="28"/>
        </w:rPr>
        <w:t>суб’єктів господарювання</w:t>
      </w:r>
      <w:r w:rsidRPr="00263D8E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8"/>
        <w:gridCol w:w="4181"/>
        <w:gridCol w:w="3685"/>
      </w:tblGrid>
      <w:tr w:rsidR="00DC2C74" w:rsidRPr="00263D8E" w:rsidTr="00805A35">
        <w:trPr>
          <w:trHeight w:val="891"/>
          <w:tblHeader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lastRenderedPageBreak/>
              <w:t>Вид альтернативи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Вигоди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Витрати</w:t>
            </w:r>
          </w:p>
        </w:tc>
      </w:tr>
      <w:tr w:rsidR="00DC2C74" w:rsidRPr="00263D8E" w:rsidTr="00DC2C74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312248" w:rsidRPr="00263D8E" w:rsidRDefault="00924727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>
              <w:rPr>
                <w:szCs w:val="28"/>
                <w:lang w:val="uk-UA"/>
              </w:rPr>
              <w:t>Відсутність регулювання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C7C" w:rsidRPr="00263D8E" w:rsidRDefault="005B29D9" w:rsidP="009E5A23">
            <w:pPr>
              <w:pStyle w:val="a5"/>
              <w:spacing w:after="0" w:line="230" w:lineRule="auto"/>
              <w:jc w:val="both"/>
              <w:rPr>
                <w:lang w:val="uk-UA" w:eastAsia="en-US"/>
              </w:rPr>
            </w:pPr>
            <w:r w:rsidRPr="005B29D9">
              <w:rPr>
                <w:lang w:val="uk-UA" w:eastAsia="en-US"/>
              </w:rPr>
              <w:t>Відсутність реалізації положень чинного законодавства у частині врегулювання взаємовідносин між співвласниками будинку або за їхнім рішенням - управителем багатоквартирного будинку, об’єднанням співвласників багатоквартирного будинку, іншою уповноваженою співвласниками особою та оператором газорозподільних систем під час технічного обслуговування внутрішньобудинкових систем газопостачання  багатоквартирного будинку   відсутн</w:t>
            </w:r>
            <w:r w:rsidR="009E5A23">
              <w:rPr>
                <w:lang w:val="uk-UA" w:eastAsia="en-US"/>
              </w:rPr>
              <w:t>і</w:t>
            </w:r>
            <w:r w:rsidRPr="005B29D9">
              <w:rPr>
                <w:lang w:val="uk-UA" w:eastAsia="en-US"/>
              </w:rPr>
              <w:t>ст</w:t>
            </w:r>
            <w:r w:rsidR="009E5A23">
              <w:rPr>
                <w:lang w:val="uk-UA" w:eastAsia="en-US"/>
              </w:rPr>
              <w:t>ь</w:t>
            </w:r>
            <w:r w:rsidRPr="005B29D9">
              <w:rPr>
                <w:lang w:val="uk-UA" w:eastAsia="en-US"/>
              </w:rPr>
              <w:t xml:space="preserve"> Типового договору на технічне обслуговування внутрішньобудинкових систем газопостачання багатоквартирного будинку, а також потреба приведення положень Кодексу до </w:t>
            </w:r>
            <w:r w:rsidR="009E5A23">
              <w:rPr>
                <w:lang w:val="uk-UA" w:eastAsia="en-US"/>
              </w:rPr>
              <w:t>вимог</w:t>
            </w:r>
            <w:r w:rsidRPr="005B29D9">
              <w:rPr>
                <w:lang w:val="uk-UA" w:eastAsia="en-US"/>
              </w:rPr>
              <w:t xml:space="preserve"> чинного законодавства</w:t>
            </w:r>
          </w:p>
        </w:tc>
      </w:tr>
      <w:tr w:rsidR="00DC2C74" w:rsidRPr="00263D8E" w:rsidTr="00DC2C74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2 </w:t>
            </w:r>
          </w:p>
          <w:p w:rsidR="005350E3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34319B" w:rsidRDefault="00A4014B" w:rsidP="00805A35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/>
              </w:rPr>
            </w:pPr>
            <w:r>
              <w:rPr>
                <w:szCs w:val="22"/>
                <w:lang w:val="uk-UA"/>
              </w:rPr>
              <w:t>У</w:t>
            </w:r>
            <w:r w:rsidRPr="00AD601D">
              <w:rPr>
                <w:lang w:val="uk-UA"/>
              </w:rPr>
              <w:t>регул</w:t>
            </w:r>
            <w:r>
              <w:rPr>
                <w:lang w:val="uk-UA"/>
              </w:rPr>
              <w:t>ьованість</w:t>
            </w:r>
            <w:r w:rsidR="003F72C4">
              <w:rPr>
                <w:lang w:val="uk-UA"/>
              </w:rPr>
              <w:t xml:space="preserve"> питання, щодо </w:t>
            </w:r>
            <w:r w:rsidR="0094042A" w:rsidRPr="00AD601D">
              <w:rPr>
                <w:lang w:val="uk-UA"/>
              </w:rPr>
              <w:t>взаємовідносин між співвласниками будинку або за їхнім рішенням - управителем багатоквартирного будинку, об’єднанням співвласників багатоквартирного будинку, іншою уповноваженою співвласниками особою та оператором газорозподільних систем під час технічного обслуговування внутрішньобудинкових систем газопостачання  багатоквартирного будинку</w:t>
            </w:r>
            <w:r w:rsidR="002C4668">
              <w:rPr>
                <w:lang w:val="uk-UA"/>
              </w:rPr>
              <w:t xml:space="preserve">, а також </w:t>
            </w:r>
            <w:r w:rsidR="002C4668" w:rsidRPr="002C4668">
              <w:rPr>
                <w:lang w:val="uk-UA"/>
              </w:rPr>
              <w:t xml:space="preserve">приведення положень Кодексу до </w:t>
            </w:r>
            <w:r w:rsidR="00BD1A70" w:rsidRPr="00BD1A70">
              <w:rPr>
                <w:lang w:val="uk-UA"/>
              </w:rPr>
              <w:t>вимог</w:t>
            </w:r>
            <w:r w:rsidR="002C4668" w:rsidRPr="002C4668">
              <w:rPr>
                <w:lang w:val="uk-UA"/>
              </w:rPr>
              <w:t xml:space="preserve"> чинного законодавства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C8" w:rsidRPr="00263D8E" w:rsidRDefault="003B01C8" w:rsidP="003B01C8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  <w:p w:rsidR="00C50E9D" w:rsidRPr="00263D8E" w:rsidRDefault="00C50E9D" w:rsidP="0016047B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</w:p>
        </w:tc>
      </w:tr>
    </w:tbl>
    <w:p w:rsidR="005707A1" w:rsidRDefault="005707A1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520E" w:rsidRDefault="00F8520E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6EF" w:rsidRPr="00263D8E" w:rsidRDefault="00312248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IV. Вибір найбільш оптимального альтернативного способу досягнення цілей</w:t>
      </w:r>
    </w:p>
    <w:p w:rsidR="00505CA8" w:rsidRPr="00263D8E" w:rsidRDefault="00505CA8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2552"/>
        <w:gridCol w:w="4252"/>
      </w:tblGrid>
      <w:tr w:rsidR="00263D8E" w:rsidRPr="00263D8E" w:rsidTr="00263D8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line="230" w:lineRule="auto"/>
              <w:ind w:right="-108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Бал результативності (за чотирибальною системою оцінки)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Коментарі щодо присвоєння відповідного </w:t>
            </w:r>
            <w:proofErr w:type="spellStart"/>
            <w:r w:rsidRPr="00263D8E">
              <w:rPr>
                <w:b/>
                <w:lang w:val="uk-UA" w:eastAsia="en-US"/>
              </w:rPr>
              <w:t>бала</w:t>
            </w:r>
            <w:proofErr w:type="spellEnd"/>
          </w:p>
        </w:tc>
      </w:tr>
      <w:tr w:rsidR="00263D8E" w:rsidRPr="00263D8E" w:rsidTr="00263D8E">
        <w:trPr>
          <w:trHeight w:val="87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312248" w:rsidRPr="00263D8E" w:rsidRDefault="00924727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szCs w:val="28"/>
                <w:lang w:val="uk-UA"/>
              </w:rPr>
              <w:t>Відсутність регулювання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5001D5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3A7932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szCs w:val="22"/>
                <w:lang w:val="uk-UA" w:eastAsia="en-US"/>
              </w:rPr>
            </w:pPr>
            <w:r w:rsidRPr="00FB5CAC">
              <w:rPr>
                <w:szCs w:val="22"/>
                <w:lang w:val="uk-UA" w:eastAsia="en-US"/>
              </w:rPr>
              <w:t xml:space="preserve">Не </w:t>
            </w:r>
            <w:r w:rsidR="007A7610" w:rsidRPr="00FB5CAC">
              <w:rPr>
                <w:szCs w:val="22"/>
                <w:lang w:val="uk-UA" w:eastAsia="en-US"/>
              </w:rPr>
              <w:t xml:space="preserve">реалізує </w:t>
            </w:r>
            <w:r w:rsidR="007A7610" w:rsidRPr="00FB5CAC">
              <w:rPr>
                <w:szCs w:val="22"/>
                <w:lang w:val="uk-UA"/>
              </w:rPr>
              <w:t>положення чинного законодавства у частині</w:t>
            </w:r>
            <w:r w:rsidR="007A7610" w:rsidRPr="00FB5CAC">
              <w:rPr>
                <w:szCs w:val="22"/>
                <w:lang w:val="uk-UA" w:eastAsia="en-US"/>
              </w:rPr>
              <w:t xml:space="preserve"> </w:t>
            </w:r>
            <w:r w:rsidR="00C14A98" w:rsidRPr="005F7105">
              <w:rPr>
                <w:szCs w:val="22"/>
                <w:lang w:val="uk-UA"/>
              </w:rPr>
              <w:t>в</w:t>
            </w:r>
            <w:r w:rsidR="00C14A98" w:rsidRPr="005F7105">
              <w:rPr>
                <w:lang w:val="uk-UA"/>
              </w:rPr>
              <w:t xml:space="preserve">регулювання взаємовідносин між співвласниками будинку або за їхнім рішенням - управителем багатоквартирного </w:t>
            </w:r>
            <w:r w:rsidR="00C14A98" w:rsidRPr="005F7105">
              <w:rPr>
                <w:lang w:val="uk-UA"/>
              </w:rPr>
              <w:lastRenderedPageBreak/>
              <w:t>будинку, об’єднанням співвласників багатоквартирного будинку, іншою уповноваженою співвласниками особою та оператором газорозподільних систем під час технічного обслуговування внутрішньобудинкових систем газопостачання  багатоквартирного будинку</w:t>
            </w:r>
            <w:r w:rsidR="005F7105">
              <w:rPr>
                <w:szCs w:val="22"/>
                <w:lang w:val="uk-UA" w:eastAsia="en-US"/>
              </w:rPr>
              <w:t xml:space="preserve"> </w:t>
            </w:r>
            <w:r w:rsidR="009608CC">
              <w:rPr>
                <w:szCs w:val="22"/>
                <w:lang w:val="uk-UA"/>
              </w:rPr>
              <w:t xml:space="preserve">залишається потреба у </w:t>
            </w:r>
            <w:r w:rsidR="009608CC" w:rsidRPr="002C4668">
              <w:rPr>
                <w:lang w:val="uk-UA"/>
              </w:rPr>
              <w:t>приведен</w:t>
            </w:r>
            <w:r w:rsidR="009608CC">
              <w:rPr>
                <w:lang w:val="uk-UA"/>
              </w:rPr>
              <w:t>і</w:t>
            </w:r>
            <w:r w:rsidR="009608CC" w:rsidRPr="002C4668">
              <w:rPr>
                <w:lang w:val="uk-UA"/>
              </w:rPr>
              <w:t xml:space="preserve"> положень Кодексу до </w:t>
            </w:r>
            <w:r w:rsidR="00BD1A70" w:rsidRPr="00BD1A70">
              <w:rPr>
                <w:lang w:val="uk-UA"/>
              </w:rPr>
              <w:t>вимог</w:t>
            </w:r>
            <w:r w:rsidR="009608CC" w:rsidRPr="002C4668">
              <w:rPr>
                <w:lang w:val="uk-UA"/>
              </w:rPr>
              <w:t xml:space="preserve"> чинного законодавства</w:t>
            </w:r>
          </w:p>
        </w:tc>
      </w:tr>
      <w:tr w:rsidR="00263D8E" w:rsidRPr="00263D8E" w:rsidTr="00263D8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lastRenderedPageBreak/>
              <w:t xml:space="preserve">Альтернатива 2 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0016A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FC8" w:rsidRPr="00666FBD" w:rsidRDefault="007A7610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szCs w:val="22"/>
                <w:lang w:val="uk-UA" w:eastAsia="en-US"/>
              </w:rPr>
            </w:pPr>
            <w:r w:rsidRPr="00666FBD">
              <w:rPr>
                <w:szCs w:val="22"/>
                <w:lang w:val="uk-UA"/>
              </w:rPr>
              <w:t xml:space="preserve">Забезпечує виконання вимог </w:t>
            </w:r>
            <w:r w:rsidR="0030016A" w:rsidRPr="00FB5CAC">
              <w:rPr>
                <w:szCs w:val="22"/>
                <w:lang w:val="uk-UA"/>
              </w:rPr>
              <w:t>чинного законодавства у частині</w:t>
            </w:r>
            <w:r w:rsidR="0030016A" w:rsidRPr="00FB5CAC">
              <w:rPr>
                <w:szCs w:val="22"/>
                <w:lang w:val="uk-UA" w:eastAsia="en-US"/>
              </w:rPr>
              <w:t xml:space="preserve"> </w:t>
            </w:r>
            <w:r w:rsidR="00756A7D" w:rsidRPr="00756A7D">
              <w:rPr>
                <w:szCs w:val="22"/>
                <w:lang w:val="uk-UA" w:eastAsia="en-US"/>
              </w:rPr>
              <w:t xml:space="preserve">затвердження Типового договору на технічне обслуговування </w:t>
            </w:r>
            <w:r w:rsidR="00733A65">
              <w:rPr>
                <w:szCs w:val="22"/>
                <w:lang w:val="uk-UA" w:eastAsia="en-US"/>
              </w:rPr>
              <w:t>в</w:t>
            </w:r>
            <w:r w:rsidR="00756A7D" w:rsidRPr="00756A7D">
              <w:rPr>
                <w:szCs w:val="22"/>
                <w:lang w:val="uk-UA" w:eastAsia="en-US"/>
              </w:rPr>
              <w:t>нутрішньобудинкових систем газопостачання багатоквартирного будинку</w:t>
            </w:r>
            <w:r w:rsidR="009608CC">
              <w:rPr>
                <w:szCs w:val="22"/>
                <w:lang w:val="uk-UA" w:eastAsia="en-US"/>
              </w:rPr>
              <w:t xml:space="preserve">, </w:t>
            </w:r>
            <w:r w:rsidR="009608CC">
              <w:rPr>
                <w:lang w:val="uk-UA"/>
              </w:rPr>
              <w:t xml:space="preserve">а також </w:t>
            </w:r>
            <w:r w:rsidR="009608CC" w:rsidRPr="002C4668">
              <w:rPr>
                <w:lang w:val="uk-UA"/>
              </w:rPr>
              <w:t xml:space="preserve">приведення положень Кодексу до </w:t>
            </w:r>
            <w:r w:rsidR="00BD1A70" w:rsidRPr="00BD1A70">
              <w:rPr>
                <w:lang w:val="uk-UA"/>
              </w:rPr>
              <w:t>вимог</w:t>
            </w:r>
            <w:r w:rsidR="009608CC" w:rsidRPr="002C4668">
              <w:rPr>
                <w:lang w:val="uk-UA"/>
              </w:rPr>
              <w:t xml:space="preserve"> чинного законодавства</w:t>
            </w:r>
          </w:p>
        </w:tc>
      </w:tr>
    </w:tbl>
    <w:p w:rsidR="0080055E" w:rsidRDefault="0080055E" w:rsidP="00271531">
      <w:pPr>
        <w:spacing w:line="230" w:lineRule="auto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880"/>
        <w:gridCol w:w="1440"/>
        <w:gridCol w:w="3726"/>
      </w:tblGrid>
      <w:tr w:rsidR="00263D8E" w:rsidRPr="00263D8E" w:rsidTr="00263D8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Рейтинг результативності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Вигоди</w:t>
            </w:r>
          </w:p>
          <w:p w:rsidR="000C2A85" w:rsidRPr="00263D8E" w:rsidRDefault="000C2A85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(підсумок)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Витрати (підсумок)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Обґрунтування відповідного місця альтернативи у рейтингу</w:t>
            </w:r>
          </w:p>
        </w:tc>
      </w:tr>
      <w:tr w:rsidR="00263D8E" w:rsidRPr="00263D8E" w:rsidTr="00263D8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6B4565" w:rsidRPr="00263D8E" w:rsidRDefault="00924727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>
              <w:rPr>
                <w:szCs w:val="28"/>
                <w:lang w:val="uk-UA"/>
              </w:rPr>
              <w:t>Відсутність регулювання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C7127D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</w:t>
            </w:r>
            <w:r w:rsidR="00312248" w:rsidRPr="00263D8E">
              <w:rPr>
                <w:lang w:val="uk-UA" w:eastAsia="en-US"/>
              </w:rPr>
              <w:t>ідсутні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C7127D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</w:t>
            </w:r>
            <w:r w:rsidR="00312248" w:rsidRPr="00263D8E">
              <w:rPr>
                <w:lang w:val="uk-UA" w:eastAsia="en-US"/>
              </w:rPr>
              <w:t>ідсутні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63" w:rsidRPr="00FB5CAC" w:rsidRDefault="004315C2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FB5CAC">
              <w:rPr>
                <w:lang w:val="uk-UA" w:eastAsia="en-US"/>
              </w:rPr>
              <w:t>Реалізація а</w:t>
            </w:r>
            <w:r w:rsidR="00312248" w:rsidRPr="00FB5CAC">
              <w:rPr>
                <w:lang w:val="uk-UA" w:eastAsia="en-US"/>
              </w:rPr>
              <w:t>льтернатив</w:t>
            </w:r>
            <w:r w:rsidR="005C56EF" w:rsidRPr="00FB5CAC">
              <w:rPr>
                <w:lang w:val="uk-UA" w:eastAsia="en-US"/>
              </w:rPr>
              <w:t>и</w:t>
            </w:r>
            <w:r w:rsidR="00312248" w:rsidRPr="00FB5CAC">
              <w:rPr>
                <w:lang w:val="uk-UA" w:eastAsia="en-US"/>
              </w:rPr>
              <w:t xml:space="preserve"> 1</w:t>
            </w:r>
            <w:r w:rsidRPr="00FB5CAC">
              <w:rPr>
                <w:lang w:val="uk-UA" w:eastAsia="en-US"/>
              </w:rPr>
              <w:t>:</w:t>
            </w:r>
            <w:r w:rsidR="00312248" w:rsidRPr="00FB5CAC">
              <w:rPr>
                <w:lang w:val="uk-UA" w:eastAsia="en-US"/>
              </w:rPr>
              <w:t xml:space="preserve"> </w:t>
            </w:r>
          </w:p>
          <w:p w:rsidR="006A3393" w:rsidRPr="00FB5CAC" w:rsidRDefault="00EF4248" w:rsidP="00F90329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FB5CAC">
              <w:rPr>
                <w:lang w:val="uk-UA"/>
              </w:rPr>
              <w:t>не відповідає вимогам чинного законодавства</w:t>
            </w:r>
          </w:p>
        </w:tc>
      </w:tr>
      <w:tr w:rsidR="00263D8E" w:rsidRPr="00263D8E" w:rsidTr="00263D8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2 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C03BBA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Урегульованість</w:t>
            </w:r>
            <w:r w:rsidR="00771773">
              <w:rPr>
                <w:lang w:val="uk-UA"/>
              </w:rPr>
              <w:t xml:space="preserve"> питання, щодо </w:t>
            </w:r>
            <w:r w:rsidR="00771773" w:rsidRPr="00AD601D">
              <w:rPr>
                <w:lang w:val="uk-UA"/>
              </w:rPr>
              <w:t>взаємовідносин між співвласниками будинку або за їхнім рішенням - управителем багатоквартирного будинку, об’єднанням співвласників багатоквартирного будинку, іншою уповноваженою співвласниками особою та оператором газорозподільних систем під час технічного обслуговування внутрішньобудинкових систем газопостачання  багатоквартирного будинку</w:t>
            </w:r>
            <w:r w:rsidR="009608CC">
              <w:rPr>
                <w:lang w:val="uk-UA"/>
              </w:rPr>
              <w:t xml:space="preserve">, а також </w:t>
            </w:r>
            <w:r w:rsidR="009608CC" w:rsidRPr="002C4668">
              <w:rPr>
                <w:lang w:val="uk-UA"/>
              </w:rPr>
              <w:t xml:space="preserve">приведення положень Кодексу до </w:t>
            </w:r>
            <w:r w:rsidR="00A814FC" w:rsidRPr="00A814FC">
              <w:rPr>
                <w:lang w:val="uk-UA"/>
              </w:rPr>
              <w:t>вимог</w:t>
            </w:r>
            <w:r w:rsidR="009608CC" w:rsidRPr="002C4668">
              <w:rPr>
                <w:lang w:val="uk-UA"/>
              </w:rPr>
              <w:t xml:space="preserve"> чинного законодавства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C7127D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</w:t>
            </w:r>
            <w:r w:rsidR="00312248" w:rsidRPr="00263D8E">
              <w:rPr>
                <w:lang w:val="uk-UA" w:eastAsia="en-US"/>
              </w:rPr>
              <w:t>ідсутні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63" w:rsidRPr="00FB5CAC" w:rsidRDefault="004315C2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FB5CAC">
              <w:rPr>
                <w:lang w:val="uk-UA" w:eastAsia="en-US"/>
              </w:rPr>
              <w:t>Реалізація а</w:t>
            </w:r>
            <w:r w:rsidR="00312248" w:rsidRPr="00FB5CAC">
              <w:rPr>
                <w:lang w:val="uk-UA" w:eastAsia="en-US"/>
              </w:rPr>
              <w:t>льтернатив</w:t>
            </w:r>
            <w:r w:rsidRPr="00FB5CAC">
              <w:rPr>
                <w:lang w:val="uk-UA" w:eastAsia="en-US"/>
              </w:rPr>
              <w:t>и</w:t>
            </w:r>
            <w:r w:rsidR="00312248" w:rsidRPr="00FB5CAC">
              <w:rPr>
                <w:lang w:val="uk-UA" w:eastAsia="en-US"/>
              </w:rPr>
              <w:t xml:space="preserve"> 2</w:t>
            </w:r>
            <w:r w:rsidRPr="00FB5CAC">
              <w:rPr>
                <w:lang w:val="uk-UA" w:eastAsia="en-US"/>
              </w:rPr>
              <w:t>:</w:t>
            </w:r>
            <w:r w:rsidR="00312248" w:rsidRPr="00FB5CAC">
              <w:rPr>
                <w:lang w:val="uk-UA" w:eastAsia="en-US"/>
              </w:rPr>
              <w:t xml:space="preserve"> </w:t>
            </w:r>
          </w:p>
          <w:p w:rsidR="006B4565" w:rsidRPr="00FB5CAC" w:rsidRDefault="0080055E" w:rsidP="008F60ED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</w:t>
            </w:r>
            <w:r w:rsidR="008F60ED" w:rsidRPr="00FB5CAC">
              <w:rPr>
                <w:lang w:val="uk-UA" w:eastAsia="en-US"/>
              </w:rPr>
              <w:t>абезпечує виконання вимог чинного законодавства</w:t>
            </w:r>
          </w:p>
        </w:tc>
      </w:tr>
    </w:tbl>
    <w:p w:rsidR="0080055E" w:rsidRDefault="0080055E" w:rsidP="00271531">
      <w:pPr>
        <w:spacing w:line="23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055E" w:rsidRDefault="0080055E" w:rsidP="00271531">
      <w:pPr>
        <w:spacing w:line="23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8"/>
        <w:gridCol w:w="4860"/>
        <w:gridCol w:w="2466"/>
      </w:tblGrid>
      <w:tr w:rsidR="00263D8E" w:rsidRPr="00263D8E" w:rsidTr="00263D8E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lastRenderedPageBreak/>
              <w:t>Рейтинг результативності (досягнення цілей під час вирішення проблеми)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263D8E" w:rsidRPr="00263D8E" w:rsidTr="00263D8E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6B4565" w:rsidRPr="00263D8E" w:rsidRDefault="00924727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>
              <w:rPr>
                <w:szCs w:val="28"/>
                <w:lang w:val="uk-UA"/>
              </w:rPr>
              <w:t>Відсутність регулювання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806493" w:rsidRDefault="00696B56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806493">
              <w:rPr>
                <w:lang w:val="uk-UA" w:eastAsia="en-US"/>
              </w:rPr>
              <w:t xml:space="preserve">Не вирішує визначену проблему та не забезпечує досягнення цілей державного регулювання та реалізацію </w:t>
            </w:r>
            <w:r w:rsidR="00A814FC" w:rsidRPr="00A814FC">
              <w:rPr>
                <w:lang w:val="uk-UA" w:eastAsia="en-US"/>
              </w:rPr>
              <w:t>вимог</w:t>
            </w:r>
            <w:r w:rsidRPr="00806493">
              <w:rPr>
                <w:lang w:val="uk-UA" w:eastAsia="en-US"/>
              </w:rPr>
              <w:t xml:space="preserve"> чинного законодавства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</w:tc>
      </w:tr>
      <w:tr w:rsidR="00263D8E" w:rsidRPr="00263D8E" w:rsidTr="00263D8E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2 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5" w:rsidRPr="00806493" w:rsidRDefault="008F60ED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806493">
              <w:rPr>
                <w:lang w:val="uk-UA"/>
              </w:rPr>
              <w:t xml:space="preserve">Обрана альтернатива дозволить вирішити проблему найефективнішим шляхом. Забезпечує досягнення цілей державного регулювання та реалізацію </w:t>
            </w:r>
            <w:r w:rsidR="00A814FC" w:rsidRPr="00A814FC">
              <w:rPr>
                <w:lang w:val="uk-UA"/>
              </w:rPr>
              <w:t>вимог</w:t>
            </w:r>
            <w:r w:rsidRPr="00806493">
              <w:rPr>
                <w:lang w:val="uk-UA"/>
              </w:rPr>
              <w:t xml:space="preserve"> чинного законодавства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</w:tc>
      </w:tr>
    </w:tbl>
    <w:p w:rsidR="003C7CAD" w:rsidRDefault="003C7CAD" w:rsidP="00271531">
      <w:pPr>
        <w:spacing w:after="0" w:line="23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7F6F" w:rsidRPr="00263D8E" w:rsidRDefault="00312248" w:rsidP="00271531">
      <w:pPr>
        <w:spacing w:after="0" w:line="23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V. Механізм та заходи, які забезпечують розв’язання визначеної проблеми</w:t>
      </w:r>
    </w:p>
    <w:p w:rsidR="006868C1" w:rsidRPr="00263D8E" w:rsidRDefault="006868C1" w:rsidP="00271531">
      <w:pPr>
        <w:spacing w:after="0" w:line="23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7599C" w:rsidRDefault="00C24525" w:rsidP="00627F95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919">
        <w:rPr>
          <w:rFonts w:ascii="Times New Roman" w:hAnsi="Times New Roman"/>
          <w:sz w:val="28"/>
          <w:szCs w:val="28"/>
        </w:rPr>
        <w:t xml:space="preserve">Механізмом, який забезпечить </w:t>
      </w:r>
      <w:r w:rsidR="001964E2" w:rsidRPr="00977919">
        <w:rPr>
          <w:rFonts w:ascii="Times New Roman" w:hAnsi="Times New Roman"/>
          <w:sz w:val="28"/>
          <w:szCs w:val="28"/>
        </w:rPr>
        <w:t>розв’язання</w:t>
      </w:r>
      <w:r w:rsidRPr="00977919">
        <w:rPr>
          <w:rFonts w:ascii="Times New Roman" w:hAnsi="Times New Roman"/>
          <w:sz w:val="28"/>
          <w:szCs w:val="28"/>
        </w:rPr>
        <w:t xml:space="preserve"> визначен</w:t>
      </w:r>
      <w:r w:rsidR="00310D40" w:rsidRPr="00977919">
        <w:rPr>
          <w:rFonts w:ascii="Times New Roman" w:hAnsi="Times New Roman"/>
          <w:sz w:val="28"/>
          <w:szCs w:val="28"/>
        </w:rPr>
        <w:t>ої</w:t>
      </w:r>
      <w:r w:rsidRPr="00977919">
        <w:rPr>
          <w:rFonts w:ascii="Times New Roman" w:hAnsi="Times New Roman"/>
          <w:sz w:val="28"/>
          <w:szCs w:val="28"/>
        </w:rPr>
        <w:t xml:space="preserve"> проблем</w:t>
      </w:r>
      <w:r w:rsidR="00310D40" w:rsidRPr="00977919">
        <w:rPr>
          <w:rFonts w:ascii="Times New Roman" w:hAnsi="Times New Roman"/>
          <w:sz w:val="28"/>
          <w:szCs w:val="28"/>
        </w:rPr>
        <w:t>и</w:t>
      </w:r>
      <w:r w:rsidRPr="00977919">
        <w:rPr>
          <w:rFonts w:ascii="Times New Roman" w:hAnsi="Times New Roman"/>
          <w:sz w:val="28"/>
          <w:szCs w:val="28"/>
        </w:rPr>
        <w:t xml:space="preserve"> є </w:t>
      </w:r>
      <w:r w:rsidR="001964E2" w:rsidRPr="00977919">
        <w:rPr>
          <w:rFonts w:ascii="Times New Roman" w:hAnsi="Times New Roman"/>
          <w:sz w:val="28"/>
          <w:szCs w:val="28"/>
        </w:rPr>
        <w:t>прийняття постанови НКРЕКП</w:t>
      </w:r>
      <w:r w:rsidR="00E7599C">
        <w:rPr>
          <w:rFonts w:ascii="Times New Roman" w:hAnsi="Times New Roman"/>
          <w:sz w:val="28"/>
          <w:szCs w:val="28"/>
        </w:rPr>
        <w:t xml:space="preserve"> </w:t>
      </w:r>
      <w:r w:rsidR="00E7599C" w:rsidRPr="00CA5785">
        <w:rPr>
          <w:rFonts w:ascii="Times New Roman" w:hAnsi="Times New Roman" w:cs="Times New Roman"/>
          <w:sz w:val="28"/>
          <w:szCs w:val="28"/>
        </w:rPr>
        <w:t>«Про затвердження Типового договору на технічне обслуговування внутрішньобудинкових систем газопостачання багатоквартирного будинку та внесення змін до Кодексу газорозподільних систем»</w:t>
      </w:r>
      <w:r w:rsidR="00A23C5E" w:rsidRPr="00CA5785">
        <w:rPr>
          <w:rFonts w:ascii="Times New Roman" w:hAnsi="Times New Roman" w:cs="Times New Roman"/>
          <w:sz w:val="28"/>
          <w:szCs w:val="28"/>
        </w:rPr>
        <w:t>,</w:t>
      </w:r>
      <w:r w:rsidR="00E7599C" w:rsidRPr="00CA5785">
        <w:rPr>
          <w:rFonts w:ascii="Times New Roman" w:hAnsi="Times New Roman" w:cs="Times New Roman"/>
          <w:sz w:val="28"/>
          <w:szCs w:val="28"/>
        </w:rPr>
        <w:t xml:space="preserve"> що забезпечить </w:t>
      </w:r>
      <w:r w:rsidR="00E7599C" w:rsidRPr="00CA5785">
        <w:rPr>
          <w:rFonts w:ascii="Times New Roman" w:hAnsi="Times New Roman" w:cs="Times New Roman"/>
          <w:bCs/>
          <w:sz w:val="28"/>
          <w:szCs w:val="28"/>
        </w:rPr>
        <w:t>виконання вимог пункту 4</w:t>
      </w:r>
      <w:r w:rsidR="00E7599C" w:rsidRPr="00CA5785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="00E7599C" w:rsidRPr="00CA5785">
        <w:rPr>
          <w:rFonts w:ascii="Times New Roman" w:hAnsi="Times New Roman" w:cs="Times New Roman"/>
          <w:bCs/>
          <w:sz w:val="28"/>
          <w:szCs w:val="28"/>
        </w:rPr>
        <w:t xml:space="preserve"> частини третьої статті 4 Закону про ринок газу та</w:t>
      </w:r>
      <w:r w:rsidR="00E7599C" w:rsidRPr="00CA5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пункту 4 Прикінцевих та перехідних положень Закону № 1060-IX</w:t>
      </w:r>
      <w:r w:rsidR="00E7599C" w:rsidRPr="00CA5785">
        <w:rPr>
          <w:rFonts w:ascii="Times New Roman" w:hAnsi="Times New Roman" w:cs="Times New Roman"/>
          <w:bCs/>
          <w:sz w:val="28"/>
          <w:szCs w:val="28"/>
        </w:rPr>
        <w:t xml:space="preserve">, а саме, затвердження Регулятором Типового договору на технічне обслуговування внутрішньобудинкових систем газопостачання багатоквартирного будинку та внесення змін до Кодексу, в частині приведення у відповідність положень Кодексу до </w:t>
      </w:r>
      <w:r w:rsidR="00140F43">
        <w:rPr>
          <w:rFonts w:ascii="Times New Roman" w:hAnsi="Times New Roman" w:cs="Times New Roman"/>
          <w:bCs/>
          <w:sz w:val="28"/>
          <w:szCs w:val="28"/>
        </w:rPr>
        <w:t>вимог</w:t>
      </w:r>
      <w:r w:rsidR="00E7599C" w:rsidRPr="00CA5785">
        <w:rPr>
          <w:rFonts w:ascii="Times New Roman" w:hAnsi="Times New Roman" w:cs="Times New Roman"/>
          <w:bCs/>
          <w:sz w:val="28"/>
          <w:szCs w:val="28"/>
        </w:rPr>
        <w:t xml:space="preserve"> чинного законодавства щодо технічного обслуговування внутрішньобудинкових мереж газопостачання.</w:t>
      </w:r>
    </w:p>
    <w:p w:rsidR="00AD1210" w:rsidRDefault="00556A94" w:rsidP="00384769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56A94">
        <w:rPr>
          <w:rFonts w:ascii="Times New Roman" w:hAnsi="Times New Roman" w:cs="Times New Roman"/>
          <w:sz w:val="28"/>
          <w:szCs w:val="28"/>
        </w:rPr>
        <w:t>З метою розробки положень даного регуляторного акта проводилися узгоджувальні наради за участю керівників структурних підрозділів НКРЕКП, представників газорозподільних підприємств (операторів ГРМ).</w:t>
      </w:r>
    </w:p>
    <w:p w:rsidR="00A23C5E" w:rsidRPr="001D1DB2" w:rsidRDefault="00A23C5E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DB2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 виконання вимог регуляторного акта, не очікується.</w:t>
      </w:r>
    </w:p>
    <w:p w:rsidR="006A49B2" w:rsidRPr="001D1DB2" w:rsidRDefault="00A23C5E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DB2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:rsidR="00271531" w:rsidRPr="00284BA7" w:rsidRDefault="00A23C5E" w:rsidP="00284BA7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DB2">
        <w:rPr>
          <w:rFonts w:ascii="Times New Roman" w:hAnsi="Times New Roman" w:cs="Times New Roman"/>
          <w:sz w:val="28"/>
          <w:szCs w:val="28"/>
        </w:rPr>
        <w:t>Функції в частині здійснення державного контролю та нагляду за додержанням вимог акта будуть здійснюватися державними органами, яким, відповідно до законодавства, надані такі повноваження.</w:t>
      </w:r>
    </w:p>
    <w:p w:rsidR="00263D8E" w:rsidRPr="00263D8E" w:rsidRDefault="00263D8E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71531" w:rsidRPr="00263D8E" w:rsidRDefault="00312248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VI. Обґрунтування запропонованого строку дії регуляторного акт</w:t>
      </w:r>
      <w:r w:rsidR="00FD513C" w:rsidRPr="00263D8E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271531" w:rsidRPr="00263D8E" w:rsidRDefault="00271531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2248" w:rsidRPr="00263D8E" w:rsidRDefault="00B2135E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</w:t>
      </w:r>
      <w:r w:rsidR="00956068">
        <w:rPr>
          <w:rFonts w:ascii="Times New Roman" w:hAnsi="Times New Roman" w:cs="Times New Roman"/>
          <w:sz w:val="28"/>
          <w:szCs w:val="28"/>
        </w:rPr>
        <w:t xml:space="preserve"> </w:t>
      </w:r>
      <w:r w:rsidR="00293A63" w:rsidRPr="00263D8E">
        <w:rPr>
          <w:rFonts w:ascii="Times New Roman" w:hAnsi="Times New Roman" w:cs="Times New Roman"/>
          <w:sz w:val="28"/>
          <w:szCs w:val="28"/>
        </w:rPr>
        <w:t>дії</w:t>
      </w:r>
      <w:r w:rsidR="00312248" w:rsidRPr="00263D8E">
        <w:rPr>
          <w:rFonts w:ascii="Times New Roman" w:hAnsi="Times New Roman" w:cs="Times New Roman"/>
          <w:sz w:val="28"/>
          <w:szCs w:val="28"/>
        </w:rPr>
        <w:t xml:space="preserve"> акта необмежений. Він може бути змінений у разі внесення відповідних змін до законодавства.</w:t>
      </w:r>
    </w:p>
    <w:p w:rsidR="005B3465" w:rsidRPr="00263D8E" w:rsidRDefault="005B3465" w:rsidP="00271531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312248" w:rsidRPr="00263D8E" w:rsidRDefault="00312248" w:rsidP="00271531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VII. Визначення показників результативності дії регуляторного акт</w:t>
      </w:r>
      <w:r w:rsidR="00FD513C" w:rsidRPr="00263D8E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4C3860" w:rsidRPr="00263D8E" w:rsidRDefault="004C3860" w:rsidP="00271531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312248" w:rsidRPr="00263D8E" w:rsidRDefault="00312248" w:rsidP="00271531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263D8E">
        <w:rPr>
          <w:rFonts w:ascii="Times New Roman" w:hAnsi="Times New Roman"/>
          <w:bCs/>
          <w:sz w:val="28"/>
          <w:szCs w:val="28"/>
        </w:rPr>
        <w:lastRenderedPageBreak/>
        <w:t xml:space="preserve">Після набрання чинності постановою НКРЕКП </w:t>
      </w:r>
      <w:r w:rsidR="00F61968">
        <w:rPr>
          <w:rFonts w:ascii="Times New Roman" w:hAnsi="Times New Roman"/>
          <w:bCs/>
          <w:sz w:val="28"/>
          <w:szCs w:val="28"/>
        </w:rPr>
        <w:t>«</w:t>
      </w:r>
      <w:r w:rsidR="00F1113B" w:rsidRPr="00F1113B">
        <w:rPr>
          <w:rFonts w:ascii="Times New Roman" w:hAnsi="Times New Roman" w:cs="Times New Roman"/>
          <w:sz w:val="28"/>
          <w:szCs w:val="28"/>
        </w:rPr>
        <w:t>Про затвердження Типового договору на технічне обслуговування внутрішньобудинкових систем газопостачання багатоквартирного будинку та внесення змін до Кодексу газорозподільних систем</w:t>
      </w:r>
      <w:r w:rsidR="00F61968" w:rsidRPr="00F61968">
        <w:rPr>
          <w:rFonts w:ascii="Times New Roman" w:hAnsi="Times New Roman" w:cs="Times New Roman"/>
          <w:sz w:val="28"/>
          <w:szCs w:val="28"/>
        </w:rPr>
        <w:t xml:space="preserve">» </w:t>
      </w:r>
      <w:r w:rsidRPr="00F61968">
        <w:rPr>
          <w:rFonts w:ascii="Times New Roman" w:hAnsi="Times New Roman"/>
          <w:bCs/>
          <w:sz w:val="28"/>
          <w:szCs w:val="28"/>
        </w:rPr>
        <w:t xml:space="preserve">її </w:t>
      </w:r>
      <w:r w:rsidRPr="00263D8E">
        <w:rPr>
          <w:rFonts w:ascii="Times New Roman" w:hAnsi="Times New Roman"/>
          <w:bCs/>
          <w:sz w:val="28"/>
          <w:szCs w:val="28"/>
        </w:rPr>
        <w:t>результативність визначатиметься такими показниками:</w:t>
      </w:r>
    </w:p>
    <w:p w:rsidR="00A23C5E" w:rsidRPr="00263D8E" w:rsidRDefault="00C92E37" w:rsidP="00271531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263D8E">
        <w:rPr>
          <w:rFonts w:ascii="Times New Roman" w:hAnsi="Times New Roman"/>
          <w:bCs/>
          <w:sz w:val="28"/>
          <w:szCs w:val="28"/>
        </w:rPr>
        <w:t>1) р</w:t>
      </w:r>
      <w:r w:rsidR="00312248" w:rsidRPr="00263D8E">
        <w:rPr>
          <w:rFonts w:ascii="Times New Roman" w:hAnsi="Times New Roman"/>
          <w:bCs/>
          <w:sz w:val="28"/>
          <w:szCs w:val="28"/>
        </w:rPr>
        <w:t>озміром надходжень до Державного та</w:t>
      </w:r>
      <w:r w:rsidRPr="00263D8E">
        <w:rPr>
          <w:rFonts w:ascii="Times New Roman" w:hAnsi="Times New Roman"/>
          <w:bCs/>
          <w:sz w:val="28"/>
          <w:szCs w:val="28"/>
        </w:rPr>
        <w:t>/або</w:t>
      </w:r>
      <w:r w:rsidR="00312248" w:rsidRPr="00263D8E">
        <w:rPr>
          <w:rFonts w:ascii="Times New Roman" w:hAnsi="Times New Roman"/>
          <w:bCs/>
          <w:sz w:val="28"/>
          <w:szCs w:val="28"/>
        </w:rPr>
        <w:t xml:space="preserve"> місцевих бюджетів</w:t>
      </w:r>
      <w:r w:rsidRPr="00263D8E">
        <w:rPr>
          <w:rFonts w:ascii="Times New Roman" w:hAnsi="Times New Roman"/>
          <w:bCs/>
          <w:sz w:val="28"/>
          <w:szCs w:val="28"/>
        </w:rPr>
        <w:t xml:space="preserve"> України – реалізація про</w:t>
      </w:r>
      <w:r w:rsidR="00370540" w:rsidRPr="00263D8E">
        <w:rPr>
          <w:rFonts w:ascii="Times New Roman" w:hAnsi="Times New Roman"/>
          <w:bCs/>
          <w:sz w:val="28"/>
          <w:szCs w:val="28"/>
        </w:rPr>
        <w:t>є</w:t>
      </w:r>
      <w:r w:rsidRPr="00263D8E">
        <w:rPr>
          <w:rFonts w:ascii="Times New Roman" w:hAnsi="Times New Roman"/>
          <w:bCs/>
          <w:sz w:val="28"/>
          <w:szCs w:val="28"/>
        </w:rPr>
        <w:t>кту регуляторного акта не потребує витрат із Державного бюджету України, надходження до Державного бюджету України у зв’язку з прийняттям регуляторного акта не передбачаються;</w:t>
      </w:r>
    </w:p>
    <w:p w:rsidR="006A49B2" w:rsidRPr="005925FA" w:rsidRDefault="00C92E37" w:rsidP="00271531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/>
          <w:bCs/>
          <w:sz w:val="28"/>
          <w:szCs w:val="28"/>
        </w:rPr>
        <w:t xml:space="preserve">2) </w:t>
      </w:r>
      <w:r w:rsidR="00535417" w:rsidRPr="00263D8E">
        <w:rPr>
          <w:rFonts w:ascii="Times New Roman" w:hAnsi="Times New Roman" w:cs="Times New Roman"/>
          <w:sz w:val="28"/>
          <w:szCs w:val="28"/>
        </w:rPr>
        <w:t xml:space="preserve">кількістю суб’єктів господарювання та/або фізичних осіб, на яких поширюватиметься дія регуляторного акта – дія акта поширюватиметься на </w:t>
      </w:r>
      <w:r w:rsidR="00343DE1" w:rsidRPr="005925FA">
        <w:rPr>
          <w:rFonts w:ascii="Times New Roman" w:hAnsi="Times New Roman" w:cs="Times New Roman"/>
          <w:sz w:val="28"/>
          <w:szCs w:val="28"/>
        </w:rPr>
        <w:t xml:space="preserve">Операторів </w:t>
      </w:r>
      <w:r w:rsidR="00CD4F0C" w:rsidRPr="005925FA">
        <w:rPr>
          <w:rFonts w:ascii="Times New Roman" w:hAnsi="Times New Roman" w:cs="Times New Roman"/>
          <w:sz w:val="28"/>
          <w:szCs w:val="28"/>
        </w:rPr>
        <w:t>ГРМ</w:t>
      </w:r>
      <w:r w:rsidR="00BB3FA2" w:rsidRPr="005925FA">
        <w:rPr>
          <w:rFonts w:ascii="Times New Roman" w:hAnsi="Times New Roman" w:cs="Times New Roman"/>
          <w:sz w:val="28"/>
          <w:szCs w:val="28"/>
        </w:rPr>
        <w:t xml:space="preserve"> та мешканців багатоквартирн</w:t>
      </w:r>
      <w:r w:rsidR="00A642D6" w:rsidRPr="005925FA">
        <w:rPr>
          <w:rFonts w:ascii="Times New Roman" w:hAnsi="Times New Roman" w:cs="Times New Roman"/>
          <w:sz w:val="28"/>
          <w:szCs w:val="28"/>
        </w:rPr>
        <w:t xml:space="preserve">их </w:t>
      </w:r>
      <w:r w:rsidR="00BB3FA2" w:rsidRPr="005925FA">
        <w:rPr>
          <w:rFonts w:ascii="Times New Roman" w:hAnsi="Times New Roman" w:cs="Times New Roman"/>
          <w:sz w:val="28"/>
          <w:szCs w:val="28"/>
        </w:rPr>
        <w:t>будинк</w:t>
      </w:r>
      <w:r w:rsidR="00A642D6" w:rsidRPr="005925FA">
        <w:rPr>
          <w:rFonts w:ascii="Times New Roman" w:hAnsi="Times New Roman" w:cs="Times New Roman"/>
          <w:sz w:val="28"/>
          <w:szCs w:val="28"/>
        </w:rPr>
        <w:t>ів</w:t>
      </w:r>
      <w:r w:rsidR="006A49B2" w:rsidRPr="005925FA">
        <w:rPr>
          <w:rFonts w:ascii="Times New Roman" w:hAnsi="Times New Roman" w:cs="Times New Roman"/>
          <w:sz w:val="28"/>
          <w:szCs w:val="28"/>
        </w:rPr>
        <w:t>;</w:t>
      </w:r>
    </w:p>
    <w:p w:rsidR="00C92E37" w:rsidRPr="00263D8E" w:rsidRDefault="00F10ED9" w:rsidP="00271531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925FA">
        <w:rPr>
          <w:rFonts w:ascii="Times New Roman" w:hAnsi="Times New Roman"/>
          <w:bCs/>
          <w:sz w:val="28"/>
          <w:szCs w:val="28"/>
        </w:rPr>
        <w:t>3) рівнем поінформованості суб’єктів господарювання з основних положень акта</w:t>
      </w:r>
      <w:r w:rsidR="001F6615" w:rsidRPr="005925FA">
        <w:rPr>
          <w:rFonts w:ascii="Times New Roman" w:hAnsi="Times New Roman"/>
          <w:bCs/>
          <w:sz w:val="28"/>
          <w:szCs w:val="28"/>
        </w:rPr>
        <w:t xml:space="preserve"> – рівень поінформованості середній</w:t>
      </w:r>
      <w:r w:rsidRPr="005925FA">
        <w:rPr>
          <w:rFonts w:ascii="Times New Roman" w:hAnsi="Times New Roman"/>
          <w:bCs/>
          <w:sz w:val="28"/>
          <w:szCs w:val="28"/>
        </w:rPr>
        <w:t>.</w:t>
      </w:r>
      <w:r w:rsidR="00C92E37" w:rsidRPr="00263D8E">
        <w:rPr>
          <w:rFonts w:ascii="Times New Roman" w:hAnsi="Times New Roman"/>
          <w:bCs/>
          <w:sz w:val="28"/>
          <w:szCs w:val="28"/>
        </w:rPr>
        <w:t xml:space="preserve"> </w:t>
      </w:r>
    </w:p>
    <w:p w:rsidR="00370540" w:rsidRPr="00263D8E" w:rsidRDefault="00C92E37" w:rsidP="00271531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263D8E">
        <w:rPr>
          <w:rFonts w:ascii="Times New Roman" w:hAnsi="Times New Roman"/>
          <w:bCs/>
          <w:sz w:val="28"/>
          <w:szCs w:val="28"/>
        </w:rPr>
        <w:t>Відповідно до частини другої статті 15 Закону України «Про Національну комісію, що здійснює державне регулювання у сферах енергетики та комунальних послуг» про</w:t>
      </w:r>
      <w:r w:rsidR="00370540" w:rsidRPr="00263D8E">
        <w:rPr>
          <w:rFonts w:ascii="Times New Roman" w:hAnsi="Times New Roman"/>
          <w:bCs/>
          <w:sz w:val="28"/>
          <w:szCs w:val="28"/>
        </w:rPr>
        <w:t>є</w:t>
      </w:r>
      <w:r w:rsidRPr="00263D8E">
        <w:rPr>
          <w:rFonts w:ascii="Times New Roman" w:hAnsi="Times New Roman"/>
          <w:bCs/>
          <w:sz w:val="28"/>
          <w:szCs w:val="28"/>
        </w:rPr>
        <w:t>кт п</w:t>
      </w:r>
      <w:r w:rsidR="00C611FA" w:rsidRPr="00263D8E">
        <w:rPr>
          <w:rFonts w:ascii="Times New Roman" w:hAnsi="Times New Roman"/>
          <w:bCs/>
          <w:sz w:val="28"/>
          <w:szCs w:val="28"/>
        </w:rPr>
        <w:t xml:space="preserve">останови </w:t>
      </w:r>
      <w:r w:rsidRPr="00263D8E">
        <w:rPr>
          <w:rFonts w:ascii="Times New Roman" w:hAnsi="Times New Roman"/>
          <w:bCs/>
          <w:sz w:val="28"/>
          <w:szCs w:val="28"/>
        </w:rPr>
        <w:t xml:space="preserve">НКРЕКП </w:t>
      </w:r>
      <w:r w:rsidR="00535417" w:rsidRPr="00263D8E">
        <w:rPr>
          <w:rFonts w:ascii="Times New Roman" w:hAnsi="Times New Roman" w:cs="Times New Roman"/>
          <w:sz w:val="28"/>
          <w:szCs w:val="28"/>
        </w:rPr>
        <w:t>«</w:t>
      </w:r>
      <w:r w:rsidR="002C282D" w:rsidRPr="002C282D">
        <w:rPr>
          <w:rFonts w:ascii="Times New Roman" w:hAnsi="Times New Roman" w:cs="Times New Roman"/>
          <w:sz w:val="28"/>
          <w:szCs w:val="28"/>
        </w:rPr>
        <w:t>Про затвердження Типового договору на технічне обслуговування внутрішньобудинкових систем газопостачання багатоквартирного будинку та внесення змін до Кодексу газорозподільних систем</w:t>
      </w:r>
      <w:r w:rsidR="004A10F8" w:rsidRPr="00263D8E">
        <w:rPr>
          <w:rFonts w:ascii="Times New Roman" w:hAnsi="Times New Roman" w:cs="Times New Roman"/>
          <w:sz w:val="28"/>
          <w:szCs w:val="28"/>
        </w:rPr>
        <w:t>»</w:t>
      </w:r>
      <w:r w:rsidRPr="00263D8E">
        <w:rPr>
          <w:rFonts w:ascii="Times New Roman" w:hAnsi="Times New Roman"/>
          <w:bCs/>
          <w:sz w:val="28"/>
          <w:szCs w:val="28"/>
        </w:rPr>
        <w:t>,</w:t>
      </w:r>
      <w:r w:rsidR="001B37CA" w:rsidRPr="00263D8E">
        <w:rPr>
          <w:rFonts w:ascii="Times New Roman" w:hAnsi="Times New Roman"/>
          <w:bCs/>
          <w:sz w:val="28"/>
          <w:szCs w:val="28"/>
        </w:rPr>
        <w:t xml:space="preserve"> що ма</w:t>
      </w:r>
      <w:r w:rsidR="005A7A73" w:rsidRPr="00263D8E">
        <w:rPr>
          <w:rFonts w:ascii="Times New Roman" w:hAnsi="Times New Roman"/>
          <w:bCs/>
          <w:sz w:val="28"/>
          <w:szCs w:val="28"/>
        </w:rPr>
        <w:t>є</w:t>
      </w:r>
      <w:r w:rsidR="001B37CA" w:rsidRPr="00263D8E">
        <w:rPr>
          <w:rFonts w:ascii="Times New Roman" w:hAnsi="Times New Roman"/>
          <w:bCs/>
          <w:sz w:val="28"/>
          <w:szCs w:val="28"/>
        </w:rPr>
        <w:t xml:space="preserve"> ознаки регуляторного акта, разом з матеріалами, що </w:t>
      </w:r>
      <w:r w:rsidR="00271531" w:rsidRPr="00263D8E">
        <w:rPr>
          <w:rFonts w:ascii="Times New Roman" w:hAnsi="Times New Roman"/>
          <w:bCs/>
          <w:sz w:val="28"/>
          <w:szCs w:val="28"/>
        </w:rPr>
        <w:t>обґрунтовують</w:t>
      </w:r>
      <w:r w:rsidR="001B37CA" w:rsidRPr="00263D8E">
        <w:rPr>
          <w:rFonts w:ascii="Times New Roman" w:hAnsi="Times New Roman"/>
          <w:bCs/>
          <w:sz w:val="28"/>
          <w:szCs w:val="28"/>
        </w:rPr>
        <w:t xml:space="preserve"> необхідність прийняття такого рішення, та аналізом його впливу оприлюднено на офіційному вебсайті НКРЕКП у мережі Інтернет: http://nerc.gov.ua з метою одержання зауважень і пропозицій від інших органів державної влади, фізичних та юридичних осіб, їх об'єднань та інших заінтересованих осіб. </w:t>
      </w:r>
      <w:r w:rsidRPr="00263D8E">
        <w:rPr>
          <w:rFonts w:ascii="Times New Roman" w:hAnsi="Times New Roman"/>
          <w:bCs/>
          <w:sz w:val="28"/>
          <w:szCs w:val="28"/>
        </w:rPr>
        <w:t>НКРЕКП у межах компетенції надає необхідні роз’яснення щодо норм про</w:t>
      </w:r>
      <w:r w:rsidR="00370540" w:rsidRPr="00263D8E">
        <w:rPr>
          <w:rFonts w:ascii="Times New Roman" w:hAnsi="Times New Roman"/>
          <w:bCs/>
          <w:sz w:val="28"/>
          <w:szCs w:val="28"/>
        </w:rPr>
        <w:t>є</w:t>
      </w:r>
      <w:r w:rsidRPr="00263D8E">
        <w:rPr>
          <w:rFonts w:ascii="Times New Roman" w:hAnsi="Times New Roman"/>
          <w:bCs/>
          <w:sz w:val="28"/>
          <w:szCs w:val="28"/>
        </w:rPr>
        <w:t>кту регуляторного акта і надаватиме роз’яснення щодо застосування акта, після його прийняття.</w:t>
      </w:r>
    </w:p>
    <w:p w:rsidR="00BF45C7" w:rsidRPr="00263D8E" w:rsidRDefault="00BF45C7" w:rsidP="00271531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312248" w:rsidRPr="00263D8E" w:rsidRDefault="00312248" w:rsidP="00271531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VIII. Очік</w:t>
      </w:r>
      <w:r w:rsidR="005E3047" w:rsidRPr="00263D8E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263D8E">
        <w:rPr>
          <w:rFonts w:ascii="Times New Roman" w:hAnsi="Times New Roman" w:cs="Times New Roman"/>
          <w:b/>
          <w:bCs/>
          <w:sz w:val="28"/>
          <w:szCs w:val="28"/>
        </w:rPr>
        <w:t>вані результати прийняття регуляторного акта</w:t>
      </w:r>
    </w:p>
    <w:p w:rsidR="004C3860" w:rsidRPr="00263D8E" w:rsidRDefault="004C3860" w:rsidP="00271531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14"/>
          <w:szCs w:val="28"/>
        </w:rPr>
      </w:pPr>
    </w:p>
    <w:p w:rsidR="004A39B3" w:rsidRDefault="004A39B3" w:rsidP="00FE36DC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 w:cs="Times New Roman"/>
          <w:sz w:val="28"/>
          <w:szCs w:val="28"/>
        </w:rPr>
        <w:t>Очікуваним результатом прийняття постанови</w:t>
      </w:r>
      <w:r w:rsidR="00E7599C">
        <w:rPr>
          <w:rFonts w:ascii="Times New Roman" w:hAnsi="Times New Roman" w:cs="Times New Roman"/>
          <w:sz w:val="28"/>
          <w:szCs w:val="28"/>
        </w:rPr>
        <w:t xml:space="preserve"> </w:t>
      </w:r>
      <w:r w:rsidR="00E7599C" w:rsidRPr="00CA5785">
        <w:rPr>
          <w:rFonts w:ascii="Times New Roman" w:hAnsi="Times New Roman" w:cs="Times New Roman"/>
          <w:sz w:val="28"/>
          <w:szCs w:val="28"/>
        </w:rPr>
        <w:t>НКРЕКП</w:t>
      </w:r>
      <w:r w:rsidRPr="00263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r w:rsidRPr="00416547">
        <w:rPr>
          <w:rFonts w:ascii="Times New Roman" w:hAnsi="Times New Roman"/>
          <w:bCs/>
          <w:sz w:val="28"/>
          <w:szCs w:val="28"/>
        </w:rPr>
        <w:t>Про затвердження Типового договору на технічне обслуговування внутрішньобудинкових систем газопостачання багатоквартирного будинку та внесення змін до Кодексу газорозподільних систем</w:t>
      </w:r>
      <w:r w:rsidRPr="00F61968">
        <w:rPr>
          <w:rFonts w:ascii="Times New Roman" w:hAnsi="Times New Roman" w:cs="Times New Roman"/>
          <w:sz w:val="28"/>
          <w:szCs w:val="28"/>
        </w:rPr>
        <w:t xml:space="preserve">» </w:t>
      </w:r>
      <w:r w:rsidRPr="00263D8E">
        <w:rPr>
          <w:rFonts w:ascii="Times New Roman" w:hAnsi="Times New Roman" w:cs="Times New Roman"/>
          <w:sz w:val="28"/>
          <w:szCs w:val="28"/>
        </w:rPr>
        <w:t xml:space="preserve">є </w:t>
      </w:r>
      <w:r>
        <w:rPr>
          <w:rFonts w:ascii="Times New Roman" w:hAnsi="Times New Roman" w:cs="Times New Roman"/>
          <w:sz w:val="28"/>
          <w:szCs w:val="28"/>
        </w:rPr>
        <w:t>забезпечення виконання вимог чинного законодавства та затвердження</w:t>
      </w:r>
      <w:r w:rsidRPr="00C36188">
        <w:rPr>
          <w:rFonts w:ascii="Times New Roman" w:hAnsi="Times New Roman" w:cs="Times New Roman"/>
          <w:sz w:val="28"/>
          <w:szCs w:val="28"/>
        </w:rPr>
        <w:t xml:space="preserve"> </w:t>
      </w:r>
      <w:r w:rsidR="004312E7" w:rsidRPr="00C96CEA">
        <w:rPr>
          <w:rFonts w:ascii="Times New Roman" w:hAnsi="Times New Roman" w:cs="Times New Roman"/>
          <w:bCs/>
          <w:sz w:val="28"/>
          <w:szCs w:val="28"/>
        </w:rPr>
        <w:t>Типового договору на технічне обслуговування внутрішньобудинкових систем газопостачання багатоквартирного будинку</w:t>
      </w:r>
      <w:r w:rsidR="004312E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F45C7">
        <w:rPr>
          <w:rFonts w:ascii="Times New Roman" w:hAnsi="Times New Roman" w:cs="Times New Roman"/>
          <w:bCs/>
          <w:sz w:val="28"/>
          <w:szCs w:val="28"/>
        </w:rPr>
        <w:t xml:space="preserve">а також </w:t>
      </w:r>
      <w:r w:rsidR="00BF45C7" w:rsidRPr="00C96CEA">
        <w:rPr>
          <w:rFonts w:ascii="Times New Roman" w:hAnsi="Times New Roman" w:cs="Times New Roman"/>
          <w:bCs/>
          <w:sz w:val="28"/>
          <w:szCs w:val="28"/>
        </w:rPr>
        <w:t>внесення змін до Кодексу</w:t>
      </w:r>
      <w:r w:rsidR="00BF45C7" w:rsidRPr="00DC797B">
        <w:rPr>
          <w:rFonts w:ascii="Times New Roman" w:hAnsi="Times New Roman" w:cs="Times New Roman"/>
          <w:bCs/>
          <w:sz w:val="28"/>
          <w:szCs w:val="28"/>
        </w:rPr>
        <w:t>,</w:t>
      </w:r>
      <w:r w:rsidR="00BF45C7">
        <w:rPr>
          <w:rFonts w:ascii="Times New Roman" w:hAnsi="Times New Roman" w:cs="Times New Roman"/>
          <w:bCs/>
          <w:sz w:val="28"/>
          <w:szCs w:val="28"/>
        </w:rPr>
        <w:t xml:space="preserve"> в частині приведення у відповідність положень Кодексу до </w:t>
      </w:r>
      <w:r w:rsidR="0066363D" w:rsidRPr="0066363D">
        <w:rPr>
          <w:rFonts w:ascii="Times New Roman" w:hAnsi="Times New Roman" w:cs="Times New Roman"/>
          <w:bCs/>
          <w:sz w:val="28"/>
          <w:szCs w:val="28"/>
        </w:rPr>
        <w:t xml:space="preserve">вимог </w:t>
      </w:r>
      <w:r w:rsidR="00BF45C7">
        <w:rPr>
          <w:rFonts w:ascii="Times New Roman" w:hAnsi="Times New Roman" w:cs="Times New Roman"/>
          <w:bCs/>
          <w:sz w:val="28"/>
          <w:szCs w:val="28"/>
        </w:rPr>
        <w:t>чинного законодавства щодо технічного обслуговування внутрішньобудинкових мереж газопостачання</w:t>
      </w:r>
      <w:r w:rsidRPr="00C36188">
        <w:rPr>
          <w:rFonts w:ascii="Times New Roman" w:hAnsi="Times New Roman" w:cs="Times New Roman"/>
          <w:sz w:val="28"/>
          <w:szCs w:val="28"/>
        </w:rPr>
        <w:t>.</w:t>
      </w:r>
    </w:p>
    <w:p w:rsidR="00BF45C7" w:rsidRDefault="00BF45C7" w:rsidP="00FE36DC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6B1D" w:rsidRPr="00263D8E" w:rsidRDefault="00986B1D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49B2" w:rsidRPr="00263D8E" w:rsidRDefault="006A49B2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4D8" w:rsidRPr="00263D8E" w:rsidRDefault="00535417" w:rsidP="00271531">
      <w:pPr>
        <w:spacing w:after="0" w:line="23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263D8E">
        <w:rPr>
          <w:rStyle w:val="spelle"/>
          <w:rFonts w:ascii="Times New Roman" w:hAnsi="Times New Roman"/>
          <w:b/>
          <w:sz w:val="28"/>
          <w:szCs w:val="28"/>
        </w:rPr>
        <w:t>Голова НКРЕКП</w:t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ab/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ab/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ab/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ab/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ab/>
      </w:r>
      <w:r w:rsidR="00DD60AA" w:rsidRPr="00263D8E">
        <w:rPr>
          <w:rStyle w:val="spelle"/>
          <w:rFonts w:ascii="Times New Roman" w:hAnsi="Times New Roman"/>
          <w:b/>
          <w:sz w:val="28"/>
          <w:szCs w:val="28"/>
        </w:rPr>
        <w:t xml:space="preserve">   </w:t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 xml:space="preserve"> </w:t>
      </w:r>
      <w:r w:rsidR="005707A1" w:rsidRPr="00263D8E">
        <w:rPr>
          <w:rStyle w:val="spelle"/>
          <w:rFonts w:ascii="Times New Roman" w:hAnsi="Times New Roman"/>
          <w:b/>
          <w:sz w:val="28"/>
          <w:szCs w:val="28"/>
        </w:rPr>
        <w:t xml:space="preserve">      </w:t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>Костянтин УЩАПОВСЬКИЙ</w:t>
      </w:r>
    </w:p>
    <w:sectPr w:rsidR="005E44D8" w:rsidRPr="00263D8E" w:rsidSect="00074038">
      <w:footerReference w:type="even" r:id="rId8"/>
      <w:footerReference w:type="default" r:id="rId9"/>
      <w:footerReference w:type="first" r:id="rId10"/>
      <w:pgSz w:w="11906" w:h="16838"/>
      <w:pgMar w:top="1134" w:right="567" w:bottom="993" w:left="1134" w:header="709" w:footer="5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72C" w:rsidRDefault="009A772C">
      <w:r>
        <w:separator/>
      </w:r>
    </w:p>
  </w:endnote>
  <w:endnote w:type="continuationSeparator" w:id="0">
    <w:p w:rsidR="009A772C" w:rsidRDefault="009A7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B13" w:rsidRDefault="00417B13" w:rsidP="00CD494E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926DD">
      <w:rPr>
        <w:rStyle w:val="ae"/>
        <w:noProof/>
      </w:rPr>
      <w:t>6</w:t>
    </w:r>
    <w:r>
      <w:rPr>
        <w:rStyle w:val="ae"/>
      </w:rPr>
      <w:fldChar w:fldCharType="end"/>
    </w:r>
  </w:p>
  <w:p w:rsidR="00417B13" w:rsidRDefault="00417B13" w:rsidP="008D796C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B13" w:rsidRPr="00A53158" w:rsidRDefault="006868C1" w:rsidP="00074038">
    <w:pPr>
      <w:pStyle w:val="ac"/>
      <w:jc w:val="right"/>
      <w:rPr>
        <w:rFonts w:ascii="Times New Roman" w:hAnsi="Times New Roman" w:cs="Times New Roman"/>
      </w:rPr>
    </w:pPr>
    <w:r w:rsidRPr="00A53158">
      <w:rPr>
        <w:rFonts w:ascii="Times New Roman" w:hAnsi="Times New Roman" w:cs="Times New Roman"/>
      </w:rPr>
      <w:fldChar w:fldCharType="begin"/>
    </w:r>
    <w:r w:rsidRPr="00A53158">
      <w:rPr>
        <w:rFonts w:ascii="Times New Roman" w:hAnsi="Times New Roman" w:cs="Times New Roman"/>
      </w:rPr>
      <w:instrText>PAGE   \* MERGEFORMAT</w:instrText>
    </w:r>
    <w:r w:rsidRPr="00A53158">
      <w:rPr>
        <w:rFonts w:ascii="Times New Roman" w:hAnsi="Times New Roman" w:cs="Times New Roman"/>
      </w:rPr>
      <w:fldChar w:fldCharType="separate"/>
    </w:r>
    <w:r w:rsidR="005239C1">
      <w:rPr>
        <w:rFonts w:ascii="Times New Roman" w:hAnsi="Times New Roman" w:cs="Times New Roman"/>
        <w:noProof/>
      </w:rPr>
      <w:t>7</w:t>
    </w:r>
    <w:r w:rsidRPr="00A53158">
      <w:rPr>
        <w:rFonts w:ascii="Times New Roman" w:hAnsi="Times New Roman"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D8E" w:rsidRDefault="00263D8E">
    <w:pPr>
      <w:pStyle w:val="ac"/>
    </w:pPr>
  </w:p>
  <w:p w:rsidR="00263D8E" w:rsidRDefault="00263D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72C" w:rsidRDefault="009A772C">
      <w:r>
        <w:separator/>
      </w:r>
    </w:p>
  </w:footnote>
  <w:footnote w:type="continuationSeparator" w:id="0">
    <w:p w:rsidR="009A772C" w:rsidRDefault="009A7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24D1B"/>
    <w:multiLevelType w:val="hybridMultilevel"/>
    <w:tmpl w:val="92FEB472"/>
    <w:lvl w:ilvl="0" w:tplc="04220011">
      <w:start w:val="3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A886369"/>
    <w:multiLevelType w:val="hybridMultilevel"/>
    <w:tmpl w:val="20FCB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A55279"/>
    <w:multiLevelType w:val="hybridMultilevel"/>
    <w:tmpl w:val="8496E1B8"/>
    <w:lvl w:ilvl="0" w:tplc="3A7653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8C7564"/>
    <w:multiLevelType w:val="hybridMultilevel"/>
    <w:tmpl w:val="BA3C2060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73E"/>
    <w:rsid w:val="000011FD"/>
    <w:rsid w:val="00005703"/>
    <w:rsid w:val="00014D89"/>
    <w:rsid w:val="0001736A"/>
    <w:rsid w:val="00021E50"/>
    <w:rsid w:val="00022308"/>
    <w:rsid w:val="00032984"/>
    <w:rsid w:val="00034CE3"/>
    <w:rsid w:val="000358F7"/>
    <w:rsid w:val="00036F43"/>
    <w:rsid w:val="00037420"/>
    <w:rsid w:val="00041BDE"/>
    <w:rsid w:val="00042308"/>
    <w:rsid w:val="00042533"/>
    <w:rsid w:val="00052715"/>
    <w:rsid w:val="00053D5B"/>
    <w:rsid w:val="000556EF"/>
    <w:rsid w:val="00062323"/>
    <w:rsid w:val="00064C40"/>
    <w:rsid w:val="00065C0A"/>
    <w:rsid w:val="00067582"/>
    <w:rsid w:val="00074038"/>
    <w:rsid w:val="00074990"/>
    <w:rsid w:val="000767B1"/>
    <w:rsid w:val="00093512"/>
    <w:rsid w:val="000A2B4C"/>
    <w:rsid w:val="000A2D39"/>
    <w:rsid w:val="000C2A85"/>
    <w:rsid w:val="000D0F3D"/>
    <w:rsid w:val="000D41BD"/>
    <w:rsid w:val="000D546F"/>
    <w:rsid w:val="000D6192"/>
    <w:rsid w:val="000D73CF"/>
    <w:rsid w:val="000E1D97"/>
    <w:rsid w:val="000E3132"/>
    <w:rsid w:val="000E75B7"/>
    <w:rsid w:val="000F74BA"/>
    <w:rsid w:val="0010070A"/>
    <w:rsid w:val="001041C6"/>
    <w:rsid w:val="00105064"/>
    <w:rsid w:val="001055F7"/>
    <w:rsid w:val="00110A40"/>
    <w:rsid w:val="001151C8"/>
    <w:rsid w:val="001232AA"/>
    <w:rsid w:val="00127B53"/>
    <w:rsid w:val="00130585"/>
    <w:rsid w:val="00140F43"/>
    <w:rsid w:val="00143316"/>
    <w:rsid w:val="00143BF0"/>
    <w:rsid w:val="001504ED"/>
    <w:rsid w:val="00154697"/>
    <w:rsid w:val="00157541"/>
    <w:rsid w:val="0016047B"/>
    <w:rsid w:val="00160687"/>
    <w:rsid w:val="00166619"/>
    <w:rsid w:val="001669F9"/>
    <w:rsid w:val="00170FF1"/>
    <w:rsid w:val="001759A1"/>
    <w:rsid w:val="00175AFE"/>
    <w:rsid w:val="00187F29"/>
    <w:rsid w:val="00191354"/>
    <w:rsid w:val="00196075"/>
    <w:rsid w:val="001964E2"/>
    <w:rsid w:val="001A68AD"/>
    <w:rsid w:val="001B2B20"/>
    <w:rsid w:val="001B31D4"/>
    <w:rsid w:val="001B36E9"/>
    <w:rsid w:val="001B37CA"/>
    <w:rsid w:val="001C0686"/>
    <w:rsid w:val="001C35B3"/>
    <w:rsid w:val="001C7EFC"/>
    <w:rsid w:val="001D1DB2"/>
    <w:rsid w:val="001D3EBE"/>
    <w:rsid w:val="001D64E1"/>
    <w:rsid w:val="001E4B33"/>
    <w:rsid w:val="001E5174"/>
    <w:rsid w:val="001F6615"/>
    <w:rsid w:val="0020525C"/>
    <w:rsid w:val="00220FDD"/>
    <w:rsid w:val="00221925"/>
    <w:rsid w:val="00227A00"/>
    <w:rsid w:val="00232C94"/>
    <w:rsid w:val="002330E2"/>
    <w:rsid w:val="00236DBE"/>
    <w:rsid w:val="00244871"/>
    <w:rsid w:val="00244EF9"/>
    <w:rsid w:val="002460A7"/>
    <w:rsid w:val="00251D02"/>
    <w:rsid w:val="002552EA"/>
    <w:rsid w:val="00257CE0"/>
    <w:rsid w:val="00260FAC"/>
    <w:rsid w:val="00263D8E"/>
    <w:rsid w:val="00264181"/>
    <w:rsid w:val="00265B0B"/>
    <w:rsid w:val="00271531"/>
    <w:rsid w:val="00272134"/>
    <w:rsid w:val="002778E4"/>
    <w:rsid w:val="002820F9"/>
    <w:rsid w:val="00283D5B"/>
    <w:rsid w:val="00284BA7"/>
    <w:rsid w:val="00287CFF"/>
    <w:rsid w:val="00293A63"/>
    <w:rsid w:val="002952DA"/>
    <w:rsid w:val="00297AF0"/>
    <w:rsid w:val="002A1B71"/>
    <w:rsid w:val="002A31D4"/>
    <w:rsid w:val="002A6913"/>
    <w:rsid w:val="002B4A6D"/>
    <w:rsid w:val="002C282D"/>
    <w:rsid w:val="002C4668"/>
    <w:rsid w:val="002C46DD"/>
    <w:rsid w:val="002D38E5"/>
    <w:rsid w:val="002D3B6D"/>
    <w:rsid w:val="002D3F99"/>
    <w:rsid w:val="002D44E6"/>
    <w:rsid w:val="002D5556"/>
    <w:rsid w:val="002E106A"/>
    <w:rsid w:val="002E1FC4"/>
    <w:rsid w:val="002E5E3B"/>
    <w:rsid w:val="002F3C07"/>
    <w:rsid w:val="002F499A"/>
    <w:rsid w:val="002F529C"/>
    <w:rsid w:val="002F69B9"/>
    <w:rsid w:val="0030016A"/>
    <w:rsid w:val="00305560"/>
    <w:rsid w:val="00310D40"/>
    <w:rsid w:val="00312248"/>
    <w:rsid w:val="00313568"/>
    <w:rsid w:val="003148CB"/>
    <w:rsid w:val="00320FF4"/>
    <w:rsid w:val="00321D99"/>
    <w:rsid w:val="00324F65"/>
    <w:rsid w:val="00331D20"/>
    <w:rsid w:val="00334416"/>
    <w:rsid w:val="00337C29"/>
    <w:rsid w:val="003426A1"/>
    <w:rsid w:val="0034319B"/>
    <w:rsid w:val="00343DE1"/>
    <w:rsid w:val="00352BDC"/>
    <w:rsid w:val="00357292"/>
    <w:rsid w:val="00363E01"/>
    <w:rsid w:val="00370540"/>
    <w:rsid w:val="00370548"/>
    <w:rsid w:val="00370A1F"/>
    <w:rsid w:val="003723C0"/>
    <w:rsid w:val="00373DA6"/>
    <w:rsid w:val="003766B7"/>
    <w:rsid w:val="00376704"/>
    <w:rsid w:val="003767FC"/>
    <w:rsid w:val="00377C7F"/>
    <w:rsid w:val="00382DF6"/>
    <w:rsid w:val="00384769"/>
    <w:rsid w:val="00385930"/>
    <w:rsid w:val="00387F4C"/>
    <w:rsid w:val="0039249E"/>
    <w:rsid w:val="003929ED"/>
    <w:rsid w:val="00397045"/>
    <w:rsid w:val="003A12B0"/>
    <w:rsid w:val="003A1EBE"/>
    <w:rsid w:val="003A42BA"/>
    <w:rsid w:val="003A6F0D"/>
    <w:rsid w:val="003A7932"/>
    <w:rsid w:val="003B01C8"/>
    <w:rsid w:val="003B21F3"/>
    <w:rsid w:val="003B7513"/>
    <w:rsid w:val="003C042F"/>
    <w:rsid w:val="003C3700"/>
    <w:rsid w:val="003C3827"/>
    <w:rsid w:val="003C7CAD"/>
    <w:rsid w:val="003D06FC"/>
    <w:rsid w:val="003D2427"/>
    <w:rsid w:val="003D302B"/>
    <w:rsid w:val="003D493F"/>
    <w:rsid w:val="003D4B36"/>
    <w:rsid w:val="003D779B"/>
    <w:rsid w:val="003E6AD2"/>
    <w:rsid w:val="003E79B1"/>
    <w:rsid w:val="003F0FE5"/>
    <w:rsid w:val="003F3081"/>
    <w:rsid w:val="003F72C4"/>
    <w:rsid w:val="00400742"/>
    <w:rsid w:val="00404792"/>
    <w:rsid w:val="00405BBC"/>
    <w:rsid w:val="00407198"/>
    <w:rsid w:val="00415217"/>
    <w:rsid w:val="00416547"/>
    <w:rsid w:val="00417B13"/>
    <w:rsid w:val="00422BC6"/>
    <w:rsid w:val="00425DF4"/>
    <w:rsid w:val="00427313"/>
    <w:rsid w:val="004312E7"/>
    <w:rsid w:val="004315C2"/>
    <w:rsid w:val="004336DC"/>
    <w:rsid w:val="004342AE"/>
    <w:rsid w:val="004368E5"/>
    <w:rsid w:val="00436F85"/>
    <w:rsid w:val="004425BF"/>
    <w:rsid w:val="00443F30"/>
    <w:rsid w:val="00450013"/>
    <w:rsid w:val="00451282"/>
    <w:rsid w:val="00460222"/>
    <w:rsid w:val="00470153"/>
    <w:rsid w:val="004729C2"/>
    <w:rsid w:val="00474E80"/>
    <w:rsid w:val="00482EF4"/>
    <w:rsid w:val="00484617"/>
    <w:rsid w:val="004863D8"/>
    <w:rsid w:val="004873CC"/>
    <w:rsid w:val="00491381"/>
    <w:rsid w:val="004958C1"/>
    <w:rsid w:val="0049793F"/>
    <w:rsid w:val="004A10F8"/>
    <w:rsid w:val="004A25C0"/>
    <w:rsid w:val="004A39B3"/>
    <w:rsid w:val="004A74A9"/>
    <w:rsid w:val="004A77C7"/>
    <w:rsid w:val="004B2AAF"/>
    <w:rsid w:val="004B7BD2"/>
    <w:rsid w:val="004C3860"/>
    <w:rsid w:val="004C4D1A"/>
    <w:rsid w:val="004C6C70"/>
    <w:rsid w:val="004D49D5"/>
    <w:rsid w:val="004E02BF"/>
    <w:rsid w:val="004E29A3"/>
    <w:rsid w:val="004E2A5E"/>
    <w:rsid w:val="004E4B31"/>
    <w:rsid w:val="004F6658"/>
    <w:rsid w:val="005001D5"/>
    <w:rsid w:val="00502B62"/>
    <w:rsid w:val="00505CA8"/>
    <w:rsid w:val="0050747D"/>
    <w:rsid w:val="00513242"/>
    <w:rsid w:val="005132AE"/>
    <w:rsid w:val="005239C1"/>
    <w:rsid w:val="00525C69"/>
    <w:rsid w:val="00527A93"/>
    <w:rsid w:val="0053246E"/>
    <w:rsid w:val="005350E3"/>
    <w:rsid w:val="00535417"/>
    <w:rsid w:val="00541F25"/>
    <w:rsid w:val="00541F39"/>
    <w:rsid w:val="00542151"/>
    <w:rsid w:val="0054391F"/>
    <w:rsid w:val="00551385"/>
    <w:rsid w:val="00552328"/>
    <w:rsid w:val="00554E07"/>
    <w:rsid w:val="00556149"/>
    <w:rsid w:val="00556A94"/>
    <w:rsid w:val="005707A1"/>
    <w:rsid w:val="00572FE2"/>
    <w:rsid w:val="00573857"/>
    <w:rsid w:val="005800CB"/>
    <w:rsid w:val="005821B5"/>
    <w:rsid w:val="00587884"/>
    <w:rsid w:val="00590068"/>
    <w:rsid w:val="005925FA"/>
    <w:rsid w:val="005A64CE"/>
    <w:rsid w:val="005A705E"/>
    <w:rsid w:val="005A79F8"/>
    <w:rsid w:val="005A7A73"/>
    <w:rsid w:val="005B0773"/>
    <w:rsid w:val="005B29D9"/>
    <w:rsid w:val="005B2C7C"/>
    <w:rsid w:val="005B3465"/>
    <w:rsid w:val="005B5933"/>
    <w:rsid w:val="005C0ED1"/>
    <w:rsid w:val="005C0F5A"/>
    <w:rsid w:val="005C4D53"/>
    <w:rsid w:val="005C56EF"/>
    <w:rsid w:val="005E3047"/>
    <w:rsid w:val="005E44D8"/>
    <w:rsid w:val="005E6132"/>
    <w:rsid w:val="005F624F"/>
    <w:rsid w:val="005F7105"/>
    <w:rsid w:val="005F7A0A"/>
    <w:rsid w:val="00600101"/>
    <w:rsid w:val="006079B4"/>
    <w:rsid w:val="00622098"/>
    <w:rsid w:val="00625019"/>
    <w:rsid w:val="0062517D"/>
    <w:rsid w:val="00627F95"/>
    <w:rsid w:val="00631C30"/>
    <w:rsid w:val="0063473E"/>
    <w:rsid w:val="0063536A"/>
    <w:rsid w:val="00635DB3"/>
    <w:rsid w:val="006430C8"/>
    <w:rsid w:val="00647DD2"/>
    <w:rsid w:val="006601AE"/>
    <w:rsid w:val="0066363D"/>
    <w:rsid w:val="006664D5"/>
    <w:rsid w:val="00666FBD"/>
    <w:rsid w:val="00670102"/>
    <w:rsid w:val="00671A26"/>
    <w:rsid w:val="00672390"/>
    <w:rsid w:val="00681C6D"/>
    <w:rsid w:val="006849E2"/>
    <w:rsid w:val="00686043"/>
    <w:rsid w:val="006868C1"/>
    <w:rsid w:val="00686DD8"/>
    <w:rsid w:val="00687A2A"/>
    <w:rsid w:val="00696B56"/>
    <w:rsid w:val="006A2A54"/>
    <w:rsid w:val="006A30CD"/>
    <w:rsid w:val="006A32AC"/>
    <w:rsid w:val="006A3393"/>
    <w:rsid w:val="006A49B2"/>
    <w:rsid w:val="006A57C9"/>
    <w:rsid w:val="006B0451"/>
    <w:rsid w:val="006B4565"/>
    <w:rsid w:val="006C15AA"/>
    <w:rsid w:val="006C4DD8"/>
    <w:rsid w:val="006D070C"/>
    <w:rsid w:val="006D212A"/>
    <w:rsid w:val="006D391C"/>
    <w:rsid w:val="006D5C02"/>
    <w:rsid w:val="006D7286"/>
    <w:rsid w:val="006D7B31"/>
    <w:rsid w:val="006D7CFA"/>
    <w:rsid w:val="006E59AF"/>
    <w:rsid w:val="006E6660"/>
    <w:rsid w:val="006F3814"/>
    <w:rsid w:val="006F7C23"/>
    <w:rsid w:val="0070067C"/>
    <w:rsid w:val="0070185A"/>
    <w:rsid w:val="00703288"/>
    <w:rsid w:val="00705FB2"/>
    <w:rsid w:val="00716274"/>
    <w:rsid w:val="00723D69"/>
    <w:rsid w:val="007311C4"/>
    <w:rsid w:val="00733A65"/>
    <w:rsid w:val="007350E7"/>
    <w:rsid w:val="00736A0A"/>
    <w:rsid w:val="00741FCE"/>
    <w:rsid w:val="00742892"/>
    <w:rsid w:val="0074474E"/>
    <w:rsid w:val="007465B3"/>
    <w:rsid w:val="00751AF5"/>
    <w:rsid w:val="00752106"/>
    <w:rsid w:val="00752D37"/>
    <w:rsid w:val="00756A23"/>
    <w:rsid w:val="00756A7D"/>
    <w:rsid w:val="00760312"/>
    <w:rsid w:val="007628EA"/>
    <w:rsid w:val="00764EE9"/>
    <w:rsid w:val="00766A5E"/>
    <w:rsid w:val="007714F8"/>
    <w:rsid w:val="00771773"/>
    <w:rsid w:val="00771C59"/>
    <w:rsid w:val="00772D23"/>
    <w:rsid w:val="007748E0"/>
    <w:rsid w:val="00783A7C"/>
    <w:rsid w:val="0079027E"/>
    <w:rsid w:val="007902C5"/>
    <w:rsid w:val="0079037F"/>
    <w:rsid w:val="0079260D"/>
    <w:rsid w:val="007926DD"/>
    <w:rsid w:val="0079398B"/>
    <w:rsid w:val="00793F4E"/>
    <w:rsid w:val="00795CCE"/>
    <w:rsid w:val="00797008"/>
    <w:rsid w:val="007A13C6"/>
    <w:rsid w:val="007A1984"/>
    <w:rsid w:val="007A27F7"/>
    <w:rsid w:val="007A7610"/>
    <w:rsid w:val="007C064F"/>
    <w:rsid w:val="007C517C"/>
    <w:rsid w:val="007C6F5D"/>
    <w:rsid w:val="007C790F"/>
    <w:rsid w:val="007D1744"/>
    <w:rsid w:val="007D3F6F"/>
    <w:rsid w:val="007D419D"/>
    <w:rsid w:val="007D524E"/>
    <w:rsid w:val="007D5ECD"/>
    <w:rsid w:val="007D6773"/>
    <w:rsid w:val="0080055E"/>
    <w:rsid w:val="0080522F"/>
    <w:rsid w:val="00805A35"/>
    <w:rsid w:val="00806493"/>
    <w:rsid w:val="00807AAF"/>
    <w:rsid w:val="00815419"/>
    <w:rsid w:val="008218D6"/>
    <w:rsid w:val="0082293D"/>
    <w:rsid w:val="00827105"/>
    <w:rsid w:val="00827AB0"/>
    <w:rsid w:val="00827EFC"/>
    <w:rsid w:val="00840366"/>
    <w:rsid w:val="0084128D"/>
    <w:rsid w:val="0084685F"/>
    <w:rsid w:val="008472D5"/>
    <w:rsid w:val="0084774E"/>
    <w:rsid w:val="00847A28"/>
    <w:rsid w:val="00850B74"/>
    <w:rsid w:val="008577CF"/>
    <w:rsid w:val="00862800"/>
    <w:rsid w:val="008675AE"/>
    <w:rsid w:val="008749E4"/>
    <w:rsid w:val="00877AEC"/>
    <w:rsid w:val="00882F06"/>
    <w:rsid w:val="008866DF"/>
    <w:rsid w:val="0088765E"/>
    <w:rsid w:val="00887829"/>
    <w:rsid w:val="00890FC2"/>
    <w:rsid w:val="00892856"/>
    <w:rsid w:val="00893C1D"/>
    <w:rsid w:val="00897F6F"/>
    <w:rsid w:val="008A204B"/>
    <w:rsid w:val="008A5874"/>
    <w:rsid w:val="008B1970"/>
    <w:rsid w:val="008B4101"/>
    <w:rsid w:val="008C25E7"/>
    <w:rsid w:val="008C2BA5"/>
    <w:rsid w:val="008C5D4F"/>
    <w:rsid w:val="008C6965"/>
    <w:rsid w:val="008D796C"/>
    <w:rsid w:val="008E3162"/>
    <w:rsid w:val="008F229D"/>
    <w:rsid w:val="008F2738"/>
    <w:rsid w:val="008F3AA1"/>
    <w:rsid w:val="008F60ED"/>
    <w:rsid w:val="00900D0A"/>
    <w:rsid w:val="009029BD"/>
    <w:rsid w:val="00903C28"/>
    <w:rsid w:val="009040E9"/>
    <w:rsid w:val="00904799"/>
    <w:rsid w:val="00910A71"/>
    <w:rsid w:val="009121EB"/>
    <w:rsid w:val="0091350C"/>
    <w:rsid w:val="00924727"/>
    <w:rsid w:val="00925029"/>
    <w:rsid w:val="009250E0"/>
    <w:rsid w:val="00932318"/>
    <w:rsid w:val="00932A37"/>
    <w:rsid w:val="009366F1"/>
    <w:rsid w:val="00936F80"/>
    <w:rsid w:val="00937794"/>
    <w:rsid w:val="00937A6E"/>
    <w:rsid w:val="0094042A"/>
    <w:rsid w:val="0094067A"/>
    <w:rsid w:val="009411E8"/>
    <w:rsid w:val="0094281E"/>
    <w:rsid w:val="00944CF4"/>
    <w:rsid w:val="00951B24"/>
    <w:rsid w:val="00955661"/>
    <w:rsid w:val="00956068"/>
    <w:rsid w:val="009608CC"/>
    <w:rsid w:val="009670E3"/>
    <w:rsid w:val="009711D1"/>
    <w:rsid w:val="0097154D"/>
    <w:rsid w:val="00977919"/>
    <w:rsid w:val="00981446"/>
    <w:rsid w:val="00986B1D"/>
    <w:rsid w:val="0099775C"/>
    <w:rsid w:val="009A1BDF"/>
    <w:rsid w:val="009A734A"/>
    <w:rsid w:val="009A772C"/>
    <w:rsid w:val="009B04B4"/>
    <w:rsid w:val="009B1C66"/>
    <w:rsid w:val="009B2AF1"/>
    <w:rsid w:val="009B363B"/>
    <w:rsid w:val="009B3A59"/>
    <w:rsid w:val="009B575D"/>
    <w:rsid w:val="009C2EFA"/>
    <w:rsid w:val="009C3DEA"/>
    <w:rsid w:val="009C423B"/>
    <w:rsid w:val="009D1DC2"/>
    <w:rsid w:val="009D24F0"/>
    <w:rsid w:val="009D4497"/>
    <w:rsid w:val="009E12FE"/>
    <w:rsid w:val="009E534E"/>
    <w:rsid w:val="009E5A23"/>
    <w:rsid w:val="009F6FCB"/>
    <w:rsid w:val="00A112DB"/>
    <w:rsid w:val="00A11368"/>
    <w:rsid w:val="00A15250"/>
    <w:rsid w:val="00A23C5E"/>
    <w:rsid w:val="00A4014B"/>
    <w:rsid w:val="00A43A0B"/>
    <w:rsid w:val="00A45587"/>
    <w:rsid w:val="00A47ECB"/>
    <w:rsid w:val="00A53158"/>
    <w:rsid w:val="00A60BDB"/>
    <w:rsid w:val="00A63920"/>
    <w:rsid w:val="00A642D6"/>
    <w:rsid w:val="00A703FB"/>
    <w:rsid w:val="00A724C2"/>
    <w:rsid w:val="00A741D1"/>
    <w:rsid w:val="00A74DC5"/>
    <w:rsid w:val="00A7546B"/>
    <w:rsid w:val="00A7562D"/>
    <w:rsid w:val="00A77958"/>
    <w:rsid w:val="00A814FC"/>
    <w:rsid w:val="00A853CD"/>
    <w:rsid w:val="00A90E3C"/>
    <w:rsid w:val="00A91999"/>
    <w:rsid w:val="00A9782A"/>
    <w:rsid w:val="00AA2D35"/>
    <w:rsid w:val="00AA641D"/>
    <w:rsid w:val="00AB3169"/>
    <w:rsid w:val="00AB3A98"/>
    <w:rsid w:val="00AB7706"/>
    <w:rsid w:val="00AD1210"/>
    <w:rsid w:val="00AD601D"/>
    <w:rsid w:val="00AE2878"/>
    <w:rsid w:val="00AE58D1"/>
    <w:rsid w:val="00AF12A5"/>
    <w:rsid w:val="00AF3607"/>
    <w:rsid w:val="00AF4B67"/>
    <w:rsid w:val="00AF55F1"/>
    <w:rsid w:val="00B005D0"/>
    <w:rsid w:val="00B0062F"/>
    <w:rsid w:val="00B03E74"/>
    <w:rsid w:val="00B06E16"/>
    <w:rsid w:val="00B07115"/>
    <w:rsid w:val="00B10804"/>
    <w:rsid w:val="00B116DD"/>
    <w:rsid w:val="00B123E0"/>
    <w:rsid w:val="00B15AFA"/>
    <w:rsid w:val="00B2135E"/>
    <w:rsid w:val="00B24019"/>
    <w:rsid w:val="00B43C6C"/>
    <w:rsid w:val="00B47CEE"/>
    <w:rsid w:val="00B54828"/>
    <w:rsid w:val="00B55EB2"/>
    <w:rsid w:val="00B567A8"/>
    <w:rsid w:val="00B57704"/>
    <w:rsid w:val="00B622E1"/>
    <w:rsid w:val="00B6310E"/>
    <w:rsid w:val="00B64F43"/>
    <w:rsid w:val="00B72FD4"/>
    <w:rsid w:val="00B845F3"/>
    <w:rsid w:val="00B926EA"/>
    <w:rsid w:val="00B94678"/>
    <w:rsid w:val="00BA2D9E"/>
    <w:rsid w:val="00BA658B"/>
    <w:rsid w:val="00BA7C29"/>
    <w:rsid w:val="00BA7CC0"/>
    <w:rsid w:val="00BB00AF"/>
    <w:rsid w:val="00BB160A"/>
    <w:rsid w:val="00BB3C30"/>
    <w:rsid w:val="00BB3FA2"/>
    <w:rsid w:val="00BB47EE"/>
    <w:rsid w:val="00BB5F92"/>
    <w:rsid w:val="00BB7E1F"/>
    <w:rsid w:val="00BC1125"/>
    <w:rsid w:val="00BC5013"/>
    <w:rsid w:val="00BC6E62"/>
    <w:rsid w:val="00BD11C0"/>
    <w:rsid w:val="00BD1A70"/>
    <w:rsid w:val="00BD3AF5"/>
    <w:rsid w:val="00BF193E"/>
    <w:rsid w:val="00BF45C7"/>
    <w:rsid w:val="00BF4829"/>
    <w:rsid w:val="00BF51E7"/>
    <w:rsid w:val="00C001DF"/>
    <w:rsid w:val="00C0375A"/>
    <w:rsid w:val="00C03BBA"/>
    <w:rsid w:val="00C12958"/>
    <w:rsid w:val="00C14A98"/>
    <w:rsid w:val="00C14E02"/>
    <w:rsid w:val="00C24525"/>
    <w:rsid w:val="00C2527D"/>
    <w:rsid w:val="00C2686D"/>
    <w:rsid w:val="00C271C3"/>
    <w:rsid w:val="00C32871"/>
    <w:rsid w:val="00C32A61"/>
    <w:rsid w:val="00C354E3"/>
    <w:rsid w:val="00C36188"/>
    <w:rsid w:val="00C42F9A"/>
    <w:rsid w:val="00C432AA"/>
    <w:rsid w:val="00C43FC8"/>
    <w:rsid w:val="00C50E9D"/>
    <w:rsid w:val="00C512E5"/>
    <w:rsid w:val="00C53EA5"/>
    <w:rsid w:val="00C56DE6"/>
    <w:rsid w:val="00C600FF"/>
    <w:rsid w:val="00C611FA"/>
    <w:rsid w:val="00C62573"/>
    <w:rsid w:val="00C7127D"/>
    <w:rsid w:val="00C762F0"/>
    <w:rsid w:val="00C809B2"/>
    <w:rsid w:val="00C823CE"/>
    <w:rsid w:val="00C841DB"/>
    <w:rsid w:val="00C87002"/>
    <w:rsid w:val="00C92E37"/>
    <w:rsid w:val="00C94144"/>
    <w:rsid w:val="00C95D54"/>
    <w:rsid w:val="00C97CAC"/>
    <w:rsid w:val="00CA0015"/>
    <w:rsid w:val="00CA49BC"/>
    <w:rsid w:val="00CA5785"/>
    <w:rsid w:val="00CA7ADE"/>
    <w:rsid w:val="00CA7AE3"/>
    <w:rsid w:val="00CB18BE"/>
    <w:rsid w:val="00CC044D"/>
    <w:rsid w:val="00CC4F1B"/>
    <w:rsid w:val="00CC7093"/>
    <w:rsid w:val="00CD27DD"/>
    <w:rsid w:val="00CD33A0"/>
    <w:rsid w:val="00CD40DC"/>
    <w:rsid w:val="00CD494E"/>
    <w:rsid w:val="00CD4F0C"/>
    <w:rsid w:val="00CD54A9"/>
    <w:rsid w:val="00CE7D86"/>
    <w:rsid w:val="00CF1DEC"/>
    <w:rsid w:val="00D06743"/>
    <w:rsid w:val="00D13E49"/>
    <w:rsid w:val="00D14BBE"/>
    <w:rsid w:val="00D2757F"/>
    <w:rsid w:val="00D30F68"/>
    <w:rsid w:val="00D46DD8"/>
    <w:rsid w:val="00D47243"/>
    <w:rsid w:val="00D61F85"/>
    <w:rsid w:val="00D61FE5"/>
    <w:rsid w:val="00D66C63"/>
    <w:rsid w:val="00D7018C"/>
    <w:rsid w:val="00D7242C"/>
    <w:rsid w:val="00D75C04"/>
    <w:rsid w:val="00D804E5"/>
    <w:rsid w:val="00D9496B"/>
    <w:rsid w:val="00D966C4"/>
    <w:rsid w:val="00DA0B0F"/>
    <w:rsid w:val="00DA2BDC"/>
    <w:rsid w:val="00DA590B"/>
    <w:rsid w:val="00DB293A"/>
    <w:rsid w:val="00DB44EC"/>
    <w:rsid w:val="00DC0374"/>
    <w:rsid w:val="00DC2C74"/>
    <w:rsid w:val="00DC444E"/>
    <w:rsid w:val="00DD5B9F"/>
    <w:rsid w:val="00DD60AA"/>
    <w:rsid w:val="00DD7DB0"/>
    <w:rsid w:val="00DE01C2"/>
    <w:rsid w:val="00DE1D4F"/>
    <w:rsid w:val="00DE45A5"/>
    <w:rsid w:val="00DE5992"/>
    <w:rsid w:val="00DE5BA5"/>
    <w:rsid w:val="00DE5D7A"/>
    <w:rsid w:val="00DE692A"/>
    <w:rsid w:val="00DF1658"/>
    <w:rsid w:val="00DF3B8E"/>
    <w:rsid w:val="00E00211"/>
    <w:rsid w:val="00E06E45"/>
    <w:rsid w:val="00E1494A"/>
    <w:rsid w:val="00E1720D"/>
    <w:rsid w:val="00E201D5"/>
    <w:rsid w:val="00E20816"/>
    <w:rsid w:val="00E252EA"/>
    <w:rsid w:val="00E30052"/>
    <w:rsid w:val="00E33C56"/>
    <w:rsid w:val="00E35A36"/>
    <w:rsid w:val="00E4575A"/>
    <w:rsid w:val="00E4597C"/>
    <w:rsid w:val="00E46A89"/>
    <w:rsid w:val="00E4723D"/>
    <w:rsid w:val="00E54245"/>
    <w:rsid w:val="00E6043F"/>
    <w:rsid w:val="00E604C5"/>
    <w:rsid w:val="00E629D9"/>
    <w:rsid w:val="00E662F9"/>
    <w:rsid w:val="00E70BD2"/>
    <w:rsid w:val="00E7599C"/>
    <w:rsid w:val="00E765A2"/>
    <w:rsid w:val="00E815CD"/>
    <w:rsid w:val="00E85D4C"/>
    <w:rsid w:val="00E90AF4"/>
    <w:rsid w:val="00E944D4"/>
    <w:rsid w:val="00EA1052"/>
    <w:rsid w:val="00EA52E9"/>
    <w:rsid w:val="00EA73F4"/>
    <w:rsid w:val="00EB5F4A"/>
    <w:rsid w:val="00EB75EF"/>
    <w:rsid w:val="00EC688C"/>
    <w:rsid w:val="00EC6996"/>
    <w:rsid w:val="00ED7EE0"/>
    <w:rsid w:val="00EE33CF"/>
    <w:rsid w:val="00EF3667"/>
    <w:rsid w:val="00EF4248"/>
    <w:rsid w:val="00EF5644"/>
    <w:rsid w:val="00EF7D18"/>
    <w:rsid w:val="00F0121F"/>
    <w:rsid w:val="00F014F6"/>
    <w:rsid w:val="00F0422E"/>
    <w:rsid w:val="00F103ED"/>
    <w:rsid w:val="00F10ED9"/>
    <w:rsid w:val="00F1113B"/>
    <w:rsid w:val="00F14BBB"/>
    <w:rsid w:val="00F23E73"/>
    <w:rsid w:val="00F31612"/>
    <w:rsid w:val="00F34716"/>
    <w:rsid w:val="00F37A5D"/>
    <w:rsid w:val="00F432DF"/>
    <w:rsid w:val="00F44312"/>
    <w:rsid w:val="00F554D3"/>
    <w:rsid w:val="00F61968"/>
    <w:rsid w:val="00F70F02"/>
    <w:rsid w:val="00F715B3"/>
    <w:rsid w:val="00F73C97"/>
    <w:rsid w:val="00F81F1E"/>
    <w:rsid w:val="00F8338D"/>
    <w:rsid w:val="00F8520E"/>
    <w:rsid w:val="00F87B13"/>
    <w:rsid w:val="00F90329"/>
    <w:rsid w:val="00FA4849"/>
    <w:rsid w:val="00FA671F"/>
    <w:rsid w:val="00FB0492"/>
    <w:rsid w:val="00FB1305"/>
    <w:rsid w:val="00FB2502"/>
    <w:rsid w:val="00FB5CAC"/>
    <w:rsid w:val="00FD513C"/>
    <w:rsid w:val="00FD7FCC"/>
    <w:rsid w:val="00FE105D"/>
    <w:rsid w:val="00FE36DC"/>
    <w:rsid w:val="00FE6112"/>
    <w:rsid w:val="00FE6D57"/>
    <w:rsid w:val="00FF3DB6"/>
    <w:rsid w:val="00FF555D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C826FF0"/>
  <w15:chartTrackingRefBased/>
  <w15:docId w15:val="{FD6DAAC7-436D-4288-AF7D-ACC81C3CA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82EF4"/>
    <w:pPr>
      <w:spacing w:after="160" w:line="259" w:lineRule="auto"/>
    </w:pPr>
    <w:rPr>
      <w:rFonts w:eastAsia="Times New Roman" w:cs="Calibri"/>
      <w:sz w:val="22"/>
      <w:szCs w:val="22"/>
      <w:lang w:val="uk-UA" w:eastAsia="en-US"/>
    </w:rPr>
  </w:style>
  <w:style w:type="paragraph" w:styleId="3">
    <w:name w:val="heading 3"/>
    <w:basedOn w:val="a"/>
    <w:next w:val="a"/>
    <w:link w:val="30"/>
    <w:qFormat/>
    <w:rsid w:val="00CE7D86"/>
    <w:pPr>
      <w:keepNext/>
      <w:keepLines/>
      <w:overflowPunct w:val="0"/>
      <w:autoSpaceDE w:val="0"/>
      <w:autoSpaceDN w:val="0"/>
      <w:adjustRightInd w:val="0"/>
      <w:spacing w:before="40" w:after="0" w:line="240" w:lineRule="auto"/>
      <w:textAlignment w:val="baseline"/>
      <w:outlineLvl w:val="2"/>
    </w:pPr>
    <w:rPr>
      <w:rFonts w:ascii="Calibri Light" w:eastAsia="Calibri" w:hAnsi="Calibri Light" w:cs="Calibri Light"/>
      <w:color w:val="1F4D7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CE7D86"/>
    <w:rPr>
      <w:rFonts w:ascii="Calibri Light" w:hAnsi="Calibri Light" w:cs="Calibri Light"/>
      <w:color w:val="1F4D78"/>
      <w:sz w:val="24"/>
      <w:szCs w:val="24"/>
      <w:lang w:val="uk-UA" w:eastAsia="ru-RU"/>
    </w:rPr>
  </w:style>
  <w:style w:type="character" w:styleId="a3">
    <w:name w:val="Hyperlink"/>
    <w:rsid w:val="006D070C"/>
    <w:rPr>
      <w:rFonts w:cs="Times New Roman"/>
      <w:color w:val="auto"/>
      <w:u w:val="single"/>
    </w:rPr>
  </w:style>
  <w:style w:type="table" w:styleId="a4">
    <w:name w:val="Table Grid"/>
    <w:basedOn w:val="a1"/>
    <w:rsid w:val="0074474E"/>
    <w:rPr>
      <w:rFonts w:eastAsia="Times New Roman" w:cs="Calibri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link w:val="a6"/>
    <w:uiPriority w:val="99"/>
    <w:rsid w:val="00265B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7">
    <w:basedOn w:val="a"/>
    <w:rsid w:val="00C762F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8">
    <w:name w:val="Body Text"/>
    <w:basedOn w:val="a"/>
    <w:link w:val="a9"/>
    <w:rsid w:val="00C92E3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Основний текст Знак"/>
    <w:link w:val="a8"/>
    <w:locked/>
    <w:rsid w:val="00C92E37"/>
    <w:rPr>
      <w:rFonts w:eastAsia="Calibri"/>
      <w:lang w:val="uk-UA" w:eastAsia="ru-RU" w:bidi="ar-SA"/>
    </w:rPr>
  </w:style>
  <w:style w:type="character" w:customStyle="1" w:styleId="FontStyle">
    <w:name w:val="Font Style"/>
    <w:rsid w:val="00C92E37"/>
    <w:rPr>
      <w:rFonts w:cs="Courier New"/>
      <w:color w:val="000000"/>
    </w:rPr>
  </w:style>
  <w:style w:type="character" w:customStyle="1" w:styleId="spelle">
    <w:name w:val="spelle"/>
    <w:rsid w:val="005E3047"/>
    <w:rPr>
      <w:rFonts w:cs="Times New Roman"/>
    </w:rPr>
  </w:style>
  <w:style w:type="character" w:customStyle="1" w:styleId="grame">
    <w:name w:val="grame"/>
    <w:rsid w:val="005E3047"/>
    <w:rPr>
      <w:rFonts w:cs="Times New Roman"/>
    </w:rPr>
  </w:style>
  <w:style w:type="paragraph" w:customStyle="1" w:styleId="1">
    <w:name w:val="Без інтервалів1"/>
    <w:rsid w:val="00036F43"/>
    <w:rPr>
      <w:rFonts w:eastAsia="Times New Roman"/>
      <w:sz w:val="22"/>
      <w:szCs w:val="22"/>
      <w:lang w:val="uk-UA" w:eastAsia="en-US"/>
    </w:rPr>
  </w:style>
  <w:style w:type="paragraph" w:styleId="aa">
    <w:name w:val="Balloon Text"/>
    <w:basedOn w:val="a"/>
    <w:link w:val="ab"/>
    <w:rsid w:val="00282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rsid w:val="002820F9"/>
    <w:rPr>
      <w:rFonts w:ascii="Segoe UI" w:eastAsia="Times New Roman" w:hAnsi="Segoe UI" w:cs="Segoe UI"/>
      <w:sz w:val="18"/>
      <w:szCs w:val="18"/>
      <w:lang w:eastAsia="en-US"/>
    </w:rPr>
  </w:style>
  <w:style w:type="paragraph" w:styleId="ac">
    <w:name w:val="footer"/>
    <w:basedOn w:val="a"/>
    <w:link w:val="ad"/>
    <w:uiPriority w:val="99"/>
    <w:rsid w:val="008D796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8D796C"/>
  </w:style>
  <w:style w:type="paragraph" w:customStyle="1" w:styleId="10">
    <w:name w:val="Знак Знак1 Знак Знак"/>
    <w:basedOn w:val="a"/>
    <w:rsid w:val="00067582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rsid w:val="006868C1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link w:val="af"/>
    <w:rsid w:val="006868C1"/>
    <w:rPr>
      <w:rFonts w:eastAsia="Times New Roman" w:cs="Calibri"/>
      <w:sz w:val="22"/>
      <w:szCs w:val="22"/>
      <w:lang w:val="uk-UA" w:eastAsia="en-US"/>
    </w:rPr>
  </w:style>
  <w:style w:type="character" w:customStyle="1" w:styleId="ad">
    <w:name w:val="Нижній колонтитул Знак"/>
    <w:link w:val="ac"/>
    <w:uiPriority w:val="99"/>
    <w:rsid w:val="006868C1"/>
    <w:rPr>
      <w:rFonts w:eastAsia="Times New Roman" w:cs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7C6F5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a6">
    <w:name w:val="Звичайний (веб) Знак"/>
    <w:link w:val="a5"/>
    <w:locked/>
    <w:rsid w:val="00797008"/>
    <w:rPr>
      <w:rFonts w:ascii="Times New Roman" w:hAnsi="Times New Roman"/>
      <w:sz w:val="24"/>
      <w:szCs w:val="24"/>
      <w:lang w:val="ru-RU" w:eastAsia="ru-RU"/>
    </w:rPr>
  </w:style>
  <w:style w:type="paragraph" w:customStyle="1" w:styleId="11">
    <w:name w:val="Абзац списку1"/>
    <w:basedOn w:val="a"/>
    <w:rsid w:val="00062323"/>
    <w:pPr>
      <w:spacing w:after="200" w:line="276" w:lineRule="auto"/>
      <w:ind w:left="720"/>
    </w:pPr>
    <w:rPr>
      <w:rFonts w:cs="Times New Roman"/>
    </w:rPr>
  </w:style>
  <w:style w:type="paragraph" w:customStyle="1" w:styleId="Normal1">
    <w:name w:val="Normal1"/>
    <w:rsid w:val="0082293D"/>
    <w:pPr>
      <w:spacing w:after="160" w:line="259" w:lineRule="auto"/>
    </w:pPr>
    <w:rPr>
      <w:rFonts w:cs="Calibri"/>
      <w:sz w:val="22"/>
      <w:szCs w:val="22"/>
      <w:lang w:val="uk-UA"/>
    </w:rPr>
  </w:style>
  <w:style w:type="paragraph" w:customStyle="1" w:styleId="af1">
    <w:name w:val="íåò"/>
    <w:basedOn w:val="a"/>
    <w:rsid w:val="008F60ED"/>
    <w:pPr>
      <w:overflowPunct w:val="0"/>
      <w:autoSpaceDE w:val="0"/>
      <w:autoSpaceDN w:val="0"/>
      <w:adjustRightInd w:val="0"/>
      <w:spacing w:after="0" w:line="360" w:lineRule="atLeast"/>
      <w:jc w:val="center"/>
      <w:textAlignment w:val="baseline"/>
    </w:pPr>
    <w:rPr>
      <w:rFonts w:ascii="Times New Roman CYR" w:hAnsi="Times New Roman CYR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20525C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20525C"/>
    <w:rPr>
      <w:rFonts w:eastAsia="Times New Roman" w:cs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B6DF8-4314-4F92-AAA7-E91ACBEB0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1574</Words>
  <Characters>12455</Characters>
  <Application>Microsoft Office Word</Application>
  <DocSecurity>0</DocSecurity>
  <Lines>103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АНАЛІЗ ВПЛИВУ</vt:lpstr>
      <vt:lpstr>АНАЛІЗ ВПЛИВУ</vt:lpstr>
    </vt:vector>
  </TitlesOfParts>
  <Company>UTG</Company>
  <LinksUpToDate>false</LinksUpToDate>
  <CharactersWithSpaces>14001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АНАЛІЗ ВПЛИВУ</dc:title>
  <dc:subject/>
  <dc:creator>Коваленко Екатерина Михайловна</dc:creator>
  <cp:keywords/>
  <dc:description/>
  <cp:lastModifiedBy>Інна Кужильна</cp:lastModifiedBy>
  <cp:revision>3</cp:revision>
  <cp:lastPrinted>2023-09-26T06:45:00Z</cp:lastPrinted>
  <dcterms:created xsi:type="dcterms:W3CDTF">2023-11-08T09:38:00Z</dcterms:created>
  <dcterms:modified xsi:type="dcterms:W3CDTF">2023-11-08T09:46:00Z</dcterms:modified>
</cp:coreProperties>
</file>