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E60D7" w14:textId="77777777" w:rsidR="00774251" w:rsidRDefault="0077425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175D673" w14:textId="2BFAEB3A" w:rsidR="008919BF" w:rsidRPr="005973EE" w:rsidRDefault="00CB79B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внесення змін до</w:t>
      </w:r>
      <w:r w:rsidR="007F1117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</w:t>
      </w:r>
      <w:r w:rsidR="007F1117" w:rsidRP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етодики </w:t>
      </w:r>
      <w:bookmarkStart w:id="0" w:name="_Hlk141781980"/>
      <w:r w:rsidR="007F1117" w:rsidRP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розрахунку тарифу на послуги постачальника універсальних послуг</w:t>
      </w:r>
      <w:bookmarkEnd w:id="0"/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20B0B20D" w14:textId="77777777" w:rsidR="00C33F3D" w:rsidRPr="00B124E7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8080"/>
      </w:tblGrid>
      <w:tr w:rsidR="00C33F3D" w:rsidRPr="006A7352" w14:paraId="2E5BAF09" w14:textId="77777777" w:rsidTr="001A50F5">
        <w:trPr>
          <w:trHeight w:val="706"/>
        </w:trPr>
        <w:tc>
          <w:tcPr>
            <w:tcW w:w="7797" w:type="dxa"/>
            <w:vAlign w:val="center"/>
          </w:tcPr>
          <w:p w14:paraId="35AB6003" w14:textId="77777777" w:rsidR="00C33F3D" w:rsidRPr="006A7352" w:rsidRDefault="00C33F3D" w:rsidP="00DE357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7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Чинна редакція Порядку</w:t>
            </w:r>
          </w:p>
        </w:tc>
        <w:tc>
          <w:tcPr>
            <w:tcW w:w="8080" w:type="dxa"/>
            <w:vAlign w:val="center"/>
          </w:tcPr>
          <w:p w14:paraId="0A8F166B" w14:textId="77777777" w:rsidR="00C33F3D" w:rsidRPr="006A7352" w:rsidRDefault="00C33F3D" w:rsidP="00DE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r w:rsidRPr="006A7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Редакція, що пропонується</w:t>
            </w:r>
          </w:p>
        </w:tc>
      </w:tr>
      <w:tr w:rsidR="002D4FEC" w:rsidRPr="006A7352" w14:paraId="2EFA5411" w14:textId="77777777" w:rsidTr="005A59A8">
        <w:trPr>
          <w:trHeight w:val="124"/>
        </w:trPr>
        <w:tc>
          <w:tcPr>
            <w:tcW w:w="7797" w:type="dxa"/>
          </w:tcPr>
          <w:p w14:paraId="31AF46F3" w14:textId="77777777" w:rsidR="00AD0A52" w:rsidRPr="00AD0A52" w:rsidRDefault="007F1117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bCs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AD0A52" w:rsidRPr="00AD0A52">
              <w:rPr>
                <w:bCs/>
                <w:color w:val="333333"/>
                <w:sz w:val="28"/>
                <w:szCs w:val="28"/>
                <w:shd w:val="clear" w:color="auto" w:fill="FFFFFF"/>
              </w:rPr>
              <w:t xml:space="preserve"> Механізм формування витрат</w:t>
            </w:r>
            <w:r w:rsidR="00AD0A52" w:rsidRPr="00AD0A52">
              <w:rPr>
                <w:sz w:val="28"/>
                <w:szCs w:val="28"/>
              </w:rPr>
              <w:t xml:space="preserve"> </w:t>
            </w:r>
          </w:p>
          <w:p w14:paraId="128C61DB" w14:textId="5E244D1D" w:rsid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</w:t>
            </w:r>
          </w:p>
          <w:p w14:paraId="2E92BE97" w14:textId="77777777" w:rsidR="00AD0A52" w:rsidRPr="0026571E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6571E">
              <w:rPr>
                <w:sz w:val="28"/>
                <w:szCs w:val="28"/>
              </w:rPr>
              <w:t>8.2. Витрати на забезпечення обігового капіталу визначаю</w:t>
            </w:r>
            <w:r>
              <w:rPr>
                <w:sz w:val="28"/>
                <w:szCs w:val="28"/>
              </w:rPr>
              <w:t>ться за формулою</w:t>
            </w:r>
          </w:p>
          <w:p w14:paraId="4EA66AE4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ОК=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уп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30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365</m:t>
                  </m:r>
                </m:den>
              </m:f>
            </m:oMath>
            <w:r w:rsidRPr="00AD0A52">
              <w:rPr>
                <w:sz w:val="28"/>
                <w:szCs w:val="28"/>
              </w:rPr>
              <w:t>, тис. грн,                            (5)</w:t>
            </w:r>
          </w:p>
          <w:p w14:paraId="615F83F8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sz w:val="28"/>
                <w:szCs w:val="28"/>
              </w:rPr>
              <w:t xml:space="preserve">                                              </w:t>
            </w:r>
          </w:p>
          <w:p w14:paraId="2856A473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sz w:val="28"/>
                <w:szCs w:val="28"/>
              </w:rPr>
              <w:t xml:space="preserve">де  r – </w:t>
            </w:r>
            <w:r w:rsidRPr="00684C2A">
              <w:rPr>
                <w:sz w:val="28"/>
                <w:szCs w:val="28"/>
              </w:rPr>
              <w:t>облікова ставка Національного банку України, %</w:t>
            </w:r>
            <w:r>
              <w:rPr>
                <w:sz w:val="28"/>
                <w:szCs w:val="28"/>
              </w:rPr>
              <w:t>;</w:t>
            </w:r>
          </w:p>
          <w:p w14:paraId="1EEFA413" w14:textId="0864F34A" w:rsidR="00AD0A52" w:rsidRPr="00AD0A52" w:rsidRDefault="00F52F66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уп</m:t>
                  </m:r>
                </m:sup>
              </m:sSubSup>
            </m:oMath>
            <w:r w:rsidR="00AD0A52" w:rsidRPr="00AD0A52">
              <w:rPr>
                <w:sz w:val="28"/>
                <w:szCs w:val="28"/>
              </w:rPr>
              <w:t>– прогнозована товарна продукція від ціни на універсальні послуги для побутових споживачів у прогнозному періоді, тис. грн (з урахуванням податку на додану вартість;</w:t>
            </w:r>
          </w:p>
          <w:p w14:paraId="6A762DA3" w14:textId="23D61A6D" w:rsid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sz w:val="28"/>
                <w:szCs w:val="28"/>
              </w:rPr>
              <w:t xml:space="preserve">30 – </w:t>
            </w:r>
            <w:r w:rsidRPr="0026571E">
              <w:rPr>
                <w:sz w:val="28"/>
                <w:szCs w:val="28"/>
              </w:rPr>
              <w:t>кількість днів касового розриву.</w:t>
            </w:r>
          </w:p>
          <w:p w14:paraId="67C09871" w14:textId="4735ECD2" w:rsidR="00AD0A52" w:rsidRPr="0026571E" w:rsidRDefault="00AD0A52" w:rsidP="00AD0A52">
            <w:pPr>
              <w:ind w:firstLine="709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…..</w:t>
            </w:r>
          </w:p>
          <w:p w14:paraId="476DFDAD" w14:textId="206D0CAF" w:rsidR="002D4FEC" w:rsidRPr="006A7352" w:rsidRDefault="002D4FEC" w:rsidP="002D4FE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8080" w:type="dxa"/>
          </w:tcPr>
          <w:p w14:paraId="696A7230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bCs/>
                <w:color w:val="333333"/>
                <w:sz w:val="28"/>
                <w:szCs w:val="28"/>
                <w:shd w:val="clear" w:color="auto" w:fill="FFFFFF"/>
              </w:rPr>
              <w:t>8 Механізм формування витрат</w:t>
            </w:r>
            <w:r w:rsidRPr="00AD0A52">
              <w:rPr>
                <w:sz w:val="28"/>
                <w:szCs w:val="28"/>
              </w:rPr>
              <w:t xml:space="preserve"> </w:t>
            </w:r>
          </w:p>
          <w:p w14:paraId="33AB84F0" w14:textId="77777777" w:rsid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</w:t>
            </w:r>
          </w:p>
          <w:p w14:paraId="5617BB6F" w14:textId="77777777" w:rsidR="00AD0A52" w:rsidRPr="0026571E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6571E">
              <w:rPr>
                <w:sz w:val="28"/>
                <w:szCs w:val="28"/>
              </w:rPr>
              <w:t>8.2. Витрати на забезпечення обігового капіталу визначаю</w:t>
            </w:r>
            <w:r>
              <w:rPr>
                <w:sz w:val="28"/>
                <w:szCs w:val="28"/>
              </w:rPr>
              <w:t>ться за формулою</w:t>
            </w:r>
          </w:p>
          <w:p w14:paraId="677E7FC4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ОК=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уп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30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365</m:t>
                  </m:r>
                </m:den>
              </m:f>
            </m:oMath>
            <w:r w:rsidRPr="00AD0A52">
              <w:rPr>
                <w:sz w:val="28"/>
                <w:szCs w:val="28"/>
              </w:rPr>
              <w:t>, тис. грн,                            (5)</w:t>
            </w:r>
          </w:p>
          <w:p w14:paraId="7AF8785D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sz w:val="28"/>
                <w:szCs w:val="28"/>
              </w:rPr>
              <w:t xml:space="preserve">                                              </w:t>
            </w:r>
          </w:p>
          <w:p w14:paraId="292E72C9" w14:textId="77777777" w:rsidR="00AD0A52" w:rsidRP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sz w:val="28"/>
                <w:szCs w:val="28"/>
              </w:rPr>
              <w:t xml:space="preserve">де  r – </w:t>
            </w:r>
            <w:r w:rsidRPr="00684C2A">
              <w:rPr>
                <w:sz w:val="28"/>
                <w:szCs w:val="28"/>
              </w:rPr>
              <w:t>облікова ставка Національного банку України, %</w:t>
            </w:r>
            <w:r>
              <w:rPr>
                <w:sz w:val="28"/>
                <w:szCs w:val="28"/>
              </w:rPr>
              <w:t>;</w:t>
            </w:r>
          </w:p>
          <w:p w14:paraId="75F64B2E" w14:textId="548C7CDB" w:rsidR="00AD0A52" w:rsidRPr="00AD0A52" w:rsidRDefault="00F52F66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уп</m:t>
                  </m:r>
                </m:sup>
              </m:sSubSup>
            </m:oMath>
            <w:r w:rsidR="00AD0A52" w:rsidRPr="00AD0A52">
              <w:rPr>
                <w:sz w:val="28"/>
                <w:szCs w:val="28"/>
              </w:rPr>
              <w:t>– прогнозована товарна продукція від ціни на універсальні послуги для побутових споживачів у прогнозному періоді,</w:t>
            </w:r>
            <w:r w:rsidR="00F42D25">
              <w:rPr>
                <w:sz w:val="28"/>
                <w:szCs w:val="28"/>
              </w:rPr>
              <w:t xml:space="preserve"> </w:t>
            </w:r>
            <w:bookmarkStart w:id="1" w:name="_Hlk149315557"/>
            <w:r w:rsidR="002A3289">
              <w:rPr>
                <w:b/>
                <w:sz w:val="28"/>
                <w:szCs w:val="28"/>
                <w:lang w:eastAsia="ru-RU"/>
              </w:rPr>
              <w:t>визначе</w:t>
            </w:r>
            <w:r w:rsidR="00F42D25" w:rsidRPr="00F42D25">
              <w:rPr>
                <w:b/>
                <w:sz w:val="28"/>
                <w:szCs w:val="28"/>
                <w:lang w:eastAsia="ru-RU"/>
              </w:rPr>
              <w:t>на з урахуванням прогнозованих обсягів постачання електричної енергії постачальником універсальних послуг побутовим споживачам</w:t>
            </w:r>
            <w:bookmarkEnd w:id="1"/>
            <w:r w:rsidR="00F42D25" w:rsidRPr="00F42D25">
              <w:rPr>
                <w:b/>
                <w:sz w:val="28"/>
                <w:szCs w:val="28"/>
                <w:lang w:eastAsia="ru-RU"/>
              </w:rPr>
              <w:t>,</w:t>
            </w:r>
            <w:r w:rsidR="00AD0A52" w:rsidRPr="00AD0A52">
              <w:rPr>
                <w:sz w:val="28"/>
                <w:szCs w:val="28"/>
              </w:rPr>
              <w:t xml:space="preserve"> тис. грн (з урахуванням податку на додану вартість;</w:t>
            </w:r>
          </w:p>
          <w:p w14:paraId="04AF0C77" w14:textId="77777777" w:rsidR="00AD0A5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D0A52">
              <w:rPr>
                <w:sz w:val="28"/>
                <w:szCs w:val="28"/>
              </w:rPr>
              <w:t xml:space="preserve">30 – </w:t>
            </w:r>
            <w:r w:rsidRPr="0026571E">
              <w:rPr>
                <w:sz w:val="28"/>
                <w:szCs w:val="28"/>
              </w:rPr>
              <w:t>кількість днів касового розриву.</w:t>
            </w:r>
          </w:p>
          <w:p w14:paraId="71AA57E1" w14:textId="1FCA4F9F" w:rsidR="002D4FEC" w:rsidRPr="0096340D" w:rsidRDefault="00AD0A52" w:rsidP="0096340D">
            <w:pPr>
              <w:ind w:firstLine="709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…..</w:t>
            </w:r>
          </w:p>
        </w:tc>
      </w:tr>
      <w:tr w:rsidR="00F42D25" w:rsidRPr="006A7352" w14:paraId="2A4B160B" w14:textId="77777777" w:rsidTr="00FB5560">
        <w:trPr>
          <w:trHeight w:val="4438"/>
        </w:trPr>
        <w:tc>
          <w:tcPr>
            <w:tcW w:w="7797" w:type="dxa"/>
          </w:tcPr>
          <w:p w14:paraId="3D9104FE" w14:textId="77777777" w:rsidR="00F42D25" w:rsidRDefault="00F42D25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333333"/>
                <w:sz w:val="28"/>
                <w:szCs w:val="28"/>
                <w:shd w:val="clear" w:color="auto" w:fill="FFFFFF"/>
              </w:rPr>
              <w:t>…….</w:t>
            </w:r>
          </w:p>
          <w:p w14:paraId="1E0DC103" w14:textId="77777777" w:rsidR="00F42D25" w:rsidRPr="00F42D2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t>9. Порядок розрахунку тарифів</w:t>
            </w:r>
          </w:p>
          <w:p w14:paraId="10B251BB" w14:textId="77777777" w:rsidR="00F42D2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14:paraId="23F62AE8" w14:textId="77777777" w:rsidR="00F42D2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 Т</w:t>
            </w:r>
            <w:r w:rsidRPr="004A65BB">
              <w:rPr>
                <w:sz w:val="28"/>
                <w:szCs w:val="28"/>
              </w:rPr>
              <w:t xml:space="preserve">ариф на </w:t>
            </w:r>
            <w:r>
              <w:rPr>
                <w:sz w:val="28"/>
                <w:szCs w:val="28"/>
              </w:rPr>
              <w:t>послуги постачальника універсальних послуг розраховується за формулою</w:t>
            </w:r>
          </w:p>
          <w:p w14:paraId="35D8D40F" w14:textId="1A762A1F" w:rsidR="00F42D25" w:rsidRPr="00FD4A63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2180" w:dyaOrig="900" w14:anchorId="4AA642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55pt;height:45.15pt" o:ole="">
                  <v:imagedata r:id="rId8" o:title=""/>
                </v:shape>
                <o:OLEObject Type="Embed" ProgID="Equation.3" ShapeID="_x0000_i1025" DrawAspect="Content" ObjectID="_1760521451" r:id="rId9"/>
              </w:object>
            </w:r>
            <w:r w:rsidRPr="00447FC6">
              <w:rPr>
                <w:sz w:val="28"/>
                <w:szCs w:val="28"/>
              </w:rPr>
              <w:t>, грн/</w:t>
            </w:r>
            <w:proofErr w:type="spellStart"/>
            <w:r w:rsidRPr="00447FC6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 w:rsidRPr="00447FC6">
              <w:rPr>
                <w:sz w:val="28"/>
                <w:szCs w:val="28"/>
              </w:rPr>
              <w:t>год</w:t>
            </w:r>
            <w:proofErr w:type="spellEnd"/>
            <w:r w:rsidRPr="00447FC6">
              <w:rPr>
                <w:sz w:val="28"/>
                <w:szCs w:val="28"/>
              </w:rPr>
              <w:t>,</w:t>
            </w:r>
            <w:r w:rsidRPr="001565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FD4A63">
              <w:rPr>
                <w:sz w:val="28"/>
                <w:szCs w:val="28"/>
              </w:rPr>
              <w:tab/>
              <w:t xml:space="preserve">   (</w:t>
            </w:r>
            <w:r w:rsidRPr="00F42D25">
              <w:rPr>
                <w:sz w:val="28"/>
                <w:szCs w:val="28"/>
              </w:rPr>
              <w:t>7</w:t>
            </w:r>
            <w:r w:rsidRPr="00FD4A63">
              <w:rPr>
                <w:sz w:val="28"/>
                <w:szCs w:val="28"/>
              </w:rPr>
              <w:t>)</w:t>
            </w:r>
          </w:p>
          <w:p w14:paraId="5A4C0BC1" w14:textId="77777777" w:rsidR="00F42D25" w:rsidRPr="004A65BB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</w:t>
            </w:r>
            <w:r w:rsidRPr="00F42D25">
              <w:rPr>
                <w:sz w:val="28"/>
                <w:szCs w:val="28"/>
              </w:rPr>
              <w:t xml:space="preserve"> </w:t>
            </w:r>
            <w:r w:rsidRPr="00F42D25">
              <w:rPr>
                <w:sz w:val="28"/>
                <w:szCs w:val="28"/>
              </w:rPr>
              <w:object w:dxaOrig="499" w:dyaOrig="480" w14:anchorId="67544C6D">
                <v:shape id="_x0000_i1026" type="#_x0000_t75" style="width:24.7pt;height:24.2pt" o:ole="">
                  <v:imagedata r:id="rId10" o:title=""/>
                </v:shape>
                <o:OLEObject Type="Embed" ProgID="Equation.3" ShapeID="_x0000_i1026" DrawAspect="Content" ObjectID="_1760521452" r:id="rId11"/>
              </w:object>
            </w:r>
            <w:r w:rsidRPr="004A65BB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т</w:t>
            </w:r>
            <w:r w:rsidRPr="004A65BB">
              <w:rPr>
                <w:sz w:val="28"/>
                <w:szCs w:val="28"/>
              </w:rPr>
              <w:t xml:space="preserve">ариф на </w:t>
            </w:r>
            <w:r>
              <w:rPr>
                <w:sz w:val="28"/>
                <w:szCs w:val="28"/>
              </w:rPr>
              <w:t xml:space="preserve">послуги постачальника універсальних послуг, </w:t>
            </w:r>
            <w:r w:rsidRPr="004A65BB">
              <w:rPr>
                <w:sz w:val="28"/>
                <w:szCs w:val="28"/>
              </w:rPr>
              <w:t>грн/</w:t>
            </w:r>
            <w:proofErr w:type="spellStart"/>
            <w:r w:rsidRPr="004A65BB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 w:rsidRPr="004A65BB">
              <w:rPr>
                <w:sz w:val="28"/>
                <w:szCs w:val="28"/>
              </w:rPr>
              <w:t>год</w:t>
            </w:r>
            <w:proofErr w:type="spellEnd"/>
            <w:r w:rsidRPr="004A65BB">
              <w:rPr>
                <w:sz w:val="28"/>
                <w:szCs w:val="28"/>
              </w:rPr>
              <w:t>;</w:t>
            </w:r>
          </w:p>
          <w:p w14:paraId="326BCFD1" w14:textId="77777777" w:rsidR="00F42D25" w:rsidRPr="004A65BB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820" w:dyaOrig="520" w14:anchorId="2804E1B1">
                <v:shape id="_x0000_i1027" type="#_x0000_t75" style="width:41.35pt;height:26.35pt" o:ole="">
                  <v:imagedata r:id="rId12" o:title=""/>
                </v:shape>
                <o:OLEObject Type="Embed" ProgID="Equation.3" ShapeID="_x0000_i1027" DrawAspect="Content" ObjectID="_1760521453" r:id="rId13"/>
              </w:object>
            </w:r>
            <w:r w:rsidRPr="004A65BB">
              <w:rPr>
                <w:sz w:val="28"/>
                <w:szCs w:val="28"/>
              </w:rPr>
              <w:t xml:space="preserve"> – </w:t>
            </w:r>
            <w:r w:rsidRPr="00F42D25">
              <w:rPr>
                <w:sz w:val="28"/>
                <w:szCs w:val="28"/>
              </w:rPr>
              <w:t>прогнозований необхідний дохід від провадження діяльності з надання послуг постачальника універсальних послуг</w:t>
            </w:r>
            <w:r w:rsidRPr="004A65BB">
              <w:rPr>
                <w:sz w:val="28"/>
                <w:szCs w:val="28"/>
              </w:rPr>
              <w:t>, грн;</w:t>
            </w:r>
          </w:p>
          <w:p w14:paraId="6D10638F" w14:textId="77777777" w:rsidR="00F42D25" w:rsidRPr="00487B4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580" w:dyaOrig="440" w14:anchorId="5E5312F3">
                <v:shape id="_x0000_i1028" type="#_x0000_t75" style="width:29pt;height:21.5pt" o:ole="">
                  <v:imagedata r:id="rId14" o:title=""/>
                </v:shape>
                <o:OLEObject Type="Embed" ProgID="Equation.3" ShapeID="_x0000_i1028" DrawAspect="Content" ObjectID="_1760521454" r:id="rId15"/>
              </w:object>
            </w:r>
            <w:r w:rsidRPr="004A65BB">
              <w:rPr>
                <w:sz w:val="28"/>
                <w:szCs w:val="28"/>
              </w:rPr>
              <w:t xml:space="preserve"> – </w:t>
            </w:r>
            <w:r w:rsidRPr="00F42D25">
              <w:rPr>
                <w:sz w:val="28"/>
                <w:szCs w:val="28"/>
              </w:rPr>
              <w:t xml:space="preserve">прогнозовані </w:t>
            </w:r>
            <w:r w:rsidRPr="004A65BB">
              <w:rPr>
                <w:sz w:val="28"/>
                <w:szCs w:val="28"/>
              </w:rPr>
              <w:t xml:space="preserve">обсяги </w:t>
            </w:r>
            <w:r>
              <w:rPr>
                <w:sz w:val="28"/>
                <w:szCs w:val="28"/>
              </w:rPr>
              <w:t xml:space="preserve">постачання електричної </w:t>
            </w:r>
            <w:r w:rsidRPr="004A65BB">
              <w:rPr>
                <w:sz w:val="28"/>
                <w:szCs w:val="28"/>
              </w:rPr>
              <w:t>енергії</w:t>
            </w:r>
            <w:r>
              <w:rPr>
                <w:sz w:val="28"/>
                <w:szCs w:val="28"/>
              </w:rPr>
              <w:t xml:space="preserve"> постачальником</w:t>
            </w:r>
            <w:r w:rsidRPr="00DE41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універсальних послуг побутовим споживачам</w:t>
            </w:r>
            <w:r w:rsidRPr="004A65BB">
              <w:rPr>
                <w:sz w:val="28"/>
                <w:szCs w:val="28"/>
              </w:rPr>
              <w:t xml:space="preserve">, </w:t>
            </w:r>
            <w:proofErr w:type="spellStart"/>
            <w:r w:rsidRPr="004A65BB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8C84E9A" w14:textId="77777777" w:rsidR="00F42D25" w:rsidRPr="00487B4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580" w:dyaOrig="440" w14:anchorId="340AD157">
                <v:shape id="_x0000_i1029" type="#_x0000_t75" style="width:29pt;height:21.5pt" o:ole="">
                  <v:imagedata r:id="rId16" o:title=""/>
                </v:shape>
                <o:OLEObject Type="Embed" ProgID="Equation.3" ShapeID="_x0000_i1029" DrawAspect="Content" ObjectID="_1760521455" r:id="rId17"/>
              </w:object>
            </w:r>
            <w:r w:rsidRPr="004A65BB">
              <w:rPr>
                <w:sz w:val="28"/>
                <w:szCs w:val="28"/>
              </w:rPr>
              <w:t xml:space="preserve"> – </w:t>
            </w:r>
            <w:r w:rsidRPr="00F42D25">
              <w:rPr>
                <w:sz w:val="28"/>
                <w:szCs w:val="28"/>
              </w:rPr>
              <w:t xml:space="preserve">прогнозовані </w:t>
            </w:r>
            <w:r w:rsidRPr="004A65BB">
              <w:rPr>
                <w:sz w:val="28"/>
                <w:szCs w:val="28"/>
              </w:rPr>
              <w:t xml:space="preserve">обсяги </w:t>
            </w:r>
            <w:r>
              <w:rPr>
                <w:sz w:val="28"/>
                <w:szCs w:val="28"/>
              </w:rPr>
              <w:t xml:space="preserve">постачання електричної </w:t>
            </w:r>
            <w:r w:rsidRPr="004A65BB">
              <w:rPr>
                <w:sz w:val="28"/>
                <w:szCs w:val="28"/>
              </w:rPr>
              <w:t>енергії</w:t>
            </w:r>
            <w:r>
              <w:rPr>
                <w:sz w:val="28"/>
                <w:szCs w:val="28"/>
              </w:rPr>
              <w:t xml:space="preserve"> постачальником</w:t>
            </w:r>
            <w:r w:rsidRPr="00DE41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універсальних послуг малим непобутовим</w:t>
            </w:r>
            <w:r w:rsidRPr="00AC0D0C">
              <w:rPr>
                <w:sz w:val="28"/>
                <w:szCs w:val="28"/>
              </w:rPr>
              <w:t xml:space="preserve"> споживач</w:t>
            </w:r>
            <w:r>
              <w:rPr>
                <w:sz w:val="28"/>
                <w:szCs w:val="28"/>
              </w:rPr>
              <w:t>ам</w:t>
            </w:r>
            <w:r w:rsidRPr="004A65BB">
              <w:rPr>
                <w:sz w:val="28"/>
                <w:szCs w:val="28"/>
              </w:rPr>
              <w:t xml:space="preserve">, </w:t>
            </w:r>
            <w:proofErr w:type="spellStart"/>
            <w:r w:rsidRPr="004A65BB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582D66F" w14:textId="290F4A68" w:rsidR="00F42D25" w:rsidRPr="00AD0A52" w:rsidRDefault="00F42D25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14:paraId="3AE62FA5" w14:textId="77777777" w:rsidR="00F42D2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…….</w:t>
            </w:r>
          </w:p>
          <w:p w14:paraId="2BBE9E04" w14:textId="77777777" w:rsidR="00F42D25" w:rsidRPr="00F42D2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t>9. Порядок розрахунку тарифів</w:t>
            </w:r>
          </w:p>
          <w:p w14:paraId="4AC0C775" w14:textId="77777777" w:rsidR="00F42D25" w:rsidRDefault="00F42D25" w:rsidP="0096340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60B0C2B2" w14:textId="77777777" w:rsidR="00F42D2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 Т</w:t>
            </w:r>
            <w:r w:rsidRPr="004A65BB">
              <w:rPr>
                <w:sz w:val="28"/>
                <w:szCs w:val="28"/>
              </w:rPr>
              <w:t xml:space="preserve">ариф на </w:t>
            </w:r>
            <w:r>
              <w:rPr>
                <w:sz w:val="28"/>
                <w:szCs w:val="28"/>
              </w:rPr>
              <w:t>послуги постачальника універсальних послуг розраховується за формулою</w:t>
            </w:r>
          </w:p>
          <w:p w14:paraId="782A15C8" w14:textId="77777777" w:rsidR="00F42D25" w:rsidRPr="00FD4A63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2180" w:dyaOrig="900" w14:anchorId="3B396CD6">
                <v:shape id="_x0000_i1030" type="#_x0000_t75" style="width:108.55pt;height:45.15pt" o:ole="">
                  <v:imagedata r:id="rId8" o:title=""/>
                </v:shape>
                <o:OLEObject Type="Embed" ProgID="Equation.3" ShapeID="_x0000_i1030" DrawAspect="Content" ObjectID="_1760521456" r:id="rId18"/>
              </w:object>
            </w:r>
            <w:r w:rsidRPr="00447FC6">
              <w:rPr>
                <w:sz w:val="28"/>
                <w:szCs w:val="28"/>
              </w:rPr>
              <w:t>, грн/</w:t>
            </w:r>
            <w:proofErr w:type="spellStart"/>
            <w:r w:rsidRPr="00447FC6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 w:rsidRPr="00447FC6">
              <w:rPr>
                <w:sz w:val="28"/>
                <w:szCs w:val="28"/>
              </w:rPr>
              <w:t>год</w:t>
            </w:r>
            <w:proofErr w:type="spellEnd"/>
            <w:r w:rsidRPr="00447FC6">
              <w:rPr>
                <w:sz w:val="28"/>
                <w:szCs w:val="28"/>
              </w:rPr>
              <w:t>,</w:t>
            </w:r>
            <w:r w:rsidRPr="001565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FD4A63">
              <w:rPr>
                <w:sz w:val="28"/>
                <w:szCs w:val="28"/>
              </w:rPr>
              <w:tab/>
              <w:t xml:space="preserve">   (</w:t>
            </w:r>
            <w:r w:rsidRPr="00F42D25">
              <w:rPr>
                <w:sz w:val="28"/>
                <w:szCs w:val="28"/>
              </w:rPr>
              <w:t>7</w:t>
            </w:r>
            <w:r w:rsidRPr="00FD4A63">
              <w:rPr>
                <w:sz w:val="28"/>
                <w:szCs w:val="28"/>
              </w:rPr>
              <w:t>)</w:t>
            </w:r>
          </w:p>
          <w:p w14:paraId="019281D0" w14:textId="77777777" w:rsidR="00F42D25" w:rsidRPr="004A65BB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</w:t>
            </w:r>
            <w:r w:rsidRPr="00F42D25">
              <w:rPr>
                <w:sz w:val="28"/>
                <w:szCs w:val="28"/>
              </w:rPr>
              <w:t xml:space="preserve"> </w:t>
            </w:r>
            <w:r w:rsidRPr="00F42D25">
              <w:rPr>
                <w:sz w:val="28"/>
                <w:szCs w:val="28"/>
              </w:rPr>
              <w:object w:dxaOrig="499" w:dyaOrig="480" w14:anchorId="2511111B">
                <v:shape id="_x0000_i1031" type="#_x0000_t75" style="width:24.7pt;height:24.2pt" o:ole="">
                  <v:imagedata r:id="rId10" o:title=""/>
                </v:shape>
                <o:OLEObject Type="Embed" ProgID="Equation.3" ShapeID="_x0000_i1031" DrawAspect="Content" ObjectID="_1760521457" r:id="rId19"/>
              </w:object>
            </w:r>
            <w:r w:rsidRPr="004A65BB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т</w:t>
            </w:r>
            <w:r w:rsidRPr="004A65BB">
              <w:rPr>
                <w:sz w:val="28"/>
                <w:szCs w:val="28"/>
              </w:rPr>
              <w:t xml:space="preserve">ариф на </w:t>
            </w:r>
            <w:r>
              <w:rPr>
                <w:sz w:val="28"/>
                <w:szCs w:val="28"/>
              </w:rPr>
              <w:t xml:space="preserve">послуги постачальника універсальних послуг, </w:t>
            </w:r>
            <w:r w:rsidRPr="004A65BB">
              <w:rPr>
                <w:sz w:val="28"/>
                <w:szCs w:val="28"/>
              </w:rPr>
              <w:t>грн/</w:t>
            </w:r>
            <w:proofErr w:type="spellStart"/>
            <w:r w:rsidRPr="004A65BB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 w:rsidRPr="004A65BB">
              <w:rPr>
                <w:sz w:val="28"/>
                <w:szCs w:val="28"/>
              </w:rPr>
              <w:t>год</w:t>
            </w:r>
            <w:proofErr w:type="spellEnd"/>
            <w:r w:rsidRPr="004A65BB">
              <w:rPr>
                <w:sz w:val="28"/>
                <w:szCs w:val="28"/>
              </w:rPr>
              <w:t>;</w:t>
            </w:r>
          </w:p>
          <w:p w14:paraId="6C8AA841" w14:textId="77777777" w:rsidR="00F42D25" w:rsidRPr="004A65BB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820" w:dyaOrig="520" w14:anchorId="1AC9F79A">
                <v:shape id="_x0000_i1032" type="#_x0000_t75" style="width:41.35pt;height:26.35pt" o:ole="">
                  <v:imagedata r:id="rId12" o:title=""/>
                </v:shape>
                <o:OLEObject Type="Embed" ProgID="Equation.3" ShapeID="_x0000_i1032" DrawAspect="Content" ObjectID="_1760521458" r:id="rId20"/>
              </w:object>
            </w:r>
            <w:r w:rsidRPr="004A65BB">
              <w:rPr>
                <w:sz w:val="28"/>
                <w:szCs w:val="28"/>
              </w:rPr>
              <w:t xml:space="preserve"> – </w:t>
            </w:r>
            <w:r w:rsidRPr="00F42D25">
              <w:rPr>
                <w:sz w:val="28"/>
                <w:szCs w:val="28"/>
              </w:rPr>
              <w:t>прогнозований необхідний дохід від провадження діяльності з надання послуг постачальника універсальних послуг</w:t>
            </w:r>
            <w:r w:rsidRPr="004A65BB">
              <w:rPr>
                <w:sz w:val="28"/>
                <w:szCs w:val="28"/>
              </w:rPr>
              <w:t>, грн;</w:t>
            </w:r>
          </w:p>
          <w:p w14:paraId="60DE38E6" w14:textId="77777777" w:rsidR="0096340D" w:rsidRDefault="0096340D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14:paraId="1E65BF73" w14:textId="0A677765" w:rsidR="00F42D25" w:rsidRPr="00001CB7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42D25">
              <w:rPr>
                <w:sz w:val="28"/>
                <w:szCs w:val="28"/>
              </w:rPr>
              <w:object w:dxaOrig="580" w:dyaOrig="440" w14:anchorId="512C8AAA">
                <v:shape id="_x0000_i1033" type="#_x0000_t75" style="width:29pt;height:21.5pt" o:ole="">
                  <v:imagedata r:id="rId14" o:title=""/>
                </v:shape>
                <o:OLEObject Type="Embed" ProgID="Equation.3" ShapeID="_x0000_i1033" DrawAspect="Content" ObjectID="_1760521459" r:id="rId21"/>
              </w:object>
            </w:r>
            <w:r w:rsidRPr="004A65BB">
              <w:rPr>
                <w:sz w:val="28"/>
                <w:szCs w:val="28"/>
              </w:rPr>
              <w:t xml:space="preserve"> – </w:t>
            </w:r>
            <w:r w:rsidRPr="00F42D25">
              <w:rPr>
                <w:sz w:val="28"/>
                <w:szCs w:val="28"/>
              </w:rPr>
              <w:t xml:space="preserve">прогнозовані </w:t>
            </w:r>
            <w:r w:rsidRPr="004A65BB">
              <w:rPr>
                <w:sz w:val="28"/>
                <w:szCs w:val="28"/>
              </w:rPr>
              <w:t xml:space="preserve">обсяги </w:t>
            </w:r>
            <w:r>
              <w:rPr>
                <w:sz w:val="28"/>
                <w:szCs w:val="28"/>
              </w:rPr>
              <w:t xml:space="preserve">постачання електричної </w:t>
            </w:r>
            <w:r w:rsidRPr="004A65BB">
              <w:rPr>
                <w:sz w:val="28"/>
                <w:szCs w:val="28"/>
              </w:rPr>
              <w:t>енергії</w:t>
            </w:r>
            <w:r>
              <w:rPr>
                <w:sz w:val="28"/>
                <w:szCs w:val="28"/>
              </w:rPr>
              <w:t xml:space="preserve"> постачальником</w:t>
            </w:r>
            <w:r w:rsidRPr="00DE41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універсальних послуг побутовим споживачам</w:t>
            </w:r>
            <w:r w:rsidR="00F760CB">
              <w:rPr>
                <w:sz w:val="28"/>
                <w:szCs w:val="28"/>
              </w:rPr>
              <w:t xml:space="preserve"> </w:t>
            </w:r>
            <w:bookmarkStart w:id="2" w:name="_Hlk149315591"/>
            <w:r w:rsidR="00F760CB" w:rsidRPr="00F760CB">
              <w:rPr>
                <w:b/>
                <w:sz w:val="28"/>
                <w:szCs w:val="28"/>
                <w:lang w:eastAsia="ru-RU"/>
              </w:rPr>
              <w:t xml:space="preserve">(крім </w:t>
            </w:r>
            <w:bookmarkStart w:id="3" w:name="_Hlk149312184"/>
            <w:r w:rsidR="00F760CB" w:rsidRPr="00F760CB">
              <w:rPr>
                <w:b/>
                <w:sz w:val="28"/>
                <w:szCs w:val="28"/>
              </w:rPr>
              <w:t>постачальників універсальних послуг</w:t>
            </w:r>
            <w:r w:rsidR="00F760CB" w:rsidRPr="00F760CB">
              <w:rPr>
                <w:b/>
                <w:sz w:val="28"/>
                <w:szCs w:val="28"/>
                <w:lang w:eastAsia="ru-RU"/>
              </w:rPr>
              <w:t xml:space="preserve">, </w:t>
            </w:r>
            <w:bookmarkEnd w:id="3"/>
            <w:r w:rsidR="00F760CB" w:rsidRPr="00F760CB">
              <w:rPr>
                <w:b/>
                <w:sz w:val="28"/>
                <w:szCs w:val="28"/>
                <w:lang w:eastAsia="ru-RU"/>
              </w:rPr>
              <w:t xml:space="preserve">перелік яких наведено </w:t>
            </w:r>
            <w:r w:rsidR="002A3289">
              <w:rPr>
                <w:b/>
                <w:sz w:val="28"/>
                <w:szCs w:val="28"/>
                <w:lang w:eastAsia="ru-RU"/>
              </w:rPr>
              <w:t>в</w:t>
            </w:r>
            <w:r w:rsidR="00F760CB" w:rsidRPr="00F760CB">
              <w:rPr>
                <w:b/>
                <w:sz w:val="28"/>
                <w:szCs w:val="28"/>
                <w:lang w:eastAsia="ru-RU"/>
              </w:rPr>
              <w:t xml:space="preserve"> додатку 5 до цієї </w:t>
            </w:r>
            <w:r w:rsidR="00F760CB" w:rsidRPr="00001CB7">
              <w:rPr>
                <w:b/>
                <w:sz w:val="28"/>
                <w:szCs w:val="28"/>
                <w:lang w:eastAsia="ru-RU"/>
              </w:rPr>
              <w:t>Методики,</w:t>
            </w:r>
            <w:r w:rsidR="0096340D" w:rsidRPr="00001CB7">
              <w:rPr>
                <w:b/>
                <w:sz w:val="28"/>
                <w:szCs w:val="28"/>
                <w:lang w:eastAsia="ru-RU"/>
              </w:rPr>
              <w:t xml:space="preserve"> частина територій здійснення діяльності яких</w:t>
            </w:r>
            <w:r w:rsidR="0066501B" w:rsidRPr="00001CB7">
              <w:rPr>
                <w:sz w:val="28"/>
                <w:szCs w:val="28"/>
                <w:lang w:eastAsia="ru-RU"/>
              </w:rPr>
              <w:t xml:space="preserve"> </w:t>
            </w:r>
            <w:r w:rsidR="0096340D" w:rsidRPr="000942BB">
              <w:rPr>
                <w:b/>
                <w:sz w:val="28"/>
                <w:szCs w:val="28"/>
                <w:lang w:eastAsia="ru-RU"/>
              </w:rPr>
              <w:t xml:space="preserve">знаходиться на територіях, на яких ведуться (велися) бойові дії або тимчасово окупованих Російською Федерацією, </w:t>
            </w:r>
            <w:r w:rsidR="0066501B" w:rsidRPr="000942BB">
              <w:rPr>
                <w:b/>
                <w:sz w:val="28"/>
                <w:szCs w:val="28"/>
                <w:lang w:eastAsia="ru-RU"/>
              </w:rPr>
              <w:t>з</w:t>
            </w:r>
            <w:r w:rsidR="0066501B" w:rsidRPr="00001CB7">
              <w:rPr>
                <w:b/>
                <w:sz w:val="28"/>
                <w:szCs w:val="28"/>
                <w:lang w:eastAsia="ru-RU"/>
              </w:rPr>
              <w:t xml:space="preserve"> урахуванням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№ 309, зареєстрованим в Міністерстві юстиції України 23 грудня 2022 року за №</w:t>
            </w:r>
            <w:r w:rsidR="00001CB7" w:rsidRPr="00001CB7">
              <w:rPr>
                <w:b/>
                <w:sz w:val="28"/>
                <w:szCs w:val="28"/>
                <w:lang w:eastAsia="ru-RU"/>
              </w:rPr>
              <w:t> </w:t>
            </w:r>
            <w:r w:rsidR="0066501B" w:rsidRPr="00001CB7">
              <w:rPr>
                <w:b/>
                <w:sz w:val="28"/>
                <w:szCs w:val="28"/>
                <w:lang w:eastAsia="ru-RU"/>
              </w:rPr>
              <w:t xml:space="preserve">1668/39004 (далі – Перелік </w:t>
            </w:r>
            <w:r w:rsidR="0096340D" w:rsidRPr="00001CB7">
              <w:rPr>
                <w:b/>
                <w:sz w:val="28"/>
                <w:szCs w:val="28"/>
                <w:lang w:eastAsia="ru-RU"/>
              </w:rPr>
              <w:t xml:space="preserve">територій </w:t>
            </w:r>
            <w:r w:rsidR="0066501B" w:rsidRPr="00001CB7">
              <w:rPr>
                <w:b/>
                <w:sz w:val="28"/>
                <w:szCs w:val="28"/>
                <w:lang w:eastAsia="ru-RU"/>
              </w:rPr>
              <w:t>до наказу № 309),</w:t>
            </w:r>
            <w:r w:rsidR="00F760CB" w:rsidRPr="00001CB7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2A3289" w:rsidRPr="00001CB7">
              <w:rPr>
                <w:b/>
                <w:sz w:val="28"/>
                <w:szCs w:val="28"/>
                <w:lang w:eastAsia="ru-RU"/>
              </w:rPr>
              <w:t xml:space="preserve">для яких </w:t>
            </w:r>
            <w:r w:rsidR="002A3289" w:rsidRPr="00001CB7">
              <w:rPr>
                <w:sz w:val="28"/>
                <w:szCs w:val="28"/>
              </w:rPr>
              <w:object w:dxaOrig="580" w:dyaOrig="440" w14:anchorId="00A98C29">
                <v:shape id="_x0000_i1034" type="#_x0000_t75" style="width:29pt;height:21.5pt" o:ole="">
                  <v:imagedata r:id="rId14" o:title=""/>
                </v:shape>
                <o:OLEObject Type="Embed" ProgID="Equation.3" ShapeID="_x0000_i1034" DrawAspect="Content" ObjectID="_1760521460" r:id="rId22"/>
              </w:object>
            </w:r>
            <w:r w:rsidR="00001CB7" w:rsidRPr="00001CB7">
              <w:rPr>
                <w:sz w:val="28"/>
                <w:szCs w:val="28"/>
              </w:rPr>
              <w:t xml:space="preserve"> </w:t>
            </w:r>
            <w:r w:rsidR="00001CB7" w:rsidRPr="00FB5560">
              <w:rPr>
                <w:b/>
                <w:sz w:val="28"/>
                <w:szCs w:val="28"/>
              </w:rPr>
              <w:t>на 2024 рік</w:t>
            </w:r>
            <w:r w:rsidR="00001CB7" w:rsidRPr="00001CB7">
              <w:rPr>
                <w:sz w:val="28"/>
                <w:szCs w:val="28"/>
              </w:rPr>
              <w:t xml:space="preserve"> </w:t>
            </w:r>
            <w:r w:rsidR="00F760CB" w:rsidRPr="00001CB7">
              <w:rPr>
                <w:b/>
                <w:sz w:val="28"/>
                <w:szCs w:val="28"/>
                <w:lang w:eastAsia="ru-RU"/>
              </w:rPr>
              <w:t xml:space="preserve">фіксується на рівні, врахованому </w:t>
            </w:r>
            <w:r w:rsidR="002A3289" w:rsidRPr="00001CB7">
              <w:rPr>
                <w:b/>
                <w:sz w:val="28"/>
                <w:szCs w:val="28"/>
                <w:lang w:eastAsia="ru-RU"/>
              </w:rPr>
              <w:t>в</w:t>
            </w:r>
            <w:r w:rsidR="00F760CB" w:rsidRPr="00001CB7">
              <w:rPr>
                <w:b/>
                <w:sz w:val="28"/>
                <w:szCs w:val="28"/>
                <w:lang w:eastAsia="ru-RU"/>
              </w:rPr>
              <w:t xml:space="preserve"> діючих тарифах)</w:t>
            </w:r>
            <w:r w:rsidRPr="00001CB7">
              <w:rPr>
                <w:sz w:val="28"/>
                <w:szCs w:val="28"/>
              </w:rPr>
              <w:t xml:space="preserve">, </w:t>
            </w:r>
            <w:bookmarkEnd w:id="2"/>
            <w:proofErr w:type="spellStart"/>
            <w:r w:rsidRPr="00001CB7">
              <w:rPr>
                <w:sz w:val="28"/>
                <w:szCs w:val="28"/>
              </w:rPr>
              <w:t>МВт∙год</w:t>
            </w:r>
            <w:proofErr w:type="spellEnd"/>
            <w:r w:rsidRPr="00001CB7">
              <w:rPr>
                <w:sz w:val="28"/>
                <w:szCs w:val="28"/>
              </w:rPr>
              <w:t>;</w:t>
            </w:r>
          </w:p>
          <w:p w14:paraId="406E6B21" w14:textId="6CE611F9" w:rsidR="00F42D25" w:rsidRPr="00487B45" w:rsidRDefault="00F42D25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01CB7">
              <w:rPr>
                <w:sz w:val="28"/>
                <w:szCs w:val="28"/>
              </w:rPr>
              <w:object w:dxaOrig="580" w:dyaOrig="440" w14:anchorId="34D06CAE">
                <v:shape id="_x0000_i1035" type="#_x0000_t75" style="width:29pt;height:21.5pt" o:ole="">
                  <v:imagedata r:id="rId16" o:title=""/>
                </v:shape>
                <o:OLEObject Type="Embed" ProgID="Equation.3" ShapeID="_x0000_i1035" DrawAspect="Content" ObjectID="_1760521461" r:id="rId23"/>
              </w:object>
            </w:r>
            <w:r w:rsidRPr="00001CB7">
              <w:rPr>
                <w:sz w:val="28"/>
                <w:szCs w:val="28"/>
              </w:rPr>
              <w:t xml:space="preserve"> – прогнозовані обсяги постачання електричної енергії </w:t>
            </w:r>
            <w:bookmarkStart w:id="4" w:name="_Hlk149315758"/>
            <w:r w:rsidRPr="00001CB7">
              <w:rPr>
                <w:sz w:val="28"/>
                <w:szCs w:val="28"/>
              </w:rPr>
              <w:t xml:space="preserve">постачальником універсальних послуг </w:t>
            </w:r>
            <w:bookmarkEnd w:id="4"/>
            <w:r w:rsidRPr="00001CB7">
              <w:rPr>
                <w:sz w:val="28"/>
                <w:szCs w:val="28"/>
              </w:rPr>
              <w:t>малим непобутовим споживачам</w:t>
            </w:r>
            <w:r w:rsidR="00F760CB" w:rsidRPr="00001CB7">
              <w:rPr>
                <w:sz w:val="28"/>
                <w:szCs w:val="28"/>
              </w:rPr>
              <w:t xml:space="preserve"> </w:t>
            </w:r>
            <w:bookmarkStart w:id="5" w:name="_Hlk149575267"/>
            <w:r w:rsidR="00F760CB" w:rsidRPr="00001CB7">
              <w:rPr>
                <w:b/>
                <w:sz w:val="28"/>
                <w:szCs w:val="28"/>
                <w:lang w:eastAsia="ru-RU"/>
              </w:rPr>
              <w:t>(</w:t>
            </w:r>
            <w:bookmarkStart w:id="6" w:name="_Hlk149315615"/>
            <w:r w:rsidR="00F760CB" w:rsidRPr="00001CB7">
              <w:rPr>
                <w:b/>
                <w:sz w:val="28"/>
                <w:szCs w:val="28"/>
                <w:lang w:eastAsia="ru-RU"/>
              </w:rPr>
              <w:t xml:space="preserve">крім </w:t>
            </w:r>
            <w:r w:rsidR="00F760CB" w:rsidRPr="00001CB7">
              <w:rPr>
                <w:b/>
                <w:sz w:val="28"/>
                <w:szCs w:val="28"/>
              </w:rPr>
              <w:t>постачальників універсальних послуг</w:t>
            </w:r>
            <w:r w:rsidR="00F760CB" w:rsidRPr="00001CB7">
              <w:rPr>
                <w:b/>
                <w:sz w:val="28"/>
                <w:szCs w:val="28"/>
                <w:lang w:eastAsia="ru-RU"/>
              </w:rPr>
              <w:t xml:space="preserve">, перелік яких наведено </w:t>
            </w:r>
            <w:r w:rsidR="002A3289" w:rsidRPr="00001CB7">
              <w:rPr>
                <w:b/>
                <w:sz w:val="28"/>
                <w:szCs w:val="28"/>
                <w:lang w:eastAsia="ru-RU"/>
              </w:rPr>
              <w:t>в</w:t>
            </w:r>
            <w:r w:rsidR="00F760CB" w:rsidRPr="00001CB7">
              <w:rPr>
                <w:b/>
                <w:sz w:val="28"/>
                <w:szCs w:val="28"/>
                <w:lang w:eastAsia="ru-RU"/>
              </w:rPr>
              <w:t xml:space="preserve"> додатку 5 до цієї Методики,</w:t>
            </w:r>
            <w:r w:rsidR="0096340D" w:rsidRPr="00001CB7">
              <w:rPr>
                <w:b/>
                <w:sz w:val="28"/>
                <w:szCs w:val="28"/>
                <w:lang w:eastAsia="ru-RU"/>
              </w:rPr>
              <w:t xml:space="preserve"> частина територій здійснення діяльності яких</w:t>
            </w:r>
            <w:r w:rsidR="0096340D" w:rsidRPr="00001CB7">
              <w:rPr>
                <w:sz w:val="28"/>
                <w:szCs w:val="28"/>
                <w:lang w:eastAsia="ru-RU"/>
              </w:rPr>
              <w:t xml:space="preserve"> </w:t>
            </w:r>
            <w:r w:rsidR="0096340D" w:rsidRPr="000942BB">
              <w:rPr>
                <w:b/>
                <w:sz w:val="28"/>
                <w:szCs w:val="28"/>
                <w:lang w:eastAsia="ru-RU"/>
              </w:rPr>
              <w:t>знаходиться на територіях, на яких ведуться (велися) бойові дії або тимчасово окупованих Російською Федерацією,</w:t>
            </w:r>
            <w:r w:rsidR="002A3289" w:rsidRPr="000942BB">
              <w:rPr>
                <w:b/>
                <w:sz w:val="28"/>
                <w:szCs w:val="28"/>
              </w:rPr>
              <w:t xml:space="preserve"> </w:t>
            </w:r>
            <w:bookmarkStart w:id="7" w:name="_Hlk149571764"/>
            <w:r w:rsidR="009E2D0B" w:rsidRPr="00001CB7">
              <w:rPr>
                <w:b/>
                <w:sz w:val="28"/>
                <w:szCs w:val="28"/>
                <w:lang w:eastAsia="ru-RU"/>
              </w:rPr>
              <w:t>з урахуванням Переліку</w:t>
            </w:r>
            <w:r w:rsidR="0096340D" w:rsidRPr="00001CB7">
              <w:rPr>
                <w:b/>
                <w:sz w:val="28"/>
                <w:szCs w:val="28"/>
                <w:lang w:eastAsia="ru-RU"/>
              </w:rPr>
              <w:t xml:space="preserve"> територій</w:t>
            </w:r>
            <w:r w:rsidR="009E2D0B" w:rsidRPr="00001CB7">
              <w:rPr>
                <w:b/>
                <w:sz w:val="28"/>
                <w:szCs w:val="28"/>
                <w:lang w:eastAsia="ru-RU"/>
              </w:rPr>
              <w:t xml:space="preserve"> до наказу № 309</w:t>
            </w:r>
            <w:bookmarkEnd w:id="7"/>
            <w:r w:rsidR="009E2D0B" w:rsidRPr="00001CB7">
              <w:rPr>
                <w:b/>
                <w:sz w:val="28"/>
                <w:szCs w:val="28"/>
                <w:lang w:eastAsia="ru-RU"/>
              </w:rPr>
              <w:t xml:space="preserve">, </w:t>
            </w:r>
            <w:r w:rsidR="002A3289" w:rsidRPr="00001CB7">
              <w:rPr>
                <w:b/>
                <w:sz w:val="28"/>
                <w:szCs w:val="28"/>
              </w:rPr>
              <w:t xml:space="preserve">для яких </w:t>
            </w:r>
            <w:r w:rsidR="002A3289" w:rsidRPr="00001CB7">
              <w:rPr>
                <w:b/>
                <w:sz w:val="28"/>
                <w:szCs w:val="28"/>
              </w:rPr>
              <w:object w:dxaOrig="580" w:dyaOrig="440" w14:anchorId="6BCF45A3">
                <v:shape id="_x0000_i1036" type="#_x0000_t75" style="width:29pt;height:21.5pt" o:ole="">
                  <v:imagedata r:id="rId16" o:title=""/>
                </v:shape>
                <o:OLEObject Type="Embed" ProgID="Equation.3" ShapeID="_x0000_i1036" DrawAspect="Content" ObjectID="_1760521462" r:id="rId24"/>
              </w:object>
            </w:r>
            <w:r w:rsidR="00001CB7">
              <w:rPr>
                <w:b/>
                <w:sz w:val="28"/>
                <w:szCs w:val="28"/>
              </w:rPr>
              <w:t xml:space="preserve"> </w:t>
            </w:r>
            <w:r w:rsidR="00001CB7" w:rsidRPr="00001CB7">
              <w:rPr>
                <w:b/>
                <w:sz w:val="28"/>
                <w:szCs w:val="28"/>
              </w:rPr>
              <w:t>на 2024 рік</w:t>
            </w:r>
            <w:r w:rsidR="00F760CB" w:rsidRPr="002A3289">
              <w:rPr>
                <w:b/>
                <w:sz w:val="28"/>
                <w:szCs w:val="28"/>
                <w:lang w:eastAsia="ru-RU"/>
              </w:rPr>
              <w:t xml:space="preserve"> фіксується на рівні, врахованому </w:t>
            </w:r>
            <w:r w:rsidR="002A3289" w:rsidRPr="002A3289">
              <w:rPr>
                <w:b/>
                <w:sz w:val="28"/>
                <w:szCs w:val="28"/>
                <w:lang w:eastAsia="ru-RU"/>
              </w:rPr>
              <w:t>в</w:t>
            </w:r>
            <w:r w:rsidR="00F760CB" w:rsidRPr="002A3289">
              <w:rPr>
                <w:b/>
                <w:sz w:val="28"/>
                <w:szCs w:val="28"/>
                <w:lang w:eastAsia="ru-RU"/>
              </w:rPr>
              <w:t xml:space="preserve"> діючих тар</w:t>
            </w:r>
            <w:r w:rsidR="00F760CB" w:rsidRPr="00F760CB">
              <w:rPr>
                <w:b/>
                <w:sz w:val="28"/>
                <w:szCs w:val="28"/>
                <w:lang w:eastAsia="ru-RU"/>
              </w:rPr>
              <w:t>ифах</w:t>
            </w:r>
            <w:bookmarkEnd w:id="5"/>
            <w:bookmarkEnd w:id="6"/>
            <w:r w:rsidR="00F760CB" w:rsidRPr="00F760CB">
              <w:rPr>
                <w:b/>
                <w:sz w:val="28"/>
                <w:szCs w:val="28"/>
                <w:lang w:eastAsia="ru-RU"/>
              </w:rPr>
              <w:t>)</w:t>
            </w:r>
            <w:r w:rsidRPr="004A65BB">
              <w:rPr>
                <w:sz w:val="28"/>
                <w:szCs w:val="28"/>
              </w:rPr>
              <w:t xml:space="preserve">, </w:t>
            </w:r>
            <w:proofErr w:type="spellStart"/>
            <w:r w:rsidRPr="004A65BB">
              <w:rPr>
                <w:sz w:val="28"/>
                <w:szCs w:val="28"/>
              </w:rPr>
              <w:t>МВт</w:t>
            </w:r>
            <w:r w:rsidRPr="00F42D25">
              <w:rPr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769360B" w14:textId="77777777" w:rsidR="00F42D25" w:rsidRPr="00AD0A52" w:rsidRDefault="00F42D25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2136B4" w:rsidRPr="006A7352" w14:paraId="586B4440" w14:textId="77777777" w:rsidTr="005A59A8">
        <w:trPr>
          <w:trHeight w:val="124"/>
        </w:trPr>
        <w:tc>
          <w:tcPr>
            <w:tcW w:w="7797" w:type="dxa"/>
          </w:tcPr>
          <w:p w14:paraId="20EDEF15" w14:textId="77777777" w:rsidR="002136B4" w:rsidRDefault="002136B4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14:paraId="1F915661" w14:textId="77777777" w:rsidR="002136B4" w:rsidRDefault="002136B4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14:paraId="10333E36" w14:textId="62F9ADE7" w:rsidR="002136B4" w:rsidRDefault="002136B4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14:paraId="208D2B43" w14:textId="77777777" w:rsidR="002136B4" w:rsidRPr="00881404" w:rsidRDefault="002136B4" w:rsidP="002136B4">
            <w:pPr>
              <w:pStyle w:val="a8"/>
              <w:spacing w:before="0" w:beforeAutospacing="0" w:after="0" w:afterAutospacing="0"/>
              <w:ind w:left="3715"/>
              <w:jc w:val="both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81404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Додаток 5</w:t>
            </w:r>
          </w:p>
          <w:p w14:paraId="2A3EBC24" w14:textId="77777777" w:rsidR="002136B4" w:rsidRPr="00881404" w:rsidRDefault="002136B4" w:rsidP="002136B4">
            <w:pPr>
              <w:pStyle w:val="a8"/>
              <w:spacing w:before="0" w:beforeAutospacing="0" w:after="0" w:afterAutospacing="0"/>
              <w:ind w:left="3715"/>
              <w:jc w:val="both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81404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до Методики розрахунку тарифу на послуги постачальника універсальних послуг</w:t>
            </w:r>
          </w:p>
          <w:p w14:paraId="55AE171F" w14:textId="77777777" w:rsidR="00001CB7" w:rsidRDefault="00001CB7" w:rsidP="009E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bookmarkStart w:id="8" w:name="_Hlk149315733"/>
          </w:p>
          <w:p w14:paraId="5DD1BC7D" w14:textId="77777777" w:rsidR="008456C4" w:rsidRDefault="008456C4" w:rsidP="0084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F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ПЕРЕЛІК </w:t>
            </w:r>
          </w:p>
          <w:p w14:paraId="5238E824" w14:textId="77777777" w:rsidR="008456C4" w:rsidRDefault="008456C4" w:rsidP="0084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F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постачальників універсальних послуг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, частина територій здійснення діяльності яких знаходяться на </w:t>
            </w:r>
            <w:r w:rsidRPr="00BD19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територіях, на яких ведуться (велися) бойові дії або тимчасово окупованих Російською Федерацією, з урахуванням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№ 309, зареєстрованим в Міністерстві юстиції України 23 грудня 2022 року за № 1668/39004</w:t>
            </w:r>
          </w:p>
          <w:p w14:paraId="4BC98B42" w14:textId="77777777" w:rsidR="00CB343D" w:rsidRDefault="00CB343D" w:rsidP="00CB343D">
            <w:pPr>
              <w:spacing w:after="0" w:line="240" w:lineRule="auto"/>
              <w:jc w:val="center"/>
              <w:rPr>
                <w:i/>
                <w:sz w:val="28"/>
                <w:szCs w:val="28"/>
              </w:rPr>
            </w:pPr>
            <w:bookmarkStart w:id="9" w:name="_GoBack"/>
            <w:bookmarkEnd w:id="9"/>
          </w:p>
          <w:p w14:paraId="0DF03B9F" w14:textId="77777777" w:rsidR="00CB343D" w:rsidRDefault="00CB343D" w:rsidP="00CB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EF0">
              <w:rPr>
                <w:rFonts w:ascii="Times New Roman" w:hAnsi="Times New Roman" w:cs="Times New Roman"/>
                <w:sz w:val="28"/>
                <w:szCs w:val="28"/>
              </w:rPr>
              <w:t>ТОВ «ДОНЕЦЬКІ ЕНЕРГЕТИЧНІ ПОСЛУГИ»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2BF1AA" w14:textId="77777777" w:rsidR="00CB343D" w:rsidRDefault="00CB343D" w:rsidP="00CB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EF0">
              <w:rPr>
                <w:rFonts w:ascii="Times New Roman" w:hAnsi="Times New Roman" w:cs="Times New Roman"/>
                <w:sz w:val="28"/>
                <w:szCs w:val="28"/>
              </w:rPr>
              <w:t>ТОВ «ЗАПОРІЖЖЯЕЛЕКТРОПОСТАЧАННЯ»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83E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E2FBB9" w14:textId="77777777" w:rsidR="00CB343D" w:rsidRDefault="00CB343D" w:rsidP="00CB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EF0">
              <w:rPr>
                <w:rFonts w:ascii="Times New Roman" w:hAnsi="Times New Roman" w:cs="Times New Roman"/>
                <w:sz w:val="28"/>
                <w:szCs w:val="28"/>
              </w:rPr>
              <w:t>ТОВ «ЕНЕРА СХІД»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DFB071" w14:textId="77777777" w:rsidR="00CB343D" w:rsidRPr="00183EF0" w:rsidRDefault="00CB343D" w:rsidP="00CB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83EF0">
              <w:rPr>
                <w:rFonts w:ascii="Times New Roman" w:hAnsi="Times New Roman" w:cs="Times New Roman"/>
                <w:sz w:val="28"/>
                <w:szCs w:val="28"/>
              </w:rPr>
              <w:t>ТОВ «ХЕРСОНСЬКА ОБЛАСНА ЕНЕРГОПОСТАЧАЛЬНА КОМПАНІЯ»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449D1B" w14:textId="1E239D9B" w:rsidR="00881404" w:rsidRPr="00881404" w:rsidRDefault="00881404" w:rsidP="0088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bookmarkEnd w:id="8"/>
          <w:p w14:paraId="18E65C2F" w14:textId="58323C6A" w:rsidR="002136B4" w:rsidRDefault="002136B4" w:rsidP="00F42D25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14:paraId="5477D76F" w14:textId="77777777" w:rsidR="00E64C6A" w:rsidRPr="008919BF" w:rsidRDefault="00E64C6A" w:rsidP="00911246">
      <w:pPr>
        <w:spacing w:after="0" w:line="240" w:lineRule="auto"/>
        <w:rPr>
          <w:rFonts w:ascii="Times New Roman" w:hAnsi="Times New Roman" w:cs="Times New Roman"/>
          <w:i/>
        </w:rPr>
      </w:pPr>
    </w:p>
    <w:sectPr w:rsidR="00E64C6A" w:rsidRPr="008919BF" w:rsidSect="00FB5560">
      <w:headerReference w:type="default" r:id="rId25"/>
      <w:pgSz w:w="16838" w:h="11906" w:orient="landscape"/>
      <w:pgMar w:top="0" w:right="851" w:bottom="56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44097" w14:textId="77777777" w:rsidR="00F52F66" w:rsidRDefault="00F52F66" w:rsidP="00DD454E">
      <w:pPr>
        <w:spacing w:after="0" w:line="240" w:lineRule="auto"/>
      </w:pPr>
      <w:r>
        <w:separator/>
      </w:r>
    </w:p>
  </w:endnote>
  <w:endnote w:type="continuationSeparator" w:id="0">
    <w:p w14:paraId="032A7D16" w14:textId="77777777" w:rsidR="00F52F66" w:rsidRDefault="00F52F66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063F4" w14:textId="77777777" w:rsidR="00F52F66" w:rsidRDefault="00F52F66" w:rsidP="00DD454E">
      <w:pPr>
        <w:spacing w:after="0" w:line="240" w:lineRule="auto"/>
      </w:pPr>
      <w:r>
        <w:separator/>
      </w:r>
    </w:p>
  </w:footnote>
  <w:footnote w:type="continuationSeparator" w:id="0">
    <w:p w14:paraId="55748CD1" w14:textId="77777777" w:rsidR="00F52F66" w:rsidRDefault="00F52F66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EFDE0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01CB7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942BB"/>
    <w:rsid w:val="000B2D4D"/>
    <w:rsid w:val="000B3338"/>
    <w:rsid w:val="000B74D5"/>
    <w:rsid w:val="000B7979"/>
    <w:rsid w:val="000C02B6"/>
    <w:rsid w:val="000D5E4D"/>
    <w:rsid w:val="000E0F6B"/>
    <w:rsid w:val="000E4F6E"/>
    <w:rsid w:val="000E7657"/>
    <w:rsid w:val="000F1884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2D5D"/>
    <w:rsid w:val="00163356"/>
    <w:rsid w:val="0016409E"/>
    <w:rsid w:val="00166124"/>
    <w:rsid w:val="0018533D"/>
    <w:rsid w:val="00185E8C"/>
    <w:rsid w:val="001A50F5"/>
    <w:rsid w:val="001A6A51"/>
    <w:rsid w:val="001A7F43"/>
    <w:rsid w:val="001B2765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136B4"/>
    <w:rsid w:val="002323B0"/>
    <w:rsid w:val="00242F6A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3289"/>
    <w:rsid w:val="002A7A45"/>
    <w:rsid w:val="002B20AE"/>
    <w:rsid w:val="002B796C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255B5"/>
    <w:rsid w:val="0033581A"/>
    <w:rsid w:val="00343343"/>
    <w:rsid w:val="003448F7"/>
    <w:rsid w:val="00350B4D"/>
    <w:rsid w:val="0035104C"/>
    <w:rsid w:val="003521A0"/>
    <w:rsid w:val="0035236A"/>
    <w:rsid w:val="00361D5F"/>
    <w:rsid w:val="00364971"/>
    <w:rsid w:val="0036583A"/>
    <w:rsid w:val="003677B1"/>
    <w:rsid w:val="00371306"/>
    <w:rsid w:val="00373599"/>
    <w:rsid w:val="00374CAE"/>
    <w:rsid w:val="003956F4"/>
    <w:rsid w:val="003A5333"/>
    <w:rsid w:val="003A771B"/>
    <w:rsid w:val="003B0F82"/>
    <w:rsid w:val="003B2D03"/>
    <w:rsid w:val="003C7E44"/>
    <w:rsid w:val="003D2ED8"/>
    <w:rsid w:val="003D7B26"/>
    <w:rsid w:val="003E4040"/>
    <w:rsid w:val="0040782C"/>
    <w:rsid w:val="00407AE5"/>
    <w:rsid w:val="00416B75"/>
    <w:rsid w:val="00417FCE"/>
    <w:rsid w:val="004243BF"/>
    <w:rsid w:val="004262DD"/>
    <w:rsid w:val="00432EFD"/>
    <w:rsid w:val="00440764"/>
    <w:rsid w:val="00440A95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3753"/>
    <w:rsid w:val="006271E4"/>
    <w:rsid w:val="00630086"/>
    <w:rsid w:val="00634A16"/>
    <w:rsid w:val="00641370"/>
    <w:rsid w:val="00655960"/>
    <w:rsid w:val="00663DF3"/>
    <w:rsid w:val="00664D47"/>
    <w:rsid w:val="0066501B"/>
    <w:rsid w:val="0066595D"/>
    <w:rsid w:val="00684AA2"/>
    <w:rsid w:val="00690CCB"/>
    <w:rsid w:val="006971A0"/>
    <w:rsid w:val="006A20CF"/>
    <w:rsid w:val="006A4482"/>
    <w:rsid w:val="006A735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397B"/>
    <w:rsid w:val="007B4B53"/>
    <w:rsid w:val="007C239E"/>
    <w:rsid w:val="007C24D6"/>
    <w:rsid w:val="007C6050"/>
    <w:rsid w:val="007F1117"/>
    <w:rsid w:val="007F44D5"/>
    <w:rsid w:val="007F7002"/>
    <w:rsid w:val="00801FA7"/>
    <w:rsid w:val="00810783"/>
    <w:rsid w:val="00820B5A"/>
    <w:rsid w:val="00824670"/>
    <w:rsid w:val="008456C4"/>
    <w:rsid w:val="008532E3"/>
    <w:rsid w:val="0085371A"/>
    <w:rsid w:val="008551B1"/>
    <w:rsid w:val="00857439"/>
    <w:rsid w:val="00865EB0"/>
    <w:rsid w:val="00866915"/>
    <w:rsid w:val="00877B93"/>
    <w:rsid w:val="00881404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54F3"/>
    <w:rsid w:val="008D741E"/>
    <w:rsid w:val="008E2802"/>
    <w:rsid w:val="008E3F5C"/>
    <w:rsid w:val="008E7DC7"/>
    <w:rsid w:val="0090122D"/>
    <w:rsid w:val="0090193D"/>
    <w:rsid w:val="00904508"/>
    <w:rsid w:val="00911246"/>
    <w:rsid w:val="00933D32"/>
    <w:rsid w:val="00935220"/>
    <w:rsid w:val="0095577F"/>
    <w:rsid w:val="0096340D"/>
    <w:rsid w:val="009641EC"/>
    <w:rsid w:val="00965AB4"/>
    <w:rsid w:val="00970B8C"/>
    <w:rsid w:val="009865BD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2D0B"/>
    <w:rsid w:val="009E75FA"/>
    <w:rsid w:val="009F54A0"/>
    <w:rsid w:val="00A11EEB"/>
    <w:rsid w:val="00A12DD7"/>
    <w:rsid w:val="00A14DAA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59DF"/>
    <w:rsid w:val="00AA39F5"/>
    <w:rsid w:val="00AB2646"/>
    <w:rsid w:val="00AB7510"/>
    <w:rsid w:val="00AC14BC"/>
    <w:rsid w:val="00AC171E"/>
    <w:rsid w:val="00AD0A52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24914"/>
    <w:rsid w:val="00B27214"/>
    <w:rsid w:val="00B317B7"/>
    <w:rsid w:val="00B40457"/>
    <w:rsid w:val="00B51EF4"/>
    <w:rsid w:val="00B521C1"/>
    <w:rsid w:val="00B5683E"/>
    <w:rsid w:val="00B60552"/>
    <w:rsid w:val="00B63601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1A0E"/>
    <w:rsid w:val="00BE469F"/>
    <w:rsid w:val="00BF3EAA"/>
    <w:rsid w:val="00C062E1"/>
    <w:rsid w:val="00C24D71"/>
    <w:rsid w:val="00C33F3D"/>
    <w:rsid w:val="00C35E23"/>
    <w:rsid w:val="00C541FA"/>
    <w:rsid w:val="00C55520"/>
    <w:rsid w:val="00C56319"/>
    <w:rsid w:val="00C60D54"/>
    <w:rsid w:val="00C641FE"/>
    <w:rsid w:val="00C73A35"/>
    <w:rsid w:val="00C749FE"/>
    <w:rsid w:val="00C811BA"/>
    <w:rsid w:val="00C8533F"/>
    <w:rsid w:val="00C93268"/>
    <w:rsid w:val="00C949AD"/>
    <w:rsid w:val="00CA1804"/>
    <w:rsid w:val="00CA6C92"/>
    <w:rsid w:val="00CB343D"/>
    <w:rsid w:val="00CB4289"/>
    <w:rsid w:val="00CB79B1"/>
    <w:rsid w:val="00CC056C"/>
    <w:rsid w:val="00CC4475"/>
    <w:rsid w:val="00CC605D"/>
    <w:rsid w:val="00CD1DDD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7C3A"/>
    <w:rsid w:val="00DC04BA"/>
    <w:rsid w:val="00DC1DFD"/>
    <w:rsid w:val="00DD454E"/>
    <w:rsid w:val="00DE2B89"/>
    <w:rsid w:val="00DE3574"/>
    <w:rsid w:val="00E16F6C"/>
    <w:rsid w:val="00E222BF"/>
    <w:rsid w:val="00E22BBF"/>
    <w:rsid w:val="00E26473"/>
    <w:rsid w:val="00E2649F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C1A8B"/>
    <w:rsid w:val="00ED00EB"/>
    <w:rsid w:val="00ED27B0"/>
    <w:rsid w:val="00ED6A2F"/>
    <w:rsid w:val="00ED6E20"/>
    <w:rsid w:val="00EE06CB"/>
    <w:rsid w:val="00F02255"/>
    <w:rsid w:val="00F035B3"/>
    <w:rsid w:val="00F11ADC"/>
    <w:rsid w:val="00F254C5"/>
    <w:rsid w:val="00F42D25"/>
    <w:rsid w:val="00F446B1"/>
    <w:rsid w:val="00F4480E"/>
    <w:rsid w:val="00F46882"/>
    <w:rsid w:val="00F52F66"/>
    <w:rsid w:val="00F6594D"/>
    <w:rsid w:val="00F7117B"/>
    <w:rsid w:val="00F760CB"/>
    <w:rsid w:val="00F803B1"/>
    <w:rsid w:val="00F86BBC"/>
    <w:rsid w:val="00F960D4"/>
    <w:rsid w:val="00F96E68"/>
    <w:rsid w:val="00FA501E"/>
    <w:rsid w:val="00FA6DB6"/>
    <w:rsid w:val="00FB5560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CDBD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7F1117"/>
  </w:style>
  <w:style w:type="paragraph" w:customStyle="1" w:styleId="31">
    <w:name w:val="Знак Знак3 Знак Знак Знак Знак1 Знак Знак"/>
    <w:basedOn w:val="a"/>
    <w:rsid w:val="006A73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Нормальний текст"/>
    <w:basedOn w:val="a"/>
    <w:rsid w:val="00AD0A52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2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1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0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9297B-DF7D-47D5-9E30-0720A982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2975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Анна Біленко</cp:lastModifiedBy>
  <cp:revision>62</cp:revision>
  <cp:lastPrinted>2023-10-30T13:44:00Z</cp:lastPrinted>
  <dcterms:created xsi:type="dcterms:W3CDTF">2022-05-27T12:37:00Z</dcterms:created>
  <dcterms:modified xsi:type="dcterms:W3CDTF">2023-11-03T10:49:00Z</dcterms:modified>
</cp:coreProperties>
</file>