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EE7E3" w14:textId="0F83518E" w:rsidR="006705C5" w:rsidRPr="006705C5" w:rsidRDefault="006705C5" w:rsidP="006705C5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 w:rsidRPr="006705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НКРЕКП </w:t>
      </w:r>
      <w:r w:rsidRPr="006705C5">
        <w:rPr>
          <w:rFonts w:ascii="Times New Roman" w:hAnsi="Times New Roman" w:cs="Times New Roman"/>
          <w:b/>
          <w:sz w:val="28"/>
          <w:szCs w:val="28"/>
        </w:rPr>
        <w:t>«</w:t>
      </w:r>
      <w:r w:rsidRPr="006705C5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Змін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705C5">
        <w:rPr>
          <w:rFonts w:ascii="Times New Roman" w:hAnsi="Times New Roman" w:cs="Times New Roman"/>
          <w:b/>
          <w:bCs/>
          <w:sz w:val="28"/>
          <w:szCs w:val="28"/>
        </w:rPr>
        <w:t>до деяких постанов НКРЕ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05C5">
        <w:rPr>
          <w:rFonts w:ascii="Times New Roman" w:hAnsi="Times New Roman" w:cs="Times New Roman"/>
          <w:b/>
          <w:bCs/>
          <w:sz w:val="28"/>
          <w:szCs w:val="28"/>
        </w:rPr>
        <w:t>та НКРЕКП</w:t>
      </w:r>
      <w:r w:rsidRPr="006705C5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6705C5">
        <w:rPr>
          <w:rFonts w:ascii="Times New Roman" w:hAnsi="Times New Roman" w:cs="Times New Roman"/>
          <w:sz w:val="28"/>
          <w:szCs w:val="28"/>
        </w:rPr>
        <w:t xml:space="preserve">(зміни до </w:t>
      </w:r>
      <w:bookmarkStart w:id="0" w:name="_Hlk145411677"/>
      <w:r w:rsidRPr="006705C5">
        <w:rPr>
          <w:rFonts w:ascii="Times New Roman" w:hAnsi="Times New Roman" w:cs="Times New Roman"/>
          <w:sz w:val="28"/>
          <w:szCs w:val="28"/>
        </w:rPr>
        <w:t>постанови НКРЕ від 23.07.2013 № 1009 «Про встановлення параметрів регулювання, що мають довгостроковий строк дії, для цілей стимулюючого регулювання» та постанови НКРЕКП від 05.10.2018 № 1175 «Про затвердження Порядку встановлення (формування) тарифів на послуги з розподілу електричної енергії»</w:t>
      </w:r>
      <w:bookmarkEnd w:id="0"/>
      <w:r w:rsidRPr="006705C5">
        <w:rPr>
          <w:rFonts w:ascii="Times New Roman" w:hAnsi="Times New Roman" w:cs="Times New Roman"/>
          <w:sz w:val="28"/>
          <w:szCs w:val="28"/>
          <w:lang w:eastAsia="uk-UA"/>
        </w:rPr>
        <w:t>)</w:t>
      </w:r>
    </w:p>
    <w:tbl>
      <w:tblPr>
        <w:tblStyle w:val="a3"/>
        <w:tblW w:w="15495" w:type="dxa"/>
        <w:tblInd w:w="-147" w:type="dxa"/>
        <w:tblLook w:val="04A0" w:firstRow="1" w:lastRow="0" w:firstColumn="1" w:lastColumn="0" w:noHBand="0" w:noVBand="1"/>
      </w:tblPr>
      <w:tblGrid>
        <w:gridCol w:w="7797"/>
        <w:gridCol w:w="7698"/>
      </w:tblGrid>
      <w:tr w:rsidR="00F92D41" w:rsidRPr="003D580E" w14:paraId="4971F0F8" w14:textId="77777777" w:rsidTr="005B224B">
        <w:tc>
          <w:tcPr>
            <w:tcW w:w="15495" w:type="dxa"/>
            <w:gridSpan w:val="2"/>
          </w:tcPr>
          <w:p w14:paraId="02D3BB12" w14:textId="2365C1B9" w:rsidR="00F92D41" w:rsidRPr="00732796" w:rsidRDefault="00F92D41" w:rsidP="00A039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73279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Постанова НКРЕ</w:t>
            </w:r>
            <w:r w:rsidR="007056B3" w:rsidRPr="0073279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від</w:t>
            </w:r>
            <w:r w:rsidRPr="0073279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7056B3" w:rsidRPr="00732796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23.07.2013  № 1009 </w:t>
            </w:r>
            <w:r w:rsidRPr="00732796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«</w:t>
            </w:r>
            <w:r w:rsidR="007056B3" w:rsidRPr="00732796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Про встановлення параметрів регулювання, що мають довгостроковий строк дії, для цілей стимулюючого регулювання</w:t>
            </w:r>
            <w:r w:rsidRPr="00732796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»</w:t>
            </w:r>
          </w:p>
          <w:p w14:paraId="0FBC64C1" w14:textId="77777777" w:rsidR="00AC4EE2" w:rsidRPr="003D580E" w:rsidRDefault="00AC4EE2" w:rsidP="00A039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224B" w:rsidRPr="003D580E" w14:paraId="702BFAE2" w14:textId="77777777" w:rsidTr="006705C5">
        <w:tc>
          <w:tcPr>
            <w:tcW w:w="7797" w:type="dxa"/>
          </w:tcPr>
          <w:p w14:paraId="3336350F" w14:textId="77777777" w:rsidR="005B224B" w:rsidRPr="003D580E" w:rsidRDefault="005B224B" w:rsidP="005B224B">
            <w:pPr>
              <w:ind w:left="-395" w:firstLine="39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Чинна редакція</w:t>
            </w:r>
          </w:p>
        </w:tc>
        <w:tc>
          <w:tcPr>
            <w:tcW w:w="7698" w:type="dxa"/>
          </w:tcPr>
          <w:p w14:paraId="419E478E" w14:textId="77777777" w:rsidR="005B224B" w:rsidRPr="003D580E" w:rsidRDefault="005B224B" w:rsidP="009C55F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Пропозиція </w:t>
            </w:r>
          </w:p>
        </w:tc>
      </w:tr>
      <w:tr w:rsidR="008F4721" w:rsidRPr="00AC4EE2" w14:paraId="7A325D4D" w14:textId="77777777" w:rsidTr="00B67EBA">
        <w:trPr>
          <w:trHeight w:val="4988"/>
        </w:trPr>
        <w:tc>
          <w:tcPr>
            <w:tcW w:w="7797" w:type="dxa"/>
          </w:tcPr>
          <w:p w14:paraId="6244AA4F" w14:textId="77777777" w:rsidR="008F4721" w:rsidRPr="00C25627" w:rsidRDefault="008F4721" w:rsidP="00BD188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1. Установити на перший регуляторний </w:t>
            </w:r>
            <w:r w:rsidRPr="006546A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період </w:t>
            </w:r>
            <w:r w:rsidRPr="006546AE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(4 роки)</w:t>
            </w:r>
            <w:r w:rsidRPr="006546A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параметри</w:t>
            </w:r>
            <w:r w:rsidRPr="003D580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регулювання, що мають довгостроковий строк дії, для цілей стимулюючого регулювання для суб'єктів господарювання, які мають ліцензію на провадження господарської діяльності з розподілу електричної енергії (далі – ліцензіати), на рівні:</w:t>
            </w:r>
          </w:p>
          <w:p w14:paraId="7F467C6D" w14:textId="77777777" w:rsidR="008F4721" w:rsidRDefault="008F4721" w:rsidP="00BD188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……………………..</w:t>
            </w:r>
          </w:p>
          <w:p w14:paraId="4E2058BC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  <w:r w:rsidRPr="00835A0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  <w:t>1) регуляторна норма доходу на регуляторну базу активів, яка створена на дату переходу до стимулюючого регулювання, – 0,03 відносних одиниць;</w:t>
            </w:r>
          </w:p>
          <w:p w14:paraId="49F8F6F1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6F2662CD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2EA937DA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2CD076E5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546DFAB8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1A384248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7B538B09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4F09D207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46CB36D3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45885C90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7AC81D21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6268D468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7D032626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7CDB766A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0A5AAF08" w14:textId="4E23F33D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54375110" w14:textId="3BDC7BD8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1487DD58" w14:textId="31B9F61D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1EAA7972" w14:textId="77777777" w:rsidR="008F4721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53F97662" w14:textId="77777777" w:rsidR="008F4721" w:rsidRPr="00835A00" w:rsidRDefault="008F4721" w:rsidP="00BD1887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</w:p>
          <w:p w14:paraId="243F7B73" w14:textId="15B87809" w:rsidR="008F4721" w:rsidRPr="006546AE" w:rsidRDefault="008F4721" w:rsidP="00BA376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31B37">
              <w:rPr>
                <w:bCs/>
                <w:color w:val="333333"/>
                <w:sz w:val="26"/>
                <w:szCs w:val="26"/>
                <w:shd w:val="clear" w:color="auto" w:fill="FFFFFF"/>
              </w:rPr>
              <w:t xml:space="preserve">2) </w:t>
            </w:r>
            <w:r w:rsidRPr="006546AE">
              <w:rPr>
                <w:bCs/>
                <w:color w:val="333333"/>
                <w:sz w:val="26"/>
                <w:szCs w:val="26"/>
                <w:shd w:val="clear" w:color="auto" w:fill="FFFFFF"/>
              </w:rPr>
              <w:t>регуляторна норма доходу на регуляторну базу активів, яка створена після переходу на стимулююче регулювання, - 0,1674 відносних одиниць (для 2023 року – 0,03 відносних одиниць);</w:t>
            </w:r>
          </w:p>
          <w:p w14:paraId="326FA932" w14:textId="77777777" w:rsidR="008F4721" w:rsidRDefault="008F4721" w:rsidP="00DE4366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00BAA268" w14:textId="77777777" w:rsidR="008F4721" w:rsidRPr="00467779" w:rsidRDefault="008F4721" w:rsidP="00DE4366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………………………</w:t>
            </w:r>
          </w:p>
          <w:p w14:paraId="609B2917" w14:textId="77777777" w:rsidR="008F4721" w:rsidRDefault="008F4721" w:rsidP="00D82B4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5C1A9D69" w14:textId="77777777" w:rsidR="008F4721" w:rsidRDefault="008F4721" w:rsidP="00D82B4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4BD762D9" w14:textId="77777777" w:rsidR="008F4721" w:rsidRDefault="008F4721" w:rsidP="00D82B4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65EBBA8F" w14:textId="77777777" w:rsidR="008F4721" w:rsidRDefault="008F4721" w:rsidP="00D82B4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61D7C8D2" w14:textId="77777777" w:rsidR="008F4721" w:rsidRDefault="008F4721" w:rsidP="00D82B4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6929219D" w14:textId="77777777" w:rsidR="008F4721" w:rsidRDefault="008F4721" w:rsidP="00D82B4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12F52EF3" w14:textId="3AA3AE53" w:rsidR="008F4721" w:rsidRPr="00467779" w:rsidRDefault="008F4721" w:rsidP="00D3120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7698" w:type="dxa"/>
          </w:tcPr>
          <w:p w14:paraId="6316D879" w14:textId="07630730" w:rsidR="008F4721" w:rsidRPr="00FA5672" w:rsidRDefault="008F4721" w:rsidP="00BD1887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A567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 xml:space="preserve">1. Установити на перший регуляторний період </w:t>
            </w:r>
            <w:r w:rsidRPr="00FA5672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(4 роки)</w:t>
            </w:r>
            <w:r w:rsidRPr="00FA567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параметри регулювання, що мають довгостроковий строк дії, для цілей стимулюючого регулювання для суб'єктів господарювання, які мають ліцензію на провадження господарської діяльності з розподілу електричної енергії (далі – ліцензіати), а також для на рівні:</w:t>
            </w:r>
          </w:p>
          <w:p w14:paraId="7E7B8823" w14:textId="77777777" w:rsidR="008F4721" w:rsidRPr="00FA5672" w:rsidRDefault="008F4721" w:rsidP="00BD1887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……………………..</w:t>
            </w:r>
          </w:p>
          <w:p w14:paraId="7DFF8465" w14:textId="5688138C" w:rsidR="008F4721" w:rsidRPr="007E3683" w:rsidRDefault="008F4721" w:rsidP="00FA5672">
            <w:pPr>
              <w:pStyle w:val="a4"/>
              <w:numPr>
                <w:ilvl w:val="0"/>
                <w:numId w:val="6"/>
              </w:numPr>
              <w:tabs>
                <w:tab w:val="left" w:pos="481"/>
              </w:tabs>
              <w:ind w:left="28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uk-UA"/>
              </w:rPr>
            </w:pPr>
            <w:r w:rsidRPr="007E368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uk-UA"/>
              </w:rPr>
              <w:t>регуляторна норма доходу на регуляторну базу активів, яка створена на дату переходу до стимулюючого регулювання, – 0,03 відносних одиниць</w:t>
            </w:r>
            <w:r w:rsidRPr="007E36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uk-UA"/>
              </w:rPr>
              <w:t>, крім</w:t>
            </w:r>
            <w:r w:rsidRPr="007E368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uk-UA"/>
              </w:rPr>
              <w:t xml:space="preserve"> </w:t>
            </w:r>
            <w:r w:rsidRPr="007E3683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ліцензіатів</w:t>
            </w:r>
            <w:r w:rsidRPr="007E36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uk-UA"/>
              </w:rPr>
              <w:t>:</w:t>
            </w:r>
          </w:p>
          <w:p w14:paraId="201F015A" w14:textId="77777777" w:rsidR="008F4721" w:rsidRPr="007E3683" w:rsidRDefault="008F4721" w:rsidP="007E3683">
            <w:pPr>
              <w:pStyle w:val="a4"/>
              <w:spacing w:line="254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368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перелік яких наведено у додатку до цієї постанови та частина основних фондів яких знаходиться на територіях, на яких ведуться (велися) бойові дії або тимчасово окупованих Російською Федерацією, з урахуванням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№ 309, зареєстрованим в Міністерстві юстиції України 23 грудня 2022 року за № 1668/39004;</w:t>
            </w:r>
          </w:p>
          <w:p w14:paraId="6083A752" w14:textId="77777777" w:rsidR="008F4721" w:rsidRPr="007E3683" w:rsidRDefault="008F4721" w:rsidP="007E3683">
            <w:pPr>
              <w:pStyle w:val="a4"/>
              <w:spacing w:line="254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368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контролером або кінцевим </w:t>
            </w:r>
            <w:proofErr w:type="spellStart"/>
            <w:r w:rsidRPr="007E368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бенефіціарним</w:t>
            </w:r>
            <w:proofErr w:type="spellEnd"/>
            <w:r w:rsidRPr="007E368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власником контрольного пакету акцій яких є фізичні або юридичні особи, щодо яких застосовано економічні та обмежувальні заходи (санкції);</w:t>
            </w:r>
          </w:p>
          <w:p w14:paraId="35B6D586" w14:textId="77777777" w:rsidR="008F4721" w:rsidRPr="007E3683" w:rsidRDefault="008F4721" w:rsidP="007E3683">
            <w:pPr>
              <w:pStyle w:val="a4"/>
              <w:ind w:left="0"/>
              <w:jc w:val="both"/>
              <w:rPr>
                <w:b/>
                <w:sz w:val="26"/>
                <w:szCs w:val="26"/>
                <w:lang w:eastAsia="ru-RU"/>
              </w:rPr>
            </w:pPr>
            <w:r w:rsidRPr="007E368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для яких регуляторна норма доходу на регуляторну базу активів, яка створена на дату переходу до стимулюючого регулювання, у 2024 році становить 0 відносних одиниць;»;</w:t>
            </w:r>
          </w:p>
          <w:p w14:paraId="3538FB92" w14:textId="77777777" w:rsidR="008F4721" w:rsidRPr="00FA5672" w:rsidRDefault="008F4721" w:rsidP="00ED2106">
            <w:pPr>
              <w:pStyle w:val="a4"/>
              <w:ind w:left="0" w:firstLine="360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14:paraId="4DF5CAFE" w14:textId="26684C12" w:rsidR="008F4721" w:rsidRPr="00FA5672" w:rsidRDefault="008F4721" w:rsidP="00FA56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6"/>
                <w:szCs w:val="26"/>
                <w:shd w:val="clear" w:color="auto" w:fill="FFFFFF"/>
              </w:rPr>
            </w:pPr>
            <w:r w:rsidRPr="00FA5672">
              <w:rPr>
                <w:bCs/>
                <w:sz w:val="26"/>
                <w:szCs w:val="26"/>
                <w:shd w:val="clear" w:color="auto" w:fill="FFFFFF"/>
              </w:rPr>
              <w:t xml:space="preserve">2) регуляторна норма доходу на регуляторну базу активів, яка створена після переходу на стимулююче регулювання, - 0,1674 відносних одиниць </w:t>
            </w:r>
            <w:bookmarkStart w:id="1" w:name="_Hlk147908003"/>
            <w:r w:rsidRPr="00FA5672">
              <w:rPr>
                <w:bCs/>
                <w:sz w:val="26"/>
                <w:szCs w:val="26"/>
                <w:shd w:val="clear" w:color="auto" w:fill="FFFFFF"/>
              </w:rPr>
              <w:t>(для 2023</w:t>
            </w:r>
            <w:r w:rsidRPr="00FA5672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FA5672">
              <w:rPr>
                <w:b/>
                <w:sz w:val="26"/>
                <w:szCs w:val="26"/>
                <w:shd w:val="clear" w:color="auto" w:fill="FFFFFF"/>
              </w:rPr>
              <w:t xml:space="preserve">та 2024 років – </w:t>
            </w:r>
            <w:r w:rsidRPr="00FA5672">
              <w:rPr>
                <w:bCs/>
                <w:sz w:val="26"/>
                <w:szCs w:val="26"/>
                <w:shd w:val="clear" w:color="auto" w:fill="FFFFFF"/>
              </w:rPr>
              <w:t>0,03</w:t>
            </w:r>
            <w:r w:rsidRPr="00FA5672">
              <w:rPr>
                <w:b/>
                <w:sz w:val="26"/>
                <w:szCs w:val="26"/>
                <w:shd w:val="clear" w:color="auto" w:fill="FFFFFF"/>
              </w:rPr>
              <w:t xml:space="preserve"> </w:t>
            </w:r>
            <w:r w:rsidRPr="00FA5672">
              <w:rPr>
                <w:bCs/>
                <w:sz w:val="26"/>
                <w:szCs w:val="26"/>
                <w:shd w:val="clear" w:color="auto" w:fill="FFFFFF"/>
              </w:rPr>
              <w:t xml:space="preserve">відносних одиниць, крім </w:t>
            </w:r>
            <w:r w:rsidRPr="00FA5672">
              <w:rPr>
                <w:b/>
                <w:bCs/>
                <w:sz w:val="26"/>
                <w:szCs w:val="26"/>
                <w:shd w:val="clear" w:color="auto" w:fill="FFFFFF"/>
              </w:rPr>
              <w:t>ліцензіатів:</w:t>
            </w:r>
          </w:p>
          <w:p w14:paraId="69794B5D" w14:textId="4CA893D5" w:rsidR="008F4721" w:rsidRPr="00FA5672" w:rsidRDefault="008F4721" w:rsidP="00FA5672">
            <w:pPr>
              <w:pStyle w:val="a4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перелік яких наведено у додатку до цієї постанови;</w:t>
            </w:r>
          </w:p>
          <w:p w14:paraId="6D4D1E80" w14:textId="393E77D1" w:rsidR="008F4721" w:rsidRPr="00FA5672" w:rsidRDefault="008F4721" w:rsidP="00FA5672">
            <w:pPr>
              <w:pStyle w:val="a4"/>
              <w:ind w:left="0"/>
              <w:jc w:val="both"/>
              <w:rPr>
                <w:b/>
                <w:bCs/>
              </w:rPr>
            </w:pPr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контролером або кінцевим </w:t>
            </w:r>
            <w:proofErr w:type="spellStart"/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бенефіціарним</w:t>
            </w:r>
            <w:proofErr w:type="spellEnd"/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 власником контрольного пакету акцій яких є фізичні або юридичні особи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,</w:t>
            </w:r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 щодо яких застосовано економічні та обмежувальні заходи (санкції);</w:t>
            </w:r>
          </w:p>
          <w:p w14:paraId="63CAE7FA" w14:textId="7E847398" w:rsidR="008F4721" w:rsidRPr="00D31200" w:rsidRDefault="008F4721" w:rsidP="00FA567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для яких</w:t>
            </w:r>
            <w:r w:rsidRPr="00FA5672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регуляторна норма доходу на регуляторну базу активів, яка створена після переходу на стимулююче регулювання, у 2024 році становить 0 відносних одиниць)</w:t>
            </w:r>
            <w:bookmarkEnd w:id="1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;</w:t>
            </w:r>
          </w:p>
        </w:tc>
      </w:tr>
      <w:tr w:rsidR="008F4721" w:rsidRPr="00AC4EE2" w14:paraId="270D7832" w14:textId="77777777" w:rsidTr="006705C5">
        <w:trPr>
          <w:trHeight w:val="900"/>
        </w:trPr>
        <w:tc>
          <w:tcPr>
            <w:tcW w:w="7797" w:type="dxa"/>
          </w:tcPr>
          <w:p w14:paraId="32BFAE0A" w14:textId="77777777" w:rsidR="00D31200" w:rsidRPr="00B36F83" w:rsidRDefault="00D31200" w:rsidP="00D3120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B36F83">
              <w:rPr>
                <w:bCs/>
                <w:color w:val="333333"/>
                <w:sz w:val="26"/>
                <w:szCs w:val="26"/>
                <w:shd w:val="clear" w:color="auto" w:fill="FFFFFF"/>
              </w:rPr>
              <w:lastRenderedPageBreak/>
              <w:t>Додаток відсутній</w:t>
            </w:r>
          </w:p>
          <w:p w14:paraId="30727C64" w14:textId="77777777" w:rsidR="008F4721" w:rsidRPr="003D580E" w:rsidRDefault="008F4721" w:rsidP="00BD1887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7698" w:type="dxa"/>
          </w:tcPr>
          <w:p w14:paraId="427D6F66" w14:textId="77777777" w:rsidR="00680488" w:rsidRPr="008F1E95" w:rsidRDefault="00680488" w:rsidP="00680488">
            <w:pPr>
              <w:spacing w:before="100" w:beforeAutospacing="1" w:after="100" w:afterAutospacing="1"/>
              <w:ind w:left="513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8F1E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 xml:space="preserve">Додаток </w:t>
            </w:r>
            <w:r w:rsidRPr="008F1E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br/>
              <w:t xml:space="preserve">до постанови НКРЕ </w:t>
            </w:r>
            <w:r w:rsidRPr="008F1E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br/>
              <w:t>23 липня 2013 року № 1009</w:t>
            </w:r>
            <w:r w:rsidRPr="008F1E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br/>
            </w:r>
          </w:p>
          <w:p w14:paraId="3E9CDE3B" w14:textId="77777777" w:rsidR="00680488" w:rsidRPr="008F1E95" w:rsidRDefault="00680488" w:rsidP="006804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</w:p>
          <w:p w14:paraId="23066210" w14:textId="6DBE88B5" w:rsidR="00680488" w:rsidRPr="008F1E95" w:rsidRDefault="00680488" w:rsidP="0068048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8F1E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>ПЕРЕЛІК ЛІЦЕНЗІАТІВ</w:t>
            </w:r>
            <w:r w:rsidR="00CC7528" w:rsidRPr="00CC7528">
              <w:rPr>
                <w:rFonts w:ascii="Times New Roman" w:eastAsia="Times New Roman" w:hAnsi="Times New Roman" w:cs="Times New Roman"/>
                <w:b/>
                <w:sz w:val="32"/>
                <w:szCs w:val="26"/>
                <w:vertAlign w:val="superscript"/>
                <w:lang w:eastAsia="uk-UA"/>
              </w:rPr>
              <w:t>*</w:t>
            </w:r>
          </w:p>
          <w:p w14:paraId="46ECD77A" w14:textId="77777777" w:rsidR="00680488" w:rsidRPr="008F1E95" w:rsidRDefault="00680488" w:rsidP="0068048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</w:p>
          <w:p w14:paraId="07135118" w14:textId="77777777" w:rsidR="00680488" w:rsidRPr="00680488" w:rsidRDefault="00680488" w:rsidP="0068048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0C3F916E" w14:textId="77777777" w:rsidR="00CC7528" w:rsidRPr="00CC7528" w:rsidRDefault="00CC7528" w:rsidP="00CC7528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CC752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>*</w:t>
            </w:r>
            <w:r w:rsidRPr="00CC7528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Перелік ліцензіатів (прифронтових ОСР) буде сформовано перед прийняттям рішення з урахуванням актуальної інформації.</w:t>
            </w:r>
          </w:p>
          <w:p w14:paraId="331AD295" w14:textId="77777777" w:rsidR="008F4721" w:rsidRPr="00FA5672" w:rsidRDefault="008F4721" w:rsidP="00BD1887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</w:tr>
    </w:tbl>
    <w:p w14:paraId="793239FF" w14:textId="77777777" w:rsidR="00F92D41" w:rsidRPr="003D580E" w:rsidRDefault="00F92D41" w:rsidP="00F61A6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7650"/>
        <w:gridCol w:w="7796"/>
      </w:tblGrid>
      <w:tr w:rsidR="00524463" w:rsidRPr="003D580E" w14:paraId="495B091C" w14:textId="77777777" w:rsidTr="007028EB">
        <w:tc>
          <w:tcPr>
            <w:tcW w:w="15446" w:type="dxa"/>
            <w:gridSpan w:val="2"/>
          </w:tcPr>
          <w:p w14:paraId="366D93D0" w14:textId="77777777" w:rsidR="00FE32AB" w:rsidRDefault="00FE32AB" w:rsidP="00AE7F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16E7E28D" w14:textId="60299608" w:rsidR="00524463" w:rsidRDefault="00524463" w:rsidP="00AE7F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Постанова НКРЕКП </w:t>
            </w:r>
            <w:r w:rsidR="0025298A"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від 5 жовтня 2018 року </w:t>
            </w:r>
            <w:r w:rsidR="006705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1</w:t>
            </w:r>
            <w:r w:rsidR="0025298A"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175 </w:t>
            </w:r>
            <w:r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="0025298A"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 затвердження Порядку встановлення (формування) тарифів на послуги з розподілу електричної енергії»</w:t>
            </w:r>
          </w:p>
          <w:p w14:paraId="58EAF8E3" w14:textId="77777777" w:rsidR="005D1A1E" w:rsidRPr="003D580E" w:rsidRDefault="005D1A1E" w:rsidP="00AE7F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224B" w:rsidRPr="003D580E" w14:paraId="3B7D9E05" w14:textId="77777777" w:rsidTr="007028EB">
        <w:tc>
          <w:tcPr>
            <w:tcW w:w="7650" w:type="dxa"/>
          </w:tcPr>
          <w:p w14:paraId="44795F8C" w14:textId="77777777" w:rsidR="005B224B" w:rsidRPr="003D580E" w:rsidRDefault="005B224B" w:rsidP="009C55F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Чинна редакція</w:t>
            </w:r>
          </w:p>
        </w:tc>
        <w:tc>
          <w:tcPr>
            <w:tcW w:w="7796" w:type="dxa"/>
          </w:tcPr>
          <w:p w14:paraId="7F5358AB" w14:textId="77777777" w:rsidR="005B224B" w:rsidRPr="003D580E" w:rsidRDefault="005B224B" w:rsidP="009C55F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Пропозиція </w:t>
            </w:r>
          </w:p>
        </w:tc>
      </w:tr>
      <w:tr w:rsidR="005B224B" w:rsidRPr="003D580E" w14:paraId="295138F9" w14:textId="77777777" w:rsidTr="007028EB">
        <w:tc>
          <w:tcPr>
            <w:tcW w:w="7650" w:type="dxa"/>
          </w:tcPr>
          <w:p w14:paraId="5D23F012" w14:textId="77777777" w:rsidR="009C55FD" w:rsidRPr="006546AE" w:rsidRDefault="005B224B" w:rsidP="007028EB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Глава 5</w:t>
            </w:r>
          </w:p>
          <w:p w14:paraId="46BDBC9A" w14:textId="77777777" w:rsidR="009C55FD" w:rsidRPr="00FA3D8A" w:rsidRDefault="009C55FD" w:rsidP="007028E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FA3D8A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………………………………</w:t>
            </w:r>
          </w:p>
          <w:p w14:paraId="77F94685" w14:textId="77777777" w:rsidR="00B156E7" w:rsidRPr="006546AE" w:rsidRDefault="009C55FD" w:rsidP="007028EB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пункт 5.</w:t>
            </w:r>
            <w:r w:rsidR="00CB2E40"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1</w:t>
            </w:r>
            <w:r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2.</w:t>
            </w:r>
          </w:p>
          <w:p w14:paraId="31134FB5" w14:textId="77777777" w:rsidR="000942DC" w:rsidRPr="00FA3D8A" w:rsidRDefault="000942DC" w:rsidP="007028E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tbl>
            <w:tblPr>
              <w:tblW w:w="7393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9"/>
              <w:gridCol w:w="50"/>
              <w:gridCol w:w="6754"/>
            </w:tblGrid>
            <w:tr w:rsidR="00B156E7" w:rsidRPr="00FA3D8A" w14:paraId="590C7E2E" w14:textId="77777777" w:rsidTr="00511139">
              <w:tc>
                <w:tcPr>
                  <w:tcW w:w="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4CE5A21A" w14:textId="77777777" w:rsidR="00B156E7" w:rsidRPr="00FA3D8A" w:rsidRDefault="00B156E7" w:rsidP="007028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FA3D8A">
                    <w:rPr>
                      <w:rFonts w:ascii="Times New Roman" w:eastAsia="Times New Roman" w:hAnsi="Times New Roman" w:cs="Times New Roman"/>
                      <w:noProof/>
                      <w:color w:val="0056B3"/>
                      <w:sz w:val="24"/>
                      <w:szCs w:val="24"/>
                    </w:rPr>
                    <w:drawing>
                      <wp:inline distT="0" distB="0" distL="0" distR="0" wp14:anchorId="3AF15E0B" wp14:editId="58B1AE3A">
                        <wp:extent cx="257175" cy="228600"/>
                        <wp:effectExtent l="0" t="0" r="9525" b="0"/>
                        <wp:docPr id="18" name="Рисунок 18" descr="https://zakon.rada.gov.ua/laws/file/imgs/100/p478167n529v1-56.gif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zakon.rada.gov.ua/laws/file/imgs/100/p478167n529v1-56.gif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2088A700" w14:textId="77777777" w:rsidR="00B156E7" w:rsidRPr="00FA3D8A" w:rsidRDefault="00B156E7" w:rsidP="007028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7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357B5F87" w14:textId="77777777" w:rsidR="00B156E7" w:rsidRPr="00FA3D8A" w:rsidRDefault="00B156E7" w:rsidP="0051113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</w:pPr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дорівнює регуляторній амортизації на активи, створені на дату переходу до стимулюючого регулювання (</w:t>
                  </w:r>
                  <w:proofErr w:type="spellStart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bscript"/>
                    </w:rPr>
                    <w:t>о</w:t>
                  </w:r>
                  <w:proofErr w:type="spellEnd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), розрахованій згідно з Порядком визначення регуляторної бази активів. Якщо </w:t>
                  </w:r>
                  <w:proofErr w:type="spellStart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bscript"/>
                    </w:rPr>
                    <w:t>о</w:t>
                  </w:r>
                  <w:proofErr w:type="spellEnd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 перевищує рівень амортизації, врахований в діючих тарифах на дату переходу до стимулюючого регулювання, на величину понад 50 %, то </w:t>
                  </w:r>
                  <w:proofErr w:type="spellStart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proofErr w:type="spellEnd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 щорічно збільшується на 50 % (на перший рік - від рівня амортизації, врахованого в діючих тарифах на дату переходу до стимулюючого регулювання; на наступні роки - від рівня амортизації 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</w:rPr>
                    <w:t>А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bscript"/>
                    </w:rPr>
                    <w:t>t-1</w:t>
                  </w:r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, врахованого в тарифах попереднього року) до досягнення рівня </w:t>
                  </w:r>
                  <w:proofErr w:type="spellStart"/>
                  <w:r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Ао</w:t>
                  </w:r>
                  <w:proofErr w:type="spellEnd"/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(на 2023 рік амортизація на активи, створені на</w:t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noProof/>
                      <w:color w:val="212529"/>
                      <w:sz w:val="26"/>
                      <w:szCs w:val="26"/>
                    </w:rPr>
                    <w:drawing>
                      <wp:inline distT="0" distB="0" distL="0" distR="0" wp14:anchorId="3375C5EE" wp14:editId="483713A7">
                        <wp:extent cx="34290" cy="207010"/>
                        <wp:effectExtent l="0" t="0" r="3810" b="2540"/>
                        <wp:docPr id="30" name="Рисунок 30" descr="https://zakon.rada.gov.ua/laws/file/imgs/100/p478167n529v1-55.gif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zakon.rada.gov.ua/laws/file/imgs/100/p478167n529v1-55.gif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" cy="207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 дату переходу до стимулюючого регулювання (</w:t>
                  </w:r>
                  <w:proofErr w:type="spellStart"/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="00FF3433" w:rsidRPr="009F5671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</w:t>
                  </w:r>
                  <w:proofErr w:type="spellEnd"/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) не перевищує А</w:t>
                  </w:r>
                  <w:r w:rsidR="00FF3433" w:rsidRPr="009F5671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t-1</w:t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, враховану в тарифах 2022 року);</w:t>
                  </w:r>
                </w:p>
              </w:tc>
            </w:tr>
          </w:tbl>
          <w:p w14:paraId="4F519722" w14:textId="77777777" w:rsidR="00B156E7" w:rsidRDefault="00B156E7" w:rsidP="007028E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081FC6D3" w14:textId="77777777" w:rsidR="005B224B" w:rsidRDefault="005B224B" w:rsidP="007028EB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A3D8A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…………………………</w:t>
            </w:r>
          </w:p>
          <w:p w14:paraId="461B4D77" w14:textId="77777777" w:rsidR="00D86194" w:rsidRDefault="00D86194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381B559" w14:textId="77777777" w:rsidR="005523B2" w:rsidRDefault="005523B2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B50701E" w14:textId="77777777" w:rsidR="005523B2" w:rsidRDefault="005523B2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EC21A2F" w14:textId="77777777" w:rsidR="005523B2" w:rsidRPr="009149C7" w:rsidRDefault="005523B2" w:rsidP="00A45F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14:paraId="7F921866" w14:textId="11EEBC20" w:rsidR="005523B2" w:rsidRPr="006705C5" w:rsidRDefault="005523B2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32"/>
                <w:szCs w:val="28"/>
                <w:lang w:eastAsia="ru-RU"/>
              </w:rPr>
            </w:pPr>
          </w:p>
          <w:p w14:paraId="733638C9" w14:textId="0D343204" w:rsidR="00D51F66" w:rsidRDefault="00D51F66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7409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8"/>
              <w:gridCol w:w="33"/>
              <w:gridCol w:w="17"/>
              <w:gridCol w:w="67"/>
              <w:gridCol w:w="6577"/>
              <w:gridCol w:w="17"/>
            </w:tblGrid>
            <w:tr w:rsidR="00220400" w14:paraId="422C8598" w14:textId="77777777" w:rsidTr="001B5C09">
              <w:trPr>
                <w:gridAfter w:val="1"/>
                <w:wAfter w:w="17" w:type="dxa"/>
              </w:trPr>
              <w:tc>
                <w:tcPr>
                  <w:tcW w:w="7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2A26E453" w14:textId="6E91459D" w:rsidR="00220400" w:rsidRDefault="00282DAA" w:rsidP="00220400">
                  <w:pPr>
                    <w:pStyle w:val="rvps14"/>
                    <w:spacing w:before="150" w:beforeAutospacing="0" w:after="150" w:afterAutospacing="0"/>
                    <w:rPr>
                      <w:color w:val="333333"/>
                    </w:rPr>
                  </w:pPr>
                  <w:r>
                    <w:rPr>
                      <w:rStyle w:val="a5"/>
                      <w:noProof/>
                      <w:color w:val="000000"/>
                      <w:u w:val="none"/>
                    </w:rPr>
                    <w:drawing>
                      <wp:inline distT="0" distB="0" distL="0" distR="0" wp14:anchorId="562885F4" wp14:editId="6BA7CD76">
                        <wp:extent cx="446405" cy="226695"/>
                        <wp:effectExtent l="0" t="0" r="0" b="1905"/>
                        <wp:docPr id="66182865" name="Рисунок 9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266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31120857" w14:textId="21FADC7B" w:rsidR="00220400" w:rsidRDefault="001D19EE" w:rsidP="00220400">
                  <w:pPr>
                    <w:pStyle w:val="rvps12"/>
                    <w:spacing w:before="150" w:beforeAutospacing="0" w:after="150" w:afterAutospacing="0"/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 xml:space="preserve"> </w:t>
                  </w:r>
                </w:p>
              </w:tc>
              <w:tc>
                <w:tcPr>
                  <w:tcW w:w="65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1BD6B053" w14:textId="17361508" w:rsidR="00220400" w:rsidRDefault="00220400" w:rsidP="00282DAA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амортизація у році t-1 на активи, віднесені до категорії 1, які створені після переходу на стимулююче регулювання, що розраховується поквартально згідно з </w:t>
                  </w:r>
                  <w:hyperlink r:id="rId17" w:anchor="n316" w:history="1">
                    <w:r>
                      <w:rPr>
                        <w:rStyle w:val="a5"/>
                        <w:color w:val="000000"/>
                        <w:u w:val="none"/>
                      </w:rPr>
                      <w:t>додатком 9</w:t>
                    </w:r>
                  </w:hyperlink>
                  <w:r>
                    <w:rPr>
                      <w:color w:val="333333"/>
                    </w:rPr>
                    <w:t xml:space="preserve"> до цього Порядку, </w:t>
                  </w:r>
                  <w:proofErr w:type="spellStart"/>
                  <w:r>
                    <w:rPr>
                      <w:color w:val="333333"/>
                    </w:rPr>
                    <w:t>тис.</w:t>
                  </w:r>
                  <w:r w:rsidR="00FA5672">
                    <w:rPr>
                      <w:color w:val="333333"/>
                    </w:rPr>
                    <w:t>гр</w:t>
                  </w:r>
                  <w:r>
                    <w:rPr>
                      <w:color w:val="333333"/>
                    </w:rPr>
                    <w:t>рн</w:t>
                  </w:r>
                  <w:proofErr w:type="spellEnd"/>
                  <w:r>
                    <w:rPr>
                      <w:color w:val="333333"/>
                    </w:rPr>
                    <w:t>;</w:t>
                  </w:r>
                </w:p>
                <w:p w14:paraId="163714E8" w14:textId="77777777" w:rsidR="0008328F" w:rsidRDefault="0008328F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12520970" w14:textId="77777777" w:rsidR="00F51AE0" w:rsidRDefault="00F51AE0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5C0651C8" w14:textId="77777777" w:rsidR="0008328F" w:rsidRDefault="0008328F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2E2CA1DB" w14:textId="77777777" w:rsidR="00D4189B" w:rsidRDefault="00D4189B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67FBCE76" w14:textId="797C3C92" w:rsidR="00D4189B" w:rsidRPr="00D4189B" w:rsidRDefault="00D4189B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  <w:sz w:val="2"/>
                    </w:rPr>
                  </w:pPr>
                </w:p>
              </w:tc>
            </w:tr>
            <w:tr w:rsidR="00335C78" w14:paraId="2635E816" w14:textId="77777777" w:rsidTr="001B5C09"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410DF44E" w14:textId="77777777" w:rsidR="00335C78" w:rsidRDefault="003463FA" w:rsidP="00335C78">
                  <w:pPr>
                    <w:pStyle w:val="rvps14"/>
                    <w:spacing w:before="150" w:beforeAutospacing="0" w:after="150" w:afterAutospacing="0"/>
                    <w:rPr>
                      <w:color w:val="333333"/>
                    </w:rPr>
                  </w:pPr>
                  <w:hyperlink r:id="rId18" w:history="1">
                    <w:r w:rsidR="00335C78">
                      <w:rPr>
                        <w:color w:val="000000"/>
                      </w:rPr>
                      <w:br/>
                    </w:r>
                    <w:r w:rsidR="00335C78">
                      <w:rPr>
                        <w:rStyle w:val="a5"/>
                        <w:noProof/>
                        <w:color w:val="000000"/>
                        <w:u w:val="none"/>
                      </w:rPr>
                      <w:drawing>
                        <wp:inline distT="0" distB="0" distL="0" distR="0" wp14:anchorId="29CCE9A5" wp14:editId="352C2B72">
                          <wp:extent cx="381000" cy="193481"/>
                          <wp:effectExtent l="0" t="0" r="0" b="0"/>
                          <wp:docPr id="2048880247" name="Рисунок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4193" cy="1951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hyperlink>
                </w:p>
              </w:tc>
              <w:tc>
                <w:tcPr>
                  <w:tcW w:w="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4F62373E" w14:textId="77777777" w:rsidR="00335C78" w:rsidRDefault="00335C78" w:rsidP="00335C78">
                  <w:pPr>
                    <w:pStyle w:val="rvps12"/>
                    <w:spacing w:before="150" w:beforeAutospacing="0" w:after="150" w:afterAutospacing="0"/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-</w:t>
                  </w:r>
                </w:p>
              </w:tc>
              <w:tc>
                <w:tcPr>
                  <w:tcW w:w="66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05EE1660" w14:textId="77777777" w:rsidR="00335C78" w:rsidRDefault="00335C78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амортизація у році t-1 на активи, віднесені до категорії 2, які створені після переходу на стимулююче регулювання, що розраховується поквартально згідно з </w:t>
                  </w:r>
                  <w:hyperlink r:id="rId20" w:anchor="n316" w:history="1">
                    <w:r w:rsidRPr="00335C78">
                      <w:rPr>
                        <w:color w:val="333333"/>
                      </w:rPr>
                      <w:t>додатком 10</w:t>
                    </w:r>
                  </w:hyperlink>
                  <w:r>
                    <w:rPr>
                      <w:color w:val="333333"/>
                    </w:rPr>
                    <w:t> до цього Порядку, тис. грн;</w:t>
                  </w:r>
                </w:p>
                <w:p w14:paraId="19DD13FB" w14:textId="77777777" w:rsidR="0008328F" w:rsidRDefault="0008328F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7EB26043" w14:textId="77777777" w:rsidR="00F51AE0" w:rsidRDefault="00F51AE0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2A5F576F" w14:textId="4744F305" w:rsidR="00F51AE0" w:rsidRDefault="00F51AE0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51543303" w14:textId="3D5EF80F" w:rsidR="00937E6E" w:rsidRPr="005559E2" w:rsidRDefault="00937E6E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  <w:sz w:val="16"/>
                    </w:rPr>
                  </w:pPr>
                </w:p>
              </w:tc>
            </w:tr>
            <w:tr w:rsidR="00335C78" w14:paraId="2E99121B" w14:textId="77777777" w:rsidTr="001B5C09">
              <w:trPr>
                <w:gridAfter w:val="1"/>
                <w:wAfter w:w="17" w:type="dxa"/>
              </w:trPr>
              <w:tc>
                <w:tcPr>
                  <w:tcW w:w="7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7D156057" w14:textId="77777777" w:rsidR="00335C78" w:rsidRDefault="003463FA" w:rsidP="00335C78">
                  <w:pPr>
                    <w:pStyle w:val="rvps14"/>
                    <w:spacing w:before="150" w:beforeAutospacing="0" w:after="150" w:afterAutospacing="0"/>
                    <w:rPr>
                      <w:color w:val="333333"/>
                    </w:rPr>
                  </w:pPr>
                  <w:hyperlink r:id="rId21" w:history="1">
                    <w:r w:rsidR="00335C78">
                      <w:rPr>
                        <w:color w:val="000000"/>
                      </w:rPr>
                      <w:br/>
                    </w:r>
                    <w:r w:rsidR="00335C78">
                      <w:rPr>
                        <w:rStyle w:val="a5"/>
                        <w:noProof/>
                        <w:color w:val="000000"/>
                        <w:u w:val="none"/>
                      </w:rPr>
                      <w:drawing>
                        <wp:inline distT="0" distB="0" distL="0" distR="0" wp14:anchorId="7A8B7958" wp14:editId="53BB295E">
                          <wp:extent cx="446405" cy="226695"/>
                          <wp:effectExtent l="0" t="0" r="0" b="1905"/>
                          <wp:docPr id="1157721168" name="Рисунок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6405" cy="226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hyperlink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381DED55" w14:textId="77777777" w:rsidR="00335C78" w:rsidRDefault="00335C78" w:rsidP="00335C78">
                  <w:pPr>
                    <w:pStyle w:val="rvps12"/>
                    <w:spacing w:before="150" w:beforeAutospacing="0" w:after="150" w:afterAutospacing="0"/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-</w:t>
                  </w:r>
                </w:p>
              </w:tc>
              <w:tc>
                <w:tcPr>
                  <w:tcW w:w="65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6F2695F1" w14:textId="77777777" w:rsidR="00335C78" w:rsidRDefault="00335C78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амортизація у році t-1 на активи, віднесені до категорії 3, які отримані після переходу до стимулюючого регулювання, що розраховується поквартально згідно з </w:t>
                  </w:r>
                  <w:hyperlink r:id="rId23" w:anchor="n316" w:history="1">
                    <w:r w:rsidRPr="00335C78">
                      <w:rPr>
                        <w:color w:val="333333"/>
                      </w:rPr>
                      <w:t>додатком 11</w:t>
                    </w:r>
                  </w:hyperlink>
                  <w:r>
                    <w:rPr>
                      <w:color w:val="333333"/>
                    </w:rPr>
                    <w:t> до цього Порядку, тис. грн;</w:t>
                  </w:r>
                </w:p>
                <w:p w14:paraId="1DB11893" w14:textId="77777777" w:rsidR="00335C78" w:rsidRDefault="00335C78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18E92859" w14:textId="77777777" w:rsidR="00D4189B" w:rsidRDefault="00D4189B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324E461F" w14:textId="77777777" w:rsidR="00D4189B" w:rsidRDefault="00D4189B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  <w:p w14:paraId="36532401" w14:textId="7EA59B93" w:rsidR="00937E6E" w:rsidRDefault="00937E6E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</w:tc>
            </w:tr>
            <w:tr w:rsidR="00335C78" w14:paraId="701287C3" w14:textId="77777777" w:rsidTr="001B5C09">
              <w:trPr>
                <w:gridAfter w:val="1"/>
                <w:wAfter w:w="17" w:type="dxa"/>
              </w:trPr>
              <w:tc>
                <w:tcPr>
                  <w:tcW w:w="7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4158642F" w14:textId="77777777" w:rsidR="00335C78" w:rsidRDefault="003463FA" w:rsidP="00335C78">
                  <w:pPr>
                    <w:pStyle w:val="rvps14"/>
                    <w:spacing w:before="150" w:beforeAutospacing="0" w:after="150" w:afterAutospacing="0"/>
                    <w:rPr>
                      <w:color w:val="333333"/>
                    </w:rPr>
                  </w:pPr>
                  <w:hyperlink r:id="rId24" w:history="1">
                    <w:r w:rsidR="00335C78">
                      <w:rPr>
                        <w:color w:val="000000"/>
                      </w:rPr>
                      <w:br/>
                    </w:r>
                    <w:r w:rsidR="00335C78">
                      <w:rPr>
                        <w:rStyle w:val="a5"/>
                        <w:noProof/>
                        <w:color w:val="000000"/>
                        <w:u w:val="none"/>
                      </w:rPr>
                      <w:drawing>
                        <wp:inline distT="0" distB="0" distL="0" distR="0" wp14:anchorId="4E2ED37D" wp14:editId="7574422A">
                          <wp:extent cx="446405" cy="226695"/>
                          <wp:effectExtent l="0" t="0" r="0" b="1905"/>
                          <wp:docPr id="1307388668" name="Рисунок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6405" cy="226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hyperlink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770838C3" w14:textId="77777777" w:rsidR="00335C78" w:rsidRDefault="00335C78" w:rsidP="00335C78">
                  <w:pPr>
                    <w:pStyle w:val="rvps12"/>
                    <w:spacing w:before="150" w:beforeAutospacing="0" w:after="150" w:afterAutospacing="0"/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-</w:t>
                  </w:r>
                </w:p>
              </w:tc>
              <w:tc>
                <w:tcPr>
                  <w:tcW w:w="65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11767AF1" w14:textId="13A271D0" w:rsidR="00335C78" w:rsidRDefault="00335C78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амортизація у році t-1 на активи, віднесені до категорії 4, які створені після переходу до стимулюючого регулювання, що розраховується поквартально згідно з</w:t>
                  </w:r>
                  <w:r w:rsidR="003707A6">
                    <w:rPr>
                      <w:color w:val="333333"/>
                    </w:rPr>
                    <w:t xml:space="preserve"> </w:t>
                  </w:r>
                  <w:hyperlink r:id="rId26" w:anchor="n316" w:history="1">
                    <w:r w:rsidRPr="00335C78">
                      <w:rPr>
                        <w:color w:val="333333"/>
                      </w:rPr>
                      <w:t>додатком 12</w:t>
                    </w:r>
                  </w:hyperlink>
                  <w:r w:rsidR="003707A6">
                    <w:rPr>
                      <w:color w:val="333333"/>
                    </w:rPr>
                    <w:t xml:space="preserve"> </w:t>
                  </w:r>
                  <w:r>
                    <w:rPr>
                      <w:color w:val="333333"/>
                    </w:rPr>
                    <w:t>до цього Порядку, тис. грн.</w:t>
                  </w:r>
                </w:p>
                <w:p w14:paraId="09572AD3" w14:textId="77777777" w:rsidR="00335C78" w:rsidRDefault="00335C78" w:rsidP="00335C7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color w:val="333333"/>
                    </w:rPr>
                  </w:pPr>
                </w:p>
              </w:tc>
            </w:tr>
          </w:tbl>
          <w:p w14:paraId="11EF3D01" w14:textId="77777777" w:rsidR="00220400" w:rsidRDefault="00220400" w:rsidP="00734AB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14:paraId="2203F7E7" w14:textId="77777777" w:rsidR="00C33331" w:rsidRPr="00511139" w:rsidRDefault="00C33331" w:rsidP="005A7CED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796" w:type="dxa"/>
          </w:tcPr>
          <w:p w14:paraId="0D4A16AA" w14:textId="77777777" w:rsidR="00335C78" w:rsidRPr="006546AE" w:rsidRDefault="00335C78" w:rsidP="00335C78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lastRenderedPageBreak/>
              <w:t>Глава 5</w:t>
            </w:r>
          </w:p>
          <w:p w14:paraId="6E541EA5" w14:textId="77777777" w:rsidR="00335C78" w:rsidRPr="00FA3D8A" w:rsidRDefault="00335C78" w:rsidP="00335C78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FA3D8A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………………………………</w:t>
            </w:r>
          </w:p>
          <w:p w14:paraId="2C288432" w14:textId="77777777" w:rsidR="00335C78" w:rsidRPr="00FA5672" w:rsidRDefault="00335C78" w:rsidP="00335C78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FA5672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пункт 5.12.</w:t>
            </w:r>
          </w:p>
          <w:p w14:paraId="29644D81" w14:textId="4DD171C6" w:rsidR="00335C78" w:rsidRPr="004767B4" w:rsidRDefault="00335C78" w:rsidP="00335C78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  <w:tbl>
            <w:tblPr>
              <w:tblW w:w="498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50"/>
              <w:gridCol w:w="7450"/>
            </w:tblGrid>
            <w:tr w:rsidR="00335C78" w:rsidRPr="004767B4" w14:paraId="2190DFE5" w14:textId="77777777" w:rsidTr="00F51AE0"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07FE1174" w14:textId="4B3AB863" w:rsidR="00335C78" w:rsidRPr="004767B4" w:rsidRDefault="00335C78" w:rsidP="00335C78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38F03C79" w14:textId="77777777" w:rsidR="00335C78" w:rsidRPr="004767B4" w:rsidRDefault="00335C78" w:rsidP="00335C78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  <w:t>-</w:t>
                  </w:r>
                </w:p>
              </w:tc>
              <w:bookmarkStart w:id="2" w:name="_Hlk115116547"/>
              <w:tc>
                <w:tcPr>
                  <w:tcW w:w="7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734CC3AC" w14:textId="4E1867BE" w:rsidR="00335C78" w:rsidRPr="00FA5672" w:rsidRDefault="003463FA" w:rsidP="00335C7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212529"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212529"/>
                            <w:sz w:val="26"/>
                            <w:szCs w:val="26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212529"/>
                            <w:sz w:val="26"/>
                            <w:szCs w:val="26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212529"/>
                            <w:sz w:val="26"/>
                            <w:szCs w:val="26"/>
                          </w:rPr>
                          <m:t>ст</m:t>
                        </m:r>
                      </m:sup>
                    </m:sSubSup>
                  </m:oMath>
                  <w:r w:rsidR="00F51AE0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- 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дорівнює регуляторній амортизації на активи, створені на дату переходу до стимулюючого регулювання (</w:t>
                  </w:r>
                  <w:proofErr w:type="spellStart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Ао</w:t>
                  </w:r>
                  <w:proofErr w:type="spellEnd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), розрахованій згідно з Порядком визначення регуляторної бази активів. Якщо </w:t>
                  </w:r>
                  <w:proofErr w:type="spellStart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="00335C78" w:rsidRPr="00386416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о</w:t>
                  </w:r>
                  <w:proofErr w:type="spellEnd"/>
                  <w:r w:rsidR="00386416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перевищує рівень амортизації, врахований в діючих тарифах на дату переходу до стимулюючого регулювання, на величину понад 50 %, то </w:t>
                  </w:r>
                  <w:proofErr w:type="spellStart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="00335C78" w:rsidRPr="00386416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proofErr w:type="spellEnd"/>
                  <w:r w:rsidR="00386416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щорічно збільшується на 50 % (на перший рік - від рівня амортизації, врахованого в діючих тарифах на дату переходу до стимулюючого регулювання; на наступні роки - від рівня амортизації  А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t-1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, врахованого в тарифах попереднього року) до досягнення рівня </w:t>
                  </w:r>
                  <w:proofErr w:type="spellStart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Ао</w:t>
                  </w:r>
                  <w:proofErr w:type="spellEnd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(</w:t>
                  </w:r>
                  <w:bookmarkStart w:id="3" w:name="_Hlk115116534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на 2023</w:t>
                  </w:r>
                  <w:r w:rsidR="00335C78" w:rsidRPr="004767B4">
                    <w:rPr>
                      <w:rFonts w:ascii="Times New Roman" w:hAnsi="Times New Roman" w:cs="Times New Roman"/>
                      <w:color w:val="4472C4" w:themeColor="accent1"/>
                      <w:sz w:val="26"/>
                      <w:szCs w:val="26"/>
                    </w:rPr>
                    <w:t xml:space="preserve"> </w:t>
                  </w:r>
                  <w:r w:rsidR="00335C78" w:rsidRPr="001B7DE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та 2024 роки</w:t>
                  </w:r>
                  <w:r w:rsidR="00734AB1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, </w:t>
                  </w:r>
                  <w:r w:rsidR="00335C78" w:rsidRPr="00FA5672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амортизація 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на активи, створені на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noProof/>
                      <w:color w:val="212529"/>
                      <w:sz w:val="26"/>
                      <w:szCs w:val="26"/>
                    </w:rPr>
                    <w:drawing>
                      <wp:inline distT="0" distB="0" distL="0" distR="0" wp14:anchorId="1DD408BE" wp14:editId="6A601EFD">
                        <wp:extent cx="34290" cy="207010"/>
                        <wp:effectExtent l="0" t="0" r="3810" b="2540"/>
                        <wp:docPr id="42" name="Рисунок 42" descr="https://zakon.rada.gov.ua/laws/file/imgs/100/p478167n529v1-55.gif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zakon.rada.gov.ua/laws/file/imgs/100/p478167n529v1-55.gif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" cy="207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 дату переходу до стимулюючого регулювання (</w:t>
                  </w:r>
                  <w:proofErr w:type="spellStart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="00335C78" w:rsidRPr="009F5671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</w:t>
                  </w:r>
                  <w:proofErr w:type="spellEnd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) не перевищує </w:t>
                  </w:r>
                  <w:proofErr w:type="spellStart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Аст</w:t>
                  </w:r>
                  <w:proofErr w:type="spellEnd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t-1</w:t>
                  </w:r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, враховану в тарифах </w:t>
                  </w:r>
                  <w:bookmarkStart w:id="4" w:name="_Hlk147908257"/>
                  <w:r w:rsidR="00335C78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2022 </w:t>
                  </w:r>
                  <w:r w:rsidR="00335C78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та 2023 років</w:t>
                  </w:r>
                  <w:r w:rsidR="004D4DD5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відповідно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, 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крім ліцензіатів, перелік яких наведено у додатку до постанови НКРЕ</w:t>
                  </w:r>
                  <w:r w:rsidR="004D4DD5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від</w:t>
                  </w:r>
                  <w:r w:rsidR="004D4DD5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 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23</w:t>
                  </w:r>
                  <w:r w:rsidR="004D4DD5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 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липня 2013</w:t>
                  </w:r>
                  <w:r w:rsidR="004D4DD5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 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року №</w:t>
                  </w:r>
                  <w:r w:rsidR="004D4DD5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> 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 xml:space="preserve">1009 «Про встановлення параметрів регулювання, що мають довгостроковий строк дії, для цілей стимулюючого регулювання», </w:t>
                  </w:r>
                  <w:r w:rsidR="00D51F66" w:rsidRPr="00FA567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зареєстрованої в Міністерстві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r w:rsidR="00D51F66" w:rsidRPr="00FA567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юстиції України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r w:rsidR="00D51F66" w:rsidRPr="00FA5672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 липня 2013 року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r w:rsidR="00D51F66" w:rsidRPr="00FA567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за </w:t>
                  </w:r>
                  <w:r w:rsidR="00D51F66" w:rsidRPr="00FA5672"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№ 1266/23798 (далі – Постанова </w:t>
                  </w:r>
                  <w:r w:rsidR="00E776F1" w:rsidRPr="00FA567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 встановлення параметрів регулювання</w:t>
                  </w:r>
                  <w:r w:rsidR="00D51F66" w:rsidRPr="00FA5672">
                    <w:rPr>
                      <w:rFonts w:ascii="Times New Roman" w:hAnsi="Times New Roman" w:cs="Times New Roman"/>
                      <w:sz w:val="26"/>
                      <w:szCs w:val="26"/>
                    </w:rPr>
                    <w:t>),</w:t>
                  </w:r>
                  <w:bookmarkEnd w:id="2"/>
                  <w:bookmarkEnd w:id="3"/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 xml:space="preserve"> для яких </w:t>
                  </w:r>
                  <w:r w:rsidR="00D51F66" w:rsidRPr="00FA5672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shd w:val="clear" w:color="auto" w:fill="FFFFFF"/>
                    </w:rPr>
                    <w:t xml:space="preserve">на 2024 рік 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 xml:space="preserve">амортизація на активи, створені 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lastRenderedPageBreak/>
                    <w:t>на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noProof/>
                      <w:sz w:val="26"/>
                      <w:szCs w:val="26"/>
                    </w:rPr>
                    <w:drawing>
                      <wp:inline distT="0" distB="0" distL="0" distR="0" wp14:anchorId="72D26DEA" wp14:editId="0DCFADBC">
                        <wp:extent cx="34290" cy="207010"/>
                        <wp:effectExtent l="0" t="0" r="3810" b="2540"/>
                        <wp:docPr id="1256726946" name="Рисунок 1256726946" descr="https://zakon.rada.gov.ua/laws/file/imgs/100/p478167n529v1-55.gif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zakon.rada.gov.ua/laws/file/imgs/100/p478167n529v1-55.gif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" cy="207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>дату переходу до стимулюючого регулювання</w:t>
                  </w:r>
                  <w:r w:rsidR="004D4DD5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>,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 xml:space="preserve"> (</w:t>
                  </w:r>
                  <w:proofErr w:type="spellStart"/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>А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vertAlign w:val="superscript"/>
                    </w:rPr>
                    <w:t>ст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vertAlign w:val="subscript"/>
                    </w:rPr>
                    <w:t>t</w:t>
                  </w:r>
                  <w:proofErr w:type="spellEnd"/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 xml:space="preserve">) фіксується на рівні </w:t>
                  </w:r>
                  <w:proofErr w:type="spellStart"/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>А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vertAlign w:val="superscript"/>
                    </w:rPr>
                    <w:t>ст</w:t>
                  </w:r>
                  <w:proofErr w:type="spellEnd"/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vertAlign w:val="subscript"/>
                    </w:rPr>
                    <w:t>t-1</w:t>
                  </w:r>
                  <w:r w:rsidR="00D51F66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>, врахованої в діючих тарифах)</w:t>
                  </w:r>
                  <w:bookmarkEnd w:id="4"/>
                  <w:r w:rsidR="0037493A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>;</w:t>
                  </w:r>
                </w:p>
                <w:p w14:paraId="4F7FFDE0" w14:textId="68FACBEB" w:rsidR="00F51AE0" w:rsidRPr="00FA5672" w:rsidRDefault="003463FA" w:rsidP="00F51AE0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sz w:val="26"/>
                            <w:szCs w:val="26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6"/>
                            <w:szCs w:val="26"/>
                          </w:rPr>
                          <m:t>t-1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sz w:val="26"/>
                            <w:szCs w:val="26"/>
                          </w:rPr>
                          <m:t>нов 1</m:t>
                        </m:r>
                      </m:sup>
                    </m:sSubSup>
                  </m:oMath>
                  <w:r w:rsidR="00F51AE0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 xml:space="preserve"> - 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амортизація у році t-1 на активи, віднесені до категорії 1, які створені після переходу на стимулююче регулювання, що розраховується поквартально згідно з </w:t>
                  </w:r>
                  <w:hyperlink r:id="rId27" w:anchor="n316" w:history="1">
                    <w:r w:rsidR="00F51AE0" w:rsidRPr="00FA5672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uk-UA"/>
                      </w:rPr>
                      <w:t>додатком 9</w:t>
                    </w:r>
                  </w:hyperlink>
                  <w:r w:rsidR="00F51AE0" w:rsidRPr="00FA56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до цього Порядку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 </w:t>
                  </w:r>
                  <w:bookmarkStart w:id="5" w:name="_Hlk147908389"/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(</w:t>
                  </w:r>
                  <w:r w:rsidR="00F51AE0" w:rsidRPr="00FA5672">
                    <w:rPr>
                      <w:rFonts w:ascii="Times New Roman" w:hAnsi="Times New Roman" w:cs="Times New Roman"/>
                      <w:b/>
                      <w:sz w:val="26"/>
                      <w:szCs w:val="26"/>
                      <w:shd w:val="clear" w:color="auto" w:fill="FFFFFF"/>
                    </w:rPr>
                    <w:t xml:space="preserve">крім ліцензіатів, перелік яких наведено у додатку до Постанови </w:t>
                  </w:r>
                  <w:r w:rsidR="00F51AE0" w:rsidRPr="00FA567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про встановлення параметрів регулювання,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для яких </w:t>
                  </w:r>
                  <w:r w:rsidR="00B124B9" w:rsidRPr="00FA567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на 2024 рік 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амортизація у році t-1 на активи, віднесені до категорії 1, які створені після переходу на стимулююче регулювання, 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фіксується на рівні, враховано</w:t>
                  </w:r>
                  <w:r w:rsidR="00662048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му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 у діючих тарифах)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, </w:t>
                  </w:r>
                  <w:bookmarkEnd w:id="5"/>
                  <w:r w:rsidR="00F51AE0" w:rsidRPr="00FA56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тис. грн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.</w:t>
                  </w:r>
                </w:p>
                <w:p w14:paraId="2EE2468C" w14:textId="77777777" w:rsidR="00F51AE0" w:rsidRPr="00FA5672" w:rsidRDefault="00F51AE0" w:rsidP="00F51AE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6DAD4673" w14:textId="04F4008F" w:rsidR="00F51AE0" w:rsidRPr="00FA5672" w:rsidRDefault="00FE32AB" w:rsidP="00F51AE0">
                  <w:pPr>
                    <w:jc w:val="both"/>
                    <w:rPr>
                      <w:rFonts w:ascii="Times New Roman" w:hAnsi="Times New Roman" w:cs="Times New Roman"/>
                      <w:noProof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pict w14:anchorId="468E8E20">
                      <v:shape id="Рисунок 2032231561" o:spid="_x0000_i1026" type="#_x0000_t75" style="width:30pt;height:15pt;visibility:visible;mso-wrap-style:square">
                        <v:imagedata r:id="rId28" o:title=""/>
                      </v:shape>
                    </w:pic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 xml:space="preserve"> - </w:t>
                  </w:r>
                  <w:r w:rsidR="00F51AE0" w:rsidRPr="00FA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амортизація у році t-1 на активи, віднесені до категорії 2, які створені після переходу на стимулююче регулювання, що розраховується поквартально згідно з </w:t>
                  </w:r>
                  <w:hyperlink r:id="rId29" w:anchor="n316" w:history="1">
                    <w:r w:rsidR="00F51AE0" w:rsidRPr="00FA567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додатком 10</w:t>
                    </w:r>
                  </w:hyperlink>
                  <w:r w:rsidR="00F51AE0" w:rsidRPr="00FA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 до цього Порядку </w:t>
                  </w:r>
                  <w:bookmarkStart w:id="6" w:name="_Hlk147908449"/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(</w:t>
                  </w:r>
                  <w:r w:rsidR="00F51AE0" w:rsidRPr="00FA56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крім ліцензіатів, перелік яких наведено у додатку до Постанови </w:t>
                  </w:r>
                  <w:r w:rsidR="00F51AE0" w:rsidRPr="00FA56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 встановлення параметрів регулювання,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для яких </w:t>
                  </w:r>
                  <w:r w:rsidR="00B124B9" w:rsidRPr="00FA567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на 2024 рік 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амортизація у році t-1 на активи, віднесені до категорії </w:t>
                  </w:r>
                  <w:r w:rsidR="00B124B9" w:rsidRPr="00FA567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2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, які створені після переходу на стимулююче регулювання,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 фіксується на рівні, враховано</w:t>
                  </w:r>
                  <w:r w:rsidR="00662048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му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 у діючих тарифах)</w:t>
                  </w:r>
                  <w:bookmarkEnd w:id="6"/>
                  <w:r w:rsidR="00F51AE0" w:rsidRPr="00FA56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, тис. грн</w:t>
                  </w:r>
                  <w:r w:rsidR="00F51AE0" w:rsidRPr="00FA56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.</w:t>
                  </w:r>
                </w:p>
                <w:p w14:paraId="048C366D" w14:textId="2B74A0EA" w:rsidR="00F51AE0" w:rsidRPr="00F51AE0" w:rsidRDefault="00F51AE0" w:rsidP="00335C7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FF0000"/>
                      <w:sz w:val="26"/>
                      <w:szCs w:val="26"/>
                    </w:rPr>
                  </w:pPr>
                </w:p>
                <w:p w14:paraId="5CDC20CC" w14:textId="7B5D40C2" w:rsidR="00F51AE0" w:rsidRDefault="003463FA" w:rsidP="00335C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t-1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нов 3</m:t>
                        </m:r>
                      </m:sup>
                    </m:sSubSup>
                  </m:oMath>
                  <w:r w:rsidR="00B124B9">
                    <w:rPr>
                      <w:rFonts w:ascii="Times New Roman" w:eastAsiaTheme="minorEastAsia" w:hAnsi="Times New Roman" w:cs="Times New Roman"/>
                      <w:color w:val="4472C4" w:themeColor="accent1"/>
                      <w:sz w:val="26"/>
                      <w:szCs w:val="26"/>
                    </w:rPr>
                    <w:t xml:space="preserve"> </w:t>
                  </w:r>
                  <w:r w:rsidR="00B124B9">
                    <w:rPr>
                      <w:rFonts w:ascii="Times New Roman" w:hAnsi="Times New Roman" w:cs="Times New Roman"/>
                      <w:color w:val="4472C4" w:themeColor="accent1"/>
                      <w:sz w:val="26"/>
                      <w:szCs w:val="26"/>
                    </w:rPr>
                    <w:t xml:space="preserve">- </w:t>
                  </w:r>
                  <w:r w:rsidR="00B124B9" w:rsidRPr="00B124B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амортизація у році t-1 на активи, віднесені до категорії 3, які отримані </w:t>
                  </w:r>
                  <w:r w:rsidR="00B124B9" w:rsidRPr="001D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після переходу до стимулюючого регулювання, що розраховується поквартально згідно з </w:t>
                  </w:r>
                  <w:hyperlink r:id="rId30" w:anchor="n316" w:history="1">
                    <w:r w:rsidR="00B124B9" w:rsidRPr="001D1AA4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додатком 11</w:t>
                    </w:r>
                  </w:hyperlink>
                  <w:r w:rsidR="00B124B9" w:rsidRPr="001D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 до цього Порядку </w:t>
                  </w:r>
                  <w:bookmarkStart w:id="7" w:name="_Hlk147908502"/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(</w:t>
                  </w:r>
                  <w:r w:rsidR="00B124B9" w:rsidRPr="001D1AA4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крім ліцензіатів, перелік яких наведено у додатку до Постанови </w:t>
                  </w:r>
                  <w:r w:rsidR="00B124B9" w:rsidRPr="001D1A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 встановлення параметрів регулювання,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для яких на 2024 рік  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амортизація у році t-1 на активи, віднесені до категорії 3, які 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lastRenderedPageBreak/>
                    <w:t xml:space="preserve">створені після переходу на стимулююче регулювання, 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фіксується на рівні, враховано</w:t>
                  </w:r>
                  <w:r w:rsidR="00662048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му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 у діючих тарифах)</w:t>
                  </w:r>
                  <w:bookmarkEnd w:id="7"/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, </w:t>
                  </w:r>
                  <w:r w:rsidR="00B124B9" w:rsidRPr="001D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тис. грн;</w:t>
                  </w:r>
                </w:p>
                <w:p w14:paraId="438A41AC" w14:textId="77777777" w:rsidR="005559E2" w:rsidRPr="001D1AA4" w:rsidRDefault="005559E2" w:rsidP="00335C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33D4BC7" w14:textId="257A3D03" w:rsidR="00335C78" w:rsidRPr="00B124B9" w:rsidRDefault="003463FA" w:rsidP="00B124B9">
                  <w:pPr>
                    <w:jc w:val="both"/>
                    <w:rPr>
                      <w:rFonts w:ascii="Times New Roman" w:hAnsi="Times New Roman" w:cs="Times New Roman"/>
                      <w:color w:val="538135" w:themeColor="accent6" w:themeShade="BF"/>
                      <w:sz w:val="24"/>
                      <w:szCs w:val="24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t-1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нов 4</m:t>
                        </m:r>
                      </m:sup>
                    </m:sSubSup>
                  </m:oMath>
                  <w:r w:rsidR="00B124B9" w:rsidRPr="001D1AA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124B9" w:rsidRPr="001D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амортизація у році t-1 на активи, віднесені до категорії 4, які створені після переходу до стимулюючого регулювання, що розраховується поквартально згідно з</w:t>
                  </w:r>
                  <w:r w:rsidR="0037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hyperlink r:id="rId31" w:anchor="n316" w:history="1">
                    <w:r w:rsidR="00B124B9" w:rsidRPr="001D1AA4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додатком 12</w:t>
                    </w:r>
                  </w:hyperlink>
                  <w:r w:rsidR="0037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124B9" w:rsidRPr="001D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 цього Порядку </w:t>
                  </w:r>
                  <w:bookmarkStart w:id="8" w:name="_Hlk147908554"/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(</w:t>
                  </w:r>
                  <w:r w:rsidR="00B124B9" w:rsidRPr="001D1AA4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крім ліцензіатів, перелік яких наведено у додатку до Постанови </w:t>
                  </w:r>
                  <w:r w:rsidR="00B124B9" w:rsidRPr="001D1A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 встановлення параметрів регулювання,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для яких на 2024 рік 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амортизація у році t-1 на активи, віднесені до категорії 4, які створені після переходу на стимулююче регулювання, 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фіксується на рівні, </w:t>
                  </w:r>
                  <w:r w:rsidR="00662048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врахованому </w:t>
                  </w:r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у діючих тарифах)</w:t>
                  </w:r>
                  <w:bookmarkEnd w:id="8"/>
                  <w:r w:rsidR="00B124B9" w:rsidRPr="001D1A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 xml:space="preserve">, </w:t>
                  </w:r>
                  <w:r w:rsidR="00B124B9" w:rsidRPr="001D1A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тис. грн.</w:t>
                  </w:r>
                </w:p>
              </w:tc>
            </w:tr>
          </w:tbl>
          <w:p w14:paraId="4DEA1C6C" w14:textId="77777777" w:rsidR="006B52FD" w:rsidRPr="005A7CED" w:rsidRDefault="006B52FD" w:rsidP="00727558">
            <w:pPr>
              <w:ind w:hanging="11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5962" w:rsidRPr="003D580E" w14:paraId="4DBAEEB0" w14:textId="77777777" w:rsidTr="00C86283">
        <w:tc>
          <w:tcPr>
            <w:tcW w:w="7650" w:type="dxa"/>
            <w:shd w:val="clear" w:color="auto" w:fill="auto"/>
          </w:tcPr>
          <w:p w14:paraId="2C0364DA" w14:textId="77777777" w:rsidR="00DC5962" w:rsidRDefault="00DC5962" w:rsidP="009149C7">
            <w:pPr>
              <w:pStyle w:val="rvps2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8.3. Тариф на послуги з розподілу електричної енергії для споживачів та операторів установок зберігання енергії 1 класу напруги розраховується за формулою</w:t>
            </w:r>
          </w:p>
          <w:p w14:paraId="1940C21C" w14:textId="77777777" w:rsidR="00DC5962" w:rsidRDefault="00DC5962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  <w:shd w:val="clear" w:color="auto" w:fill="F0F0F0"/>
              </w:rPr>
            </w:pPr>
            <w:bookmarkStart w:id="9" w:name="n572"/>
            <w:bookmarkEnd w:id="9"/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5"/>
              <w:gridCol w:w="589"/>
              <w:gridCol w:w="199"/>
              <w:gridCol w:w="5815"/>
              <w:gridCol w:w="476"/>
            </w:tblGrid>
            <w:tr w:rsidR="00DC5962" w14:paraId="5B33A2BA" w14:textId="77777777" w:rsidTr="00C86283">
              <w:tc>
                <w:tcPr>
                  <w:tcW w:w="12000" w:type="dxa"/>
                  <w:gridSpan w:val="4"/>
                  <w:hideMark/>
                </w:tcPr>
                <w:p w14:paraId="64636783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bookmarkStart w:id="10" w:name="n358"/>
                  <w:bookmarkEnd w:id="10"/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06799CA" wp14:editId="7183A0F6">
                        <wp:extent cx="2640965" cy="402590"/>
                        <wp:effectExtent l="0" t="0" r="6985" b="0"/>
                        <wp:docPr id="572524961" name="Рисунок 9">
                          <a:hlinkClick xmlns:a="http://schemas.openxmlformats.org/drawingml/2006/main" r:id="rId3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>
                                  <a:hlinkClick r:id="rId3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096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10" w:type="dxa"/>
                  <w:hideMark/>
                </w:tcPr>
                <w:p w14:paraId="54870765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(39)</w:t>
                  </w:r>
                </w:p>
              </w:tc>
            </w:tr>
            <w:tr w:rsidR="00DC5962" w14:paraId="73092CF2" w14:textId="77777777" w:rsidTr="00C86283">
              <w:tc>
                <w:tcPr>
                  <w:tcW w:w="600" w:type="dxa"/>
                  <w:hideMark/>
                </w:tcPr>
                <w:p w14:paraId="66F6AF21" w14:textId="77777777" w:rsidR="00DC5962" w:rsidRDefault="00DC5962" w:rsidP="00DC5962">
                  <w:pPr>
                    <w:pStyle w:val="rvps11"/>
                    <w:spacing w:before="150" w:beforeAutospacing="0" w:after="150" w:afterAutospacing="0"/>
                    <w:jc w:val="right"/>
                  </w:pPr>
                  <w:bookmarkStart w:id="11" w:name="n305"/>
                  <w:bookmarkEnd w:id="11"/>
                  <w:r>
                    <w:t>де</w:t>
                  </w:r>
                </w:p>
              </w:tc>
              <w:tc>
                <w:tcPr>
                  <w:tcW w:w="1005" w:type="dxa"/>
                  <w:hideMark/>
                </w:tcPr>
                <w:p w14:paraId="20A984F8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1C3019D" wp14:editId="1121D4CE">
                        <wp:extent cx="197485" cy="255905"/>
                        <wp:effectExtent l="0" t="0" r="0" b="0"/>
                        <wp:docPr id="254312767" name="Рисунок 8">
                          <a:hlinkClick xmlns:a="http://schemas.openxmlformats.org/drawingml/2006/main" r:id="rId3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>
                                  <a:hlinkClick r:id="rId3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748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" w:type="dxa"/>
                  <w:hideMark/>
                </w:tcPr>
                <w:p w14:paraId="225EDADD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7455" w:type="dxa"/>
                  <w:gridSpan w:val="2"/>
                  <w:hideMark/>
                </w:tcPr>
                <w:p w14:paraId="2BFF0FAD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тариф на послуги з розподілу електричної енергії для споживачів та операторів установок зберігання енергії 1 класу напруги, грн/</w:t>
                  </w:r>
                  <w:proofErr w:type="spellStart"/>
                  <w:r>
                    <w:t>МВт·год</w:t>
                  </w:r>
                  <w:proofErr w:type="spellEnd"/>
                  <w:r>
                    <w:t>;</w:t>
                  </w:r>
                </w:p>
              </w:tc>
            </w:tr>
            <w:tr w:rsidR="00DC5962" w14:paraId="373776A6" w14:textId="77777777" w:rsidTr="00C86283">
              <w:tc>
                <w:tcPr>
                  <w:tcW w:w="9390" w:type="dxa"/>
                  <w:gridSpan w:val="5"/>
                  <w:hideMark/>
                </w:tcPr>
                <w:p w14:paraId="420E3C98" w14:textId="77777777" w:rsidR="00DC5962" w:rsidRDefault="00DC5962" w:rsidP="00DC5962">
                  <w:pPr>
                    <w:pStyle w:val="rvps2"/>
                    <w:spacing w:before="0" w:beforeAutospacing="0" w:after="150" w:afterAutospacing="0"/>
                    <w:ind w:firstLine="450"/>
                    <w:jc w:val="both"/>
                  </w:pPr>
                </w:p>
              </w:tc>
            </w:tr>
            <w:tr w:rsidR="00DC5962" w14:paraId="521663FD" w14:textId="77777777" w:rsidTr="00C86283">
              <w:tc>
                <w:tcPr>
                  <w:tcW w:w="600" w:type="dxa"/>
                  <w:vMerge w:val="restart"/>
                  <w:hideMark/>
                </w:tcPr>
                <w:p w14:paraId="65CF9991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</w:p>
              </w:tc>
              <w:tc>
                <w:tcPr>
                  <w:tcW w:w="1005" w:type="dxa"/>
                  <w:hideMark/>
                </w:tcPr>
                <w:p w14:paraId="684332A7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59EDA479" wp14:editId="0CCB944C">
                        <wp:extent cx="351155" cy="255905"/>
                        <wp:effectExtent l="0" t="0" r="0" b="0"/>
                        <wp:docPr id="1752079958" name="Рисунок 7">
                          <a:hlinkClick xmlns:a="http://schemas.openxmlformats.org/drawingml/2006/main" r:id="rId3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>
                                  <a:hlinkClick r:id="rId3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115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" w:type="dxa"/>
                  <w:hideMark/>
                </w:tcPr>
                <w:p w14:paraId="74FB2ED8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7455" w:type="dxa"/>
                  <w:gridSpan w:val="2"/>
                  <w:hideMark/>
                </w:tcPr>
                <w:p w14:paraId="6341102C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прогнозовані витрати (прогнозований необхідний дохід) на розподіл електричної енергії на 1 класі напруги, тис. грн;</w:t>
                  </w:r>
                </w:p>
              </w:tc>
            </w:tr>
            <w:tr w:rsidR="00DC5962" w14:paraId="7ADF06AE" w14:textId="77777777" w:rsidTr="00C86283">
              <w:tc>
                <w:tcPr>
                  <w:tcW w:w="637" w:type="dxa"/>
                  <w:vMerge/>
                  <w:hideMark/>
                </w:tcPr>
                <w:p w14:paraId="4006D25A" w14:textId="77777777" w:rsidR="00DC5962" w:rsidRDefault="00DC5962" w:rsidP="00DC596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hideMark/>
                </w:tcPr>
                <w:p w14:paraId="60C0A0AF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 w:rsidRPr="00EE6094">
                    <w:rPr>
                      <w:noProof/>
                      <w:color w:val="0000FF"/>
                      <w:sz w:val="28"/>
                    </w:rPr>
                    <w:drawing>
                      <wp:inline distT="0" distB="0" distL="0" distR="0" wp14:anchorId="7904CF05" wp14:editId="4886E17C">
                        <wp:extent cx="255905" cy="255905"/>
                        <wp:effectExtent l="0" t="0" r="0" b="0"/>
                        <wp:docPr id="1970542593" name="Рисунок 6">
                          <a:hlinkClick xmlns:a="http://schemas.openxmlformats.org/drawingml/2006/main" r:id="rId3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>
                                  <a:hlinkClick r:id="rId3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" w:type="dxa"/>
                  <w:hideMark/>
                </w:tcPr>
                <w:p w14:paraId="58E1392E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7455" w:type="dxa"/>
                  <w:gridSpan w:val="2"/>
                  <w:hideMark/>
                </w:tcPr>
                <w:p w14:paraId="535B9139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 xml:space="preserve">прогнозований обсяг електричної енергії, що розподіляється на  1 класі напруги, </w:t>
                  </w:r>
                  <w:proofErr w:type="spellStart"/>
                  <w:r>
                    <w:t>МВт·год</w:t>
                  </w:r>
                  <w:proofErr w:type="spellEnd"/>
                  <w:r>
                    <w:t>.</w:t>
                  </w:r>
                </w:p>
              </w:tc>
            </w:tr>
          </w:tbl>
          <w:p w14:paraId="59102C48" w14:textId="77777777" w:rsidR="00DC5962" w:rsidRDefault="00DC5962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12" w:name="n575"/>
            <w:bookmarkEnd w:id="12"/>
          </w:p>
          <w:p w14:paraId="5C7FB5B9" w14:textId="77777777" w:rsidR="00DC5962" w:rsidRDefault="00DC5962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</w:p>
          <w:p w14:paraId="08EE6A48" w14:textId="77777777" w:rsidR="00521F44" w:rsidRDefault="00521F44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</w:p>
          <w:p w14:paraId="2A6B65CE" w14:textId="77777777" w:rsidR="00DC5962" w:rsidRDefault="00DC5962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Обсяг електричної енергії, що розподіляється на 1 класі напруги, складається з обсягу корисного відпуску електричної енергії на 1 класі напруги, а також обсягу трансформації електричної енергії з 1 на 2 клас напруги.</w:t>
            </w:r>
          </w:p>
          <w:p w14:paraId="752D6361" w14:textId="77777777" w:rsidR="00DC5962" w:rsidRDefault="00DC5962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13" w:name="n576"/>
            <w:bookmarkStart w:id="14" w:name="n307"/>
            <w:bookmarkEnd w:id="13"/>
            <w:bookmarkEnd w:id="14"/>
            <w:r>
              <w:rPr>
                <w:color w:val="333333"/>
              </w:rPr>
              <w:t>Прогнозований обсяг електричної енергії, що розподіляється на 1 класі напруги, розраховується за формулою</w:t>
            </w:r>
          </w:p>
          <w:tbl>
            <w:tblPr>
              <w:tblW w:w="4972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"/>
              <w:gridCol w:w="586"/>
              <w:gridCol w:w="282"/>
              <w:gridCol w:w="270"/>
              <w:gridCol w:w="4987"/>
              <w:gridCol w:w="1245"/>
            </w:tblGrid>
            <w:tr w:rsidR="00DC5962" w14:paraId="3B31E2B0" w14:textId="77777777" w:rsidTr="008571CD">
              <w:tc>
                <w:tcPr>
                  <w:tcW w:w="6148" w:type="dxa"/>
                  <w:gridSpan w:val="5"/>
                  <w:hideMark/>
                </w:tcPr>
                <w:p w14:paraId="694A6E61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bookmarkStart w:id="15" w:name="n308"/>
                  <w:bookmarkEnd w:id="15"/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98536D2" wp14:editId="06952242">
                        <wp:extent cx="2209165" cy="417195"/>
                        <wp:effectExtent l="0" t="0" r="635" b="1905"/>
                        <wp:docPr id="1823025201" name="Рисунок 5">
                          <a:hlinkClick xmlns:a="http://schemas.openxmlformats.org/drawingml/2006/main" r:id="rId4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>
                                  <a:hlinkClick r:id="rId4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9165" cy="417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45" w:type="dxa"/>
                  <w:hideMark/>
                </w:tcPr>
                <w:p w14:paraId="6779800A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(40)</w:t>
                  </w:r>
                </w:p>
              </w:tc>
            </w:tr>
            <w:tr w:rsidR="00DC5962" w14:paraId="18974BAB" w14:textId="77777777" w:rsidTr="008571CD">
              <w:tc>
                <w:tcPr>
                  <w:tcW w:w="22" w:type="dxa"/>
                  <w:hideMark/>
                </w:tcPr>
                <w:p w14:paraId="03D258BA" w14:textId="77777777" w:rsidR="00DC5962" w:rsidRDefault="00DC5962" w:rsidP="00DC5962">
                  <w:pPr>
                    <w:pStyle w:val="rvps11"/>
                    <w:spacing w:before="150" w:beforeAutospacing="0" w:after="150" w:afterAutospacing="0"/>
                    <w:jc w:val="right"/>
                  </w:pPr>
                  <w:bookmarkStart w:id="16" w:name="n309"/>
                  <w:bookmarkEnd w:id="16"/>
                  <w:r>
                    <w:t>де</w:t>
                  </w:r>
                </w:p>
              </w:tc>
              <w:tc>
                <w:tcPr>
                  <w:tcW w:w="586" w:type="dxa"/>
                  <w:hideMark/>
                </w:tcPr>
                <w:p w14:paraId="37A2826E" w14:textId="77777777" w:rsidR="00DC5962" w:rsidRPr="00EE6094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  <w:rPr>
                      <w:sz w:val="28"/>
                    </w:rPr>
                  </w:pPr>
                  <w:r w:rsidRPr="00EE6094">
                    <w:rPr>
                      <w:rStyle w:val="rvts48"/>
                      <w:b/>
                      <w:bCs/>
                      <w:i/>
                      <w:iCs/>
                      <w:sz w:val="28"/>
                    </w:rPr>
                    <w:t>W</w:t>
                  </w:r>
                  <w:r w:rsidRPr="00EE6094">
                    <w:rPr>
                      <w:rStyle w:val="rvts37"/>
                      <w:b/>
                      <w:bCs/>
                      <w:sz w:val="28"/>
                      <w:szCs w:val="16"/>
                      <w:vertAlign w:val="superscript"/>
                    </w:rPr>
                    <w:t>n</w:t>
                  </w:r>
                  <w:r w:rsidRPr="00EE6094">
                    <w:rPr>
                      <w:rStyle w:val="rvts40"/>
                      <w:b/>
                      <w:bCs/>
                      <w:sz w:val="28"/>
                      <w:szCs w:val="16"/>
                      <w:vertAlign w:val="subscript"/>
                    </w:rPr>
                    <w:t>c1</w:t>
                  </w:r>
                </w:p>
              </w:tc>
              <w:tc>
                <w:tcPr>
                  <w:tcW w:w="282" w:type="dxa"/>
                  <w:hideMark/>
                </w:tcPr>
                <w:p w14:paraId="70728BE7" w14:textId="77777777" w:rsidR="00DC5962" w:rsidRPr="00EE6094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  <w:rPr>
                      <w:sz w:val="28"/>
                    </w:rPr>
                  </w:pPr>
                  <w:r w:rsidRPr="00EE6094">
                    <w:rPr>
                      <w:sz w:val="28"/>
                    </w:rPr>
                    <w:t>-</w:t>
                  </w:r>
                </w:p>
              </w:tc>
              <w:tc>
                <w:tcPr>
                  <w:tcW w:w="6503" w:type="dxa"/>
                  <w:gridSpan w:val="3"/>
                  <w:hideMark/>
                </w:tcPr>
                <w:p w14:paraId="756E03DE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 xml:space="preserve">прогнозований обсяг корисного відпуску електричної енергії на 1 класі напруги, </w:t>
                  </w:r>
                  <w:proofErr w:type="spellStart"/>
                  <w:r>
                    <w:t>МВт·год</w:t>
                  </w:r>
                  <w:proofErr w:type="spellEnd"/>
                  <w:r>
                    <w:t>;</w:t>
                  </w:r>
                </w:p>
              </w:tc>
            </w:tr>
            <w:tr w:rsidR="00DC5962" w14:paraId="5DB759EA" w14:textId="77777777" w:rsidTr="008571CD">
              <w:tc>
                <w:tcPr>
                  <w:tcW w:w="7393" w:type="dxa"/>
                  <w:gridSpan w:val="6"/>
                  <w:hideMark/>
                </w:tcPr>
                <w:p w14:paraId="7F3EA7DF" w14:textId="77777777" w:rsidR="00DC5962" w:rsidRDefault="00DC5962" w:rsidP="00DC5962">
                  <w:pPr>
                    <w:pStyle w:val="rvps2"/>
                    <w:spacing w:before="0" w:beforeAutospacing="0" w:after="0" w:afterAutospacing="0"/>
                    <w:ind w:firstLine="450"/>
                    <w:jc w:val="both"/>
                  </w:pPr>
                </w:p>
                <w:p w14:paraId="21BB2487" w14:textId="77777777" w:rsidR="00DC5962" w:rsidRDefault="00DC5962" w:rsidP="00DC5962">
                  <w:pPr>
                    <w:pStyle w:val="rvps2"/>
                    <w:spacing w:before="0" w:beforeAutospacing="0" w:after="0" w:afterAutospacing="0"/>
                    <w:ind w:firstLine="450"/>
                    <w:jc w:val="both"/>
                  </w:pPr>
                </w:p>
                <w:p w14:paraId="5FAEB49D" w14:textId="77777777" w:rsidR="00DC5962" w:rsidRDefault="00DC5962" w:rsidP="00DC5962">
                  <w:pPr>
                    <w:pStyle w:val="rvps2"/>
                    <w:spacing w:before="0" w:beforeAutospacing="0" w:after="150" w:afterAutospacing="0"/>
                    <w:ind w:firstLine="450"/>
                    <w:jc w:val="both"/>
                  </w:pPr>
                </w:p>
                <w:p w14:paraId="2375151A" w14:textId="4C53CB64" w:rsidR="006705C5" w:rsidRDefault="006705C5" w:rsidP="00DC5962">
                  <w:pPr>
                    <w:pStyle w:val="rvps2"/>
                    <w:spacing w:before="0" w:beforeAutospacing="0" w:after="150" w:afterAutospacing="0"/>
                    <w:ind w:firstLine="450"/>
                    <w:jc w:val="both"/>
                  </w:pPr>
                </w:p>
              </w:tc>
            </w:tr>
            <w:tr w:rsidR="00DC5962" w14:paraId="3B825D69" w14:textId="77777777" w:rsidTr="008571CD">
              <w:tc>
                <w:tcPr>
                  <w:tcW w:w="22" w:type="dxa"/>
                  <w:hideMark/>
                </w:tcPr>
                <w:p w14:paraId="5E014D2F" w14:textId="77777777" w:rsidR="00DC5962" w:rsidRDefault="00DC5962" w:rsidP="00DC5962"/>
              </w:tc>
              <w:tc>
                <w:tcPr>
                  <w:tcW w:w="586" w:type="dxa"/>
                  <w:hideMark/>
                </w:tcPr>
                <w:p w14:paraId="72FAE27B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24FFD25" wp14:editId="71AF2CA3">
                        <wp:extent cx="263525" cy="241300"/>
                        <wp:effectExtent l="0" t="0" r="3175" b="6350"/>
                        <wp:docPr id="673133204" name="Рисунок 4">
                          <a:hlinkClick xmlns:a="http://schemas.openxmlformats.org/drawingml/2006/main" r:id="rId4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>
                                  <a:hlinkClick r:id="rId4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525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" w:type="dxa"/>
                  <w:hideMark/>
                </w:tcPr>
                <w:p w14:paraId="1DCF83CB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503" w:type="dxa"/>
                  <w:gridSpan w:val="3"/>
                  <w:hideMark/>
                </w:tcPr>
                <w:p w14:paraId="3CFFC702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прогнозований обсяг електричної енергії, яка трансформується з 1 на 2 клас напруги, розраховується за формулою</w:t>
                  </w:r>
                </w:p>
              </w:tc>
            </w:tr>
            <w:tr w:rsidR="00DC5962" w14:paraId="4D220ED1" w14:textId="77777777" w:rsidTr="008571CD">
              <w:tc>
                <w:tcPr>
                  <w:tcW w:w="6148" w:type="dxa"/>
                  <w:gridSpan w:val="5"/>
                  <w:hideMark/>
                </w:tcPr>
                <w:p w14:paraId="0D498023" w14:textId="40BED6A5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bookmarkStart w:id="17" w:name="n310"/>
                  <w:bookmarkEnd w:id="17"/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8504BE5" wp14:editId="333D3264">
                        <wp:extent cx="2047240" cy="560154"/>
                        <wp:effectExtent l="0" t="0" r="0" b="0"/>
                        <wp:docPr id="1697545147" name="Рисунок 3">
                          <a:hlinkClick xmlns:a="http://schemas.openxmlformats.org/drawingml/2006/main" r:id="rId4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>
                                  <a:hlinkClick r:id="rId4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7155" cy="5792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45" w:type="dxa"/>
                  <w:hideMark/>
                </w:tcPr>
                <w:p w14:paraId="57C574E3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(41)</w:t>
                  </w:r>
                </w:p>
              </w:tc>
            </w:tr>
            <w:tr w:rsidR="00DC5962" w14:paraId="59430497" w14:textId="77777777" w:rsidTr="008571CD">
              <w:tc>
                <w:tcPr>
                  <w:tcW w:w="22" w:type="dxa"/>
                  <w:vMerge w:val="restart"/>
                  <w:hideMark/>
                </w:tcPr>
                <w:p w14:paraId="2E9F4669" w14:textId="77777777" w:rsidR="00DC5962" w:rsidRDefault="00DC5962" w:rsidP="00DC5962">
                  <w:pPr>
                    <w:pStyle w:val="rvps11"/>
                    <w:spacing w:before="150" w:beforeAutospacing="0" w:after="150" w:afterAutospacing="0"/>
                    <w:jc w:val="right"/>
                  </w:pPr>
                  <w:bookmarkStart w:id="18" w:name="n311"/>
                  <w:bookmarkEnd w:id="18"/>
                  <w:r>
                    <w:t>де</w:t>
                  </w:r>
                </w:p>
              </w:tc>
              <w:tc>
                <w:tcPr>
                  <w:tcW w:w="868" w:type="dxa"/>
                  <w:gridSpan w:val="2"/>
                  <w:hideMark/>
                </w:tcPr>
                <w:p w14:paraId="2F5D05DC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04437D6" wp14:editId="741EDCB0">
                        <wp:extent cx="255905" cy="255905"/>
                        <wp:effectExtent l="0" t="0" r="0" b="0"/>
                        <wp:docPr id="375860664" name="Рисунок 2">
                          <a:hlinkClick xmlns:a="http://schemas.openxmlformats.org/drawingml/2006/main" r:id="rId4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>
                                  <a:hlinkClick r:id="rId4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" w:type="dxa"/>
                  <w:hideMark/>
                </w:tcPr>
                <w:p w14:paraId="1EB688FD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233" w:type="dxa"/>
                  <w:gridSpan w:val="2"/>
                  <w:hideMark/>
                </w:tcPr>
                <w:p w14:paraId="49A01267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 xml:space="preserve">прогнозований обсяг електричної енергії, що розподіляється на 2 класі напруги, </w:t>
                  </w:r>
                  <w:proofErr w:type="spellStart"/>
                  <w:r>
                    <w:t>МВт·год</w:t>
                  </w:r>
                  <w:proofErr w:type="spellEnd"/>
                  <w:r>
                    <w:t>;</w:t>
                  </w:r>
                </w:p>
                <w:p w14:paraId="1247EFD9" w14:textId="77777777" w:rsidR="00521F44" w:rsidRDefault="00521F44" w:rsidP="00DC5962">
                  <w:pPr>
                    <w:pStyle w:val="rvps14"/>
                    <w:spacing w:before="150" w:beforeAutospacing="0" w:after="150" w:afterAutospacing="0"/>
                  </w:pPr>
                </w:p>
                <w:p w14:paraId="32A8E8D6" w14:textId="77777777" w:rsidR="00521F44" w:rsidRDefault="00521F44" w:rsidP="00DC5962">
                  <w:pPr>
                    <w:pStyle w:val="rvps14"/>
                    <w:spacing w:before="150" w:beforeAutospacing="0" w:after="150" w:afterAutospacing="0"/>
                  </w:pPr>
                </w:p>
                <w:p w14:paraId="734A9796" w14:textId="77777777" w:rsidR="00521F44" w:rsidRDefault="00521F44" w:rsidP="00DC5962">
                  <w:pPr>
                    <w:pStyle w:val="rvps14"/>
                    <w:spacing w:before="150" w:beforeAutospacing="0" w:after="150" w:afterAutospacing="0"/>
                  </w:pPr>
                </w:p>
                <w:p w14:paraId="5BB21100" w14:textId="37D14B82" w:rsidR="003463FA" w:rsidRDefault="003463FA" w:rsidP="00DC5962">
                  <w:pPr>
                    <w:pStyle w:val="rvps14"/>
                    <w:spacing w:before="150" w:beforeAutospacing="0" w:after="150" w:afterAutospacing="0"/>
                  </w:pPr>
                  <w:bookmarkStart w:id="19" w:name="_GoBack"/>
                  <w:bookmarkEnd w:id="19"/>
                </w:p>
              </w:tc>
            </w:tr>
            <w:tr w:rsidR="00DC5962" w14:paraId="68DBC0BE" w14:textId="77777777" w:rsidTr="008571CD">
              <w:tc>
                <w:tcPr>
                  <w:tcW w:w="22" w:type="dxa"/>
                  <w:vMerge/>
                  <w:hideMark/>
                </w:tcPr>
                <w:p w14:paraId="7B13FBA7" w14:textId="77777777" w:rsidR="00DC5962" w:rsidRDefault="00DC5962" w:rsidP="00DC596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68" w:type="dxa"/>
                  <w:gridSpan w:val="2"/>
                  <w:hideMark/>
                </w:tcPr>
                <w:p w14:paraId="48AA3DF6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5F0544DF" wp14:editId="682FFF71">
                        <wp:extent cx="511810" cy="255905"/>
                        <wp:effectExtent l="0" t="0" r="2540" b="0"/>
                        <wp:docPr id="586892510" name="Рисунок 1">
                          <a:hlinkClick xmlns:a="http://schemas.openxmlformats.org/drawingml/2006/main" r:id="rId4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>
                                  <a:hlinkClick r:id="rId4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1810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" w:type="dxa"/>
                  <w:hideMark/>
                </w:tcPr>
                <w:p w14:paraId="4617EFCB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233" w:type="dxa"/>
                  <w:gridSpan w:val="2"/>
                  <w:hideMark/>
                </w:tcPr>
                <w:p w14:paraId="1F570807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прогнозований обсяг електричної енергії, що надходить від генеруючих компаній безпосередньо на 2 клас напруги на рік </w:t>
                  </w:r>
                  <w:r>
                    <w:rPr>
                      <w:rStyle w:val="rvts11"/>
                      <w:i/>
                      <w:iCs/>
                    </w:rPr>
                    <w:t>t</w:t>
                  </w:r>
                  <w:r>
                    <w:t xml:space="preserve">, </w:t>
                  </w:r>
                  <w:proofErr w:type="spellStart"/>
                  <w:r>
                    <w:t>МВт·год</w:t>
                  </w:r>
                  <w:proofErr w:type="spellEnd"/>
                  <w:r>
                    <w:t>.</w:t>
                  </w:r>
                </w:p>
              </w:tc>
            </w:tr>
          </w:tbl>
          <w:p w14:paraId="517E2ECF" w14:textId="77777777" w:rsidR="00DC5962" w:rsidRPr="00511139" w:rsidRDefault="00DC5962" w:rsidP="00DC5962">
            <w:pPr>
              <w:pStyle w:val="a4"/>
              <w:autoSpaceDE w:val="0"/>
              <w:autoSpaceDN w:val="0"/>
              <w:ind w:left="0"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796" w:type="dxa"/>
          </w:tcPr>
          <w:p w14:paraId="70D6A9B7" w14:textId="77777777" w:rsidR="00DC5962" w:rsidRDefault="00DC5962" w:rsidP="009149C7">
            <w:pPr>
              <w:pStyle w:val="rvps2"/>
              <w:spacing w:before="0" w:beforeAutospacing="0" w:after="150" w:afterAutospacing="0"/>
              <w:ind w:firstLine="34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8.3. Тариф на послуги з розподілу електричної енергії для споживачів та операторів установок зберігання енергії 1 класу напруги розраховується за формулою</w:t>
            </w:r>
          </w:p>
          <w:p w14:paraId="7639CE9C" w14:textId="77777777" w:rsidR="00DC5962" w:rsidRDefault="00DC5962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  <w:shd w:val="clear" w:color="auto" w:fill="F0F0F0"/>
              </w:rPr>
            </w:pPr>
          </w:p>
          <w:tbl>
            <w:tblPr>
              <w:tblW w:w="730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"/>
              <w:gridCol w:w="657"/>
              <w:gridCol w:w="203"/>
              <w:gridCol w:w="5934"/>
              <w:gridCol w:w="485"/>
            </w:tblGrid>
            <w:tr w:rsidR="00DC5962" w14:paraId="2DB2E75C" w14:textId="77777777" w:rsidTr="001B5C09">
              <w:tc>
                <w:tcPr>
                  <w:tcW w:w="6821" w:type="dxa"/>
                  <w:gridSpan w:val="4"/>
                  <w:hideMark/>
                </w:tcPr>
                <w:p w14:paraId="22B81DB3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467897D" wp14:editId="6312486A">
                        <wp:extent cx="2640965" cy="402590"/>
                        <wp:effectExtent l="0" t="0" r="6985" b="0"/>
                        <wp:docPr id="376379405" name="Рисунок 376379405">
                          <a:hlinkClick xmlns:a="http://schemas.openxmlformats.org/drawingml/2006/main" r:id="rId3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>
                                  <a:hlinkClick r:id="rId3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096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" w:type="dxa"/>
                  <w:hideMark/>
                </w:tcPr>
                <w:p w14:paraId="0C582C94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(39)</w:t>
                  </w:r>
                </w:p>
              </w:tc>
            </w:tr>
            <w:tr w:rsidR="00DC5962" w14:paraId="527D97EC" w14:textId="77777777" w:rsidTr="001B5C09">
              <w:tc>
                <w:tcPr>
                  <w:tcW w:w="27" w:type="dxa"/>
                  <w:hideMark/>
                </w:tcPr>
                <w:p w14:paraId="436273BD" w14:textId="77777777" w:rsidR="00DC5962" w:rsidRDefault="00DC5962" w:rsidP="00DC5962">
                  <w:pPr>
                    <w:pStyle w:val="rvps11"/>
                    <w:spacing w:before="150" w:beforeAutospacing="0" w:after="150" w:afterAutospacing="0"/>
                    <w:jc w:val="right"/>
                  </w:pPr>
                  <w:r>
                    <w:t>де</w:t>
                  </w:r>
                </w:p>
              </w:tc>
              <w:tc>
                <w:tcPr>
                  <w:tcW w:w="657" w:type="dxa"/>
                  <w:hideMark/>
                </w:tcPr>
                <w:p w14:paraId="32FEDFCB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4F70F9B3" wp14:editId="3C283726">
                        <wp:extent cx="197485" cy="255905"/>
                        <wp:effectExtent l="0" t="0" r="0" b="0"/>
                        <wp:docPr id="1073212805" name="Рисунок 1073212805">
                          <a:hlinkClick xmlns:a="http://schemas.openxmlformats.org/drawingml/2006/main" r:id="rId3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>
                                  <a:hlinkClick r:id="rId3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748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3" w:type="dxa"/>
                  <w:hideMark/>
                </w:tcPr>
                <w:p w14:paraId="76DC492E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415" w:type="dxa"/>
                  <w:gridSpan w:val="2"/>
                  <w:hideMark/>
                </w:tcPr>
                <w:p w14:paraId="7BF07320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тариф на послуги з розподілу електричної енергії для споживачів та операторів установок зберігання енергії 1 класу напруги, грн/</w:t>
                  </w:r>
                  <w:proofErr w:type="spellStart"/>
                  <w:r>
                    <w:t>МВт·год</w:t>
                  </w:r>
                  <w:proofErr w:type="spellEnd"/>
                  <w:r>
                    <w:t>;</w:t>
                  </w:r>
                </w:p>
              </w:tc>
            </w:tr>
            <w:tr w:rsidR="00DC5962" w14:paraId="4AB659C3" w14:textId="77777777" w:rsidTr="001B5C09">
              <w:tc>
                <w:tcPr>
                  <w:tcW w:w="7306" w:type="dxa"/>
                  <w:gridSpan w:val="5"/>
                  <w:hideMark/>
                </w:tcPr>
                <w:p w14:paraId="373A17F8" w14:textId="77777777" w:rsidR="00DC5962" w:rsidRDefault="00DC5962" w:rsidP="00DC5962">
                  <w:pPr>
                    <w:pStyle w:val="rvps2"/>
                    <w:spacing w:before="0" w:beforeAutospacing="0" w:after="150" w:afterAutospacing="0"/>
                    <w:ind w:firstLine="450"/>
                    <w:jc w:val="both"/>
                  </w:pPr>
                </w:p>
              </w:tc>
            </w:tr>
            <w:tr w:rsidR="00DC5962" w14:paraId="27CB53B9" w14:textId="77777777" w:rsidTr="001B5C09">
              <w:tc>
                <w:tcPr>
                  <w:tcW w:w="27" w:type="dxa"/>
                  <w:vMerge w:val="restart"/>
                  <w:hideMark/>
                </w:tcPr>
                <w:p w14:paraId="509E716B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</w:p>
              </w:tc>
              <w:tc>
                <w:tcPr>
                  <w:tcW w:w="657" w:type="dxa"/>
                  <w:hideMark/>
                </w:tcPr>
                <w:p w14:paraId="6971FF11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DD86E97" wp14:editId="23178321">
                        <wp:extent cx="351155" cy="255905"/>
                        <wp:effectExtent l="0" t="0" r="0" b="0"/>
                        <wp:docPr id="693740924" name="Рисунок 693740924">
                          <a:hlinkClick xmlns:a="http://schemas.openxmlformats.org/drawingml/2006/main" r:id="rId3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>
                                  <a:hlinkClick r:id="rId3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115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3" w:type="dxa"/>
                  <w:hideMark/>
                </w:tcPr>
                <w:p w14:paraId="55533047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415" w:type="dxa"/>
                  <w:gridSpan w:val="2"/>
                  <w:hideMark/>
                </w:tcPr>
                <w:p w14:paraId="736FEC5B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прогнозовані витрати (прогнозований необхідний дохід) на розподіл електричної енергії на 1 класі напруги, тис. грн;</w:t>
                  </w:r>
                </w:p>
              </w:tc>
            </w:tr>
            <w:tr w:rsidR="00DC5962" w14:paraId="4A3EF1CF" w14:textId="77777777" w:rsidTr="001B5C09">
              <w:tc>
                <w:tcPr>
                  <w:tcW w:w="27" w:type="dxa"/>
                  <w:vMerge/>
                  <w:hideMark/>
                </w:tcPr>
                <w:p w14:paraId="3E57B301" w14:textId="77777777" w:rsidR="00DC5962" w:rsidRDefault="00DC5962" w:rsidP="00DC596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7" w:type="dxa"/>
                  <w:hideMark/>
                </w:tcPr>
                <w:p w14:paraId="457AFC30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 w:rsidRPr="00EE6094">
                    <w:rPr>
                      <w:noProof/>
                      <w:color w:val="0000FF"/>
                      <w:sz w:val="28"/>
                    </w:rPr>
                    <w:drawing>
                      <wp:inline distT="0" distB="0" distL="0" distR="0" wp14:anchorId="580E4E98" wp14:editId="37EA139B">
                        <wp:extent cx="255905" cy="255905"/>
                        <wp:effectExtent l="0" t="0" r="0" b="0"/>
                        <wp:docPr id="1084042505" name="Рисунок 1084042505">
                          <a:hlinkClick xmlns:a="http://schemas.openxmlformats.org/drawingml/2006/main" r:id="rId3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>
                                  <a:hlinkClick r:id="rId3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3" w:type="dxa"/>
                  <w:hideMark/>
                </w:tcPr>
                <w:p w14:paraId="1A299A93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415" w:type="dxa"/>
                  <w:gridSpan w:val="2"/>
                  <w:hideMark/>
                </w:tcPr>
                <w:p w14:paraId="491BCAC6" w14:textId="5A1BCD60" w:rsidR="00DC5962" w:rsidRPr="00521F44" w:rsidRDefault="00DC5962" w:rsidP="00662048">
                  <w:pPr>
                    <w:pStyle w:val="rvps14"/>
                    <w:spacing w:before="150" w:beforeAutospacing="0" w:after="150" w:afterAutospacing="0"/>
                    <w:jc w:val="both"/>
                    <w:rPr>
                      <w:b/>
                      <w:bCs/>
                      <w:color w:val="FF0000"/>
                    </w:rPr>
                  </w:pPr>
                  <w:r w:rsidRPr="001D1AA4">
                    <w:t xml:space="preserve">прогнозований обсяг електричної енергії, що розподіляється на  1 класі напруги </w:t>
                  </w:r>
                  <w:bookmarkStart w:id="20" w:name="_Hlk147908602"/>
                  <w:r w:rsidRPr="001D1AA4">
                    <w:rPr>
                      <w:b/>
                      <w:bCs/>
                    </w:rPr>
                    <w:t>(</w:t>
                  </w:r>
                  <w:r w:rsidR="00521F44" w:rsidRPr="001D1AA4">
                    <w:rPr>
                      <w:rFonts w:eastAsiaTheme="minorHAnsi"/>
                      <w:b/>
                      <w:shd w:val="clear" w:color="auto" w:fill="FFFFFF"/>
                    </w:rPr>
                    <w:t>крім</w:t>
                  </w:r>
                  <w:r w:rsidR="00521F44" w:rsidRPr="001D1AA4">
                    <w:rPr>
                      <w:b/>
                      <w:shd w:val="clear" w:color="auto" w:fill="FFFFFF"/>
                    </w:rPr>
                    <w:t xml:space="preserve"> ліцензіатів, перелік яких наведено у додатку до Постанови </w:t>
                  </w:r>
                  <w:r w:rsidR="00521F44" w:rsidRPr="001D1AA4">
                    <w:rPr>
                      <w:b/>
                    </w:rPr>
                    <w:t xml:space="preserve">про встановлення параметрів </w:t>
                  </w:r>
                  <w:r w:rsidR="00521F44" w:rsidRPr="001D1AA4">
                    <w:rPr>
                      <w:b/>
                    </w:rPr>
                    <w:lastRenderedPageBreak/>
                    <w:t>регулювання, для яких на 2024 рік</w:t>
                  </w:r>
                  <w:r w:rsidR="00662048" w:rsidRPr="001D1AA4">
                    <w:rPr>
                      <w:b/>
                    </w:rPr>
                    <w:t xml:space="preserve"> </w:t>
                  </w:r>
                  <w:r w:rsidR="00662048" w:rsidRPr="001D1AA4">
                    <w:rPr>
                      <w:b/>
                      <w:noProof/>
                    </w:rPr>
                    <w:drawing>
                      <wp:inline distT="0" distB="0" distL="0" distR="0" wp14:anchorId="661843C0" wp14:editId="493BD85E">
                        <wp:extent cx="255905" cy="219075"/>
                        <wp:effectExtent l="0" t="0" r="0" b="9525"/>
                        <wp:docPr id="238626979" name="Рисунок 238626979">
                          <a:hlinkClick xmlns:a="http://schemas.openxmlformats.org/drawingml/2006/main" r:id="rId3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>
                                  <a:hlinkClick r:id="rId3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62048" w:rsidRPr="001D1AA4">
                    <w:rPr>
                      <w:b/>
                    </w:rPr>
                    <w:t>фіксується на рівні, врахованому у діючих тарифах</w:t>
                  </w:r>
                  <w:r w:rsidRPr="001D1AA4">
                    <w:rPr>
                      <w:b/>
                      <w:bCs/>
                    </w:rPr>
                    <w:t>)</w:t>
                  </w:r>
                  <w:bookmarkEnd w:id="20"/>
                  <w:r w:rsidRPr="001D1AA4">
                    <w:t xml:space="preserve">, </w:t>
                  </w:r>
                  <w:proofErr w:type="spellStart"/>
                  <w:r w:rsidRPr="001D1AA4">
                    <w:t>МВт·год</w:t>
                  </w:r>
                  <w:proofErr w:type="spellEnd"/>
                  <w:r w:rsidRPr="001D1AA4">
                    <w:t>.</w:t>
                  </w:r>
                </w:p>
              </w:tc>
            </w:tr>
          </w:tbl>
          <w:p w14:paraId="142B2159" w14:textId="77777777" w:rsidR="003707A6" w:rsidRDefault="003707A6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</w:p>
          <w:p w14:paraId="6BCF70E8" w14:textId="5D8360F3" w:rsidR="00DC5962" w:rsidRDefault="00DC5962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Обсяг електричної енергії, що розподіляється на 1 класі напруги, складається з обсягу корисного відпуску електричної енергії на 1 класі напруги, а також обсягу трансформації електричної енергії з 1 на 2 клас напруги.</w:t>
            </w:r>
          </w:p>
          <w:p w14:paraId="102B64E7" w14:textId="77777777" w:rsidR="00DC5962" w:rsidRDefault="00DC5962" w:rsidP="00DC596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Прогнозований обсяг електричної енергії, що розподіляється на 1 класі напруги, розраховується за формулою</w:t>
            </w:r>
          </w:p>
          <w:tbl>
            <w:tblPr>
              <w:tblW w:w="488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"/>
              <w:gridCol w:w="597"/>
              <w:gridCol w:w="286"/>
              <w:gridCol w:w="275"/>
              <w:gridCol w:w="5084"/>
              <w:gridCol w:w="1129"/>
            </w:tblGrid>
            <w:tr w:rsidR="00DC5962" w14:paraId="2C80A1E3" w14:textId="77777777" w:rsidTr="008571CD">
              <w:tc>
                <w:tcPr>
                  <w:tcW w:w="6269" w:type="dxa"/>
                  <w:gridSpan w:val="5"/>
                  <w:hideMark/>
                </w:tcPr>
                <w:p w14:paraId="6BCAA5B1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4B32425" wp14:editId="177E9289">
                        <wp:extent cx="2209165" cy="417195"/>
                        <wp:effectExtent l="0" t="0" r="635" b="1905"/>
                        <wp:docPr id="906900897" name="Рисунок 906900897">
                          <a:hlinkClick xmlns:a="http://schemas.openxmlformats.org/drawingml/2006/main" r:id="rId4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>
                                  <a:hlinkClick r:id="rId4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9165" cy="417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9" w:type="dxa"/>
                  <w:hideMark/>
                </w:tcPr>
                <w:p w14:paraId="584364D8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(40)</w:t>
                  </w:r>
                </w:p>
              </w:tc>
            </w:tr>
            <w:tr w:rsidR="00DC5962" w14:paraId="57252332" w14:textId="77777777" w:rsidTr="008571CD">
              <w:tc>
                <w:tcPr>
                  <w:tcW w:w="27" w:type="dxa"/>
                  <w:hideMark/>
                </w:tcPr>
                <w:p w14:paraId="5DCF5F20" w14:textId="77777777" w:rsidR="00DC5962" w:rsidRDefault="00DC5962" w:rsidP="00DC5962">
                  <w:pPr>
                    <w:pStyle w:val="rvps11"/>
                    <w:spacing w:before="150" w:beforeAutospacing="0" w:after="150" w:afterAutospacing="0"/>
                    <w:jc w:val="right"/>
                  </w:pPr>
                  <w:r>
                    <w:t>де</w:t>
                  </w:r>
                </w:p>
              </w:tc>
              <w:tc>
                <w:tcPr>
                  <w:tcW w:w="597" w:type="dxa"/>
                  <w:hideMark/>
                </w:tcPr>
                <w:p w14:paraId="77812A69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 w:rsidRPr="00EE6094">
                    <w:rPr>
                      <w:rStyle w:val="rvts48"/>
                      <w:b/>
                      <w:bCs/>
                      <w:i/>
                      <w:iCs/>
                      <w:sz w:val="28"/>
                    </w:rPr>
                    <w:t>W</w:t>
                  </w:r>
                  <w:r w:rsidRPr="00EE6094">
                    <w:rPr>
                      <w:rStyle w:val="rvts37"/>
                      <w:b/>
                      <w:bCs/>
                      <w:sz w:val="18"/>
                      <w:szCs w:val="16"/>
                      <w:vertAlign w:val="superscript"/>
                    </w:rPr>
                    <w:t>n</w:t>
                  </w:r>
                  <w:r w:rsidRPr="00EE6094">
                    <w:rPr>
                      <w:rStyle w:val="rvts40"/>
                      <w:b/>
                      <w:bCs/>
                      <w:sz w:val="18"/>
                      <w:szCs w:val="16"/>
                      <w:vertAlign w:val="subscript"/>
                    </w:rPr>
                    <w:t>c1</w:t>
                  </w:r>
                </w:p>
              </w:tc>
              <w:tc>
                <w:tcPr>
                  <w:tcW w:w="286" w:type="dxa"/>
                  <w:hideMark/>
                </w:tcPr>
                <w:p w14:paraId="3144EB8B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488" w:type="dxa"/>
                  <w:gridSpan w:val="3"/>
                  <w:hideMark/>
                </w:tcPr>
                <w:p w14:paraId="3C0CEE77" w14:textId="5B4A7423" w:rsidR="00DC5962" w:rsidRDefault="00DC5962" w:rsidP="00521F44">
                  <w:pPr>
                    <w:pStyle w:val="rvps14"/>
                    <w:spacing w:before="150" w:beforeAutospacing="0" w:after="150" w:afterAutospacing="0"/>
                    <w:jc w:val="both"/>
                  </w:pPr>
                  <w:r w:rsidRPr="00704A4D">
                    <w:t xml:space="preserve">прогнозований </w:t>
                  </w:r>
                  <w:r w:rsidRPr="001D1AA4">
                    <w:t xml:space="preserve">обсяг корисного відпуску електричної енергії на 1 класі напруги </w:t>
                  </w:r>
                  <w:bookmarkStart w:id="21" w:name="_Hlk147908653"/>
                  <w:r w:rsidR="00521F44" w:rsidRPr="001D1AA4">
                    <w:t>(</w:t>
                  </w:r>
                  <w:r w:rsidR="00521F44" w:rsidRPr="001D1AA4">
                    <w:rPr>
                      <w:rFonts w:eastAsiaTheme="minorHAnsi"/>
                      <w:b/>
                      <w:shd w:val="clear" w:color="auto" w:fill="FFFFFF"/>
                    </w:rPr>
                    <w:t>крім</w:t>
                  </w:r>
                  <w:r w:rsidR="00521F44" w:rsidRPr="001D1AA4">
                    <w:rPr>
                      <w:b/>
                      <w:shd w:val="clear" w:color="auto" w:fill="FFFFFF"/>
                    </w:rPr>
                    <w:t xml:space="preserve"> ліцензіатів, перелік яких наведено у додатку до Постанови </w:t>
                  </w:r>
                  <w:r w:rsidR="00521F44" w:rsidRPr="001D1AA4">
                    <w:rPr>
                      <w:b/>
                    </w:rPr>
                    <w:t>про встановлення параметрів регулювання, для яких на 2024 рік</w:t>
                  </w:r>
                  <w:r w:rsidR="00521F44" w:rsidRPr="001D1AA4">
                    <w:t xml:space="preserve"> </w:t>
                  </w:r>
                  <w:r w:rsidRPr="00EE6094">
                    <w:rPr>
                      <w:rStyle w:val="rvts48"/>
                      <w:b/>
                      <w:bCs/>
                      <w:i/>
                      <w:iCs/>
                      <w:sz w:val="28"/>
                    </w:rPr>
                    <w:t>W</w:t>
                  </w:r>
                  <w:r w:rsidRPr="00EE6094">
                    <w:rPr>
                      <w:rStyle w:val="rvts37"/>
                      <w:b/>
                      <w:bCs/>
                      <w:sz w:val="18"/>
                      <w:szCs w:val="16"/>
                      <w:vertAlign w:val="superscript"/>
                    </w:rPr>
                    <w:t>n</w:t>
                  </w:r>
                  <w:r w:rsidRPr="00EE6094">
                    <w:rPr>
                      <w:rStyle w:val="rvts40"/>
                      <w:b/>
                      <w:bCs/>
                      <w:sz w:val="18"/>
                      <w:szCs w:val="16"/>
                      <w:vertAlign w:val="subscript"/>
                    </w:rPr>
                    <w:t>c1</w:t>
                  </w:r>
                  <w:r w:rsidRPr="001D1AA4">
                    <w:rPr>
                      <w:b/>
                      <w:bCs/>
                    </w:rPr>
                    <w:t xml:space="preserve"> </w:t>
                  </w:r>
                  <w:r w:rsidR="003A57C6" w:rsidRPr="001D1AA4">
                    <w:rPr>
                      <w:b/>
                    </w:rPr>
                    <w:t>фіксується на рівні, врахованому у діючих тарифах</w:t>
                  </w:r>
                  <w:r w:rsidRPr="001D1AA4">
                    <w:rPr>
                      <w:b/>
                      <w:bCs/>
                    </w:rPr>
                    <w:t>)</w:t>
                  </w:r>
                  <w:bookmarkEnd w:id="21"/>
                  <w:r w:rsidRPr="001D1AA4">
                    <w:t xml:space="preserve">, </w:t>
                  </w:r>
                  <w:proofErr w:type="spellStart"/>
                  <w:r w:rsidRPr="001D1AA4">
                    <w:t>МВт·год</w:t>
                  </w:r>
                  <w:proofErr w:type="spellEnd"/>
                  <w:r w:rsidRPr="001D1AA4">
                    <w:t>;</w:t>
                  </w:r>
                </w:p>
              </w:tc>
            </w:tr>
            <w:tr w:rsidR="00DC5962" w14:paraId="6BEA9ABD" w14:textId="77777777" w:rsidTr="008571CD">
              <w:tc>
                <w:tcPr>
                  <w:tcW w:w="7398" w:type="dxa"/>
                  <w:gridSpan w:val="6"/>
                  <w:hideMark/>
                </w:tcPr>
                <w:p w14:paraId="46C41872" w14:textId="77777777" w:rsidR="00DC5962" w:rsidRDefault="00DC5962" w:rsidP="00DC5962">
                  <w:pPr>
                    <w:pStyle w:val="rvps2"/>
                    <w:spacing w:before="0" w:beforeAutospacing="0" w:after="150" w:afterAutospacing="0"/>
                    <w:ind w:firstLine="450"/>
                    <w:jc w:val="both"/>
                  </w:pPr>
                </w:p>
              </w:tc>
            </w:tr>
            <w:tr w:rsidR="00DC5962" w14:paraId="1036F2C1" w14:textId="77777777" w:rsidTr="008571CD">
              <w:tc>
                <w:tcPr>
                  <w:tcW w:w="27" w:type="dxa"/>
                  <w:hideMark/>
                </w:tcPr>
                <w:p w14:paraId="223F2FE2" w14:textId="77777777" w:rsidR="00DC5962" w:rsidRDefault="00DC5962" w:rsidP="00DC5962"/>
              </w:tc>
              <w:tc>
                <w:tcPr>
                  <w:tcW w:w="597" w:type="dxa"/>
                  <w:hideMark/>
                </w:tcPr>
                <w:p w14:paraId="6D1CC83E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DC8453E" wp14:editId="3715538F">
                        <wp:extent cx="263525" cy="241300"/>
                        <wp:effectExtent l="0" t="0" r="3175" b="6350"/>
                        <wp:docPr id="1469655135" name="Рисунок 1469655135">
                          <a:hlinkClick xmlns:a="http://schemas.openxmlformats.org/drawingml/2006/main" r:id="rId4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>
                                  <a:hlinkClick r:id="rId4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525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6" w:type="dxa"/>
                  <w:hideMark/>
                </w:tcPr>
                <w:p w14:paraId="043AD5E2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488" w:type="dxa"/>
                  <w:gridSpan w:val="3"/>
                  <w:hideMark/>
                </w:tcPr>
                <w:p w14:paraId="602BED2E" w14:textId="77777777" w:rsidR="00DC5962" w:rsidRDefault="00DC5962" w:rsidP="00DC5962">
                  <w:pPr>
                    <w:pStyle w:val="rvps14"/>
                    <w:spacing w:before="150" w:beforeAutospacing="0" w:after="150" w:afterAutospacing="0"/>
                  </w:pPr>
                  <w:r>
                    <w:t>прогнозований обсяг електричної енергії, яка трансформується з 1 на 2 клас напруги, розраховується за формулою</w:t>
                  </w:r>
                </w:p>
              </w:tc>
            </w:tr>
            <w:tr w:rsidR="00DC5962" w14:paraId="440566D5" w14:textId="77777777" w:rsidTr="008571CD">
              <w:tc>
                <w:tcPr>
                  <w:tcW w:w="6269" w:type="dxa"/>
                  <w:gridSpan w:val="5"/>
                  <w:hideMark/>
                </w:tcPr>
                <w:p w14:paraId="7F1209E3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48336E7D" wp14:editId="56F1F50F">
                        <wp:extent cx="2085975" cy="570754"/>
                        <wp:effectExtent l="0" t="0" r="0" b="1270"/>
                        <wp:docPr id="136177993" name="Рисунок 136177993">
                          <a:hlinkClick xmlns:a="http://schemas.openxmlformats.org/drawingml/2006/main" r:id="rId4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>
                                  <a:hlinkClick r:id="rId4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6634" cy="579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9" w:type="dxa"/>
                  <w:hideMark/>
                </w:tcPr>
                <w:p w14:paraId="721252F5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(41)</w:t>
                  </w:r>
                </w:p>
              </w:tc>
            </w:tr>
            <w:tr w:rsidR="00DC5962" w14:paraId="22625760" w14:textId="77777777" w:rsidTr="008571CD">
              <w:tc>
                <w:tcPr>
                  <w:tcW w:w="27" w:type="dxa"/>
                  <w:vMerge w:val="restart"/>
                  <w:hideMark/>
                </w:tcPr>
                <w:p w14:paraId="1E46CD87" w14:textId="77777777" w:rsidR="00DC5962" w:rsidRDefault="00DC5962" w:rsidP="00DC5962">
                  <w:pPr>
                    <w:pStyle w:val="rvps11"/>
                    <w:spacing w:before="150" w:beforeAutospacing="0" w:after="150" w:afterAutospacing="0"/>
                    <w:jc w:val="right"/>
                  </w:pPr>
                  <w:r>
                    <w:t>де</w:t>
                  </w:r>
                </w:p>
              </w:tc>
              <w:tc>
                <w:tcPr>
                  <w:tcW w:w="883" w:type="dxa"/>
                  <w:gridSpan w:val="2"/>
                  <w:hideMark/>
                </w:tcPr>
                <w:p w14:paraId="1D4766D9" w14:textId="77777777" w:rsidR="00DC5962" w:rsidRDefault="00DC5962" w:rsidP="009149C7">
                  <w:pPr>
                    <w:pStyle w:val="rvps12"/>
                    <w:spacing w:before="150" w:beforeAutospacing="0" w:after="150" w:afterAutospacing="0"/>
                    <w:ind w:right="-111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09E03E9" wp14:editId="50311957">
                        <wp:extent cx="255905" cy="255905"/>
                        <wp:effectExtent l="0" t="0" r="9525" b="9525"/>
                        <wp:docPr id="1006444172" name="Рисунок 1006444172">
                          <a:hlinkClick xmlns:a="http://schemas.openxmlformats.org/drawingml/2006/main" r:id="rId4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>
                                  <a:hlinkClick r:id="rId4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5" w:type="dxa"/>
                  <w:hideMark/>
                </w:tcPr>
                <w:p w14:paraId="57414C27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213" w:type="dxa"/>
                  <w:gridSpan w:val="2"/>
                  <w:hideMark/>
                </w:tcPr>
                <w:p w14:paraId="7F134C48" w14:textId="70432DFB" w:rsidR="00DC5962" w:rsidRPr="001D1AA4" w:rsidRDefault="00DC5962" w:rsidP="00521F44">
                  <w:pPr>
                    <w:pStyle w:val="rvps14"/>
                    <w:spacing w:before="150" w:beforeAutospacing="0" w:after="150" w:afterAutospacing="0"/>
                    <w:jc w:val="both"/>
                  </w:pPr>
                  <w:r w:rsidRPr="001D1AA4">
                    <w:t>прогнозований обсяг електричної енергії, що розподіляється на 2 класі напруги</w:t>
                  </w:r>
                  <w:r w:rsidR="00521F44" w:rsidRPr="001D1AA4">
                    <w:t xml:space="preserve"> </w:t>
                  </w:r>
                  <w:bookmarkStart w:id="22" w:name="_Hlk147908839"/>
                  <w:r w:rsidR="00521F44" w:rsidRPr="001D1AA4">
                    <w:t>(</w:t>
                  </w:r>
                  <w:r w:rsidR="00521F44" w:rsidRPr="001D1AA4">
                    <w:rPr>
                      <w:rFonts w:eastAsiaTheme="minorHAnsi"/>
                      <w:b/>
                      <w:shd w:val="clear" w:color="auto" w:fill="FFFFFF"/>
                    </w:rPr>
                    <w:t>крім</w:t>
                  </w:r>
                  <w:r w:rsidR="00521F44" w:rsidRPr="001D1AA4">
                    <w:rPr>
                      <w:b/>
                      <w:shd w:val="clear" w:color="auto" w:fill="FFFFFF"/>
                    </w:rPr>
                    <w:t xml:space="preserve"> ліцензіатів, перелік яких наведено у додатку до Постанови </w:t>
                  </w:r>
                  <w:r w:rsidR="00521F44" w:rsidRPr="001D1AA4">
                    <w:rPr>
                      <w:b/>
                    </w:rPr>
                    <w:t xml:space="preserve">про встановлення </w:t>
                  </w:r>
                  <w:r w:rsidR="00521F44" w:rsidRPr="001D1AA4">
                    <w:rPr>
                      <w:b/>
                    </w:rPr>
                    <w:lastRenderedPageBreak/>
                    <w:t>параметрів регулювання, для яких на 2024 рік</w:t>
                  </w:r>
                  <w:r w:rsidR="00521F44" w:rsidRPr="001D1AA4">
                    <w:t xml:space="preserve"> </w:t>
                  </w:r>
                  <w:r w:rsidRPr="001D1AA4">
                    <w:rPr>
                      <w:noProof/>
                    </w:rPr>
                    <w:drawing>
                      <wp:inline distT="0" distB="0" distL="0" distR="0" wp14:anchorId="57A48A01" wp14:editId="5E4F3C47">
                        <wp:extent cx="255905" cy="255905"/>
                        <wp:effectExtent l="0" t="0" r="0" b="0"/>
                        <wp:docPr id="323748105" name="Рисунок 323748105">
                          <a:hlinkClick xmlns:a="http://schemas.openxmlformats.org/drawingml/2006/main" r:id="rId4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>
                                  <a:hlinkClick r:id="rId4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1AA4">
                    <w:rPr>
                      <w:b/>
                      <w:bCs/>
                    </w:rPr>
                    <w:t xml:space="preserve"> </w:t>
                  </w:r>
                  <w:r w:rsidR="00CA6688" w:rsidRPr="001D1AA4">
                    <w:rPr>
                      <w:b/>
                    </w:rPr>
                    <w:t>фіксується на рівні, врахованому у діючих тарифах</w:t>
                  </w:r>
                  <w:r w:rsidRPr="001D1AA4">
                    <w:rPr>
                      <w:b/>
                      <w:bCs/>
                    </w:rPr>
                    <w:t>)</w:t>
                  </w:r>
                  <w:bookmarkEnd w:id="22"/>
                  <w:r w:rsidRPr="001D1AA4">
                    <w:t xml:space="preserve">, </w:t>
                  </w:r>
                  <w:proofErr w:type="spellStart"/>
                  <w:r w:rsidRPr="001D1AA4">
                    <w:t>МВт·год</w:t>
                  </w:r>
                  <w:proofErr w:type="spellEnd"/>
                  <w:r w:rsidRPr="001D1AA4">
                    <w:t>;</w:t>
                  </w:r>
                </w:p>
              </w:tc>
            </w:tr>
            <w:tr w:rsidR="00DC5962" w14:paraId="5AE7BA20" w14:textId="77777777" w:rsidTr="008571CD">
              <w:tc>
                <w:tcPr>
                  <w:tcW w:w="27" w:type="dxa"/>
                  <w:vMerge/>
                  <w:hideMark/>
                </w:tcPr>
                <w:p w14:paraId="31BEC309" w14:textId="77777777" w:rsidR="00DC5962" w:rsidRDefault="00DC5962" w:rsidP="00DC596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3" w:type="dxa"/>
                  <w:gridSpan w:val="2"/>
                  <w:hideMark/>
                </w:tcPr>
                <w:p w14:paraId="7E4CFCD8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0C8498F" wp14:editId="3EBABDA7">
                        <wp:extent cx="511810" cy="255905"/>
                        <wp:effectExtent l="0" t="0" r="2540" b="0"/>
                        <wp:docPr id="1040206266" name="Рисунок 1040206266">
                          <a:hlinkClick xmlns:a="http://schemas.openxmlformats.org/drawingml/2006/main" r:id="rId4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>
                                  <a:hlinkClick r:id="rId4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1810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5" w:type="dxa"/>
                  <w:hideMark/>
                </w:tcPr>
                <w:p w14:paraId="6A8CDCBB" w14:textId="77777777" w:rsidR="00DC5962" w:rsidRDefault="00DC5962" w:rsidP="00DC5962">
                  <w:pPr>
                    <w:pStyle w:val="rvps12"/>
                    <w:spacing w:before="150" w:beforeAutospacing="0" w:after="15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213" w:type="dxa"/>
                  <w:gridSpan w:val="2"/>
                  <w:hideMark/>
                </w:tcPr>
                <w:p w14:paraId="38FCF249" w14:textId="18E1DD1C" w:rsidR="00DC5962" w:rsidRPr="001D1AA4" w:rsidRDefault="00DC5962" w:rsidP="00521F44">
                  <w:pPr>
                    <w:pStyle w:val="rvps14"/>
                    <w:spacing w:before="150" w:beforeAutospacing="0" w:after="150" w:afterAutospacing="0"/>
                    <w:jc w:val="both"/>
                    <w:rPr>
                      <w:b/>
                      <w:bCs/>
                    </w:rPr>
                  </w:pPr>
                  <w:r w:rsidRPr="001D1AA4">
                    <w:t>прогнозований обсяг електричної енергії, що надходить від генеруючих компаній безпосередньо на 2 клас напруги на рік </w:t>
                  </w:r>
                  <w:r w:rsidRPr="001D1AA4">
                    <w:rPr>
                      <w:rStyle w:val="rvts11"/>
                      <w:i/>
                      <w:iCs/>
                    </w:rPr>
                    <w:t>t</w:t>
                  </w:r>
                  <w:r w:rsidR="003A398F" w:rsidRPr="001D1AA4">
                    <w:rPr>
                      <w:rStyle w:val="rvts11"/>
                    </w:rPr>
                    <w:t xml:space="preserve"> </w:t>
                  </w:r>
                  <w:bookmarkStart w:id="23" w:name="_Hlk147909028"/>
                  <w:r w:rsidR="003A398F" w:rsidRPr="001D1AA4">
                    <w:rPr>
                      <w:b/>
                      <w:bCs/>
                    </w:rPr>
                    <w:t>(</w:t>
                  </w:r>
                  <w:r w:rsidR="00521F44" w:rsidRPr="001D1AA4">
                    <w:rPr>
                      <w:rFonts w:eastAsiaTheme="minorHAnsi"/>
                      <w:b/>
                      <w:shd w:val="clear" w:color="auto" w:fill="FFFFFF"/>
                    </w:rPr>
                    <w:t>крім</w:t>
                  </w:r>
                  <w:r w:rsidR="00521F44" w:rsidRPr="001D1AA4">
                    <w:rPr>
                      <w:b/>
                      <w:shd w:val="clear" w:color="auto" w:fill="FFFFFF"/>
                    </w:rPr>
                    <w:t xml:space="preserve"> ліцензіатів, перелік яких наведено у додатку до Постанови </w:t>
                  </w:r>
                  <w:r w:rsidR="00521F44" w:rsidRPr="001D1AA4">
                    <w:rPr>
                      <w:b/>
                    </w:rPr>
                    <w:t>про встановлення параметрів регулювання, для яких на 2024 рік</w:t>
                  </w:r>
                  <w:r w:rsidR="00CA6688" w:rsidRPr="001D1AA4">
                    <w:t xml:space="preserve"> </w:t>
                  </w:r>
                  <w:r w:rsidR="003A398F" w:rsidRPr="001D1AA4">
                    <w:rPr>
                      <w:noProof/>
                    </w:rPr>
                    <w:drawing>
                      <wp:inline distT="0" distB="0" distL="0" distR="0" wp14:anchorId="1D0A8D2E" wp14:editId="38D6EB90">
                        <wp:extent cx="511810" cy="255905"/>
                        <wp:effectExtent l="0" t="0" r="2540" b="0"/>
                        <wp:docPr id="1908051749" name="Рисунок 1908051749">
                          <a:hlinkClick xmlns:a="http://schemas.openxmlformats.org/drawingml/2006/main" r:id="rId4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>
                                  <a:hlinkClick r:id="rId4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1810" cy="255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A398F" w:rsidRPr="001D1AA4">
                    <w:rPr>
                      <w:b/>
                      <w:bCs/>
                    </w:rPr>
                    <w:t xml:space="preserve"> </w:t>
                  </w:r>
                  <w:r w:rsidR="00CA6688" w:rsidRPr="001D1AA4">
                    <w:rPr>
                      <w:b/>
                    </w:rPr>
                    <w:t>фіксується на рівні, врахованому у діючих тарифах</w:t>
                  </w:r>
                  <w:r w:rsidR="003A398F" w:rsidRPr="001D1AA4">
                    <w:rPr>
                      <w:b/>
                      <w:bCs/>
                    </w:rPr>
                    <w:t>)</w:t>
                  </w:r>
                  <w:bookmarkEnd w:id="23"/>
                  <w:r w:rsidRPr="001D1AA4">
                    <w:t xml:space="preserve">, </w:t>
                  </w:r>
                  <w:proofErr w:type="spellStart"/>
                  <w:r w:rsidRPr="001D1AA4">
                    <w:t>МВт·год</w:t>
                  </w:r>
                  <w:proofErr w:type="spellEnd"/>
                  <w:r w:rsidRPr="001D1AA4">
                    <w:t>.</w:t>
                  </w:r>
                </w:p>
              </w:tc>
            </w:tr>
          </w:tbl>
          <w:p w14:paraId="06DC5524" w14:textId="77777777" w:rsidR="00DC5962" w:rsidRPr="005A7CED" w:rsidRDefault="00DC5962" w:rsidP="00DC5962">
            <w:pPr>
              <w:pStyle w:val="a4"/>
              <w:autoSpaceDE w:val="0"/>
              <w:autoSpaceDN w:val="0"/>
              <w:ind w:left="0" w:firstLine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6E688634" w14:textId="77777777" w:rsidR="00EC6C46" w:rsidRPr="003D580E" w:rsidRDefault="00EC6C46" w:rsidP="00DB7FC1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EC6C46" w:rsidRPr="003D580E" w:rsidSect="00732796">
      <w:headerReference w:type="default" r:id="rId50"/>
      <w:pgSz w:w="16838" w:h="11906" w:orient="landscape"/>
      <w:pgMar w:top="851" w:right="395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9E910" w14:textId="77777777" w:rsidR="00732796" w:rsidRDefault="00732796" w:rsidP="00732796">
      <w:pPr>
        <w:spacing w:after="0" w:line="240" w:lineRule="auto"/>
      </w:pPr>
      <w:r>
        <w:separator/>
      </w:r>
    </w:p>
  </w:endnote>
  <w:endnote w:type="continuationSeparator" w:id="0">
    <w:p w14:paraId="24D077D3" w14:textId="77777777" w:rsidR="00732796" w:rsidRDefault="00732796" w:rsidP="00732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5B2C2" w14:textId="77777777" w:rsidR="00732796" w:rsidRDefault="00732796" w:rsidP="00732796">
      <w:pPr>
        <w:spacing w:after="0" w:line="240" w:lineRule="auto"/>
      </w:pPr>
      <w:r>
        <w:separator/>
      </w:r>
    </w:p>
  </w:footnote>
  <w:footnote w:type="continuationSeparator" w:id="0">
    <w:p w14:paraId="67C6FA89" w14:textId="77777777" w:rsidR="00732796" w:rsidRDefault="00732796" w:rsidP="00732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2530142"/>
      <w:docPartObj>
        <w:docPartGallery w:val="Page Numbers (Top of Page)"/>
        <w:docPartUnique/>
      </w:docPartObj>
    </w:sdtPr>
    <w:sdtEndPr/>
    <w:sdtContent>
      <w:p w14:paraId="770CE8D6" w14:textId="446D7BE0" w:rsidR="00732796" w:rsidRDefault="0073279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CEFD78" w14:textId="77777777" w:rsidR="00732796" w:rsidRDefault="007327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5.25pt;height:18.75pt;visibility:visible;mso-wrap-style:square" o:bullet="t">
        <v:imagedata r:id="rId1" o:title=""/>
      </v:shape>
    </w:pict>
  </w:numPicBullet>
  <w:abstractNum w:abstractNumId="0" w15:restartNumberingAfterBreak="0">
    <w:nsid w:val="021F152F"/>
    <w:multiLevelType w:val="hybridMultilevel"/>
    <w:tmpl w:val="1BE80072"/>
    <w:lvl w:ilvl="0" w:tplc="F1362A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1878"/>
    <w:multiLevelType w:val="hybridMultilevel"/>
    <w:tmpl w:val="63B2FC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66F4"/>
    <w:multiLevelType w:val="hybridMultilevel"/>
    <w:tmpl w:val="F7088190"/>
    <w:lvl w:ilvl="0" w:tplc="E1CE2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02AF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0E05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D436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B0A8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4C1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94A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CAB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AADD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72A25C4"/>
    <w:multiLevelType w:val="hybridMultilevel"/>
    <w:tmpl w:val="D8ACFF34"/>
    <w:lvl w:ilvl="0" w:tplc="C1CE921C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9" w:hanging="360"/>
      </w:pPr>
    </w:lvl>
    <w:lvl w:ilvl="2" w:tplc="0422001B" w:tentative="1">
      <w:start w:val="1"/>
      <w:numFmt w:val="lowerRoman"/>
      <w:lvlText w:val="%3."/>
      <w:lvlJc w:val="right"/>
      <w:pPr>
        <w:ind w:left="1829" w:hanging="180"/>
      </w:pPr>
    </w:lvl>
    <w:lvl w:ilvl="3" w:tplc="0422000F" w:tentative="1">
      <w:start w:val="1"/>
      <w:numFmt w:val="decimal"/>
      <w:lvlText w:val="%4."/>
      <w:lvlJc w:val="left"/>
      <w:pPr>
        <w:ind w:left="2549" w:hanging="360"/>
      </w:pPr>
    </w:lvl>
    <w:lvl w:ilvl="4" w:tplc="04220019" w:tentative="1">
      <w:start w:val="1"/>
      <w:numFmt w:val="lowerLetter"/>
      <w:lvlText w:val="%5."/>
      <w:lvlJc w:val="left"/>
      <w:pPr>
        <w:ind w:left="3269" w:hanging="360"/>
      </w:pPr>
    </w:lvl>
    <w:lvl w:ilvl="5" w:tplc="0422001B" w:tentative="1">
      <w:start w:val="1"/>
      <w:numFmt w:val="lowerRoman"/>
      <w:lvlText w:val="%6."/>
      <w:lvlJc w:val="right"/>
      <w:pPr>
        <w:ind w:left="3989" w:hanging="180"/>
      </w:pPr>
    </w:lvl>
    <w:lvl w:ilvl="6" w:tplc="0422000F" w:tentative="1">
      <w:start w:val="1"/>
      <w:numFmt w:val="decimal"/>
      <w:lvlText w:val="%7."/>
      <w:lvlJc w:val="left"/>
      <w:pPr>
        <w:ind w:left="4709" w:hanging="360"/>
      </w:pPr>
    </w:lvl>
    <w:lvl w:ilvl="7" w:tplc="04220019" w:tentative="1">
      <w:start w:val="1"/>
      <w:numFmt w:val="lowerLetter"/>
      <w:lvlText w:val="%8."/>
      <w:lvlJc w:val="left"/>
      <w:pPr>
        <w:ind w:left="5429" w:hanging="360"/>
      </w:pPr>
    </w:lvl>
    <w:lvl w:ilvl="8" w:tplc="0422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 w15:restartNumberingAfterBreak="0">
    <w:nsid w:val="279A6CDE"/>
    <w:multiLevelType w:val="hybridMultilevel"/>
    <w:tmpl w:val="AC82967C"/>
    <w:lvl w:ilvl="0" w:tplc="0C2C65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B050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3755B"/>
    <w:multiLevelType w:val="hybridMultilevel"/>
    <w:tmpl w:val="1D303B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3C1EFC"/>
    <w:multiLevelType w:val="hybridMultilevel"/>
    <w:tmpl w:val="A2FE7166"/>
    <w:lvl w:ilvl="0" w:tplc="DCFA1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32F5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0C70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CDF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4A3B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4AF3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5A83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D014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F843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B2"/>
    <w:rsid w:val="000111F2"/>
    <w:rsid w:val="00013CD9"/>
    <w:rsid w:val="00016245"/>
    <w:rsid w:val="00017E0F"/>
    <w:rsid w:val="00022F5E"/>
    <w:rsid w:val="00023100"/>
    <w:rsid w:val="0002624B"/>
    <w:rsid w:val="00026858"/>
    <w:rsid w:val="00030A05"/>
    <w:rsid w:val="00053460"/>
    <w:rsid w:val="00061572"/>
    <w:rsid w:val="00061EEF"/>
    <w:rsid w:val="000621C7"/>
    <w:rsid w:val="00062C6E"/>
    <w:rsid w:val="00074A64"/>
    <w:rsid w:val="00077220"/>
    <w:rsid w:val="0008328F"/>
    <w:rsid w:val="00084913"/>
    <w:rsid w:val="000858D8"/>
    <w:rsid w:val="000942DC"/>
    <w:rsid w:val="000965F4"/>
    <w:rsid w:val="000966C7"/>
    <w:rsid w:val="000A11F3"/>
    <w:rsid w:val="000C403A"/>
    <w:rsid w:val="000C6920"/>
    <w:rsid w:val="000D0DEE"/>
    <w:rsid w:val="000E1CFD"/>
    <w:rsid w:val="000F0A66"/>
    <w:rsid w:val="000F57CF"/>
    <w:rsid w:val="00101DC5"/>
    <w:rsid w:val="001040F2"/>
    <w:rsid w:val="00111882"/>
    <w:rsid w:val="00112298"/>
    <w:rsid w:val="001159EA"/>
    <w:rsid w:val="00120842"/>
    <w:rsid w:val="00125DD6"/>
    <w:rsid w:val="00130244"/>
    <w:rsid w:val="00131C72"/>
    <w:rsid w:val="00132A4A"/>
    <w:rsid w:val="00132A4D"/>
    <w:rsid w:val="00133059"/>
    <w:rsid w:val="0013388A"/>
    <w:rsid w:val="00133F3D"/>
    <w:rsid w:val="001358C0"/>
    <w:rsid w:val="001379C6"/>
    <w:rsid w:val="00140001"/>
    <w:rsid w:val="001464F8"/>
    <w:rsid w:val="00146C61"/>
    <w:rsid w:val="0015325C"/>
    <w:rsid w:val="00163DE4"/>
    <w:rsid w:val="00163F33"/>
    <w:rsid w:val="0017415B"/>
    <w:rsid w:val="001758AC"/>
    <w:rsid w:val="00176945"/>
    <w:rsid w:val="0019077C"/>
    <w:rsid w:val="001A2414"/>
    <w:rsid w:val="001A6D99"/>
    <w:rsid w:val="001B3CA1"/>
    <w:rsid w:val="001B40E6"/>
    <w:rsid w:val="001B5C09"/>
    <w:rsid w:val="001B72E0"/>
    <w:rsid w:val="001B77AC"/>
    <w:rsid w:val="001B7DE2"/>
    <w:rsid w:val="001C048A"/>
    <w:rsid w:val="001C3BB7"/>
    <w:rsid w:val="001C3F32"/>
    <w:rsid w:val="001C4459"/>
    <w:rsid w:val="001C44B6"/>
    <w:rsid w:val="001C4934"/>
    <w:rsid w:val="001D19EE"/>
    <w:rsid w:val="001D1AA4"/>
    <w:rsid w:val="001E5109"/>
    <w:rsid w:val="001E5C75"/>
    <w:rsid w:val="001E7E5D"/>
    <w:rsid w:val="001E7FBD"/>
    <w:rsid w:val="001F0A96"/>
    <w:rsid w:val="001F0D79"/>
    <w:rsid w:val="0020273D"/>
    <w:rsid w:val="00211AE9"/>
    <w:rsid w:val="00212258"/>
    <w:rsid w:val="002162BD"/>
    <w:rsid w:val="00217068"/>
    <w:rsid w:val="00220400"/>
    <w:rsid w:val="0022638E"/>
    <w:rsid w:val="00227BF2"/>
    <w:rsid w:val="002310BD"/>
    <w:rsid w:val="00244C03"/>
    <w:rsid w:val="00251996"/>
    <w:rsid w:val="00251EAF"/>
    <w:rsid w:val="0025298A"/>
    <w:rsid w:val="00254202"/>
    <w:rsid w:val="002560EA"/>
    <w:rsid w:val="002617C5"/>
    <w:rsid w:val="00262730"/>
    <w:rsid w:val="00263893"/>
    <w:rsid w:val="00264848"/>
    <w:rsid w:val="00272DA4"/>
    <w:rsid w:val="0027695D"/>
    <w:rsid w:val="00277F30"/>
    <w:rsid w:val="00282DAA"/>
    <w:rsid w:val="00283990"/>
    <w:rsid w:val="002979AC"/>
    <w:rsid w:val="002A35D9"/>
    <w:rsid w:val="002B55C1"/>
    <w:rsid w:val="002B7394"/>
    <w:rsid w:val="002C1D40"/>
    <w:rsid w:val="002C2C36"/>
    <w:rsid w:val="002C323C"/>
    <w:rsid w:val="002C35B6"/>
    <w:rsid w:val="002D0758"/>
    <w:rsid w:val="002E0E95"/>
    <w:rsid w:val="002E382C"/>
    <w:rsid w:val="002E7484"/>
    <w:rsid w:val="002F59AD"/>
    <w:rsid w:val="00302BCD"/>
    <w:rsid w:val="00307B25"/>
    <w:rsid w:val="00315B60"/>
    <w:rsid w:val="003170E4"/>
    <w:rsid w:val="00320C6A"/>
    <w:rsid w:val="00321F8E"/>
    <w:rsid w:val="00330872"/>
    <w:rsid w:val="00332B37"/>
    <w:rsid w:val="00332F59"/>
    <w:rsid w:val="003331D6"/>
    <w:rsid w:val="00334116"/>
    <w:rsid w:val="00335A90"/>
    <w:rsid w:val="00335C78"/>
    <w:rsid w:val="00340D85"/>
    <w:rsid w:val="00341855"/>
    <w:rsid w:val="00341B7F"/>
    <w:rsid w:val="003463FA"/>
    <w:rsid w:val="0035103B"/>
    <w:rsid w:val="0035384D"/>
    <w:rsid w:val="00362F39"/>
    <w:rsid w:val="003664D5"/>
    <w:rsid w:val="003707A6"/>
    <w:rsid w:val="003744E9"/>
    <w:rsid w:val="0037493A"/>
    <w:rsid w:val="0038018E"/>
    <w:rsid w:val="0038079B"/>
    <w:rsid w:val="0038281F"/>
    <w:rsid w:val="00382BDC"/>
    <w:rsid w:val="00386416"/>
    <w:rsid w:val="00386432"/>
    <w:rsid w:val="003902DF"/>
    <w:rsid w:val="00397FFB"/>
    <w:rsid w:val="003A0956"/>
    <w:rsid w:val="003A10EE"/>
    <w:rsid w:val="003A398F"/>
    <w:rsid w:val="003A46D4"/>
    <w:rsid w:val="003A55E8"/>
    <w:rsid w:val="003A57C6"/>
    <w:rsid w:val="003B270D"/>
    <w:rsid w:val="003B2C40"/>
    <w:rsid w:val="003B3E04"/>
    <w:rsid w:val="003B73F6"/>
    <w:rsid w:val="003C2FCD"/>
    <w:rsid w:val="003C31B0"/>
    <w:rsid w:val="003D17A4"/>
    <w:rsid w:val="003D24EC"/>
    <w:rsid w:val="003D3AB7"/>
    <w:rsid w:val="003D46CE"/>
    <w:rsid w:val="003D580E"/>
    <w:rsid w:val="003D655D"/>
    <w:rsid w:val="003E2016"/>
    <w:rsid w:val="003E58BA"/>
    <w:rsid w:val="003F4510"/>
    <w:rsid w:val="00412CD1"/>
    <w:rsid w:val="00420FE4"/>
    <w:rsid w:val="00423BE5"/>
    <w:rsid w:val="0043025F"/>
    <w:rsid w:val="0043078A"/>
    <w:rsid w:val="00430C90"/>
    <w:rsid w:val="004356BE"/>
    <w:rsid w:val="00445D91"/>
    <w:rsid w:val="0045186B"/>
    <w:rsid w:val="00457CFC"/>
    <w:rsid w:val="004633AA"/>
    <w:rsid w:val="00464F22"/>
    <w:rsid w:val="00467779"/>
    <w:rsid w:val="00473B83"/>
    <w:rsid w:val="004767B4"/>
    <w:rsid w:val="004778E5"/>
    <w:rsid w:val="00480EAD"/>
    <w:rsid w:val="0048289F"/>
    <w:rsid w:val="004832F1"/>
    <w:rsid w:val="00487114"/>
    <w:rsid w:val="00493AE0"/>
    <w:rsid w:val="004948CA"/>
    <w:rsid w:val="004956D0"/>
    <w:rsid w:val="004A4697"/>
    <w:rsid w:val="004B56BF"/>
    <w:rsid w:val="004B58D4"/>
    <w:rsid w:val="004B64F8"/>
    <w:rsid w:val="004B6AA5"/>
    <w:rsid w:val="004B7599"/>
    <w:rsid w:val="004D0F6D"/>
    <w:rsid w:val="004D3005"/>
    <w:rsid w:val="004D3A9C"/>
    <w:rsid w:val="004D4DD5"/>
    <w:rsid w:val="004D6A85"/>
    <w:rsid w:val="004E55CA"/>
    <w:rsid w:val="004E5FF3"/>
    <w:rsid w:val="004F03F4"/>
    <w:rsid w:val="004F3C0F"/>
    <w:rsid w:val="004F5049"/>
    <w:rsid w:val="00501121"/>
    <w:rsid w:val="00505871"/>
    <w:rsid w:val="005058B9"/>
    <w:rsid w:val="00507F63"/>
    <w:rsid w:val="00511139"/>
    <w:rsid w:val="0051527F"/>
    <w:rsid w:val="00521F44"/>
    <w:rsid w:val="005220A2"/>
    <w:rsid w:val="00523DA6"/>
    <w:rsid w:val="00524463"/>
    <w:rsid w:val="00532293"/>
    <w:rsid w:val="00532CB0"/>
    <w:rsid w:val="005330E0"/>
    <w:rsid w:val="005342B7"/>
    <w:rsid w:val="005344A3"/>
    <w:rsid w:val="005345CB"/>
    <w:rsid w:val="00534AA2"/>
    <w:rsid w:val="005355DB"/>
    <w:rsid w:val="0053605E"/>
    <w:rsid w:val="00544580"/>
    <w:rsid w:val="00545736"/>
    <w:rsid w:val="00545C1C"/>
    <w:rsid w:val="00546E51"/>
    <w:rsid w:val="005523B2"/>
    <w:rsid w:val="00554D45"/>
    <w:rsid w:val="005559E2"/>
    <w:rsid w:val="00557260"/>
    <w:rsid w:val="005647DB"/>
    <w:rsid w:val="005825CA"/>
    <w:rsid w:val="00592A45"/>
    <w:rsid w:val="005A358D"/>
    <w:rsid w:val="005A4FAF"/>
    <w:rsid w:val="005A7CED"/>
    <w:rsid w:val="005B224B"/>
    <w:rsid w:val="005B3553"/>
    <w:rsid w:val="005B782D"/>
    <w:rsid w:val="005C6880"/>
    <w:rsid w:val="005D05E1"/>
    <w:rsid w:val="005D0872"/>
    <w:rsid w:val="005D1A1E"/>
    <w:rsid w:val="005D1D29"/>
    <w:rsid w:val="005D2213"/>
    <w:rsid w:val="005D3B61"/>
    <w:rsid w:val="005D4318"/>
    <w:rsid w:val="005D469A"/>
    <w:rsid w:val="005E0ECD"/>
    <w:rsid w:val="005E193D"/>
    <w:rsid w:val="005E2430"/>
    <w:rsid w:val="005F15C5"/>
    <w:rsid w:val="005F26FC"/>
    <w:rsid w:val="005F3756"/>
    <w:rsid w:val="005F43A8"/>
    <w:rsid w:val="005F587F"/>
    <w:rsid w:val="005F6D72"/>
    <w:rsid w:val="00603037"/>
    <w:rsid w:val="006042B4"/>
    <w:rsid w:val="006065A8"/>
    <w:rsid w:val="00613A9A"/>
    <w:rsid w:val="0062159B"/>
    <w:rsid w:val="006217DD"/>
    <w:rsid w:val="00631B37"/>
    <w:rsid w:val="00632523"/>
    <w:rsid w:val="0063362E"/>
    <w:rsid w:val="00640C3C"/>
    <w:rsid w:val="00640F44"/>
    <w:rsid w:val="006435BF"/>
    <w:rsid w:val="00646762"/>
    <w:rsid w:val="00651403"/>
    <w:rsid w:val="00651839"/>
    <w:rsid w:val="00652D95"/>
    <w:rsid w:val="006546AE"/>
    <w:rsid w:val="006555FE"/>
    <w:rsid w:val="00662048"/>
    <w:rsid w:val="00664FDD"/>
    <w:rsid w:val="00665177"/>
    <w:rsid w:val="006673DA"/>
    <w:rsid w:val="0067016E"/>
    <w:rsid w:val="006705C5"/>
    <w:rsid w:val="00680488"/>
    <w:rsid w:val="00687FA2"/>
    <w:rsid w:val="00693F89"/>
    <w:rsid w:val="006A3493"/>
    <w:rsid w:val="006A3ED0"/>
    <w:rsid w:val="006A3F23"/>
    <w:rsid w:val="006B2385"/>
    <w:rsid w:val="006B52FD"/>
    <w:rsid w:val="006B65C0"/>
    <w:rsid w:val="006B70A6"/>
    <w:rsid w:val="006C0433"/>
    <w:rsid w:val="006C4569"/>
    <w:rsid w:val="006C6E43"/>
    <w:rsid w:val="006D5E6C"/>
    <w:rsid w:val="006E5AF2"/>
    <w:rsid w:val="006E713F"/>
    <w:rsid w:val="006E7526"/>
    <w:rsid w:val="006F7CDE"/>
    <w:rsid w:val="007028EB"/>
    <w:rsid w:val="00704A4D"/>
    <w:rsid w:val="0070523F"/>
    <w:rsid w:val="007056B3"/>
    <w:rsid w:val="00711B9C"/>
    <w:rsid w:val="00711C5C"/>
    <w:rsid w:val="0071292C"/>
    <w:rsid w:val="00713C64"/>
    <w:rsid w:val="00714AC5"/>
    <w:rsid w:val="0071726F"/>
    <w:rsid w:val="00717954"/>
    <w:rsid w:val="00720450"/>
    <w:rsid w:val="00722311"/>
    <w:rsid w:val="00722FCF"/>
    <w:rsid w:val="00723C06"/>
    <w:rsid w:val="00725571"/>
    <w:rsid w:val="00727558"/>
    <w:rsid w:val="00730F5F"/>
    <w:rsid w:val="007316EC"/>
    <w:rsid w:val="00732796"/>
    <w:rsid w:val="00734AB1"/>
    <w:rsid w:val="00742F0B"/>
    <w:rsid w:val="00752B07"/>
    <w:rsid w:val="00754125"/>
    <w:rsid w:val="00760D14"/>
    <w:rsid w:val="00761D82"/>
    <w:rsid w:val="00763CE9"/>
    <w:rsid w:val="00763F05"/>
    <w:rsid w:val="00766ED4"/>
    <w:rsid w:val="00770E2D"/>
    <w:rsid w:val="00774FED"/>
    <w:rsid w:val="007829F3"/>
    <w:rsid w:val="00786287"/>
    <w:rsid w:val="00786988"/>
    <w:rsid w:val="0079209D"/>
    <w:rsid w:val="007A2BAD"/>
    <w:rsid w:val="007A5447"/>
    <w:rsid w:val="007A7D07"/>
    <w:rsid w:val="007B26C0"/>
    <w:rsid w:val="007C0D6E"/>
    <w:rsid w:val="007C14B3"/>
    <w:rsid w:val="007C1E8D"/>
    <w:rsid w:val="007C7905"/>
    <w:rsid w:val="007D4255"/>
    <w:rsid w:val="007D75EE"/>
    <w:rsid w:val="007D7676"/>
    <w:rsid w:val="007E3683"/>
    <w:rsid w:val="007E48B7"/>
    <w:rsid w:val="007F32BA"/>
    <w:rsid w:val="007F3FE8"/>
    <w:rsid w:val="00800F9D"/>
    <w:rsid w:val="00803205"/>
    <w:rsid w:val="0080420F"/>
    <w:rsid w:val="00827BA9"/>
    <w:rsid w:val="00831801"/>
    <w:rsid w:val="00834B2A"/>
    <w:rsid w:val="00834BB2"/>
    <w:rsid w:val="008350E0"/>
    <w:rsid w:val="00835A00"/>
    <w:rsid w:val="00836B5F"/>
    <w:rsid w:val="00837D64"/>
    <w:rsid w:val="008421F2"/>
    <w:rsid w:val="00845B6A"/>
    <w:rsid w:val="00851D09"/>
    <w:rsid w:val="008546D8"/>
    <w:rsid w:val="00856A7E"/>
    <w:rsid w:val="008571CD"/>
    <w:rsid w:val="00861EF7"/>
    <w:rsid w:val="0086352B"/>
    <w:rsid w:val="008656ED"/>
    <w:rsid w:val="00870E39"/>
    <w:rsid w:val="0087276F"/>
    <w:rsid w:val="0087750E"/>
    <w:rsid w:val="0088170E"/>
    <w:rsid w:val="0088380E"/>
    <w:rsid w:val="00883C27"/>
    <w:rsid w:val="00885A72"/>
    <w:rsid w:val="008904CB"/>
    <w:rsid w:val="00891540"/>
    <w:rsid w:val="008A1746"/>
    <w:rsid w:val="008A202C"/>
    <w:rsid w:val="008A4E71"/>
    <w:rsid w:val="008B41FC"/>
    <w:rsid w:val="008B6892"/>
    <w:rsid w:val="008C1242"/>
    <w:rsid w:val="008C3C8B"/>
    <w:rsid w:val="008D0ED3"/>
    <w:rsid w:val="008D1191"/>
    <w:rsid w:val="008E16D0"/>
    <w:rsid w:val="008E2E2D"/>
    <w:rsid w:val="008F1E95"/>
    <w:rsid w:val="008F2639"/>
    <w:rsid w:val="008F4721"/>
    <w:rsid w:val="008F6C12"/>
    <w:rsid w:val="00904E8E"/>
    <w:rsid w:val="009050C1"/>
    <w:rsid w:val="0091255B"/>
    <w:rsid w:val="009130A4"/>
    <w:rsid w:val="009149C7"/>
    <w:rsid w:val="00921D65"/>
    <w:rsid w:val="00924C21"/>
    <w:rsid w:val="00927760"/>
    <w:rsid w:val="00932186"/>
    <w:rsid w:val="00934CE8"/>
    <w:rsid w:val="0093749A"/>
    <w:rsid w:val="009377EC"/>
    <w:rsid w:val="00937E6E"/>
    <w:rsid w:val="009425B7"/>
    <w:rsid w:val="009429C8"/>
    <w:rsid w:val="00947CF7"/>
    <w:rsid w:val="0095111F"/>
    <w:rsid w:val="00951F88"/>
    <w:rsid w:val="00953F1A"/>
    <w:rsid w:val="0096440B"/>
    <w:rsid w:val="0096544F"/>
    <w:rsid w:val="0097353D"/>
    <w:rsid w:val="00974B01"/>
    <w:rsid w:val="00976472"/>
    <w:rsid w:val="009847BB"/>
    <w:rsid w:val="00986A51"/>
    <w:rsid w:val="00986DB6"/>
    <w:rsid w:val="009872F7"/>
    <w:rsid w:val="00990038"/>
    <w:rsid w:val="00992C2B"/>
    <w:rsid w:val="0099334F"/>
    <w:rsid w:val="00996F46"/>
    <w:rsid w:val="009A0BDF"/>
    <w:rsid w:val="009A12A2"/>
    <w:rsid w:val="009B0FC0"/>
    <w:rsid w:val="009B1952"/>
    <w:rsid w:val="009B39E0"/>
    <w:rsid w:val="009B4E5F"/>
    <w:rsid w:val="009B7165"/>
    <w:rsid w:val="009C26BF"/>
    <w:rsid w:val="009C2EE5"/>
    <w:rsid w:val="009C55FD"/>
    <w:rsid w:val="009D3BD3"/>
    <w:rsid w:val="009E04E2"/>
    <w:rsid w:val="009E2D00"/>
    <w:rsid w:val="009E6F06"/>
    <w:rsid w:val="009F0BCB"/>
    <w:rsid w:val="009F3FAC"/>
    <w:rsid w:val="009F526A"/>
    <w:rsid w:val="009F5671"/>
    <w:rsid w:val="009F6F61"/>
    <w:rsid w:val="00A0398E"/>
    <w:rsid w:val="00A04001"/>
    <w:rsid w:val="00A13C6C"/>
    <w:rsid w:val="00A20F37"/>
    <w:rsid w:val="00A26FD7"/>
    <w:rsid w:val="00A30744"/>
    <w:rsid w:val="00A3223B"/>
    <w:rsid w:val="00A33B80"/>
    <w:rsid w:val="00A3544A"/>
    <w:rsid w:val="00A45FA7"/>
    <w:rsid w:val="00A53365"/>
    <w:rsid w:val="00A644A1"/>
    <w:rsid w:val="00A77640"/>
    <w:rsid w:val="00A834E2"/>
    <w:rsid w:val="00A83F3D"/>
    <w:rsid w:val="00A86BA4"/>
    <w:rsid w:val="00A91D09"/>
    <w:rsid w:val="00A92167"/>
    <w:rsid w:val="00A94B92"/>
    <w:rsid w:val="00AA3D52"/>
    <w:rsid w:val="00AA6A14"/>
    <w:rsid w:val="00AB3704"/>
    <w:rsid w:val="00AC1CC4"/>
    <w:rsid w:val="00AC4EE2"/>
    <w:rsid w:val="00AD4B6B"/>
    <w:rsid w:val="00AE0360"/>
    <w:rsid w:val="00AE047D"/>
    <w:rsid w:val="00AE7FF1"/>
    <w:rsid w:val="00AF2973"/>
    <w:rsid w:val="00AF4291"/>
    <w:rsid w:val="00AF4FDE"/>
    <w:rsid w:val="00AF674F"/>
    <w:rsid w:val="00AF7A5D"/>
    <w:rsid w:val="00B03622"/>
    <w:rsid w:val="00B108D8"/>
    <w:rsid w:val="00B1215F"/>
    <w:rsid w:val="00B124B9"/>
    <w:rsid w:val="00B12A9B"/>
    <w:rsid w:val="00B156E7"/>
    <w:rsid w:val="00B3224B"/>
    <w:rsid w:val="00B3475A"/>
    <w:rsid w:val="00B3568B"/>
    <w:rsid w:val="00B36F83"/>
    <w:rsid w:val="00B45838"/>
    <w:rsid w:val="00B46A14"/>
    <w:rsid w:val="00B56A4F"/>
    <w:rsid w:val="00B57D98"/>
    <w:rsid w:val="00B632A3"/>
    <w:rsid w:val="00B644EC"/>
    <w:rsid w:val="00B67EBA"/>
    <w:rsid w:val="00B70B15"/>
    <w:rsid w:val="00B878CB"/>
    <w:rsid w:val="00B91DCC"/>
    <w:rsid w:val="00BA001D"/>
    <w:rsid w:val="00BA035B"/>
    <w:rsid w:val="00BA3766"/>
    <w:rsid w:val="00BB3E0B"/>
    <w:rsid w:val="00BB61AC"/>
    <w:rsid w:val="00BC2000"/>
    <w:rsid w:val="00BC62F6"/>
    <w:rsid w:val="00BD1887"/>
    <w:rsid w:val="00BD4977"/>
    <w:rsid w:val="00BD5CBA"/>
    <w:rsid w:val="00BD5EF2"/>
    <w:rsid w:val="00BE11CB"/>
    <w:rsid w:val="00BE34A4"/>
    <w:rsid w:val="00BE3DC2"/>
    <w:rsid w:val="00BE4B78"/>
    <w:rsid w:val="00BE564D"/>
    <w:rsid w:val="00BE5AFC"/>
    <w:rsid w:val="00BF5C74"/>
    <w:rsid w:val="00BF6CA5"/>
    <w:rsid w:val="00C12E43"/>
    <w:rsid w:val="00C2056D"/>
    <w:rsid w:val="00C2324B"/>
    <w:rsid w:val="00C2509A"/>
    <w:rsid w:val="00C25627"/>
    <w:rsid w:val="00C30E0C"/>
    <w:rsid w:val="00C33331"/>
    <w:rsid w:val="00C345C8"/>
    <w:rsid w:val="00C352D8"/>
    <w:rsid w:val="00C35565"/>
    <w:rsid w:val="00C57D71"/>
    <w:rsid w:val="00C57EE9"/>
    <w:rsid w:val="00C622B0"/>
    <w:rsid w:val="00C63D3D"/>
    <w:rsid w:val="00C66818"/>
    <w:rsid w:val="00C679B3"/>
    <w:rsid w:val="00C83366"/>
    <w:rsid w:val="00C83C2A"/>
    <w:rsid w:val="00C85FDA"/>
    <w:rsid w:val="00C86283"/>
    <w:rsid w:val="00C902F6"/>
    <w:rsid w:val="00CA419D"/>
    <w:rsid w:val="00CA6688"/>
    <w:rsid w:val="00CB1643"/>
    <w:rsid w:val="00CB1685"/>
    <w:rsid w:val="00CB2E40"/>
    <w:rsid w:val="00CB70B0"/>
    <w:rsid w:val="00CC66B3"/>
    <w:rsid w:val="00CC7528"/>
    <w:rsid w:val="00CD5EAC"/>
    <w:rsid w:val="00CE1E19"/>
    <w:rsid w:val="00CE33BD"/>
    <w:rsid w:val="00CE4A05"/>
    <w:rsid w:val="00CF0947"/>
    <w:rsid w:val="00CF1CB3"/>
    <w:rsid w:val="00CF450E"/>
    <w:rsid w:val="00D04541"/>
    <w:rsid w:val="00D227C9"/>
    <w:rsid w:val="00D22DEA"/>
    <w:rsid w:val="00D31200"/>
    <w:rsid w:val="00D320AC"/>
    <w:rsid w:val="00D339EF"/>
    <w:rsid w:val="00D36C43"/>
    <w:rsid w:val="00D4189B"/>
    <w:rsid w:val="00D41997"/>
    <w:rsid w:val="00D43B73"/>
    <w:rsid w:val="00D448E9"/>
    <w:rsid w:val="00D4650E"/>
    <w:rsid w:val="00D51EDB"/>
    <w:rsid w:val="00D51F66"/>
    <w:rsid w:val="00D56312"/>
    <w:rsid w:val="00D5650A"/>
    <w:rsid w:val="00D63CE0"/>
    <w:rsid w:val="00D70024"/>
    <w:rsid w:val="00D710DB"/>
    <w:rsid w:val="00D74A46"/>
    <w:rsid w:val="00D76B67"/>
    <w:rsid w:val="00D82B48"/>
    <w:rsid w:val="00D86132"/>
    <w:rsid w:val="00D86194"/>
    <w:rsid w:val="00D86383"/>
    <w:rsid w:val="00D900FB"/>
    <w:rsid w:val="00DA2FCE"/>
    <w:rsid w:val="00DB468D"/>
    <w:rsid w:val="00DB7FC1"/>
    <w:rsid w:val="00DC07FA"/>
    <w:rsid w:val="00DC47B4"/>
    <w:rsid w:val="00DC52A8"/>
    <w:rsid w:val="00DC5962"/>
    <w:rsid w:val="00DD148D"/>
    <w:rsid w:val="00DE022F"/>
    <w:rsid w:val="00DE4366"/>
    <w:rsid w:val="00DF0989"/>
    <w:rsid w:val="00E165B2"/>
    <w:rsid w:val="00E17055"/>
    <w:rsid w:val="00E215D0"/>
    <w:rsid w:val="00E2252F"/>
    <w:rsid w:val="00E233B0"/>
    <w:rsid w:val="00E31F5A"/>
    <w:rsid w:val="00E333A0"/>
    <w:rsid w:val="00E3439B"/>
    <w:rsid w:val="00E3565A"/>
    <w:rsid w:val="00E44D33"/>
    <w:rsid w:val="00E47FEF"/>
    <w:rsid w:val="00E50E5C"/>
    <w:rsid w:val="00E54BD4"/>
    <w:rsid w:val="00E60A46"/>
    <w:rsid w:val="00E64DD7"/>
    <w:rsid w:val="00E66F52"/>
    <w:rsid w:val="00E734B4"/>
    <w:rsid w:val="00E77180"/>
    <w:rsid w:val="00E776F1"/>
    <w:rsid w:val="00E843F9"/>
    <w:rsid w:val="00E8516A"/>
    <w:rsid w:val="00E8625E"/>
    <w:rsid w:val="00E86E4A"/>
    <w:rsid w:val="00E951DB"/>
    <w:rsid w:val="00E96FB2"/>
    <w:rsid w:val="00EA02F3"/>
    <w:rsid w:val="00EA5773"/>
    <w:rsid w:val="00EA6FAD"/>
    <w:rsid w:val="00EB00B1"/>
    <w:rsid w:val="00EB051F"/>
    <w:rsid w:val="00EB2243"/>
    <w:rsid w:val="00EB3D07"/>
    <w:rsid w:val="00EB3D95"/>
    <w:rsid w:val="00EC6C46"/>
    <w:rsid w:val="00EC743D"/>
    <w:rsid w:val="00ED0BA5"/>
    <w:rsid w:val="00ED2106"/>
    <w:rsid w:val="00ED2D5E"/>
    <w:rsid w:val="00ED3504"/>
    <w:rsid w:val="00ED76E1"/>
    <w:rsid w:val="00EE6094"/>
    <w:rsid w:val="00EE7601"/>
    <w:rsid w:val="00EF2CFA"/>
    <w:rsid w:val="00F02CC3"/>
    <w:rsid w:val="00F02F02"/>
    <w:rsid w:val="00F07B7A"/>
    <w:rsid w:val="00F102F7"/>
    <w:rsid w:val="00F10FD4"/>
    <w:rsid w:val="00F157A8"/>
    <w:rsid w:val="00F22603"/>
    <w:rsid w:val="00F229D3"/>
    <w:rsid w:val="00F239FD"/>
    <w:rsid w:val="00F243C1"/>
    <w:rsid w:val="00F25099"/>
    <w:rsid w:val="00F2520B"/>
    <w:rsid w:val="00F34C97"/>
    <w:rsid w:val="00F45537"/>
    <w:rsid w:val="00F51AE0"/>
    <w:rsid w:val="00F61A66"/>
    <w:rsid w:val="00F717EA"/>
    <w:rsid w:val="00F81B83"/>
    <w:rsid w:val="00F859AB"/>
    <w:rsid w:val="00F92D41"/>
    <w:rsid w:val="00FA3D8A"/>
    <w:rsid w:val="00FA3E24"/>
    <w:rsid w:val="00FA5672"/>
    <w:rsid w:val="00FA7A0E"/>
    <w:rsid w:val="00FB6122"/>
    <w:rsid w:val="00FC1D58"/>
    <w:rsid w:val="00FC2BB9"/>
    <w:rsid w:val="00FC3CAB"/>
    <w:rsid w:val="00FC74BB"/>
    <w:rsid w:val="00FD0727"/>
    <w:rsid w:val="00FD7AA2"/>
    <w:rsid w:val="00FE1B21"/>
    <w:rsid w:val="00FE32AB"/>
    <w:rsid w:val="00FF0400"/>
    <w:rsid w:val="00FF3433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290D513"/>
  <w15:chartTrackingRefBased/>
  <w15:docId w15:val="{90B6F930-6235-43EB-8B64-4CBDE98D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A11F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D24EC"/>
    <w:rPr>
      <w:color w:val="0000FF"/>
      <w:u w:val="single"/>
    </w:rPr>
  </w:style>
  <w:style w:type="paragraph" w:customStyle="1" w:styleId="rvps2">
    <w:name w:val="rvps2"/>
    <w:basedOn w:val="a"/>
    <w:rsid w:val="001C0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792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0">
    <w:name w:val="rvts40"/>
    <w:basedOn w:val="a0"/>
    <w:rsid w:val="0079209D"/>
  </w:style>
  <w:style w:type="paragraph" w:customStyle="1" w:styleId="rvps12">
    <w:name w:val="rvps12"/>
    <w:basedOn w:val="a"/>
    <w:rsid w:val="00792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C52A8"/>
  </w:style>
  <w:style w:type="character" w:customStyle="1" w:styleId="rvts37">
    <w:name w:val="rvts37"/>
    <w:basedOn w:val="a0"/>
    <w:rsid w:val="00DC52A8"/>
  </w:style>
  <w:style w:type="character" w:styleId="a6">
    <w:name w:val="Emphasis"/>
    <w:basedOn w:val="a0"/>
    <w:uiPriority w:val="20"/>
    <w:qFormat/>
    <w:rsid w:val="009B4E5F"/>
    <w:rPr>
      <w:i/>
      <w:iCs/>
    </w:rPr>
  </w:style>
  <w:style w:type="character" w:styleId="a7">
    <w:name w:val="Placeholder Text"/>
    <w:basedOn w:val="a0"/>
    <w:uiPriority w:val="99"/>
    <w:semiHidden/>
    <w:rsid w:val="00DB468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41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41B7F"/>
    <w:rPr>
      <w:rFonts w:ascii="Segoe UI" w:hAnsi="Segoe UI" w:cs="Segoe UI"/>
      <w:sz w:val="18"/>
      <w:szCs w:val="18"/>
    </w:rPr>
  </w:style>
  <w:style w:type="paragraph" w:customStyle="1" w:styleId="rvps11">
    <w:name w:val="rvps11"/>
    <w:basedOn w:val="a"/>
    <w:rsid w:val="009C5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9C55FD"/>
  </w:style>
  <w:style w:type="paragraph" w:customStyle="1" w:styleId="TableParagraph">
    <w:name w:val="Table Paragraph"/>
    <w:basedOn w:val="a"/>
    <w:uiPriority w:val="1"/>
    <w:qFormat/>
    <w:rsid w:val="009C55F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a">
    <w:name w:val="Quote"/>
    <w:basedOn w:val="a"/>
    <w:next w:val="a"/>
    <w:link w:val="ab"/>
    <w:uiPriority w:val="29"/>
    <w:qFormat/>
    <w:rsid w:val="005F15C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15C5"/>
    <w:rPr>
      <w:i/>
      <w:iCs/>
      <w:color w:val="404040" w:themeColor="text1" w:themeTint="BF"/>
    </w:rPr>
  </w:style>
  <w:style w:type="character" w:styleId="ac">
    <w:name w:val="Strong"/>
    <w:basedOn w:val="a0"/>
    <w:uiPriority w:val="22"/>
    <w:qFormat/>
    <w:rsid w:val="00A92167"/>
    <w:rPr>
      <w:b/>
      <w:bCs/>
    </w:rPr>
  </w:style>
  <w:style w:type="character" w:customStyle="1" w:styleId="rvts46">
    <w:name w:val="rvts46"/>
    <w:basedOn w:val="a0"/>
    <w:rsid w:val="00C86283"/>
  </w:style>
  <w:style w:type="character" w:customStyle="1" w:styleId="rvts48">
    <w:name w:val="rvts48"/>
    <w:basedOn w:val="a0"/>
    <w:rsid w:val="00C86283"/>
  </w:style>
  <w:style w:type="paragraph" w:styleId="ad">
    <w:name w:val="header"/>
    <w:basedOn w:val="a"/>
    <w:link w:val="ae"/>
    <w:uiPriority w:val="99"/>
    <w:unhideWhenUsed/>
    <w:rsid w:val="007327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732796"/>
  </w:style>
  <w:style w:type="paragraph" w:styleId="af">
    <w:name w:val="footer"/>
    <w:basedOn w:val="a"/>
    <w:link w:val="af0"/>
    <w:uiPriority w:val="99"/>
    <w:unhideWhenUsed/>
    <w:rsid w:val="007327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732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7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07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3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002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64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71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file/imgs/100/p478167n529v1-55.emf" TargetMode="External"/><Relationship Id="rId18" Type="http://schemas.openxmlformats.org/officeDocument/2006/relationships/hyperlink" Target="https://zakon.rada.gov.ua/laws/file/imgs/102/p478167n529v2-58.emf" TargetMode="External"/><Relationship Id="rId26" Type="http://schemas.openxmlformats.org/officeDocument/2006/relationships/hyperlink" Target="https://zakon.rada.gov.ua/laws/show/v1175874-18/print" TargetMode="External"/><Relationship Id="rId39" Type="http://schemas.openxmlformats.org/officeDocument/2006/relationships/image" Target="media/image11.gif"/><Relationship Id="rId21" Type="http://schemas.openxmlformats.org/officeDocument/2006/relationships/hyperlink" Target="https://zakon.rada.gov.ua/laws/file/imgs/102/p478167n529v2-59.emf" TargetMode="External"/><Relationship Id="rId34" Type="http://schemas.openxmlformats.org/officeDocument/2006/relationships/hyperlink" Target="https://zakon.rada.gov.ua/laws/file/imgs/100/p478167n305v2-164.emf" TargetMode="External"/><Relationship Id="rId42" Type="http://schemas.openxmlformats.org/officeDocument/2006/relationships/hyperlink" Target="https://zakon.rada.gov.ua/laws/file/imgs/102/p478167n309v1-168.emf" TargetMode="External"/><Relationship Id="rId47" Type="http://schemas.openxmlformats.org/officeDocument/2006/relationships/image" Target="media/image15.gif"/><Relationship Id="rId50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gif"/><Relationship Id="rId29" Type="http://schemas.openxmlformats.org/officeDocument/2006/relationships/hyperlink" Target="https://zakon.rada.gov.ua/laws/show/v1175874-18/print" TargetMode="External"/><Relationship Id="rId11" Type="http://schemas.openxmlformats.org/officeDocument/2006/relationships/hyperlink" Target="https://zakon.rada.gov.ua/laws/file/imgs/100/p478167n529v1-56.emf" TargetMode="External"/><Relationship Id="rId24" Type="http://schemas.openxmlformats.org/officeDocument/2006/relationships/hyperlink" Target="https://zakon.rada.gov.ua/laws/file/imgs/102/p478167n529v2-60.emf" TargetMode="External"/><Relationship Id="rId32" Type="http://schemas.openxmlformats.org/officeDocument/2006/relationships/hyperlink" Target="https://zakon.rada.gov.ua/laws/file/imgs/102/p478167n358v1-163.bmp" TargetMode="External"/><Relationship Id="rId37" Type="http://schemas.openxmlformats.org/officeDocument/2006/relationships/image" Target="media/image10.gif"/><Relationship Id="rId40" Type="http://schemas.openxmlformats.org/officeDocument/2006/relationships/hyperlink" Target="https://zakon.rada.gov.ua/laws/file/imgs/102/p478167n308v1-167.bmp" TargetMode="External"/><Relationship Id="rId45" Type="http://schemas.openxmlformats.org/officeDocument/2006/relationships/image" Target="media/image14.gif"/><Relationship Id="rId5" Type="http://schemas.openxmlformats.org/officeDocument/2006/relationships/numbering" Target="numbering.xml"/><Relationship Id="rId15" Type="http://schemas.openxmlformats.org/officeDocument/2006/relationships/hyperlink" Target="https://zakon.rada.gov.ua/laws/file/imgs/102/p478167n529v2-57.emf" TargetMode="External"/><Relationship Id="rId23" Type="http://schemas.openxmlformats.org/officeDocument/2006/relationships/hyperlink" Target="https://zakon.rada.gov.ua/laws/show/v1175874-18/print" TargetMode="External"/><Relationship Id="rId28" Type="http://schemas.openxmlformats.org/officeDocument/2006/relationships/image" Target="media/image1.gif"/><Relationship Id="rId36" Type="http://schemas.openxmlformats.org/officeDocument/2006/relationships/hyperlink" Target="https://zakon.rada.gov.ua/laws/file/imgs/102/p478167n305v2-165.emf" TargetMode="External"/><Relationship Id="rId49" Type="http://schemas.openxmlformats.org/officeDocument/2006/relationships/image" Target="media/image16.gif"/><Relationship Id="rId10" Type="http://schemas.openxmlformats.org/officeDocument/2006/relationships/endnotes" Target="endnotes.xml"/><Relationship Id="rId19" Type="http://schemas.openxmlformats.org/officeDocument/2006/relationships/image" Target="media/image5.gif"/><Relationship Id="rId31" Type="http://schemas.openxmlformats.org/officeDocument/2006/relationships/hyperlink" Target="https://zakon.rada.gov.ua/laws/show/v1175874-18/print" TargetMode="External"/><Relationship Id="rId44" Type="http://schemas.openxmlformats.org/officeDocument/2006/relationships/hyperlink" Target="https://zakon.rada.gov.ua/laws/file/imgs/102/p478167n310v1-169.bmp" TargetMode="External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Relationship Id="rId22" Type="http://schemas.openxmlformats.org/officeDocument/2006/relationships/image" Target="media/image6.gif"/><Relationship Id="rId27" Type="http://schemas.openxmlformats.org/officeDocument/2006/relationships/hyperlink" Target="https://zakon.rada.gov.ua/laws/show/v1175874-18/print" TargetMode="External"/><Relationship Id="rId30" Type="http://schemas.openxmlformats.org/officeDocument/2006/relationships/hyperlink" Target="https://zakon.rada.gov.ua/laws/show/v1175874-18/print" TargetMode="External"/><Relationship Id="rId35" Type="http://schemas.openxmlformats.org/officeDocument/2006/relationships/image" Target="media/image9.gif"/><Relationship Id="rId43" Type="http://schemas.openxmlformats.org/officeDocument/2006/relationships/image" Target="media/image13.gif"/><Relationship Id="rId48" Type="http://schemas.openxmlformats.org/officeDocument/2006/relationships/hyperlink" Target="https://zakon.rada.gov.ua/laws/file/imgs/102/p478167n311-171.emf" TargetMode="External"/><Relationship Id="rId8" Type="http://schemas.openxmlformats.org/officeDocument/2006/relationships/webSettings" Target="webSettings.xm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image" Target="media/image2.gif"/><Relationship Id="rId17" Type="http://schemas.openxmlformats.org/officeDocument/2006/relationships/hyperlink" Target="https://zakon.rada.gov.ua/laws/show/v1175874-18/print" TargetMode="External"/><Relationship Id="rId25" Type="http://schemas.openxmlformats.org/officeDocument/2006/relationships/image" Target="media/image7.gif"/><Relationship Id="rId33" Type="http://schemas.openxmlformats.org/officeDocument/2006/relationships/image" Target="media/image8.gif"/><Relationship Id="rId38" Type="http://schemas.openxmlformats.org/officeDocument/2006/relationships/hyperlink" Target="https://zakon.rada.gov.ua/laws/file/imgs/102/p478167n305v2-166.emf" TargetMode="External"/><Relationship Id="rId46" Type="http://schemas.openxmlformats.org/officeDocument/2006/relationships/hyperlink" Target="https://zakon.rada.gov.ua/laws/file/imgs/102/p478167n311-170.emf" TargetMode="External"/><Relationship Id="rId20" Type="http://schemas.openxmlformats.org/officeDocument/2006/relationships/hyperlink" Target="https://zakon.rada.gov.ua/laws/show/v1175874-18/print" TargetMode="External"/><Relationship Id="rId41" Type="http://schemas.openxmlformats.org/officeDocument/2006/relationships/image" Target="media/image12.gif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F73ED3CFC2CD34CB5E8E661C450B2B7" ma:contentTypeVersion="3" ma:contentTypeDescription="Створення нового документа." ma:contentTypeScope="" ma:versionID="c750f46f7f582f87b88dbcd471a70f55">
  <xsd:schema xmlns:xsd="http://www.w3.org/2001/XMLSchema" xmlns:xs="http://www.w3.org/2001/XMLSchema" xmlns:p="http://schemas.microsoft.com/office/2006/metadata/properties" xmlns:ns3="ad0487b3-2d8f-428d-b8d6-75da9dd5848b" targetNamespace="http://schemas.microsoft.com/office/2006/metadata/properties" ma:root="true" ma:fieldsID="f4b25156ae9b4c53b3e52e51a25e3d8e" ns3:_="">
    <xsd:import namespace="ad0487b3-2d8f-428d-b8d6-75da9dd584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487b3-2d8f-428d-b8d6-75da9dd584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5AC3B-875E-4CB9-8A45-22BC4B44A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1B3DD-9F2F-43F6-A0C4-BCB232D0B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487b3-2d8f-428d-b8d6-75da9dd584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044E7F-6D90-4D17-A9A6-D778FADCA2D8}">
  <ds:schemaRefs>
    <ds:schemaRef ds:uri="http://schemas.microsoft.com/office/2006/metadata/properties"/>
    <ds:schemaRef ds:uri="ad0487b3-2d8f-428d-b8d6-75da9dd5848b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1ED705B-D773-4D2D-9E8E-061A3391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8154</Words>
  <Characters>4648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Ірина Кириленко</dc:creator>
  <cp:lastModifiedBy>Тетяна Модна</cp:lastModifiedBy>
  <cp:revision>39</cp:revision>
  <cp:lastPrinted>2023-10-17T08:16:00Z</cp:lastPrinted>
  <dcterms:created xsi:type="dcterms:W3CDTF">2023-10-10T17:22:00Z</dcterms:created>
  <dcterms:modified xsi:type="dcterms:W3CDTF">2023-10-18T09:32:00Z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0x0101005F73ED3CFC2CD34CB5E8E661C450B2B7</vt:lpwstr>
  </property>
</Properties>
</file>