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079" w:rsidRPr="00A261C7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A261C7">
        <w:rPr>
          <w:b/>
          <w:sz w:val="28"/>
          <w:szCs w:val="28"/>
        </w:rPr>
        <w:t xml:space="preserve">АНАЛІЗ ВПЛИВУ </w:t>
      </w:r>
    </w:p>
    <w:p w:rsidR="006927B2" w:rsidRPr="00A261C7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b/>
          <w:sz w:val="28"/>
          <w:szCs w:val="28"/>
        </w:rPr>
      </w:pPr>
      <w:r w:rsidRPr="00A261C7">
        <w:rPr>
          <w:b/>
          <w:sz w:val="28"/>
          <w:szCs w:val="28"/>
        </w:rPr>
        <w:t xml:space="preserve">проєкту рішення НКРЕКП, що має ознаки регуляторного акта, </w:t>
      </w:r>
      <w:r w:rsidR="008959B1" w:rsidRPr="00A261C7">
        <w:rPr>
          <w:b/>
          <w:sz w:val="28"/>
          <w:szCs w:val="28"/>
        </w:rPr>
        <w:t>–</w:t>
      </w:r>
      <w:r w:rsidRPr="00A261C7">
        <w:rPr>
          <w:b/>
          <w:sz w:val="28"/>
          <w:szCs w:val="28"/>
        </w:rPr>
        <w:t xml:space="preserve"> </w:t>
      </w:r>
    </w:p>
    <w:p w:rsidR="00071079" w:rsidRPr="00A261C7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A261C7">
        <w:rPr>
          <w:b/>
          <w:sz w:val="28"/>
          <w:szCs w:val="28"/>
        </w:rPr>
        <w:t xml:space="preserve">постанови НКРЕКП «Про </w:t>
      </w:r>
      <w:r w:rsidR="00CC1C4B" w:rsidRPr="00A261C7">
        <w:rPr>
          <w:b/>
          <w:sz w:val="28"/>
          <w:szCs w:val="28"/>
        </w:rPr>
        <w:t xml:space="preserve">внесення змін </w:t>
      </w:r>
      <w:r w:rsidRPr="00A261C7">
        <w:rPr>
          <w:b/>
          <w:sz w:val="28"/>
          <w:szCs w:val="28"/>
        </w:rPr>
        <w:t>до деяких постанов Національної комісії, що здійснює державне регулювання у сферах енергетики та комунальних послуг»</w:t>
      </w:r>
    </w:p>
    <w:p w:rsidR="00071079" w:rsidRPr="00A261C7" w:rsidRDefault="00071079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</w:p>
    <w:p w:rsidR="00071079" w:rsidRPr="00A261C7" w:rsidRDefault="001745D7" w:rsidP="001745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0"/>
        <w:jc w:val="center"/>
        <w:rPr>
          <w:sz w:val="28"/>
          <w:szCs w:val="28"/>
        </w:rPr>
      </w:pPr>
      <w:r w:rsidRPr="00A261C7">
        <w:rPr>
          <w:b/>
          <w:sz w:val="28"/>
          <w:szCs w:val="28"/>
        </w:rPr>
        <w:t xml:space="preserve">І. </w:t>
      </w:r>
      <w:r w:rsidR="00C0078B" w:rsidRPr="00A261C7">
        <w:rPr>
          <w:b/>
          <w:sz w:val="28"/>
          <w:szCs w:val="28"/>
        </w:rPr>
        <w:t>Визначення проблеми</w:t>
      </w:r>
    </w:p>
    <w:p w:rsidR="003F7AFE" w:rsidRPr="00A261C7" w:rsidRDefault="003F7AFE" w:rsidP="00E53E7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E37582" w:rsidRPr="00A261C7" w:rsidRDefault="00CC1C4B" w:rsidP="00CC1C4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30 червня 2023 року Верховною Радою України прийнято Закон України «Про внесення змін до деяких законів України щодо відновлення та «зеленої» трансформації енергетичної системи України» № 32</w:t>
      </w:r>
      <w:r w:rsidR="00E37582" w:rsidRPr="00A261C7">
        <w:rPr>
          <w:rFonts w:eastAsiaTheme="minorHAnsi"/>
          <w:position w:val="0"/>
          <w:sz w:val="28"/>
          <w:szCs w:val="28"/>
          <w:lang w:eastAsia="en-US"/>
        </w:rPr>
        <w:t>20-IX (далі – Закон № 3220-IX), який 24 липня 2023</w:t>
      </w:r>
      <w:r w:rsidR="005F6C54" w:rsidRPr="00A261C7">
        <w:rPr>
          <w:rFonts w:eastAsiaTheme="minorHAnsi"/>
          <w:position w:val="0"/>
          <w:sz w:val="28"/>
          <w:szCs w:val="28"/>
          <w:lang w:eastAsia="en-US"/>
        </w:rPr>
        <w:t> </w:t>
      </w:r>
      <w:r w:rsidR="00E37582" w:rsidRPr="00A261C7">
        <w:rPr>
          <w:rFonts w:eastAsiaTheme="minorHAnsi"/>
          <w:position w:val="0"/>
          <w:sz w:val="28"/>
          <w:szCs w:val="28"/>
          <w:lang w:eastAsia="en-US"/>
        </w:rPr>
        <w:t>року підписано Президентом України.</w:t>
      </w:r>
    </w:p>
    <w:p w:rsidR="00CC1C4B" w:rsidRPr="00A261C7" w:rsidRDefault="00CC1C4B" w:rsidP="00CC1C4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Відповідно до пункту 3 розділу ІІ Закону № 3220-IX Національній комісії, що здійснює державне регулювання у сферах енергетики та комунальних послуг (далі – НКРЕКП</w:t>
      </w:r>
      <w:r w:rsidR="00E37582" w:rsidRPr="00A261C7">
        <w:rPr>
          <w:rFonts w:eastAsiaTheme="minorHAnsi"/>
          <w:position w:val="0"/>
          <w:sz w:val="28"/>
          <w:szCs w:val="28"/>
          <w:lang w:eastAsia="en-US"/>
        </w:rPr>
        <w:t>, Регулятор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>), необхідно протягом п’яти місяців з дня набрання ним чинності привести свої нормативно-правові акти у відповідність із цим Законом та протягом шести місяців з дня набрання ним чинності привести у відповідність із вимогами цього Закону типовий договір купівлі-продажу електричної енергії за «зеленим» тарифом та затвердити типовий договір про участь у балансуючій групі гарантованого покупця.</w:t>
      </w:r>
    </w:p>
    <w:p w:rsidR="006A5849" w:rsidRPr="00A261C7" w:rsidRDefault="00CC1C4B" w:rsidP="006A5849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З огляду на викладене, </w:t>
      </w:r>
      <w:r w:rsidR="00E37582" w:rsidRPr="00A261C7">
        <w:rPr>
          <w:rFonts w:eastAsiaTheme="minorHAnsi"/>
          <w:position w:val="0"/>
          <w:sz w:val="28"/>
          <w:szCs w:val="28"/>
          <w:lang w:eastAsia="en-US"/>
        </w:rPr>
        <w:t>Регулятором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розроблено проєкт постанови «Про внесення змін до деяких постанов Національної комісії, що здійснює державне регулювання у сферах енергетики та комунальних послуг» (далі – Проєкт постанови), яким передбачено внесення змін до постанови НКРЕКП від 26 квітня 2019</w:t>
      </w:r>
      <w:r w:rsidR="003F1451" w:rsidRPr="00A261C7">
        <w:rPr>
          <w:rFonts w:eastAsiaTheme="minorHAnsi"/>
          <w:position w:val="0"/>
          <w:sz w:val="28"/>
          <w:szCs w:val="28"/>
          <w:lang w:eastAsia="en-US"/>
        </w:rPr>
        <w:t> року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№ 641 «Про затвердження нормативно-правових актів, що регулюють діяльність гарантованого покупця та купівлі електричної</w:t>
      </w:r>
      <w:r w:rsidR="00E37582" w:rsidRPr="00A261C7">
        <w:rPr>
          <w:rFonts w:eastAsiaTheme="minorHAnsi"/>
          <w:position w:val="0"/>
          <w:sz w:val="28"/>
          <w:szCs w:val="28"/>
          <w:lang w:eastAsia="en-US"/>
        </w:rPr>
        <w:t xml:space="preserve"> енергії за «зеленим» тарифом» (далі – Постанова </w:t>
      </w:r>
      <w:r w:rsidR="006927B2" w:rsidRPr="00A261C7">
        <w:rPr>
          <w:rFonts w:eastAsiaTheme="minorHAnsi"/>
          <w:position w:val="0"/>
          <w:sz w:val="28"/>
          <w:szCs w:val="28"/>
          <w:lang w:eastAsia="en-US"/>
        </w:rPr>
        <w:t>НКРЕКП від 26 квітня 2019</w:t>
      </w:r>
      <w:r w:rsidR="003F1451" w:rsidRPr="00A261C7">
        <w:rPr>
          <w:rFonts w:eastAsiaTheme="minorHAnsi"/>
          <w:position w:val="0"/>
          <w:sz w:val="28"/>
          <w:szCs w:val="28"/>
          <w:lang w:eastAsia="en-US"/>
        </w:rPr>
        <w:t> року</w:t>
      </w:r>
      <w:r w:rsidR="006927B2" w:rsidRPr="00A261C7">
        <w:rPr>
          <w:rFonts w:eastAsiaTheme="minorHAnsi"/>
          <w:position w:val="0"/>
          <w:sz w:val="28"/>
          <w:szCs w:val="28"/>
          <w:lang w:eastAsia="en-US"/>
        </w:rPr>
        <w:t xml:space="preserve"> № 641</w:t>
      </w:r>
      <w:r w:rsidR="00E37582" w:rsidRPr="00A261C7">
        <w:rPr>
          <w:rFonts w:eastAsiaTheme="minorHAnsi"/>
          <w:position w:val="0"/>
          <w:sz w:val="28"/>
          <w:szCs w:val="28"/>
          <w:lang w:eastAsia="en-US"/>
        </w:rPr>
        <w:t xml:space="preserve">). 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>Крім того, Проєктом постанови передбачено внесення змін до Правил ринку, затверджених постановою НКРЕКП від 14 березня 2018</w:t>
      </w:r>
      <w:r w:rsidR="003F1451" w:rsidRPr="00A261C7">
        <w:rPr>
          <w:rFonts w:eastAsiaTheme="minorHAnsi"/>
          <w:position w:val="0"/>
          <w:sz w:val="28"/>
          <w:szCs w:val="28"/>
          <w:lang w:eastAsia="en-US"/>
        </w:rPr>
        <w:t> 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>року № 307</w:t>
      </w:r>
      <w:r w:rsidR="00E37582" w:rsidRPr="00A261C7">
        <w:rPr>
          <w:rFonts w:eastAsiaTheme="minorHAnsi"/>
          <w:position w:val="0"/>
          <w:sz w:val="28"/>
          <w:szCs w:val="28"/>
          <w:lang w:eastAsia="en-US"/>
        </w:rPr>
        <w:t xml:space="preserve"> (далі – Правила ринку)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, </w:t>
      </w:r>
      <w:r w:rsidR="00A2521F" w:rsidRPr="00A261C7">
        <w:rPr>
          <w:rFonts w:eastAsiaTheme="minorHAnsi"/>
          <w:position w:val="0"/>
          <w:sz w:val="28"/>
          <w:szCs w:val="28"/>
          <w:lang w:eastAsia="en-US"/>
        </w:rPr>
        <w:t xml:space="preserve">Правил ринку </w:t>
      </w:r>
      <w:r w:rsidR="00A2521F" w:rsidRPr="00A261C7">
        <w:rPr>
          <w:sz w:val="28"/>
          <w:szCs w:val="28"/>
        </w:rPr>
        <w:t xml:space="preserve">«на добу наперед» та внутрішньодобового ринку, затверджених </w:t>
      </w:r>
      <w:r w:rsidR="00A2521F" w:rsidRPr="00A261C7">
        <w:rPr>
          <w:rFonts w:eastAsiaTheme="minorHAnsi"/>
          <w:position w:val="0"/>
          <w:sz w:val="28"/>
          <w:szCs w:val="28"/>
          <w:lang w:eastAsia="en-US"/>
        </w:rPr>
        <w:t xml:space="preserve">постановою НКРЕКП, від 14 березня 2018 року № 308 (далі – Правила РДН/ВДР), </w:t>
      </w:r>
      <w:r w:rsidR="006A5849" w:rsidRPr="00A261C7">
        <w:rPr>
          <w:rFonts w:eastAsiaTheme="minorHAnsi"/>
          <w:position w:val="0"/>
          <w:sz w:val="28"/>
          <w:szCs w:val="28"/>
          <w:lang w:eastAsia="en-US"/>
        </w:rPr>
        <w:t xml:space="preserve">та визнати такими, що втратили чинність, постанови </w:t>
      </w:r>
      <w:r w:rsidR="009D66A8" w:rsidRPr="00A261C7">
        <w:rPr>
          <w:rFonts w:eastAsiaTheme="minorHAnsi"/>
          <w:position w:val="0"/>
          <w:sz w:val="28"/>
          <w:szCs w:val="28"/>
          <w:lang w:eastAsia="en-US"/>
        </w:rPr>
        <w:t>НКРЕКП</w:t>
      </w:r>
      <w:r w:rsidR="006A5849" w:rsidRPr="00A261C7">
        <w:rPr>
          <w:rFonts w:eastAsiaTheme="minorHAnsi"/>
          <w:position w:val="0"/>
          <w:sz w:val="28"/>
          <w:szCs w:val="28"/>
          <w:lang w:eastAsia="en-US"/>
        </w:rPr>
        <w:t xml:space="preserve"> від 13 грудня 2019 року № 2803 «Про затвердження Типового договору купівлі-продажу електричної енергії між гарантованим покупцем та суб’єктом господарювання, який за результатами аукціону набув право на підтримку»</w:t>
      </w:r>
      <w:r w:rsidR="009D66A8" w:rsidRPr="00A261C7">
        <w:rPr>
          <w:rFonts w:eastAsiaTheme="minorHAnsi"/>
          <w:position w:val="0"/>
          <w:sz w:val="28"/>
          <w:szCs w:val="28"/>
          <w:lang w:eastAsia="en-US"/>
        </w:rPr>
        <w:t xml:space="preserve"> (далі – Постанова НКРЕКП від 13 грудня 2019 року № 2803)</w:t>
      </w:r>
      <w:r w:rsidR="003812C7" w:rsidRPr="00A261C7">
        <w:rPr>
          <w:rFonts w:eastAsiaTheme="minorHAnsi"/>
          <w:position w:val="0"/>
          <w:sz w:val="28"/>
          <w:szCs w:val="28"/>
          <w:lang w:eastAsia="en-US"/>
        </w:rPr>
        <w:t xml:space="preserve"> та</w:t>
      </w:r>
      <w:r w:rsidR="006A5849" w:rsidRPr="00A261C7">
        <w:rPr>
          <w:rFonts w:eastAsiaTheme="minorHAnsi"/>
          <w:position w:val="0"/>
          <w:sz w:val="28"/>
          <w:szCs w:val="28"/>
          <w:lang w:eastAsia="en-US"/>
        </w:rPr>
        <w:t xml:space="preserve"> від 13 грудня 2019 року № 2804 «Про затвердження Порядку продажу та обліку електричної енергії, виробленої споживачами, а також розрахунків за неї»</w:t>
      </w:r>
      <w:r w:rsidR="009D66A8" w:rsidRPr="00A261C7">
        <w:rPr>
          <w:rFonts w:eastAsiaTheme="minorHAnsi"/>
          <w:position w:val="0"/>
          <w:sz w:val="28"/>
          <w:szCs w:val="28"/>
          <w:lang w:eastAsia="en-US"/>
        </w:rPr>
        <w:t xml:space="preserve"> (далі – </w:t>
      </w:r>
      <w:r w:rsidR="003812C7" w:rsidRPr="00A261C7">
        <w:rPr>
          <w:rFonts w:eastAsiaTheme="minorHAnsi"/>
          <w:position w:val="0"/>
          <w:sz w:val="28"/>
          <w:szCs w:val="28"/>
          <w:lang w:eastAsia="en-US"/>
        </w:rPr>
        <w:t>Постанова НКРЕКП від 13 </w:t>
      </w:r>
      <w:r w:rsidR="009D66A8" w:rsidRPr="00A261C7">
        <w:rPr>
          <w:rFonts w:eastAsiaTheme="minorHAnsi"/>
          <w:position w:val="0"/>
          <w:sz w:val="28"/>
          <w:szCs w:val="28"/>
          <w:lang w:eastAsia="en-US"/>
        </w:rPr>
        <w:t>грудня 2019 року № 2804)</w:t>
      </w:r>
      <w:r w:rsidR="006A5849" w:rsidRPr="00A261C7">
        <w:rPr>
          <w:rFonts w:eastAsiaTheme="minorHAnsi"/>
          <w:position w:val="0"/>
          <w:sz w:val="28"/>
          <w:szCs w:val="28"/>
          <w:lang w:eastAsia="en-US"/>
        </w:rPr>
        <w:t>.</w:t>
      </w:r>
    </w:p>
    <w:p w:rsidR="004B3508" w:rsidRPr="00A261C7" w:rsidRDefault="004B3508" w:rsidP="00CA116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br w:type="column"/>
      </w:r>
    </w:p>
    <w:p w:rsidR="00071079" w:rsidRPr="00A261C7" w:rsidRDefault="00C0078B" w:rsidP="00CA116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Основні групи (підгрупи), на які проблема справляє вплив:</w:t>
      </w:r>
    </w:p>
    <w:p w:rsidR="004B3508" w:rsidRPr="00A261C7" w:rsidRDefault="004B3508" w:rsidP="00CA116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tbl>
      <w:tblPr>
        <w:tblStyle w:val="aff6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1276"/>
      </w:tblGrid>
      <w:tr w:rsidR="001745D7" w:rsidRPr="00A261C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A261C7">
              <w:rPr>
                <w:b/>
                <w:sz w:val="23"/>
                <w:szCs w:val="23"/>
              </w:rPr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A261C7">
              <w:rPr>
                <w:b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A261C7">
              <w:rPr>
                <w:b/>
                <w:sz w:val="23"/>
                <w:szCs w:val="23"/>
              </w:rPr>
              <w:t>Ні</w:t>
            </w:r>
          </w:p>
        </w:tc>
      </w:tr>
      <w:tr w:rsidR="001745D7" w:rsidRPr="00A261C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A261C7">
              <w:rPr>
                <w:sz w:val="23"/>
                <w:szCs w:val="23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A261C7">
              <w:rPr>
                <w:sz w:val="23"/>
                <w:szCs w:val="23"/>
              </w:rPr>
              <w:t>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A261C7">
              <w:rPr>
                <w:sz w:val="23"/>
                <w:szCs w:val="23"/>
              </w:rPr>
              <w:t>Ні</w:t>
            </w:r>
          </w:p>
        </w:tc>
      </w:tr>
      <w:tr w:rsidR="001745D7" w:rsidRPr="00A261C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A261C7">
              <w:rPr>
                <w:sz w:val="23"/>
                <w:szCs w:val="23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A261C7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A261C7">
              <w:rPr>
                <w:sz w:val="23"/>
                <w:szCs w:val="23"/>
              </w:rPr>
              <w:t>Ні</w:t>
            </w:r>
          </w:p>
        </w:tc>
      </w:tr>
      <w:tr w:rsidR="00071079" w:rsidRPr="00A261C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A261C7">
              <w:rPr>
                <w:sz w:val="23"/>
                <w:szCs w:val="23"/>
              </w:rPr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A261C7" w:rsidRDefault="00C0078B" w:rsidP="00F46B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A261C7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A261C7">
              <w:rPr>
                <w:sz w:val="23"/>
                <w:szCs w:val="23"/>
              </w:rPr>
              <w:t>Ні</w:t>
            </w:r>
          </w:p>
        </w:tc>
      </w:tr>
    </w:tbl>
    <w:p w:rsidR="006927B2" w:rsidRPr="00A261C7" w:rsidRDefault="006927B2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</w:p>
    <w:p w:rsidR="00071079" w:rsidRPr="00A261C7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A261C7">
        <w:rPr>
          <w:b/>
          <w:sz w:val="28"/>
          <w:szCs w:val="28"/>
        </w:rPr>
        <w:t>ІІ. Цілі державного регулювання</w:t>
      </w:r>
    </w:p>
    <w:p w:rsidR="00071079" w:rsidRPr="00A261C7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9D66A8" w:rsidRPr="00A261C7" w:rsidRDefault="00FE7184" w:rsidP="00CC3A00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Регуляторний акт розроблено з метою вдосконалення положень </w:t>
      </w:r>
      <w:r w:rsidR="00404382" w:rsidRPr="00A261C7">
        <w:rPr>
          <w:rFonts w:eastAsiaTheme="minorHAnsi"/>
          <w:position w:val="0"/>
          <w:sz w:val="28"/>
          <w:szCs w:val="28"/>
          <w:lang w:eastAsia="en-US"/>
        </w:rPr>
        <w:t xml:space="preserve">нормативно-правових актів </w:t>
      </w:r>
      <w:r w:rsidR="00913461" w:rsidRPr="00A261C7">
        <w:rPr>
          <w:rFonts w:eastAsiaTheme="minorHAnsi"/>
          <w:position w:val="0"/>
          <w:sz w:val="28"/>
          <w:szCs w:val="28"/>
          <w:lang w:eastAsia="en-US"/>
        </w:rPr>
        <w:t>Регулятора</w:t>
      </w:r>
      <w:r w:rsidR="00404382" w:rsidRPr="00A261C7">
        <w:rPr>
          <w:rFonts w:eastAsiaTheme="minorHAnsi"/>
          <w:position w:val="0"/>
          <w:sz w:val="28"/>
          <w:szCs w:val="28"/>
          <w:lang w:eastAsia="en-US"/>
        </w:rPr>
        <w:t xml:space="preserve">, </w:t>
      </w:r>
      <w:r w:rsidR="00911AD4" w:rsidRPr="00A261C7">
        <w:rPr>
          <w:rFonts w:eastAsiaTheme="minorHAnsi"/>
          <w:position w:val="0"/>
          <w:sz w:val="28"/>
          <w:szCs w:val="28"/>
          <w:lang w:eastAsia="en-US"/>
        </w:rPr>
        <w:t>зокрема</w:t>
      </w:r>
      <w:r w:rsidR="00404382" w:rsidRPr="00A261C7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6927B2" w:rsidRPr="00A261C7">
        <w:rPr>
          <w:rFonts w:eastAsiaTheme="minorHAnsi"/>
          <w:position w:val="0"/>
          <w:sz w:val="28"/>
          <w:szCs w:val="28"/>
          <w:lang w:eastAsia="en-US"/>
        </w:rPr>
        <w:t>Постанови НКРЕКП від 26 квітня 2019</w:t>
      </w:r>
      <w:r w:rsidR="003F1451" w:rsidRPr="00A261C7">
        <w:rPr>
          <w:rFonts w:eastAsiaTheme="minorHAnsi"/>
          <w:position w:val="0"/>
          <w:sz w:val="28"/>
          <w:szCs w:val="28"/>
          <w:lang w:eastAsia="en-US"/>
        </w:rPr>
        <w:t> року</w:t>
      </w:r>
      <w:r w:rsidR="006927B2" w:rsidRPr="00A261C7">
        <w:rPr>
          <w:rFonts w:eastAsiaTheme="minorHAnsi"/>
          <w:position w:val="0"/>
          <w:sz w:val="28"/>
          <w:szCs w:val="28"/>
          <w:lang w:eastAsia="en-US"/>
        </w:rPr>
        <w:t xml:space="preserve"> № 641</w:t>
      </w:r>
      <w:r w:rsidR="00404382" w:rsidRPr="00A261C7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E37582" w:rsidRPr="00A261C7">
        <w:rPr>
          <w:rFonts w:eastAsiaTheme="minorHAnsi"/>
          <w:position w:val="0"/>
          <w:sz w:val="28"/>
          <w:szCs w:val="28"/>
          <w:lang w:eastAsia="en-US"/>
        </w:rPr>
        <w:t>в частині</w:t>
      </w:r>
      <w:r w:rsidR="009D66A8" w:rsidRPr="00A261C7">
        <w:rPr>
          <w:rFonts w:eastAsiaTheme="minorHAnsi"/>
          <w:position w:val="0"/>
          <w:sz w:val="28"/>
          <w:szCs w:val="28"/>
          <w:lang w:eastAsia="en-US"/>
        </w:rPr>
        <w:t>:</w:t>
      </w:r>
    </w:p>
    <w:p w:rsidR="00837067" w:rsidRPr="00A261C7" w:rsidRDefault="00E27265" w:rsidP="00E27265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внесення змін до Порядку купівлі гарантованим покупцем електричної енергії, виробленої з альтернативних джерел енергії</w:t>
      </w:r>
      <w:r w:rsidR="00EC7C0B" w:rsidRPr="00A261C7">
        <w:rPr>
          <w:rFonts w:eastAsiaTheme="minorHAnsi"/>
          <w:position w:val="0"/>
          <w:sz w:val="28"/>
          <w:szCs w:val="28"/>
          <w:lang w:eastAsia="en-US"/>
        </w:rPr>
        <w:t>,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837067" w:rsidRPr="00A261C7">
        <w:rPr>
          <w:rFonts w:eastAsiaTheme="minorHAnsi"/>
          <w:position w:val="0"/>
          <w:sz w:val="28"/>
          <w:szCs w:val="28"/>
          <w:lang w:eastAsia="en-US"/>
        </w:rPr>
        <w:t>для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визначення вартості послуги із забезпечення збільшення частки виробництва електричної енергії з альтернативних джерел, яку гарантований покупець надає оператору системи передачі</w:t>
      </w:r>
      <w:r w:rsidR="009F3D2D" w:rsidRPr="00A261C7">
        <w:rPr>
          <w:rFonts w:eastAsiaTheme="minorHAnsi"/>
          <w:position w:val="0"/>
          <w:sz w:val="28"/>
          <w:szCs w:val="28"/>
          <w:lang w:eastAsia="en-US"/>
        </w:rPr>
        <w:t>,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та </w:t>
      </w:r>
      <w:r w:rsidR="00837067" w:rsidRPr="00A261C7">
        <w:rPr>
          <w:sz w:val="28"/>
          <w:szCs w:val="28"/>
        </w:rPr>
        <w:t xml:space="preserve">визначення вартості послуги </w:t>
      </w:r>
      <w:r w:rsidR="00837067" w:rsidRPr="00A261C7">
        <w:rPr>
          <w:rFonts w:eastAsiaTheme="minorHAnsi"/>
          <w:position w:val="0"/>
          <w:sz w:val="28"/>
          <w:szCs w:val="28"/>
          <w:lang w:eastAsia="en-US"/>
        </w:rPr>
        <w:t>за механізмом ринкової премії;</w:t>
      </w:r>
    </w:p>
    <w:p w:rsidR="00E27265" w:rsidRPr="00A261C7" w:rsidRDefault="00E27265" w:rsidP="00E27265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внесення змін до Типового договору про купівлю-продаж електричної енергії за «зеленим» тарифом;</w:t>
      </w:r>
    </w:p>
    <w:p w:rsidR="00E27265" w:rsidRPr="00A261C7" w:rsidRDefault="00E27265" w:rsidP="00E27265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внесення змін до Типового договору про надання послуг із забезпечення збільшення частки виробництва електричної енергії з альтернативних джерел; </w:t>
      </w:r>
    </w:p>
    <w:p w:rsidR="009D66A8" w:rsidRPr="00A261C7" w:rsidRDefault="00FB4CB3" w:rsidP="00CC3A00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затвердження </w:t>
      </w:r>
      <w:r w:rsidR="00346041" w:rsidRPr="00A261C7">
        <w:rPr>
          <w:rFonts w:eastAsiaTheme="minorHAnsi"/>
          <w:position w:val="0"/>
          <w:sz w:val="28"/>
          <w:szCs w:val="28"/>
          <w:lang w:eastAsia="en-US"/>
        </w:rPr>
        <w:t>Т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ипового договору </w:t>
      </w:r>
      <w:r w:rsidR="00CC3A00" w:rsidRPr="00A261C7">
        <w:rPr>
          <w:rFonts w:eastAsiaTheme="minorHAnsi"/>
          <w:position w:val="0"/>
          <w:sz w:val="28"/>
          <w:szCs w:val="28"/>
          <w:lang w:eastAsia="en-US"/>
        </w:rPr>
        <w:t>про участь у балансуючій групі гарантованого покупця, який укладається між гарантованим покупцем та суб’єктом господарювання, що здійснює виробництво електричної енергії з використанням альтернативних джерел та має намір увійти до балансуюч</w:t>
      </w:r>
      <w:r w:rsidR="00E27265" w:rsidRPr="00A261C7">
        <w:rPr>
          <w:rFonts w:eastAsiaTheme="minorHAnsi"/>
          <w:position w:val="0"/>
          <w:sz w:val="28"/>
          <w:szCs w:val="28"/>
          <w:lang w:eastAsia="en-US"/>
        </w:rPr>
        <w:t>ої групи гарантованого покупця</w:t>
      </w:r>
      <w:r w:rsidR="009F3D2D" w:rsidRPr="00A261C7">
        <w:rPr>
          <w:rFonts w:eastAsiaTheme="minorHAnsi"/>
          <w:position w:val="0"/>
          <w:sz w:val="28"/>
          <w:szCs w:val="28"/>
          <w:lang w:eastAsia="en-US"/>
        </w:rPr>
        <w:t>,</w:t>
      </w:r>
      <w:r w:rsidR="00E27265" w:rsidRPr="00A261C7">
        <w:rPr>
          <w:rFonts w:eastAsiaTheme="minorHAnsi"/>
          <w:position w:val="0"/>
          <w:sz w:val="28"/>
          <w:szCs w:val="28"/>
          <w:lang w:eastAsia="en-US"/>
        </w:rPr>
        <w:t xml:space="preserve"> та </w:t>
      </w:r>
      <w:r w:rsidR="00CC3A00" w:rsidRPr="00A261C7">
        <w:rPr>
          <w:rFonts w:eastAsiaTheme="minorHAnsi"/>
          <w:position w:val="0"/>
          <w:sz w:val="28"/>
          <w:szCs w:val="28"/>
          <w:lang w:eastAsia="en-US"/>
        </w:rPr>
        <w:t>визначення порядку розрахунку та відшкодування частки вартості врегулювання небалансу електричної енергії балансую</w:t>
      </w:r>
      <w:r w:rsidR="009D66A8" w:rsidRPr="00A261C7">
        <w:rPr>
          <w:rFonts w:eastAsiaTheme="minorHAnsi"/>
          <w:position w:val="0"/>
          <w:sz w:val="28"/>
          <w:szCs w:val="28"/>
          <w:lang w:eastAsia="en-US"/>
        </w:rPr>
        <w:t>чої групи гарантованого покупця;</w:t>
      </w:r>
    </w:p>
    <w:p w:rsidR="00AF54C6" w:rsidRPr="00A261C7" w:rsidRDefault="00AF54C6" w:rsidP="00AF54C6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затвердження Типового договору про надання послуги із забезпечення підтримки виробництва електричної енергії з альтернативних джерел</w:t>
      </w:r>
      <w:r w:rsidR="00E27265" w:rsidRPr="00A261C7">
        <w:rPr>
          <w:rFonts w:eastAsiaTheme="minorHAnsi"/>
          <w:position w:val="0"/>
          <w:sz w:val="28"/>
          <w:szCs w:val="28"/>
          <w:lang w:eastAsia="en-US"/>
        </w:rPr>
        <w:t xml:space="preserve"> за механізмом ринкової премії.</w:t>
      </w:r>
    </w:p>
    <w:p w:rsidR="00AF54C6" w:rsidRPr="00A261C7" w:rsidRDefault="00AF54C6" w:rsidP="00AF54C6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  <w:r w:rsidRPr="00A261C7">
        <w:rPr>
          <w:sz w:val="28"/>
          <w:szCs w:val="28"/>
        </w:rPr>
        <w:t>Крім того Проєктом постанови передбачається:</w:t>
      </w:r>
    </w:p>
    <w:p w:rsidR="00FB4CB3" w:rsidRPr="00A261C7" w:rsidRDefault="00CC3A00" w:rsidP="00CC3A00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внесення змін до Правил ринку</w:t>
      </w:r>
      <w:r w:rsidR="004C1433" w:rsidRPr="00A261C7">
        <w:rPr>
          <w:rFonts w:eastAsiaTheme="minorHAnsi"/>
          <w:position w:val="0"/>
          <w:sz w:val="28"/>
          <w:szCs w:val="28"/>
          <w:lang w:eastAsia="en-US"/>
        </w:rPr>
        <w:t>,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в частині удосконалення процедури зміни балансуючої групи, зокрема при вході (включенні) та виході (виключенні) до/з балансуючої групи гарантованого покупця,</w:t>
      </w:r>
      <w:r w:rsidR="004C1433" w:rsidRPr="00A261C7">
        <w:rPr>
          <w:rFonts w:eastAsiaTheme="minorHAnsi"/>
          <w:position w:val="0"/>
          <w:sz w:val="28"/>
          <w:szCs w:val="28"/>
          <w:lang w:eastAsia="en-US"/>
        </w:rPr>
        <w:t xml:space="preserve"> та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в частині визначення обсягів </w:t>
      </w:r>
      <w:proofErr w:type="spellStart"/>
      <w:r w:rsidRPr="00A261C7">
        <w:rPr>
          <w:rFonts w:eastAsiaTheme="minorHAnsi"/>
          <w:position w:val="0"/>
          <w:sz w:val="28"/>
          <w:szCs w:val="28"/>
          <w:lang w:eastAsia="en-US"/>
        </w:rPr>
        <w:t>недовідпущеної</w:t>
      </w:r>
      <w:proofErr w:type="spellEnd"/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електричної енергії ВДЕ з підтримкою, що входять до балансую</w:t>
      </w:r>
      <w:r w:rsidR="009D66A8" w:rsidRPr="00A261C7">
        <w:rPr>
          <w:rFonts w:eastAsiaTheme="minorHAnsi"/>
          <w:position w:val="0"/>
          <w:sz w:val="28"/>
          <w:szCs w:val="28"/>
          <w:lang w:eastAsia="en-US"/>
        </w:rPr>
        <w:t>чої групи гарантованого покупця;</w:t>
      </w:r>
    </w:p>
    <w:p w:rsidR="009D66A8" w:rsidRPr="00A261C7" w:rsidRDefault="009D66A8" w:rsidP="00C87F36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внесення змін до Правил </w:t>
      </w:r>
      <w:r w:rsidR="00AF54C6" w:rsidRPr="00A261C7">
        <w:rPr>
          <w:rFonts w:eastAsiaTheme="minorHAnsi"/>
          <w:position w:val="0"/>
          <w:sz w:val="28"/>
          <w:szCs w:val="28"/>
          <w:lang w:eastAsia="en-US"/>
        </w:rPr>
        <w:t xml:space="preserve">РДН/ВДР в частині </w:t>
      </w:r>
      <w:r w:rsidR="00C87F36" w:rsidRPr="00A261C7">
        <w:rPr>
          <w:rFonts w:eastAsiaTheme="minorHAnsi"/>
          <w:position w:val="0"/>
          <w:sz w:val="28"/>
          <w:szCs w:val="28"/>
          <w:lang w:eastAsia="en-US"/>
        </w:rPr>
        <w:t xml:space="preserve">зобов’язання оператора ринку розраховувати, розміщувати на </w:t>
      </w:r>
      <w:r w:rsidR="00C87F36" w:rsidRPr="00A261C7">
        <w:rPr>
          <w:sz w:val="28"/>
          <w:szCs w:val="28"/>
        </w:rPr>
        <w:t xml:space="preserve">власному офіційному вебсайті та надсилати гарантованому покупцю </w:t>
      </w:r>
      <w:r w:rsidR="00837067" w:rsidRPr="00A261C7">
        <w:rPr>
          <w:sz w:val="28"/>
          <w:szCs w:val="28"/>
        </w:rPr>
        <w:t>дані</w:t>
      </w:r>
      <w:r w:rsidR="00C87F36" w:rsidRPr="00A261C7">
        <w:rPr>
          <w:sz w:val="28"/>
          <w:szCs w:val="28"/>
        </w:rPr>
        <w:t xml:space="preserve">, що є необхідними для визначення вартості послуги </w:t>
      </w:r>
      <w:r w:rsidR="00C87F36" w:rsidRPr="00A261C7">
        <w:rPr>
          <w:rFonts w:eastAsiaTheme="minorHAnsi"/>
          <w:position w:val="0"/>
          <w:sz w:val="28"/>
          <w:szCs w:val="28"/>
          <w:lang w:eastAsia="en-US"/>
        </w:rPr>
        <w:t>за механізмом ринкової премії;</w:t>
      </w:r>
    </w:p>
    <w:p w:rsidR="00FD3E08" w:rsidRPr="00A261C7" w:rsidRDefault="009D66A8" w:rsidP="009D66A8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val="ru-RU"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визнати такою, що втратила чинність, </w:t>
      </w:r>
      <w:r w:rsidR="00FD3E08" w:rsidRPr="00A261C7">
        <w:rPr>
          <w:rFonts w:eastAsiaTheme="minorHAnsi"/>
          <w:position w:val="0"/>
          <w:sz w:val="28"/>
          <w:szCs w:val="28"/>
          <w:lang w:eastAsia="en-US"/>
        </w:rPr>
        <w:t>Постанову НКРЕКП від 13 грудня 2019 року № 2803;</w:t>
      </w:r>
    </w:p>
    <w:p w:rsidR="00FD3E08" w:rsidRPr="00A261C7" w:rsidRDefault="00FD3E08" w:rsidP="00FD3E08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lastRenderedPageBreak/>
        <w:t>визнати такою, що втратила чинність, Постанову НКРЕКП від 13 грудня 2019 року № 2804.</w:t>
      </w:r>
    </w:p>
    <w:p w:rsidR="00071079" w:rsidRPr="00A261C7" w:rsidRDefault="00071079" w:rsidP="00D9480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  <w:lang w:val="ru-RU"/>
        </w:rPr>
      </w:pPr>
    </w:p>
    <w:p w:rsidR="00071079" w:rsidRPr="00A261C7" w:rsidRDefault="00C0078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center"/>
        <w:rPr>
          <w:sz w:val="28"/>
          <w:szCs w:val="28"/>
        </w:rPr>
      </w:pPr>
      <w:r w:rsidRPr="00A261C7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071079" w:rsidRPr="00A261C7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A261C7" w:rsidRDefault="00C007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  <w:r w:rsidRPr="00A261C7">
        <w:rPr>
          <w:sz w:val="28"/>
          <w:szCs w:val="28"/>
        </w:rPr>
        <w:t>Визначення альтернативних способів</w:t>
      </w:r>
    </w:p>
    <w:tbl>
      <w:tblPr>
        <w:tblStyle w:val="aff7"/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6772"/>
      </w:tblGrid>
      <w:tr w:rsidR="001745D7" w:rsidRPr="00A261C7" w:rsidTr="009A2E95">
        <w:trPr>
          <w:trHeight w:val="241"/>
        </w:trPr>
        <w:tc>
          <w:tcPr>
            <w:tcW w:w="2723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6772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Опис альтернативи</w:t>
            </w:r>
          </w:p>
        </w:tc>
      </w:tr>
      <w:tr w:rsidR="001745D7" w:rsidRPr="00A261C7" w:rsidTr="009A2E95">
        <w:tc>
          <w:tcPr>
            <w:tcW w:w="2723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Альтернатива 1</w:t>
            </w:r>
          </w:p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772" w:type="dxa"/>
          </w:tcPr>
          <w:p w:rsidR="009A2E95" w:rsidRPr="00A261C7" w:rsidRDefault="009A2E95" w:rsidP="00333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Залишити без змін Постанову НКРЕКП від 26 квітня 2019</w:t>
            </w:r>
            <w:r w:rsidR="003F1451" w:rsidRPr="00A261C7">
              <w:rPr>
                <w:sz w:val="22"/>
                <w:szCs w:val="22"/>
              </w:rPr>
              <w:t> року</w:t>
            </w:r>
            <w:r w:rsidRPr="00A261C7">
              <w:rPr>
                <w:sz w:val="22"/>
                <w:szCs w:val="22"/>
              </w:rPr>
              <w:t xml:space="preserve"> № 641</w:t>
            </w:r>
            <w:r w:rsidR="00404382" w:rsidRPr="00A261C7">
              <w:rPr>
                <w:sz w:val="22"/>
                <w:szCs w:val="22"/>
              </w:rPr>
              <w:t>, Постанову НКРЕКП від 13 грудня 2019 року № 280</w:t>
            </w:r>
            <w:r w:rsidR="00333CAB" w:rsidRPr="00A261C7">
              <w:rPr>
                <w:sz w:val="22"/>
                <w:szCs w:val="22"/>
              </w:rPr>
              <w:t>3, Постанову НКРЕКП від 13 грудня 2019 року № 2804,</w:t>
            </w:r>
            <w:r w:rsidR="00404382" w:rsidRPr="00A261C7">
              <w:rPr>
                <w:sz w:val="22"/>
                <w:szCs w:val="22"/>
              </w:rPr>
              <w:t xml:space="preserve"> </w:t>
            </w:r>
            <w:r w:rsidRPr="00A261C7">
              <w:rPr>
                <w:sz w:val="22"/>
                <w:szCs w:val="22"/>
              </w:rPr>
              <w:t>Правила ринку</w:t>
            </w:r>
            <w:r w:rsidR="00333CAB" w:rsidRPr="00A261C7">
              <w:rPr>
                <w:sz w:val="22"/>
                <w:szCs w:val="22"/>
              </w:rPr>
              <w:t xml:space="preserve"> та Правила РДН/ВДР</w:t>
            </w:r>
          </w:p>
        </w:tc>
      </w:tr>
      <w:tr w:rsidR="001745D7" w:rsidRPr="00A261C7" w:rsidTr="009A2E95">
        <w:tc>
          <w:tcPr>
            <w:tcW w:w="2723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Альтернатива 2</w:t>
            </w:r>
          </w:p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6772" w:type="dxa"/>
          </w:tcPr>
          <w:p w:rsidR="00071079" w:rsidRPr="00A261C7" w:rsidRDefault="004C1433" w:rsidP="00451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Унести </w:t>
            </w:r>
            <w:r w:rsidR="009A2E95" w:rsidRPr="00A261C7">
              <w:rPr>
                <w:sz w:val="22"/>
                <w:szCs w:val="22"/>
              </w:rPr>
              <w:t>зміни</w:t>
            </w:r>
            <w:r w:rsidR="0054178D" w:rsidRPr="00A261C7">
              <w:rPr>
                <w:sz w:val="22"/>
                <w:szCs w:val="22"/>
              </w:rPr>
              <w:t xml:space="preserve"> до</w:t>
            </w:r>
            <w:r w:rsidR="009A2E95" w:rsidRPr="00A261C7">
              <w:rPr>
                <w:sz w:val="22"/>
                <w:szCs w:val="22"/>
              </w:rPr>
              <w:t xml:space="preserve"> Постанови НКРЕКП від 26 квітня 2019</w:t>
            </w:r>
            <w:r w:rsidR="003F1451" w:rsidRPr="00A261C7">
              <w:rPr>
                <w:sz w:val="22"/>
                <w:szCs w:val="22"/>
              </w:rPr>
              <w:t> року</w:t>
            </w:r>
            <w:r w:rsidR="009A2E95" w:rsidRPr="00A261C7">
              <w:rPr>
                <w:sz w:val="22"/>
                <w:szCs w:val="22"/>
              </w:rPr>
              <w:t xml:space="preserve"> № 641</w:t>
            </w:r>
            <w:r w:rsidR="00913461" w:rsidRPr="00A261C7">
              <w:rPr>
                <w:sz w:val="22"/>
                <w:szCs w:val="22"/>
              </w:rPr>
              <w:t>,</w:t>
            </w:r>
            <w:r w:rsidR="009A2E95" w:rsidRPr="00A261C7">
              <w:rPr>
                <w:sz w:val="22"/>
                <w:szCs w:val="22"/>
              </w:rPr>
              <w:t xml:space="preserve"> </w:t>
            </w:r>
            <w:r w:rsidR="0045135C" w:rsidRPr="00A261C7">
              <w:rPr>
                <w:sz w:val="22"/>
                <w:szCs w:val="22"/>
              </w:rPr>
              <w:t xml:space="preserve">Правил ринку, Правил РДН/ВДР, </w:t>
            </w:r>
            <w:r w:rsidR="00404382" w:rsidRPr="00A261C7">
              <w:rPr>
                <w:sz w:val="22"/>
                <w:szCs w:val="22"/>
              </w:rPr>
              <w:t>та визнати так</w:t>
            </w:r>
            <w:r w:rsidR="008959B1" w:rsidRPr="00A261C7">
              <w:rPr>
                <w:sz w:val="22"/>
                <w:szCs w:val="22"/>
              </w:rPr>
              <w:t>ою</w:t>
            </w:r>
            <w:r w:rsidR="00404382" w:rsidRPr="00A261C7">
              <w:rPr>
                <w:sz w:val="22"/>
                <w:szCs w:val="22"/>
              </w:rPr>
              <w:t>, що втратил</w:t>
            </w:r>
            <w:r w:rsidR="008959B1" w:rsidRPr="00A261C7">
              <w:rPr>
                <w:sz w:val="22"/>
                <w:szCs w:val="22"/>
              </w:rPr>
              <w:t>а</w:t>
            </w:r>
            <w:r w:rsidR="00404382" w:rsidRPr="00A261C7">
              <w:rPr>
                <w:sz w:val="22"/>
                <w:szCs w:val="22"/>
              </w:rPr>
              <w:t xml:space="preserve"> чинність</w:t>
            </w:r>
            <w:r w:rsidR="00BC0661" w:rsidRPr="00A261C7">
              <w:rPr>
                <w:sz w:val="22"/>
                <w:szCs w:val="22"/>
              </w:rPr>
              <w:t>,</w:t>
            </w:r>
            <w:r w:rsidR="00404382" w:rsidRPr="00A261C7">
              <w:rPr>
                <w:sz w:val="22"/>
                <w:szCs w:val="22"/>
              </w:rPr>
              <w:t xml:space="preserve"> Постанову НКРЕКП від 13 грудня 2019 року № 280</w:t>
            </w:r>
            <w:r w:rsidR="0045135C" w:rsidRPr="00A261C7">
              <w:rPr>
                <w:sz w:val="22"/>
                <w:szCs w:val="22"/>
              </w:rPr>
              <w:t>3 та Постанову НКРЕКП від 13 грудня 2019 року № 2804</w:t>
            </w:r>
          </w:p>
        </w:tc>
      </w:tr>
      <w:tr w:rsidR="001745D7" w:rsidRPr="00A261C7" w:rsidTr="009A2E95">
        <w:tc>
          <w:tcPr>
            <w:tcW w:w="2723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Альтернатива 3 </w:t>
            </w:r>
          </w:p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6772" w:type="dxa"/>
          </w:tcPr>
          <w:p w:rsidR="00071079" w:rsidRPr="00A261C7" w:rsidRDefault="00C0078B" w:rsidP="00451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Визна</w:t>
            </w:r>
            <w:r w:rsidR="00710B5D" w:rsidRPr="00A261C7">
              <w:rPr>
                <w:sz w:val="22"/>
                <w:szCs w:val="22"/>
              </w:rPr>
              <w:t>ти</w:t>
            </w:r>
            <w:r w:rsidRPr="00A261C7">
              <w:rPr>
                <w:sz w:val="22"/>
                <w:szCs w:val="22"/>
              </w:rPr>
              <w:t xml:space="preserve"> такими, що втратили чинність, </w:t>
            </w:r>
            <w:r w:rsidR="0045135C" w:rsidRPr="00A261C7">
              <w:rPr>
                <w:sz w:val="22"/>
                <w:szCs w:val="22"/>
              </w:rPr>
              <w:t xml:space="preserve">Постанову НКРЕКП від 26 квітня 2019 року № 641, Постанову НКРЕКП від 13 грудня 2019 року № 2803, Постанову НКРЕКП від 13 грудня 2019 року № 2804, Правила ринку та Правила РДН/ВДР та </w:t>
            </w:r>
            <w:r w:rsidRPr="00A261C7">
              <w:rPr>
                <w:sz w:val="22"/>
                <w:szCs w:val="22"/>
              </w:rPr>
              <w:t>прийнят</w:t>
            </w:r>
            <w:r w:rsidR="00710B5D" w:rsidRPr="00A261C7">
              <w:rPr>
                <w:sz w:val="22"/>
                <w:szCs w:val="22"/>
              </w:rPr>
              <w:t>и</w:t>
            </w:r>
            <w:r w:rsidRPr="00A261C7">
              <w:rPr>
                <w:sz w:val="22"/>
                <w:szCs w:val="22"/>
              </w:rPr>
              <w:t xml:space="preserve"> нов</w:t>
            </w:r>
            <w:r w:rsidR="00E22E7F" w:rsidRPr="00A261C7">
              <w:rPr>
                <w:sz w:val="22"/>
                <w:szCs w:val="22"/>
              </w:rPr>
              <w:t>і</w:t>
            </w:r>
            <w:r w:rsidR="009472C0" w:rsidRPr="00A261C7">
              <w:rPr>
                <w:sz w:val="22"/>
                <w:szCs w:val="22"/>
              </w:rPr>
              <w:t xml:space="preserve"> </w:t>
            </w:r>
            <w:r w:rsidRPr="00A261C7">
              <w:rPr>
                <w:sz w:val="22"/>
                <w:szCs w:val="22"/>
              </w:rPr>
              <w:t>регуляторн</w:t>
            </w:r>
            <w:r w:rsidR="00E22E7F" w:rsidRPr="00A261C7">
              <w:rPr>
                <w:sz w:val="22"/>
                <w:szCs w:val="22"/>
              </w:rPr>
              <w:t>і</w:t>
            </w:r>
            <w:r w:rsidRPr="00A261C7">
              <w:rPr>
                <w:sz w:val="22"/>
                <w:szCs w:val="22"/>
              </w:rPr>
              <w:t xml:space="preserve"> акт</w:t>
            </w:r>
            <w:r w:rsidR="00E22E7F" w:rsidRPr="00A261C7">
              <w:rPr>
                <w:sz w:val="22"/>
                <w:szCs w:val="22"/>
              </w:rPr>
              <w:t>и</w:t>
            </w:r>
          </w:p>
        </w:tc>
      </w:tr>
    </w:tbl>
    <w:p w:rsidR="002A7B61" w:rsidRPr="00A261C7" w:rsidRDefault="002A7B61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A261C7" w:rsidRDefault="00C0078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A261C7">
        <w:rPr>
          <w:sz w:val="28"/>
          <w:szCs w:val="28"/>
        </w:rPr>
        <w:t>Оцінка вибраних альтернативних способів досягнення цілей</w:t>
      </w:r>
    </w:p>
    <w:p w:rsidR="00071079" w:rsidRPr="00A261C7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A261C7" w:rsidRDefault="00C0078B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A261C7">
        <w:rPr>
          <w:sz w:val="28"/>
          <w:szCs w:val="28"/>
        </w:rPr>
        <w:t>Оцінка впливу на сферу інтересів держави:</w:t>
      </w:r>
    </w:p>
    <w:tbl>
      <w:tblPr>
        <w:tblStyle w:val="aff8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4082"/>
        <w:gridCol w:w="2693"/>
      </w:tblGrid>
      <w:tr w:rsidR="001745D7" w:rsidRPr="00A261C7" w:rsidTr="009A2E95">
        <w:tc>
          <w:tcPr>
            <w:tcW w:w="272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4082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Витрати</w:t>
            </w:r>
          </w:p>
        </w:tc>
      </w:tr>
      <w:tr w:rsidR="001745D7" w:rsidRPr="00A261C7" w:rsidTr="009A2E95">
        <w:trPr>
          <w:trHeight w:val="1070"/>
        </w:trPr>
        <w:tc>
          <w:tcPr>
            <w:tcW w:w="272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Альтернатива 1</w:t>
            </w:r>
          </w:p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082" w:type="dxa"/>
          </w:tcPr>
          <w:p w:rsidR="00071079" w:rsidRPr="00A261C7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EC3627" w:rsidRPr="00A261C7" w:rsidRDefault="009A2E95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Невідповідність нормат</w:t>
            </w:r>
            <w:r w:rsidR="00913461" w:rsidRPr="00A261C7">
              <w:rPr>
                <w:sz w:val="22"/>
                <w:szCs w:val="22"/>
              </w:rPr>
              <w:t xml:space="preserve">ивно-правових актів Регулятора </w:t>
            </w:r>
            <w:r w:rsidRPr="00A261C7">
              <w:rPr>
                <w:sz w:val="22"/>
                <w:szCs w:val="22"/>
              </w:rPr>
              <w:t xml:space="preserve"> положенням Закону № 3220-IX</w:t>
            </w:r>
          </w:p>
        </w:tc>
      </w:tr>
      <w:tr w:rsidR="001745D7" w:rsidRPr="00A261C7" w:rsidTr="009A2E95">
        <w:tc>
          <w:tcPr>
            <w:tcW w:w="272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Альтернатива 2 </w:t>
            </w:r>
          </w:p>
          <w:p w:rsidR="00071079" w:rsidRPr="00A261C7" w:rsidRDefault="00C0078B" w:rsidP="009B6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4082" w:type="dxa"/>
          </w:tcPr>
          <w:p w:rsidR="00EC3627" w:rsidRPr="00A261C7" w:rsidRDefault="0054178D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Приведення </w:t>
            </w:r>
            <w:r w:rsidR="009A2E95" w:rsidRPr="00A261C7">
              <w:rPr>
                <w:sz w:val="22"/>
                <w:szCs w:val="22"/>
              </w:rPr>
              <w:t xml:space="preserve">положень нормативно-правових актів Регулятора </w:t>
            </w:r>
            <w:r w:rsidR="00EE76BD" w:rsidRPr="00A261C7">
              <w:rPr>
                <w:sz w:val="22"/>
                <w:szCs w:val="22"/>
              </w:rPr>
              <w:t xml:space="preserve">у відповідність до </w:t>
            </w:r>
            <w:r w:rsidR="009A2E95" w:rsidRPr="00A261C7">
              <w:rPr>
                <w:sz w:val="22"/>
                <w:szCs w:val="22"/>
              </w:rPr>
              <w:t>положен</w:t>
            </w:r>
            <w:r w:rsidR="00EE76BD" w:rsidRPr="00A261C7">
              <w:rPr>
                <w:sz w:val="22"/>
                <w:szCs w:val="22"/>
              </w:rPr>
              <w:t>ь</w:t>
            </w:r>
            <w:r w:rsidR="009A2E95" w:rsidRPr="00A261C7">
              <w:rPr>
                <w:sz w:val="22"/>
                <w:szCs w:val="22"/>
              </w:rPr>
              <w:t xml:space="preserve"> Закону № 3220-IX</w:t>
            </w:r>
          </w:p>
        </w:tc>
        <w:tc>
          <w:tcPr>
            <w:tcW w:w="2693" w:type="dxa"/>
          </w:tcPr>
          <w:p w:rsidR="00071079" w:rsidRPr="00A261C7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</w:t>
            </w:r>
          </w:p>
        </w:tc>
      </w:tr>
      <w:tr w:rsidR="001745D7" w:rsidRPr="00A261C7" w:rsidTr="009A2E95">
        <w:tc>
          <w:tcPr>
            <w:tcW w:w="2723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Альтернатива 3 </w:t>
            </w:r>
          </w:p>
          <w:p w:rsidR="00071079" w:rsidRPr="00A261C7" w:rsidRDefault="00C0078B" w:rsidP="00F46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4082" w:type="dxa"/>
          </w:tcPr>
          <w:p w:rsidR="00071079" w:rsidRPr="00A261C7" w:rsidRDefault="0054178D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Приведення </w:t>
            </w:r>
            <w:r w:rsidR="009A2E95" w:rsidRPr="00A261C7">
              <w:rPr>
                <w:sz w:val="22"/>
                <w:szCs w:val="22"/>
              </w:rPr>
              <w:t xml:space="preserve">положень нормативно-правових актів Регулятора </w:t>
            </w:r>
            <w:r w:rsidR="00BB6683" w:rsidRPr="00A261C7">
              <w:rPr>
                <w:sz w:val="22"/>
                <w:szCs w:val="22"/>
              </w:rPr>
              <w:t>у</w:t>
            </w:r>
            <w:r w:rsidR="00BB6683" w:rsidRPr="00A261C7" w:rsidDel="0054178D">
              <w:rPr>
                <w:sz w:val="22"/>
                <w:szCs w:val="22"/>
              </w:rPr>
              <w:t xml:space="preserve"> </w:t>
            </w:r>
            <w:r w:rsidR="00BB6683" w:rsidRPr="00A261C7">
              <w:rPr>
                <w:sz w:val="22"/>
                <w:szCs w:val="22"/>
              </w:rPr>
              <w:t xml:space="preserve">відповідність до </w:t>
            </w:r>
            <w:r w:rsidR="009A2E95" w:rsidRPr="00A261C7">
              <w:rPr>
                <w:sz w:val="22"/>
                <w:szCs w:val="22"/>
              </w:rPr>
              <w:t>положен</w:t>
            </w:r>
            <w:r w:rsidR="00BB6683" w:rsidRPr="00A261C7">
              <w:rPr>
                <w:sz w:val="22"/>
                <w:szCs w:val="22"/>
              </w:rPr>
              <w:t>ь</w:t>
            </w:r>
            <w:r w:rsidR="009A2E95" w:rsidRPr="00A261C7">
              <w:rPr>
                <w:sz w:val="22"/>
                <w:szCs w:val="22"/>
              </w:rPr>
              <w:t xml:space="preserve"> Закону № 3220-IX</w:t>
            </w:r>
          </w:p>
        </w:tc>
        <w:tc>
          <w:tcPr>
            <w:tcW w:w="2693" w:type="dxa"/>
          </w:tcPr>
          <w:p w:rsidR="00071079" w:rsidRPr="00A261C7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Захід є надмірним</w:t>
            </w:r>
          </w:p>
        </w:tc>
      </w:tr>
    </w:tbl>
    <w:p w:rsidR="00913461" w:rsidRPr="00A261C7" w:rsidRDefault="00913461" w:rsidP="00D806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071079" w:rsidRPr="00A261C7" w:rsidRDefault="00C0078B" w:rsidP="00D806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A261C7">
        <w:rPr>
          <w:sz w:val="28"/>
          <w:szCs w:val="28"/>
        </w:rPr>
        <w:t>Оцінка впливу на сферу інтересів громадян:</w:t>
      </w:r>
    </w:p>
    <w:tbl>
      <w:tblPr>
        <w:tblStyle w:val="aff9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4082"/>
        <w:gridCol w:w="2693"/>
      </w:tblGrid>
      <w:tr w:rsidR="001745D7" w:rsidRPr="00A261C7" w:rsidTr="009A2E95">
        <w:tc>
          <w:tcPr>
            <w:tcW w:w="272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Вид альтернативи</w:t>
            </w:r>
          </w:p>
          <w:p w:rsidR="00071079" w:rsidRPr="00A261C7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9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Витрати</w:t>
            </w:r>
          </w:p>
        </w:tc>
      </w:tr>
      <w:tr w:rsidR="001745D7" w:rsidRPr="00A261C7" w:rsidTr="009A2E95">
        <w:tc>
          <w:tcPr>
            <w:tcW w:w="272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Альтернатива 1</w:t>
            </w:r>
          </w:p>
          <w:p w:rsidR="00071079" w:rsidRPr="00A261C7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082" w:type="dxa"/>
          </w:tcPr>
          <w:p w:rsidR="00071079" w:rsidRPr="00A261C7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A261C7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</w:t>
            </w:r>
          </w:p>
        </w:tc>
      </w:tr>
      <w:tr w:rsidR="001745D7" w:rsidRPr="00A261C7" w:rsidTr="009A2E95">
        <w:trPr>
          <w:trHeight w:val="986"/>
        </w:trPr>
        <w:tc>
          <w:tcPr>
            <w:tcW w:w="272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Альтернатива 2 </w:t>
            </w:r>
          </w:p>
          <w:p w:rsidR="00071079" w:rsidRPr="00A261C7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4082" w:type="dxa"/>
          </w:tcPr>
          <w:p w:rsidR="00071079" w:rsidRPr="00A261C7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A261C7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</w:t>
            </w:r>
          </w:p>
        </w:tc>
      </w:tr>
      <w:tr w:rsidR="001745D7" w:rsidRPr="00A261C7" w:rsidTr="009A2E95">
        <w:trPr>
          <w:trHeight w:val="986"/>
        </w:trPr>
        <w:tc>
          <w:tcPr>
            <w:tcW w:w="2723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Альтернатива 3 </w:t>
            </w:r>
          </w:p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4082" w:type="dxa"/>
          </w:tcPr>
          <w:p w:rsidR="00071079" w:rsidRPr="00A261C7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A261C7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</w:t>
            </w:r>
          </w:p>
        </w:tc>
      </w:tr>
    </w:tbl>
    <w:p w:rsidR="004B3508" w:rsidRPr="00A261C7" w:rsidRDefault="004B3508" w:rsidP="009A2E9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071079" w:rsidRPr="00A261C7" w:rsidRDefault="00C0078B" w:rsidP="009A2E9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A261C7">
        <w:rPr>
          <w:sz w:val="28"/>
          <w:szCs w:val="28"/>
        </w:rPr>
        <w:t>Оцінка впливу на сферу інтересів суб’єктів господарювання:</w:t>
      </w:r>
    </w:p>
    <w:tbl>
      <w:tblPr>
        <w:tblStyle w:val="affa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4082"/>
        <w:gridCol w:w="2693"/>
      </w:tblGrid>
      <w:tr w:rsidR="001745D7" w:rsidRPr="00A261C7" w:rsidTr="009A2E95">
        <w:tc>
          <w:tcPr>
            <w:tcW w:w="272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Вид альтернативи</w:t>
            </w:r>
          </w:p>
          <w:p w:rsidR="00071079" w:rsidRPr="00A261C7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Витрати</w:t>
            </w:r>
          </w:p>
        </w:tc>
      </w:tr>
      <w:tr w:rsidR="001745D7" w:rsidRPr="00A261C7" w:rsidTr="009A2E95">
        <w:tc>
          <w:tcPr>
            <w:tcW w:w="272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Альтернатива 1</w:t>
            </w:r>
          </w:p>
          <w:p w:rsidR="00071079" w:rsidRPr="00A261C7" w:rsidRDefault="00C0078B" w:rsidP="0002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082" w:type="dxa"/>
          </w:tcPr>
          <w:p w:rsidR="00071079" w:rsidRPr="00A261C7" w:rsidRDefault="00C0078B" w:rsidP="00A261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</w:t>
            </w:r>
          </w:p>
          <w:p w:rsidR="00071079" w:rsidRPr="00A261C7" w:rsidRDefault="00071079" w:rsidP="005F7E94">
            <w:pPr>
              <w:suppressAutoHyphens w:val="0"/>
              <w:overflowPunct/>
              <w:autoSpaceDE/>
              <w:autoSpaceDN/>
              <w:adjustRightInd/>
              <w:spacing w:line="240" w:lineRule="auto"/>
              <w:ind w:leftChars="0" w:left="0" w:firstLineChars="0" w:firstLine="709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5FB7" w:rsidRPr="00A261C7" w:rsidRDefault="00B04F85" w:rsidP="00A261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Відсутність можливості розрахунку та відшкодування частки вартості врегулювання небалансу електричної енергії балансуючої групи гарантованого покупця; визначення вартості послуги із забезпечення збільшення частки виробництва електричної енергії з альтернативних джерел, яку гарантований покупець надає оператору системи передачі; </w:t>
            </w:r>
            <w:r w:rsidR="00367168" w:rsidRPr="00A261C7">
              <w:rPr>
                <w:sz w:val="22"/>
                <w:szCs w:val="22"/>
              </w:rPr>
              <w:t xml:space="preserve">відсутність </w:t>
            </w:r>
            <w:r w:rsidR="005A3E47" w:rsidRPr="00A261C7">
              <w:rPr>
                <w:sz w:val="22"/>
                <w:szCs w:val="22"/>
              </w:rPr>
              <w:t xml:space="preserve">послуги із забезпечення підтримки виробництва електричної енергії з альтернативних джерел за механізмом ринкової премії; відсутність можливості визначення обсягів </w:t>
            </w:r>
            <w:proofErr w:type="spellStart"/>
            <w:r w:rsidR="005A3E47" w:rsidRPr="00A261C7">
              <w:rPr>
                <w:sz w:val="22"/>
                <w:szCs w:val="22"/>
              </w:rPr>
              <w:t>недовідпущеної</w:t>
            </w:r>
            <w:proofErr w:type="spellEnd"/>
            <w:r w:rsidR="005A3E47" w:rsidRPr="00A261C7">
              <w:rPr>
                <w:sz w:val="22"/>
                <w:szCs w:val="22"/>
              </w:rPr>
              <w:t xml:space="preserve"> електричної енергії ВДЕ з підтримкою, що входять до балансуючої групи гарантованого покупця</w:t>
            </w:r>
            <w:r w:rsidR="009913A5" w:rsidRPr="00A261C7">
              <w:rPr>
                <w:sz w:val="22"/>
                <w:szCs w:val="22"/>
              </w:rPr>
              <w:t xml:space="preserve"> у результаті виконання команд оператора системи зі зменшення навантаження</w:t>
            </w:r>
            <w:r w:rsidR="00A21A6A" w:rsidRPr="00A261C7">
              <w:rPr>
                <w:sz w:val="22"/>
                <w:szCs w:val="22"/>
              </w:rPr>
              <w:t>.</w:t>
            </w:r>
          </w:p>
        </w:tc>
      </w:tr>
      <w:tr w:rsidR="001745D7" w:rsidRPr="00A261C7" w:rsidTr="00A261C7">
        <w:trPr>
          <w:trHeight w:val="475"/>
        </w:trPr>
        <w:tc>
          <w:tcPr>
            <w:tcW w:w="272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Альтернатива 2 </w:t>
            </w:r>
          </w:p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Унесення змін до чинного </w:t>
            </w:r>
          </w:p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регуляторного акта</w:t>
            </w:r>
          </w:p>
        </w:tc>
        <w:tc>
          <w:tcPr>
            <w:tcW w:w="4082" w:type="dxa"/>
          </w:tcPr>
          <w:p w:rsidR="00095FB7" w:rsidRPr="00A261C7" w:rsidRDefault="0054178D" w:rsidP="00A2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Удосконалення механізму</w:t>
            </w:r>
            <w:r w:rsidR="0002116A" w:rsidRPr="00A261C7">
              <w:rPr>
                <w:sz w:val="22"/>
                <w:szCs w:val="22"/>
              </w:rPr>
              <w:t xml:space="preserve"> </w:t>
            </w:r>
            <w:r w:rsidR="005A3E47" w:rsidRPr="00A261C7">
              <w:rPr>
                <w:sz w:val="22"/>
                <w:szCs w:val="22"/>
              </w:rPr>
              <w:t xml:space="preserve">визначення порядку розрахунку та відшкодування частки вартості врегулювання небалансу електричної енергії балансуючої групи гарантованого покупця; визначення вартості послуги із забезпечення збільшення частки виробництва електричної енергії з альтернативних джерел, яку гарантований покупець надає оператору системи передачі; впровадження послуги із забезпечення підтримки виробництва електричної енергії з альтернативних джерел за механізмом ринкової премії; можливість визначення обсягів </w:t>
            </w:r>
            <w:proofErr w:type="spellStart"/>
            <w:r w:rsidR="005A3E47" w:rsidRPr="00A261C7">
              <w:rPr>
                <w:sz w:val="22"/>
                <w:szCs w:val="22"/>
              </w:rPr>
              <w:t>недовідпущеної</w:t>
            </w:r>
            <w:proofErr w:type="spellEnd"/>
            <w:r w:rsidR="005A3E47" w:rsidRPr="00A261C7">
              <w:rPr>
                <w:sz w:val="22"/>
                <w:szCs w:val="22"/>
              </w:rPr>
              <w:t xml:space="preserve"> електричної енергії ВДЕ з підтримкою, що входять до балансуючої групи гарантованого покупця</w:t>
            </w:r>
            <w:r w:rsidR="009913A5" w:rsidRPr="00A261C7">
              <w:rPr>
                <w:sz w:val="22"/>
                <w:szCs w:val="22"/>
              </w:rPr>
              <w:t xml:space="preserve"> у результаті виконання команд оператора системи зі зменшення навантаження</w:t>
            </w:r>
            <w:r w:rsidR="005F7E94" w:rsidRPr="00A261C7">
              <w:rPr>
                <w:sz w:val="22"/>
                <w:szCs w:val="22"/>
              </w:rPr>
              <w:t xml:space="preserve">, зокрема </w:t>
            </w:r>
            <w:r w:rsidR="005F7E94" w:rsidRPr="00A261C7">
              <w:rPr>
                <w:sz w:val="22"/>
                <w:szCs w:val="22"/>
              </w:rPr>
              <w:lastRenderedPageBreak/>
              <w:t>внаслідок виконання команд з операційної безпеки</w:t>
            </w:r>
            <w:r w:rsidR="009913A5" w:rsidRPr="00A261C7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2693" w:type="dxa"/>
          </w:tcPr>
          <w:p w:rsidR="00071079" w:rsidRPr="00A261C7" w:rsidRDefault="00C0078B" w:rsidP="00A261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lastRenderedPageBreak/>
              <w:t>Відсутні</w:t>
            </w:r>
          </w:p>
          <w:p w:rsidR="00071079" w:rsidRPr="00A261C7" w:rsidRDefault="00071079" w:rsidP="00A261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1745D7" w:rsidRPr="00A261C7" w:rsidTr="009A2E95">
        <w:trPr>
          <w:trHeight w:val="701"/>
        </w:trPr>
        <w:tc>
          <w:tcPr>
            <w:tcW w:w="2723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lastRenderedPageBreak/>
              <w:t xml:space="preserve">Альтернатива 3 </w:t>
            </w:r>
          </w:p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Прийняття нового регуляторного акта</w:t>
            </w:r>
          </w:p>
          <w:p w:rsidR="00071079" w:rsidRPr="00A261C7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:rsidR="00095FB7" w:rsidRPr="00A261C7" w:rsidRDefault="00A21A6A" w:rsidP="00A2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Удосконалення механізму визначення порядку розрахунку та відшкодування частки вартості врегулювання небалансу електричної енергії балансуючої групи гарантованого покупця; визначення вартості послуги із забезпечення збільшення частки виробництва електричної енергії з альтернативних джерел, яку гарантований покупець надає оператору системи передачі; впровадження послуги із забезпечення підтримки виробництва електричної енергії з альтернативних джерел за механізмом ринкової премії; можливість визначення обсягів </w:t>
            </w:r>
            <w:proofErr w:type="spellStart"/>
            <w:r w:rsidRPr="00A261C7">
              <w:rPr>
                <w:sz w:val="22"/>
                <w:szCs w:val="22"/>
              </w:rPr>
              <w:t>недовідпущеної</w:t>
            </w:r>
            <w:proofErr w:type="spellEnd"/>
            <w:r w:rsidRPr="00A261C7">
              <w:rPr>
                <w:sz w:val="22"/>
                <w:szCs w:val="22"/>
              </w:rPr>
              <w:t xml:space="preserve"> електричної енергії ВДЕ з підтримкою, що входять до балансуючої групи гарантованого покупця</w:t>
            </w:r>
            <w:r w:rsidR="009913A5" w:rsidRPr="00A261C7">
              <w:rPr>
                <w:sz w:val="22"/>
                <w:szCs w:val="22"/>
              </w:rPr>
              <w:t xml:space="preserve"> у результаті виконання команд оператора системи зі зменшення навантаження</w:t>
            </w:r>
            <w:r w:rsidR="005F7E94" w:rsidRPr="00A261C7">
              <w:rPr>
                <w:sz w:val="22"/>
                <w:szCs w:val="22"/>
              </w:rPr>
              <w:t>, зокрема внаслідок виконання команд з операційної безпеки</w:t>
            </w:r>
            <w:r w:rsidR="009913A5" w:rsidRPr="00A261C7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071079" w:rsidRPr="00A261C7" w:rsidRDefault="0002116A" w:rsidP="00A261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Захід є надмірним </w:t>
            </w:r>
          </w:p>
        </w:tc>
      </w:tr>
    </w:tbl>
    <w:p w:rsidR="00095FB7" w:rsidRPr="00A261C7" w:rsidRDefault="00095FB7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A261C7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A261C7">
        <w:rPr>
          <w:b/>
          <w:sz w:val="28"/>
          <w:szCs w:val="28"/>
        </w:rPr>
        <w:t>IV. Вибір найбільш оптимального альтернативного способу досягнення цілей</w:t>
      </w:r>
    </w:p>
    <w:p w:rsidR="00071079" w:rsidRPr="00A261C7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b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10"/>
        <w:gridCol w:w="3402"/>
      </w:tblGrid>
      <w:tr w:rsidR="001745D7" w:rsidRPr="00A261C7">
        <w:tc>
          <w:tcPr>
            <w:tcW w:w="3686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Рейтинг результативності (досягнення цілей під час вирішення проблеми)</w:t>
            </w:r>
          </w:p>
          <w:p w:rsidR="00071079" w:rsidRPr="00A261C7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Бал результативності (за чотирибальною системою оцінки)</w:t>
            </w:r>
          </w:p>
        </w:tc>
        <w:tc>
          <w:tcPr>
            <w:tcW w:w="3402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A261C7">
              <w:rPr>
                <w:sz w:val="22"/>
                <w:szCs w:val="22"/>
              </w:rPr>
              <w:t>бала</w:t>
            </w:r>
            <w:proofErr w:type="spellEnd"/>
          </w:p>
        </w:tc>
      </w:tr>
      <w:tr w:rsidR="001745D7" w:rsidRPr="00A261C7">
        <w:trPr>
          <w:trHeight w:val="854"/>
        </w:trPr>
        <w:tc>
          <w:tcPr>
            <w:tcW w:w="3686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Альтернатива 1</w:t>
            </w:r>
          </w:p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2410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1</w:t>
            </w:r>
          </w:p>
          <w:p w:rsidR="00071079" w:rsidRPr="00A261C7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Не забезпечує досягнення поставленої цілі </w:t>
            </w:r>
          </w:p>
        </w:tc>
      </w:tr>
      <w:tr w:rsidR="001745D7" w:rsidRPr="00A261C7">
        <w:trPr>
          <w:trHeight w:val="1263"/>
        </w:trPr>
        <w:tc>
          <w:tcPr>
            <w:tcW w:w="3686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Альтернатива 2</w:t>
            </w:r>
          </w:p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A261C7" w:rsidRDefault="00C0078B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</w:tc>
        <w:tc>
          <w:tcPr>
            <w:tcW w:w="2410" w:type="dxa"/>
          </w:tcPr>
          <w:p w:rsidR="00071079" w:rsidRPr="00A261C7" w:rsidRDefault="00FE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Дозволяє вирішити питання найбільш ефективним шляхом</w:t>
            </w:r>
          </w:p>
        </w:tc>
      </w:tr>
      <w:tr w:rsidR="001745D7" w:rsidRPr="00A261C7" w:rsidTr="00913461">
        <w:trPr>
          <w:trHeight w:val="472"/>
        </w:trPr>
        <w:tc>
          <w:tcPr>
            <w:tcW w:w="3686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Альтернатива 3 </w:t>
            </w:r>
          </w:p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2410" w:type="dxa"/>
          </w:tcPr>
          <w:p w:rsidR="00071079" w:rsidRPr="00A261C7" w:rsidRDefault="009134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071079" w:rsidRPr="00A261C7" w:rsidRDefault="0098007F" w:rsidP="00913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Захід є надмірним </w:t>
            </w:r>
          </w:p>
        </w:tc>
      </w:tr>
    </w:tbl>
    <w:p w:rsidR="00071079" w:rsidRPr="00A261C7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4"/>
          <w:szCs w:val="24"/>
        </w:rPr>
      </w:pPr>
    </w:p>
    <w:tbl>
      <w:tblPr>
        <w:tblStyle w:val="affc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1417"/>
        <w:gridCol w:w="2552"/>
      </w:tblGrid>
      <w:tr w:rsidR="001745D7" w:rsidRPr="00A261C7">
        <w:tc>
          <w:tcPr>
            <w:tcW w:w="1843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686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Вигоди (підсумок)</w:t>
            </w:r>
          </w:p>
        </w:tc>
        <w:tc>
          <w:tcPr>
            <w:tcW w:w="1417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Витрати (підсумок)</w:t>
            </w:r>
          </w:p>
        </w:tc>
        <w:tc>
          <w:tcPr>
            <w:tcW w:w="2552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Обґрунтування відповідного місця альтернативи в рейтингу</w:t>
            </w:r>
          </w:p>
          <w:p w:rsidR="00071079" w:rsidRPr="00A261C7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1745D7" w:rsidRPr="00A261C7">
        <w:trPr>
          <w:trHeight w:val="1859"/>
        </w:trPr>
        <w:tc>
          <w:tcPr>
            <w:tcW w:w="184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Альтернатива 1</w:t>
            </w:r>
          </w:p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686" w:type="dxa"/>
          </w:tcPr>
          <w:p w:rsidR="00071079" w:rsidRPr="00A261C7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:rsidR="00071079" w:rsidRPr="00A261C7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</w:t>
            </w:r>
          </w:p>
        </w:tc>
        <w:tc>
          <w:tcPr>
            <w:tcW w:w="2552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Альтернатива 1 не дозволяє </w:t>
            </w:r>
            <w:r w:rsidR="00F20B76" w:rsidRPr="00A261C7">
              <w:rPr>
                <w:sz w:val="22"/>
                <w:szCs w:val="22"/>
              </w:rPr>
              <w:t>досягнути задекларованих цілей</w:t>
            </w:r>
            <w:r w:rsidRPr="00A261C7">
              <w:rPr>
                <w:sz w:val="22"/>
                <w:szCs w:val="22"/>
              </w:rPr>
              <w:t>.</w:t>
            </w:r>
          </w:p>
        </w:tc>
      </w:tr>
      <w:tr w:rsidR="001745D7" w:rsidRPr="00A261C7">
        <w:trPr>
          <w:trHeight w:val="1930"/>
        </w:trPr>
        <w:tc>
          <w:tcPr>
            <w:tcW w:w="184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lastRenderedPageBreak/>
              <w:t>Альтернатива 2</w:t>
            </w:r>
          </w:p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</w:tc>
        <w:tc>
          <w:tcPr>
            <w:tcW w:w="3686" w:type="dxa"/>
          </w:tcPr>
          <w:p w:rsidR="00A21A6A" w:rsidRPr="00A261C7" w:rsidRDefault="00095FB7" w:rsidP="00A2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Унесення </w:t>
            </w:r>
            <w:r w:rsidR="0098007F" w:rsidRPr="00A261C7">
              <w:rPr>
                <w:sz w:val="22"/>
                <w:szCs w:val="22"/>
              </w:rPr>
              <w:t xml:space="preserve">змін </w:t>
            </w:r>
            <w:r w:rsidRPr="00A261C7">
              <w:rPr>
                <w:sz w:val="22"/>
                <w:szCs w:val="22"/>
              </w:rPr>
              <w:t xml:space="preserve">забезпечить удосконалення механізму </w:t>
            </w:r>
          </w:p>
          <w:p w:rsidR="00A21A6A" w:rsidRPr="00A261C7" w:rsidRDefault="00A21A6A" w:rsidP="00A2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визначення порядку розрахунку та відшкодування частки вартості врегулювання небалансу електричної енергії балансуючої групи гарантованого покупця; визначення вартості послуги із забезпечення збільшення частки виробництва електричної енергії з альтернативних джерел, яку гарантований покупець надає оператору системи передачі; впровадження послуги із забезпечення підтримки виробництва електричної енергії з альтернативних джерел за механізмом ринкової премії; можливість визначення обсягів </w:t>
            </w:r>
            <w:proofErr w:type="spellStart"/>
            <w:r w:rsidRPr="00A261C7">
              <w:rPr>
                <w:sz w:val="22"/>
                <w:szCs w:val="22"/>
              </w:rPr>
              <w:t>недовідпущеної</w:t>
            </w:r>
            <w:proofErr w:type="spellEnd"/>
            <w:r w:rsidRPr="00A261C7">
              <w:rPr>
                <w:sz w:val="22"/>
                <w:szCs w:val="22"/>
              </w:rPr>
              <w:t xml:space="preserve"> електричної енергії ВДЕ з підтримкою, що входять до балансуючої групи гарантованого покупця</w:t>
            </w:r>
            <w:r w:rsidR="009913A5" w:rsidRPr="00A261C7">
              <w:rPr>
                <w:sz w:val="22"/>
                <w:szCs w:val="22"/>
              </w:rPr>
              <w:t xml:space="preserve"> у результаті виконання команд оператора системи зі зменшення навантаження</w:t>
            </w:r>
            <w:r w:rsidR="005F7E94" w:rsidRPr="00A261C7">
              <w:rPr>
                <w:sz w:val="22"/>
                <w:szCs w:val="22"/>
              </w:rPr>
              <w:t>, зокрема внаслідок виконання команд з операційної безпеки</w:t>
            </w:r>
            <w:r w:rsidR="009913A5" w:rsidRPr="00A261C7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071079" w:rsidRPr="00A261C7" w:rsidRDefault="00C0078B" w:rsidP="00A2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</w:t>
            </w:r>
          </w:p>
          <w:p w:rsidR="00071079" w:rsidRPr="00A261C7" w:rsidRDefault="00071079" w:rsidP="00A2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1079" w:rsidRPr="00A261C7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Альтернатива 2 дозволить досягнути задекларованих цілей повною мірою.</w:t>
            </w:r>
          </w:p>
        </w:tc>
      </w:tr>
      <w:tr w:rsidR="001745D7" w:rsidRPr="00A261C7">
        <w:trPr>
          <w:trHeight w:val="2022"/>
        </w:trPr>
        <w:tc>
          <w:tcPr>
            <w:tcW w:w="1843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Альтернатива 3 </w:t>
            </w:r>
          </w:p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3686" w:type="dxa"/>
          </w:tcPr>
          <w:p w:rsidR="00A21A6A" w:rsidRPr="00A261C7" w:rsidRDefault="00A21A6A" w:rsidP="00A2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Унесення змін забезпечить удосконалення механізму </w:t>
            </w:r>
          </w:p>
          <w:p w:rsidR="00071079" w:rsidRPr="00A261C7" w:rsidRDefault="00A21A6A" w:rsidP="00A2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визначення порядку розрахунку та відшкодування частки вартості врегулювання небалансу електричної енергії балансуючої групи гарантованого покупця; визначення вартості послуги із забезпечення збільшення частки виробництва електричної енергії з альтернативних джерел, яку гарантований покупець надає оператору системи передачі; впровадження послуги із забезпечення підтримки виробництва електричної енергії з альтернативних джерел за механізмом ринкової премії; можливість визначення обсягів </w:t>
            </w:r>
            <w:proofErr w:type="spellStart"/>
            <w:r w:rsidRPr="00A261C7">
              <w:rPr>
                <w:sz w:val="22"/>
                <w:szCs w:val="22"/>
              </w:rPr>
              <w:t>недовідпущеної</w:t>
            </w:r>
            <w:proofErr w:type="spellEnd"/>
            <w:r w:rsidRPr="00A261C7">
              <w:rPr>
                <w:sz w:val="22"/>
                <w:szCs w:val="22"/>
              </w:rPr>
              <w:t xml:space="preserve"> електричної енергії ВДЕ з підтримкою, що входять до балансуючої групи гарантованого покупця</w:t>
            </w:r>
            <w:r w:rsidR="009913A5" w:rsidRPr="00A261C7">
              <w:rPr>
                <w:sz w:val="22"/>
                <w:szCs w:val="22"/>
              </w:rPr>
              <w:t xml:space="preserve"> у результаті виконання команд оператора системи зі зменшення навантаження</w:t>
            </w:r>
            <w:r w:rsidR="005F7E94" w:rsidRPr="00A261C7">
              <w:rPr>
                <w:sz w:val="22"/>
                <w:szCs w:val="22"/>
              </w:rPr>
              <w:t>, зокрема внаслідок виконання команд з операційної безпеки</w:t>
            </w:r>
            <w:r w:rsidR="009913A5" w:rsidRPr="00A261C7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071079" w:rsidRPr="00A261C7" w:rsidRDefault="00C0078B" w:rsidP="00A2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Заходи є надмірними </w:t>
            </w:r>
          </w:p>
        </w:tc>
        <w:tc>
          <w:tcPr>
            <w:tcW w:w="2552" w:type="dxa"/>
          </w:tcPr>
          <w:p w:rsidR="00071079" w:rsidRPr="00A261C7" w:rsidRDefault="00F20B76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Альтернатива 2 дозволить досягнути задекларованих цілей </w:t>
            </w:r>
            <w:r w:rsidR="00967383" w:rsidRPr="00A261C7">
              <w:rPr>
                <w:sz w:val="22"/>
                <w:szCs w:val="22"/>
              </w:rPr>
              <w:t xml:space="preserve"> більш ефективним шляхом</w:t>
            </w:r>
            <w:r w:rsidRPr="00A261C7">
              <w:rPr>
                <w:sz w:val="22"/>
                <w:szCs w:val="22"/>
              </w:rPr>
              <w:t>.</w:t>
            </w:r>
          </w:p>
        </w:tc>
      </w:tr>
    </w:tbl>
    <w:p w:rsidR="009913A5" w:rsidRPr="00A261C7" w:rsidRDefault="009913A5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p w:rsidR="00B027BF" w:rsidRPr="00A261C7" w:rsidRDefault="009913A5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  <w:r w:rsidRPr="00A261C7">
        <w:rPr>
          <w:b/>
          <w:sz w:val="28"/>
          <w:szCs w:val="28"/>
        </w:rPr>
        <w:br w:type="column"/>
      </w:r>
    </w:p>
    <w:tbl>
      <w:tblPr>
        <w:tblStyle w:val="affd"/>
        <w:tblW w:w="94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4"/>
        <w:gridCol w:w="2693"/>
      </w:tblGrid>
      <w:tr w:rsidR="001745D7" w:rsidRPr="00A261C7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Оцінка ризику зовнішніх чинників на дію запропонованого регуляторного акта</w:t>
            </w:r>
          </w:p>
          <w:p w:rsidR="00071079" w:rsidRPr="00A261C7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1745D7" w:rsidRPr="00A261C7">
        <w:tc>
          <w:tcPr>
            <w:tcW w:w="2410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Альтернатива 1</w:t>
            </w:r>
          </w:p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Збереження чинного регулювання</w:t>
            </w:r>
          </w:p>
          <w:p w:rsidR="00071079" w:rsidRPr="00A261C7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DC1F97" w:rsidRPr="00A261C7" w:rsidRDefault="00DC1F97" w:rsidP="00DC1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Відсутній</w:t>
            </w:r>
          </w:p>
          <w:p w:rsidR="00071079" w:rsidRPr="00A261C7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1745D7" w:rsidRPr="00A261C7">
        <w:tc>
          <w:tcPr>
            <w:tcW w:w="2410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Альтернатива 2 </w:t>
            </w:r>
          </w:p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Унесення змін до чинного регуляторного акта</w:t>
            </w:r>
          </w:p>
          <w:p w:rsidR="00071079" w:rsidRPr="00A261C7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Відсутній</w:t>
            </w:r>
          </w:p>
          <w:p w:rsidR="00071079" w:rsidRPr="00A261C7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1745D7" w:rsidRPr="00A261C7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 xml:space="preserve">Альтернатива 3 </w:t>
            </w:r>
          </w:p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Прийняття нового регуляторного акта</w:t>
            </w:r>
          </w:p>
          <w:p w:rsidR="00071079" w:rsidRPr="00A261C7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A261C7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Вирішує визначену проблему, але недостатньо ефективно у зв’язку з надмірністю заходів.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A261C7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261C7">
              <w:rPr>
                <w:sz w:val="22"/>
                <w:szCs w:val="22"/>
              </w:rPr>
              <w:t>Відсутній</w:t>
            </w:r>
          </w:p>
        </w:tc>
      </w:tr>
    </w:tbl>
    <w:p w:rsidR="004B3508" w:rsidRPr="00A261C7" w:rsidRDefault="004B3508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:rsidR="00071079" w:rsidRPr="00A261C7" w:rsidRDefault="00071079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:rsidR="00071079" w:rsidRPr="00A261C7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A261C7">
        <w:rPr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:rsidR="005B6024" w:rsidRPr="00A261C7" w:rsidRDefault="005B6024" w:rsidP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CA1AFE" w:rsidRPr="00A261C7" w:rsidRDefault="002F4283" w:rsidP="00CA1AFE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Приведення нормативно-правових актів Регулятора, а саме Постанови НКРЕКП від 26 квітня 2019 № 641 у відповідність </w:t>
      </w:r>
      <w:r w:rsidR="009D014B" w:rsidRPr="00A261C7">
        <w:rPr>
          <w:rFonts w:eastAsiaTheme="minorHAnsi"/>
          <w:position w:val="0"/>
          <w:sz w:val="28"/>
          <w:szCs w:val="28"/>
          <w:lang w:eastAsia="en-US"/>
        </w:rPr>
        <w:t xml:space="preserve">до 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>Закон</w:t>
      </w:r>
      <w:r w:rsidR="009D014B" w:rsidRPr="00A261C7">
        <w:rPr>
          <w:rFonts w:eastAsiaTheme="minorHAnsi"/>
          <w:position w:val="0"/>
          <w:sz w:val="28"/>
          <w:szCs w:val="28"/>
          <w:lang w:eastAsia="en-US"/>
        </w:rPr>
        <w:t>у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№ 3220-IX дозволить </w:t>
      </w:r>
      <w:r w:rsidR="00705795" w:rsidRPr="00A261C7">
        <w:rPr>
          <w:rFonts w:eastAsiaTheme="minorHAnsi"/>
          <w:position w:val="0"/>
          <w:sz w:val="28"/>
          <w:szCs w:val="28"/>
          <w:lang w:eastAsia="en-US"/>
        </w:rPr>
        <w:t xml:space="preserve">удосконалити 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відносини між гарантованим покупцем та суб’єктом господарювання, що здійснює виробництво електричної енергії з використанням альтернативних джерел та </w:t>
      </w:r>
      <w:r w:rsidR="00367168" w:rsidRPr="00A261C7">
        <w:rPr>
          <w:rFonts w:eastAsiaTheme="minorHAnsi"/>
          <w:position w:val="0"/>
          <w:sz w:val="28"/>
          <w:szCs w:val="28"/>
          <w:lang w:eastAsia="en-US"/>
        </w:rPr>
        <w:t>генеруючі одиниці якого включені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до балансуючої групи гарантованого покупця, </w:t>
      </w:r>
      <w:r w:rsidR="00367168" w:rsidRPr="00A261C7">
        <w:rPr>
          <w:rFonts w:eastAsiaTheme="minorHAnsi"/>
          <w:position w:val="0"/>
          <w:sz w:val="28"/>
          <w:szCs w:val="28"/>
          <w:lang w:eastAsia="en-US"/>
        </w:rPr>
        <w:t xml:space="preserve">визначати 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>частку вартості врегулювання небалансу електричної енергії балансуючої групи гарантованого покупця</w:t>
      </w:r>
      <w:r w:rsidR="00141A65" w:rsidRPr="00A261C7">
        <w:rPr>
          <w:rFonts w:eastAsiaTheme="minorHAnsi"/>
          <w:position w:val="0"/>
          <w:sz w:val="28"/>
          <w:szCs w:val="28"/>
          <w:lang w:eastAsia="en-US"/>
        </w:rPr>
        <w:t>,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367168" w:rsidRPr="00A261C7">
        <w:rPr>
          <w:rFonts w:eastAsiaTheme="minorHAnsi"/>
          <w:position w:val="0"/>
          <w:sz w:val="28"/>
          <w:szCs w:val="28"/>
          <w:lang w:eastAsia="en-US"/>
        </w:rPr>
        <w:t xml:space="preserve">визначати 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>варт</w:t>
      </w:r>
      <w:r w:rsidR="00CA1AFE" w:rsidRPr="00A261C7">
        <w:rPr>
          <w:rFonts w:eastAsiaTheme="minorHAnsi"/>
          <w:position w:val="0"/>
          <w:sz w:val="28"/>
          <w:szCs w:val="28"/>
          <w:lang w:eastAsia="en-US"/>
        </w:rPr>
        <w:t>і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>ст</w:t>
      </w:r>
      <w:r w:rsidR="00CA1AFE" w:rsidRPr="00A261C7">
        <w:rPr>
          <w:rFonts w:eastAsiaTheme="minorHAnsi"/>
          <w:position w:val="0"/>
          <w:sz w:val="28"/>
          <w:szCs w:val="28"/>
          <w:lang w:eastAsia="en-US"/>
        </w:rPr>
        <w:t>ь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послуги із забезпечення збільшення частки виробництва електричної енергії з альтернативних джерел, яку гарантований покупець на</w:t>
      </w:r>
      <w:r w:rsidR="00CA1AFE" w:rsidRPr="00A261C7">
        <w:rPr>
          <w:rFonts w:eastAsiaTheme="minorHAnsi"/>
          <w:position w:val="0"/>
          <w:sz w:val="28"/>
          <w:szCs w:val="28"/>
          <w:lang w:eastAsia="en-US"/>
        </w:rPr>
        <w:t>дає оператору системи передачі</w:t>
      </w:r>
      <w:r w:rsidR="004B3508" w:rsidRPr="00A261C7">
        <w:rPr>
          <w:rFonts w:eastAsiaTheme="minorHAnsi"/>
          <w:position w:val="0"/>
          <w:sz w:val="28"/>
          <w:szCs w:val="28"/>
          <w:lang w:eastAsia="en-US"/>
        </w:rPr>
        <w:t>,</w:t>
      </w:r>
      <w:r w:rsidR="00CA1AFE" w:rsidRPr="00A261C7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367168" w:rsidRPr="00A261C7">
        <w:rPr>
          <w:rFonts w:eastAsiaTheme="minorHAnsi"/>
          <w:position w:val="0"/>
          <w:sz w:val="28"/>
          <w:szCs w:val="28"/>
          <w:lang w:eastAsia="en-US"/>
        </w:rPr>
        <w:t xml:space="preserve">укладати договори про надання </w:t>
      </w:r>
      <w:r w:rsidR="00367168" w:rsidRPr="00A261C7">
        <w:rPr>
          <w:sz w:val="28"/>
          <w:szCs w:val="28"/>
        </w:rPr>
        <w:t xml:space="preserve">послуги </w:t>
      </w:r>
      <w:r w:rsidR="00367168" w:rsidRPr="00A261C7">
        <w:rPr>
          <w:rFonts w:eastAsiaTheme="minorHAnsi"/>
          <w:position w:val="0"/>
          <w:sz w:val="28"/>
          <w:szCs w:val="28"/>
          <w:lang w:eastAsia="en-US"/>
        </w:rPr>
        <w:t xml:space="preserve">із забезпечення підтримки виробництва електричної енергії з альтернативних джерел за механізмом ринкової премії </w:t>
      </w:r>
      <w:r w:rsidR="00CA1AFE" w:rsidRPr="00A261C7">
        <w:rPr>
          <w:rFonts w:eastAsiaTheme="minorHAnsi"/>
          <w:position w:val="0"/>
          <w:sz w:val="28"/>
          <w:szCs w:val="28"/>
          <w:lang w:eastAsia="en-US"/>
        </w:rPr>
        <w:t>та</w:t>
      </w:r>
      <w:r w:rsidR="00367168" w:rsidRPr="00A261C7">
        <w:rPr>
          <w:rFonts w:eastAsiaTheme="minorHAnsi"/>
          <w:position w:val="0"/>
          <w:sz w:val="28"/>
          <w:szCs w:val="28"/>
          <w:lang w:eastAsia="en-US"/>
        </w:rPr>
        <w:t xml:space="preserve"> розраховувати</w:t>
      </w:r>
      <w:r w:rsidR="00CA1AFE" w:rsidRPr="00A261C7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4B3508" w:rsidRPr="00A261C7">
        <w:rPr>
          <w:rFonts w:eastAsiaTheme="minorHAnsi"/>
          <w:position w:val="0"/>
          <w:sz w:val="28"/>
          <w:szCs w:val="28"/>
          <w:lang w:eastAsia="en-US"/>
        </w:rPr>
        <w:t xml:space="preserve">вартість </w:t>
      </w:r>
      <w:r w:rsidR="00CA1AFE" w:rsidRPr="00A261C7">
        <w:rPr>
          <w:rFonts w:eastAsiaTheme="minorHAnsi"/>
          <w:position w:val="0"/>
          <w:sz w:val="28"/>
          <w:szCs w:val="28"/>
          <w:lang w:eastAsia="en-US"/>
        </w:rPr>
        <w:t>послуги із забезпечення підтримки виробництва електричної енергії з альтернативних джерел за механізмом ринкової премії.</w:t>
      </w:r>
    </w:p>
    <w:p w:rsidR="002F4283" w:rsidRPr="00A261C7" w:rsidRDefault="002F4283" w:rsidP="00CA1AFE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Внесення змін до Правил ринку удосконалить процедуру зміни балансуючої групи, зокрема при вході (включенні) та виході (виключенні) до/з балансуючої групи гарантованого покупця, та процедуру визначення обсягів </w:t>
      </w:r>
      <w:proofErr w:type="spellStart"/>
      <w:r w:rsidRPr="00A261C7">
        <w:rPr>
          <w:rFonts w:eastAsiaTheme="minorHAnsi"/>
          <w:position w:val="0"/>
          <w:sz w:val="28"/>
          <w:szCs w:val="28"/>
          <w:lang w:eastAsia="en-US"/>
        </w:rPr>
        <w:t>недовідпущеної</w:t>
      </w:r>
      <w:proofErr w:type="spellEnd"/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електричної енергії ВДЕ з підтримкою, що входять до балансуючої групи гарантованого покупця.</w:t>
      </w:r>
      <w:r w:rsidR="00CA1AFE" w:rsidRPr="00A261C7">
        <w:rPr>
          <w:rFonts w:eastAsiaTheme="minorHAnsi"/>
          <w:position w:val="0"/>
          <w:sz w:val="28"/>
          <w:szCs w:val="28"/>
          <w:lang w:eastAsia="en-US"/>
        </w:rPr>
        <w:t xml:space="preserve"> Внесення змін до Правил РДН/ВДР забезпечуватиме </w:t>
      </w:r>
      <w:r w:rsidR="004B3508" w:rsidRPr="00A261C7">
        <w:rPr>
          <w:rFonts w:eastAsiaTheme="minorHAnsi"/>
          <w:position w:val="0"/>
          <w:sz w:val="28"/>
          <w:szCs w:val="28"/>
          <w:lang w:eastAsia="en-US"/>
        </w:rPr>
        <w:t>можливість</w:t>
      </w:r>
      <w:r w:rsidR="00CA1AFE" w:rsidRPr="00A261C7">
        <w:rPr>
          <w:rFonts w:eastAsiaTheme="minorHAnsi"/>
          <w:position w:val="0"/>
          <w:sz w:val="28"/>
          <w:szCs w:val="28"/>
          <w:lang w:eastAsia="en-US"/>
        </w:rPr>
        <w:t xml:space="preserve"> оператор</w:t>
      </w:r>
      <w:r w:rsidR="00D86FCB" w:rsidRPr="00A261C7">
        <w:rPr>
          <w:rFonts w:eastAsiaTheme="minorHAnsi"/>
          <w:position w:val="0"/>
          <w:sz w:val="28"/>
          <w:szCs w:val="28"/>
          <w:lang w:eastAsia="en-US"/>
        </w:rPr>
        <w:t>а</w:t>
      </w:r>
      <w:r w:rsidR="00CA1AFE" w:rsidRPr="00A261C7">
        <w:rPr>
          <w:rFonts w:eastAsiaTheme="minorHAnsi"/>
          <w:position w:val="0"/>
          <w:sz w:val="28"/>
          <w:szCs w:val="28"/>
          <w:lang w:eastAsia="en-US"/>
        </w:rPr>
        <w:t xml:space="preserve"> ринку </w:t>
      </w:r>
      <w:r w:rsidR="004B3508" w:rsidRPr="00A261C7">
        <w:rPr>
          <w:rFonts w:eastAsiaTheme="minorHAnsi"/>
          <w:position w:val="0"/>
          <w:sz w:val="28"/>
          <w:szCs w:val="28"/>
          <w:lang w:eastAsia="en-US"/>
        </w:rPr>
        <w:t xml:space="preserve">розраховувати, розміщувати на </w:t>
      </w:r>
      <w:r w:rsidR="004B3508" w:rsidRPr="00A261C7">
        <w:rPr>
          <w:sz w:val="28"/>
          <w:szCs w:val="28"/>
        </w:rPr>
        <w:t xml:space="preserve">власному офіційному вебсайті та надсилати гарантованому покупцю </w:t>
      </w:r>
      <w:r w:rsidR="00CA1AFE" w:rsidRPr="00A261C7">
        <w:rPr>
          <w:rFonts w:eastAsiaTheme="minorHAnsi"/>
          <w:position w:val="0"/>
          <w:sz w:val="28"/>
          <w:szCs w:val="28"/>
          <w:lang w:eastAsia="en-US"/>
        </w:rPr>
        <w:t>дан</w:t>
      </w:r>
      <w:r w:rsidR="00141A65" w:rsidRPr="00A261C7">
        <w:rPr>
          <w:rFonts w:eastAsiaTheme="minorHAnsi"/>
          <w:position w:val="0"/>
          <w:sz w:val="28"/>
          <w:szCs w:val="28"/>
          <w:lang w:eastAsia="en-US"/>
        </w:rPr>
        <w:t>і</w:t>
      </w:r>
      <w:r w:rsidR="00CA1AFE" w:rsidRPr="00A261C7">
        <w:rPr>
          <w:rFonts w:eastAsiaTheme="minorHAnsi"/>
          <w:position w:val="0"/>
          <w:sz w:val="28"/>
          <w:szCs w:val="28"/>
          <w:lang w:eastAsia="en-US"/>
        </w:rPr>
        <w:t xml:space="preserve">, які є необхідними </w:t>
      </w:r>
      <w:r w:rsidR="00CA1AFE" w:rsidRPr="00A261C7">
        <w:rPr>
          <w:sz w:val="28"/>
          <w:szCs w:val="28"/>
        </w:rPr>
        <w:t xml:space="preserve">для визначення вартості послуги </w:t>
      </w:r>
      <w:r w:rsidR="00141A65" w:rsidRPr="00A261C7">
        <w:rPr>
          <w:rFonts w:eastAsiaTheme="minorHAnsi"/>
          <w:position w:val="0"/>
          <w:sz w:val="28"/>
          <w:szCs w:val="28"/>
          <w:lang w:eastAsia="en-US"/>
        </w:rPr>
        <w:t>із забезпечення підтримки виробництва електричної енергії з альтернативних джерел за механізмом ринкової премії</w:t>
      </w:r>
      <w:r w:rsidR="00CA1AFE" w:rsidRPr="00A261C7">
        <w:rPr>
          <w:rFonts w:eastAsiaTheme="minorHAnsi"/>
          <w:position w:val="0"/>
          <w:sz w:val="28"/>
          <w:szCs w:val="28"/>
          <w:lang w:eastAsia="en-US"/>
        </w:rPr>
        <w:t xml:space="preserve">. </w:t>
      </w:r>
    </w:p>
    <w:p w:rsidR="008959B1" w:rsidRPr="00A261C7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lastRenderedPageBreak/>
        <w:t>Впливу зовнішніх факторів, що можуть негативно позначитись на виконання вимог регуляторного акта, не очікується.</w:t>
      </w:r>
    </w:p>
    <w:p w:rsidR="008959B1" w:rsidRPr="00A261C7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Характеристика механізму повної або часткової компенсації можливої шкоди у разі настання очікуваних наслідків дії регуляторного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8959B1" w:rsidRPr="00A261C7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Функції в частині здійснення державного контролю та нагляду за додержанням вимог регуляторного акта будуть здійснюватись державними органами, яким, відповідно до законодавства, надані такі повноваження.</w:t>
      </w:r>
    </w:p>
    <w:p w:rsidR="00DB0D4B" w:rsidRPr="00A261C7" w:rsidRDefault="00DB0D4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071079" w:rsidRPr="00A261C7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A261C7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071079" w:rsidRPr="00A261C7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A261C7" w:rsidRDefault="008959B1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Строк дії регуляторного акта необмежений</w:t>
      </w:r>
      <w:r w:rsidR="00C0078B" w:rsidRPr="00A261C7">
        <w:rPr>
          <w:rFonts w:eastAsiaTheme="minorHAnsi"/>
          <w:position w:val="0"/>
          <w:sz w:val="28"/>
          <w:szCs w:val="28"/>
          <w:lang w:eastAsia="en-US"/>
        </w:rPr>
        <w:t>. Він може бути змінений у разі внесення відповідних змін до законодавства.</w:t>
      </w:r>
    </w:p>
    <w:p w:rsidR="008919C4" w:rsidRPr="00A261C7" w:rsidRDefault="008919C4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A261C7" w:rsidRDefault="00C0078B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A261C7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071079" w:rsidRPr="00A261C7" w:rsidRDefault="00071079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bookmarkStart w:id="1" w:name="_heading=h.30j0zll" w:colFirst="0" w:colLast="0"/>
      <w:bookmarkEnd w:id="1"/>
    </w:p>
    <w:p w:rsidR="00083C11" w:rsidRPr="00A261C7" w:rsidRDefault="00083C11" w:rsidP="00083C1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Відповідно до частини третьої статті 8 Закон</w:t>
      </w:r>
      <w:r w:rsidR="001B0C7A" w:rsidRPr="00A261C7">
        <w:rPr>
          <w:rFonts w:eastAsiaTheme="minorHAnsi"/>
          <w:position w:val="0"/>
          <w:sz w:val="28"/>
          <w:szCs w:val="28"/>
          <w:lang w:eastAsia="en-US"/>
        </w:rPr>
        <w:t>у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України </w:t>
      </w:r>
      <w:r w:rsidR="00446290" w:rsidRPr="00A261C7">
        <w:rPr>
          <w:rFonts w:eastAsiaTheme="minorHAnsi"/>
          <w:position w:val="0"/>
          <w:sz w:val="28"/>
          <w:szCs w:val="28"/>
          <w:lang w:eastAsia="en-US"/>
        </w:rPr>
        <w:br/>
      </w:r>
      <w:r w:rsidR="001B0C7A" w:rsidRPr="00A261C7">
        <w:rPr>
          <w:rFonts w:eastAsiaTheme="minorHAnsi"/>
          <w:position w:val="0"/>
          <w:sz w:val="28"/>
          <w:szCs w:val="28"/>
          <w:lang w:eastAsia="en-US"/>
        </w:rPr>
        <w:t>«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>Про альтернативні джерела енергії</w:t>
      </w:r>
      <w:r w:rsidR="001B0C7A" w:rsidRPr="00A261C7">
        <w:rPr>
          <w:rFonts w:eastAsiaTheme="minorHAnsi"/>
          <w:position w:val="0"/>
          <w:sz w:val="28"/>
          <w:szCs w:val="28"/>
          <w:lang w:eastAsia="en-US"/>
        </w:rPr>
        <w:t>»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456FA5" w:rsidRPr="00A261C7">
        <w:rPr>
          <w:rFonts w:eastAsiaTheme="minorHAnsi"/>
          <w:position w:val="0"/>
          <w:sz w:val="28"/>
          <w:szCs w:val="28"/>
          <w:lang w:eastAsia="en-US"/>
        </w:rPr>
        <w:t>(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>у редакції Закон</w:t>
      </w:r>
      <w:r w:rsidR="00456FA5" w:rsidRPr="00A261C7">
        <w:rPr>
          <w:rFonts w:eastAsiaTheme="minorHAnsi"/>
          <w:position w:val="0"/>
          <w:sz w:val="28"/>
          <w:szCs w:val="28"/>
          <w:lang w:eastAsia="en-US"/>
        </w:rPr>
        <w:t>у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№ 3220-IX</w:t>
      </w:r>
      <w:r w:rsidR="00456FA5" w:rsidRPr="00A261C7">
        <w:rPr>
          <w:rFonts w:eastAsiaTheme="minorHAnsi"/>
          <w:position w:val="0"/>
          <w:sz w:val="28"/>
          <w:szCs w:val="28"/>
          <w:lang w:eastAsia="en-US"/>
        </w:rPr>
        <w:t>)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Кабінет Міністрів України має право передбачити у державному бюджеті видатки на фінансову підтримку учасників ринку електричної енергії, на яких покладено спеціальні обов’язки із забезпечення збільшення частки виробництва електричної енергії з альтернативних джерел енергії, відповідно до бюджетних запитів центрального органу виконавчої влади, що забезпечує формування та реалізацію державної політики в електроенергетичному комплексі, на підставі розрахунків, наданих НКРЕКП.</w:t>
      </w:r>
    </w:p>
    <w:p w:rsidR="00083C11" w:rsidRPr="00A261C7" w:rsidRDefault="001B0C7A" w:rsidP="00083C1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Відповідно до частини сьомої статті </w:t>
      </w:r>
      <w:r w:rsidR="00C71C48" w:rsidRPr="00A261C7">
        <w:rPr>
          <w:rFonts w:eastAsiaTheme="minorHAnsi"/>
          <w:position w:val="0"/>
          <w:sz w:val="28"/>
          <w:szCs w:val="28"/>
          <w:lang w:eastAsia="en-US"/>
        </w:rPr>
        <w:t xml:space="preserve">65 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Закону України «Про ринок електричної енергії» </w:t>
      </w:r>
      <w:r w:rsidR="00CC4B64" w:rsidRPr="00A261C7">
        <w:rPr>
          <w:rFonts w:eastAsiaTheme="minorHAnsi"/>
          <w:position w:val="0"/>
          <w:sz w:val="28"/>
          <w:szCs w:val="28"/>
          <w:lang w:eastAsia="en-US"/>
        </w:rPr>
        <w:t>(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>у редакції Закон</w:t>
      </w:r>
      <w:r w:rsidR="00CC4B64" w:rsidRPr="00A261C7">
        <w:rPr>
          <w:rFonts w:eastAsiaTheme="minorHAnsi"/>
          <w:position w:val="0"/>
          <w:sz w:val="28"/>
          <w:szCs w:val="28"/>
          <w:lang w:eastAsia="en-US"/>
        </w:rPr>
        <w:t>у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№ 3220-IX</w:t>
      </w:r>
      <w:r w:rsidR="00CC4B64" w:rsidRPr="00A261C7">
        <w:rPr>
          <w:rFonts w:eastAsiaTheme="minorHAnsi"/>
          <w:position w:val="0"/>
          <w:sz w:val="28"/>
          <w:szCs w:val="28"/>
          <w:lang w:eastAsia="en-US"/>
        </w:rPr>
        <w:t>)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в</w:t>
      </w:r>
      <w:r w:rsidR="00083C11" w:rsidRPr="00A261C7">
        <w:rPr>
          <w:rFonts w:eastAsiaTheme="minorHAnsi"/>
          <w:position w:val="0"/>
          <w:sz w:val="28"/>
          <w:szCs w:val="28"/>
          <w:lang w:eastAsia="en-US"/>
        </w:rPr>
        <w:t>артість послуги із забезпечення збільшення частки виробництва електричної енергії з альтернативних джерел, яка надається оператору системи передачі гарантованим покупцем, визначається за відповідний розрахунковий період і зменшується на суму отриманої фінансової підтримки з державного бюджету для виконання спеціальних обов’язків із забезпечення збільшення частки виробництва електричної енергії з альтернативних джерел енергії.</w:t>
      </w:r>
    </w:p>
    <w:p w:rsidR="00071079" w:rsidRPr="00A261C7" w:rsidRDefault="008959B1" w:rsidP="00DA548F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Враховуючи зазначене, п</w:t>
      </w:r>
      <w:r w:rsidR="00C0078B" w:rsidRPr="00A261C7">
        <w:rPr>
          <w:rFonts w:eastAsiaTheme="minorHAnsi"/>
          <w:position w:val="0"/>
          <w:sz w:val="28"/>
          <w:szCs w:val="28"/>
          <w:lang w:eastAsia="en-US"/>
        </w:rPr>
        <w:t xml:space="preserve">ісля набрання 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>чинності регуляторним актом, його результативність визначатиметься такими показниками</w:t>
      </w:r>
      <w:r w:rsidR="00C0078B" w:rsidRPr="00A261C7">
        <w:rPr>
          <w:rFonts w:eastAsiaTheme="minorHAnsi"/>
          <w:position w:val="0"/>
          <w:sz w:val="28"/>
          <w:szCs w:val="28"/>
          <w:lang w:eastAsia="en-US"/>
        </w:rPr>
        <w:t>:</w:t>
      </w:r>
    </w:p>
    <w:p w:rsidR="00DA548F" w:rsidRPr="00A261C7" w:rsidRDefault="00DA548F" w:rsidP="00DA548F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розмір надходжень до державного та місцевих бюджетів і державних цільових фондів, пов'язаних з дією акта; </w:t>
      </w:r>
    </w:p>
    <w:p w:rsidR="00071079" w:rsidRPr="00A261C7" w:rsidRDefault="00C0078B" w:rsidP="00DA548F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кількість суб'єктів господарювання та/або фізичних осіб, на яких поширюватиметься дія акта, – суб’єкти господарювання, що провадять діяльність у сферах енергетики;</w:t>
      </w:r>
    </w:p>
    <w:p w:rsidR="00796B68" w:rsidRPr="00A261C7" w:rsidRDefault="00C0078B" w:rsidP="00DA548F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рівень поінформованості суб'єктів господарювання та/або фізичних осіб з основних </w:t>
      </w:r>
      <w:r w:rsidR="008959B1" w:rsidRPr="00A261C7">
        <w:rPr>
          <w:rFonts w:eastAsiaTheme="minorHAnsi"/>
          <w:position w:val="0"/>
          <w:sz w:val="28"/>
          <w:szCs w:val="28"/>
          <w:lang w:eastAsia="en-US"/>
        </w:rPr>
        <w:t xml:space="preserve">регуляторного 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положень акта – середній. </w:t>
      </w:r>
    </w:p>
    <w:p w:rsidR="00071079" w:rsidRPr="00A261C7" w:rsidRDefault="00C0078B" w:rsidP="005B1ADC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Відповідно до вимог статті 15 Закону України «Про Національну комісію, що здійснює державне регулювання у сферах енергетики та комунальних 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lastRenderedPageBreak/>
        <w:t xml:space="preserve">послуг» </w:t>
      </w:r>
      <w:r w:rsidR="005B1ADC" w:rsidRPr="00A261C7">
        <w:rPr>
          <w:rFonts w:eastAsiaTheme="minorHAnsi"/>
          <w:position w:val="0"/>
          <w:sz w:val="28"/>
          <w:szCs w:val="28"/>
          <w:lang w:eastAsia="en-US"/>
        </w:rPr>
        <w:t xml:space="preserve">проєкт рішення НКРЕКП, що має ознаки регуляторного акта, – постанови НКРЕКП «Про внесення змін до деяких постанов Національної комісії, що здійснює державне регулювання у сферах енергетики та комунальних послуг» 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разом з матеріалами, що обґрунтовують необхідність його прийняття, та аналізом впливу оприлюднено на офіційному вебсайті НКРЕКП в мережі Інтернет: </w:t>
      </w:r>
      <w:hyperlink r:id="rId8">
        <w:r w:rsidRPr="00A261C7">
          <w:rPr>
            <w:rFonts w:eastAsiaTheme="minorHAnsi"/>
            <w:position w:val="0"/>
            <w:sz w:val="28"/>
            <w:szCs w:val="28"/>
            <w:lang w:eastAsia="en-US"/>
          </w:rPr>
          <w:t>http://nerc.gov.ua</w:t>
        </w:r>
      </w:hyperlink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 НКРЕКП у межах компетенції надає необхідні роз’яснення щодо норм регуляторного акта і надаватиме роз’яснення щодо застосування </w:t>
      </w:r>
      <w:r w:rsidR="005B1ADC" w:rsidRPr="00A261C7">
        <w:rPr>
          <w:rFonts w:eastAsiaTheme="minorHAnsi"/>
          <w:position w:val="0"/>
          <w:sz w:val="28"/>
          <w:szCs w:val="28"/>
          <w:lang w:eastAsia="en-US"/>
        </w:rPr>
        <w:t xml:space="preserve">регуляторного 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 xml:space="preserve">акта, який буде </w:t>
      </w:r>
      <w:r w:rsidR="007D47DE" w:rsidRPr="00A261C7">
        <w:rPr>
          <w:rFonts w:eastAsiaTheme="minorHAnsi"/>
          <w:position w:val="0"/>
          <w:sz w:val="28"/>
          <w:szCs w:val="28"/>
          <w:lang w:eastAsia="en-US"/>
        </w:rPr>
        <w:t xml:space="preserve">оприлюднено </w:t>
      </w:r>
      <w:r w:rsidRPr="00A261C7">
        <w:rPr>
          <w:rFonts w:eastAsiaTheme="minorHAnsi"/>
          <w:position w:val="0"/>
          <w:sz w:val="28"/>
          <w:szCs w:val="28"/>
          <w:lang w:eastAsia="en-US"/>
        </w:rPr>
        <w:t>на офіційному вебсайті НКРЕКП після його прийняття.</w:t>
      </w:r>
    </w:p>
    <w:p w:rsidR="00071079" w:rsidRPr="00A261C7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A261C7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A261C7">
        <w:rPr>
          <w:b/>
          <w:sz w:val="28"/>
          <w:szCs w:val="28"/>
        </w:rPr>
        <w:t>VІII. Очікувані результати прийняття регуляторного акта</w:t>
      </w:r>
    </w:p>
    <w:p w:rsidR="00071079" w:rsidRPr="00A261C7" w:rsidRDefault="00071079" w:rsidP="00EA0D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sz w:val="28"/>
          <w:szCs w:val="28"/>
        </w:rPr>
      </w:pPr>
    </w:p>
    <w:p w:rsidR="00741187" w:rsidRPr="00A261C7" w:rsidRDefault="00FD0924" w:rsidP="00741187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A261C7">
        <w:rPr>
          <w:rFonts w:eastAsiaTheme="minorHAnsi"/>
          <w:position w:val="0"/>
          <w:sz w:val="28"/>
          <w:szCs w:val="28"/>
          <w:lang w:eastAsia="en-US"/>
        </w:rPr>
        <w:t>Очікуваним результатом п</w:t>
      </w:r>
      <w:r w:rsidR="00C0078B" w:rsidRPr="00A261C7">
        <w:rPr>
          <w:rFonts w:eastAsiaTheme="minorHAnsi"/>
          <w:position w:val="0"/>
          <w:sz w:val="28"/>
          <w:szCs w:val="28"/>
          <w:lang w:eastAsia="en-US"/>
        </w:rPr>
        <w:t>рийняття регуляторного акта</w:t>
      </w:r>
      <w:r w:rsidR="002638E5" w:rsidRPr="00A261C7">
        <w:rPr>
          <w:rFonts w:eastAsiaTheme="minorHAnsi"/>
          <w:position w:val="0"/>
          <w:sz w:val="28"/>
          <w:szCs w:val="28"/>
          <w:lang w:eastAsia="en-US"/>
        </w:rPr>
        <w:t xml:space="preserve"> є</w:t>
      </w:r>
      <w:r w:rsidR="00C0078B" w:rsidRPr="00A261C7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2638E5" w:rsidRPr="00A261C7">
        <w:rPr>
          <w:rFonts w:eastAsiaTheme="minorHAnsi"/>
          <w:position w:val="0"/>
          <w:sz w:val="28"/>
          <w:szCs w:val="28"/>
          <w:lang w:eastAsia="en-US"/>
        </w:rPr>
        <w:t xml:space="preserve">приведення нормативно-правових актів НКРЕКП у відповідність до положень Закону № 3220-IX, що дозволить </w:t>
      </w:r>
      <w:r w:rsidR="00741187" w:rsidRPr="00A261C7">
        <w:rPr>
          <w:rFonts w:eastAsiaTheme="minorHAnsi"/>
          <w:position w:val="0"/>
          <w:sz w:val="28"/>
          <w:szCs w:val="28"/>
          <w:lang w:eastAsia="en-US"/>
        </w:rPr>
        <w:t>визнач</w:t>
      </w:r>
      <w:r w:rsidR="005C620E" w:rsidRPr="00A261C7">
        <w:rPr>
          <w:rFonts w:eastAsiaTheme="minorHAnsi"/>
          <w:position w:val="0"/>
          <w:sz w:val="28"/>
          <w:szCs w:val="28"/>
          <w:lang w:eastAsia="en-US"/>
        </w:rPr>
        <w:t>а</w:t>
      </w:r>
      <w:r w:rsidR="00741187" w:rsidRPr="00A261C7">
        <w:rPr>
          <w:rFonts w:eastAsiaTheme="minorHAnsi"/>
          <w:position w:val="0"/>
          <w:sz w:val="28"/>
          <w:szCs w:val="28"/>
          <w:lang w:eastAsia="en-US"/>
        </w:rPr>
        <w:t xml:space="preserve">ти порядок розрахунку та відшкодування частки вартості врегулювання небалансу електричної енергії балансуючої групи гарантованого покупця; визначати вартість послуги із забезпечення збільшення частки виробництва електричної енергії з альтернативних джерел, яку гарантований покупець надає оператору системи передачі; впровадити послугу із забезпечення підтримки виробництва електричної енергії з альтернативних джерел за механізмом ринкової премії; визначати обсяги </w:t>
      </w:r>
      <w:proofErr w:type="spellStart"/>
      <w:r w:rsidR="00741187" w:rsidRPr="00A261C7">
        <w:rPr>
          <w:rFonts w:eastAsiaTheme="minorHAnsi"/>
          <w:position w:val="0"/>
          <w:sz w:val="28"/>
          <w:szCs w:val="28"/>
          <w:lang w:eastAsia="en-US"/>
        </w:rPr>
        <w:t>недовідпущеної</w:t>
      </w:r>
      <w:proofErr w:type="spellEnd"/>
      <w:r w:rsidR="00741187" w:rsidRPr="00A261C7">
        <w:rPr>
          <w:rFonts w:eastAsiaTheme="minorHAnsi"/>
          <w:position w:val="0"/>
          <w:sz w:val="28"/>
          <w:szCs w:val="28"/>
          <w:lang w:eastAsia="en-US"/>
        </w:rPr>
        <w:t xml:space="preserve"> електричної енергії ВДЕ з підтримкою, що входять до балансуючої групи гарантованого покупця у результаті виконання команд оператора системи зі зменшення навантаження</w:t>
      </w:r>
      <w:r w:rsidR="005F7E94" w:rsidRPr="00A261C7">
        <w:rPr>
          <w:rFonts w:eastAsiaTheme="minorHAnsi"/>
          <w:position w:val="0"/>
          <w:sz w:val="28"/>
          <w:szCs w:val="28"/>
          <w:lang w:eastAsia="en-US"/>
        </w:rPr>
        <w:t>, зокрема внаслідок виконання команд з операційної безпеки</w:t>
      </w:r>
      <w:r w:rsidR="00741187" w:rsidRPr="00A261C7">
        <w:rPr>
          <w:rFonts w:eastAsiaTheme="minorHAnsi"/>
          <w:position w:val="0"/>
          <w:sz w:val="28"/>
          <w:szCs w:val="28"/>
          <w:lang w:eastAsia="en-US"/>
        </w:rPr>
        <w:t>.</w:t>
      </w:r>
    </w:p>
    <w:p w:rsidR="002638E5" w:rsidRPr="00A261C7" w:rsidRDefault="002638E5" w:rsidP="00A21A6A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2638E5" w:rsidRPr="00A261C7" w:rsidRDefault="002638E5" w:rsidP="00A21A6A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705795" w:rsidRPr="00A261C7" w:rsidRDefault="0070579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5C620E" w:rsidRDefault="005C620E" w:rsidP="005C620E">
      <w:pPr>
        <w:spacing w:line="240" w:lineRule="auto"/>
        <w:ind w:left="1" w:hanging="3"/>
        <w:jc w:val="both"/>
        <w:rPr>
          <w:sz w:val="28"/>
          <w:szCs w:val="28"/>
        </w:rPr>
      </w:pPr>
      <w:proofErr w:type="spellStart"/>
      <w:r w:rsidRPr="00A261C7">
        <w:rPr>
          <w:sz w:val="28"/>
          <w:szCs w:val="28"/>
        </w:rPr>
        <w:t>Т.в.о</w:t>
      </w:r>
      <w:proofErr w:type="spellEnd"/>
      <w:r w:rsidRPr="00A261C7">
        <w:rPr>
          <w:sz w:val="28"/>
          <w:szCs w:val="28"/>
        </w:rPr>
        <w:t xml:space="preserve">. Голови НКРЕКП </w:t>
      </w:r>
      <w:r w:rsidRPr="00A261C7">
        <w:rPr>
          <w:sz w:val="28"/>
          <w:szCs w:val="28"/>
        </w:rPr>
        <w:tab/>
      </w:r>
      <w:r w:rsidRPr="00A261C7">
        <w:rPr>
          <w:sz w:val="28"/>
          <w:szCs w:val="28"/>
        </w:rPr>
        <w:tab/>
      </w:r>
      <w:r w:rsidRPr="00A261C7">
        <w:rPr>
          <w:sz w:val="28"/>
          <w:szCs w:val="28"/>
        </w:rPr>
        <w:tab/>
      </w:r>
      <w:r w:rsidRPr="00A261C7">
        <w:rPr>
          <w:sz w:val="28"/>
          <w:szCs w:val="28"/>
        </w:rPr>
        <w:tab/>
      </w:r>
      <w:r w:rsidRPr="00A261C7">
        <w:rPr>
          <w:sz w:val="28"/>
          <w:szCs w:val="28"/>
        </w:rPr>
        <w:tab/>
        <w:t>Олександр ФОРМАГЕЙ</w:t>
      </w:r>
    </w:p>
    <w:p w:rsidR="004D6C22" w:rsidRPr="001745D7" w:rsidRDefault="004D6C22" w:rsidP="005C620E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0"/>
        <w:jc w:val="both"/>
        <w:textAlignment w:val="auto"/>
        <w:outlineLvl w:val="9"/>
        <w:rPr>
          <w:sz w:val="28"/>
          <w:szCs w:val="28"/>
        </w:rPr>
      </w:pPr>
    </w:p>
    <w:sectPr w:rsidR="004D6C22" w:rsidRPr="001745D7" w:rsidSect="001745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708" w:bottom="1276" w:left="1701" w:header="426" w:footer="2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5D7" w:rsidRDefault="00C535D7">
      <w:pPr>
        <w:spacing w:line="240" w:lineRule="auto"/>
        <w:ind w:left="0" w:hanging="2"/>
      </w:pPr>
      <w:r>
        <w:separator/>
      </w:r>
    </w:p>
  </w:endnote>
  <w:endnote w:type="continuationSeparator" w:id="0">
    <w:p w:rsidR="00C535D7" w:rsidRDefault="00C535D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5D7" w:rsidRDefault="00C535D7">
      <w:pPr>
        <w:spacing w:line="240" w:lineRule="auto"/>
        <w:ind w:left="0" w:hanging="2"/>
      </w:pPr>
      <w:r>
        <w:separator/>
      </w:r>
    </w:p>
  </w:footnote>
  <w:footnote w:type="continuationSeparator" w:id="0">
    <w:p w:rsidR="00C535D7" w:rsidRDefault="00C535D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701149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967383" w:rsidRPr="001745D7" w:rsidRDefault="00967383">
        <w:pPr>
          <w:pStyle w:val="a5"/>
          <w:ind w:left="0" w:hanging="2"/>
          <w:jc w:val="center"/>
          <w:rPr>
            <w:sz w:val="24"/>
          </w:rPr>
        </w:pPr>
        <w:r w:rsidRPr="001745D7">
          <w:rPr>
            <w:sz w:val="24"/>
          </w:rPr>
          <w:fldChar w:fldCharType="begin"/>
        </w:r>
        <w:r w:rsidRPr="001745D7">
          <w:rPr>
            <w:sz w:val="24"/>
          </w:rPr>
          <w:instrText>PAGE   \* MERGEFORMAT</w:instrText>
        </w:r>
        <w:r w:rsidRPr="001745D7">
          <w:rPr>
            <w:sz w:val="24"/>
          </w:rPr>
          <w:fldChar w:fldCharType="separate"/>
        </w:r>
        <w:r w:rsidR="00A261C7">
          <w:rPr>
            <w:noProof/>
            <w:sz w:val="24"/>
          </w:rPr>
          <w:t>9</w:t>
        </w:r>
        <w:r w:rsidRPr="001745D7">
          <w:rPr>
            <w:sz w:val="24"/>
          </w:rPr>
          <w:fldChar w:fldCharType="end"/>
        </w:r>
      </w:p>
    </w:sdtContent>
  </w:sdt>
  <w:p w:rsidR="00071079" w:rsidRPr="00EC626B" w:rsidRDefault="00071079" w:rsidP="00EC626B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48A4"/>
    <w:multiLevelType w:val="multilevel"/>
    <w:tmpl w:val="FBFA741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E55BFE"/>
    <w:multiLevelType w:val="multilevel"/>
    <w:tmpl w:val="DC96ED26"/>
    <w:lvl w:ilvl="0">
      <w:start w:val="3"/>
      <w:numFmt w:val="decimal"/>
      <w:lvlText w:val="%1)"/>
      <w:lvlJc w:val="left"/>
      <w:pPr>
        <w:ind w:left="92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2" w15:restartNumberingAfterBreak="0">
    <w:nsid w:val="401652AF"/>
    <w:multiLevelType w:val="multilevel"/>
    <w:tmpl w:val="983A7ECC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" w15:restartNumberingAfterBreak="0">
    <w:nsid w:val="79A7513B"/>
    <w:multiLevelType w:val="multilevel"/>
    <w:tmpl w:val="2F52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BB34F79"/>
    <w:multiLevelType w:val="multilevel"/>
    <w:tmpl w:val="4CEA3754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079"/>
    <w:rsid w:val="00010280"/>
    <w:rsid w:val="0002116A"/>
    <w:rsid w:val="000521A0"/>
    <w:rsid w:val="00055D2D"/>
    <w:rsid w:val="00066D44"/>
    <w:rsid w:val="00071079"/>
    <w:rsid w:val="00083C11"/>
    <w:rsid w:val="00094229"/>
    <w:rsid w:val="00095FB7"/>
    <w:rsid w:val="000C3EB0"/>
    <w:rsid w:val="00103127"/>
    <w:rsid w:val="00104758"/>
    <w:rsid w:val="001128ED"/>
    <w:rsid w:val="00141A65"/>
    <w:rsid w:val="00146743"/>
    <w:rsid w:val="00146E12"/>
    <w:rsid w:val="00160DD2"/>
    <w:rsid w:val="00161139"/>
    <w:rsid w:val="0016769D"/>
    <w:rsid w:val="001745D7"/>
    <w:rsid w:val="0018007D"/>
    <w:rsid w:val="001A1FB0"/>
    <w:rsid w:val="001B0C7A"/>
    <w:rsid w:val="001D0957"/>
    <w:rsid w:val="001F2A92"/>
    <w:rsid w:val="00220E37"/>
    <w:rsid w:val="00251931"/>
    <w:rsid w:val="00256EAB"/>
    <w:rsid w:val="002638E5"/>
    <w:rsid w:val="002937EA"/>
    <w:rsid w:val="002944F7"/>
    <w:rsid w:val="002A7B61"/>
    <w:rsid w:val="002C1F90"/>
    <w:rsid w:val="002D3542"/>
    <w:rsid w:val="002F4283"/>
    <w:rsid w:val="00311F51"/>
    <w:rsid w:val="003204E3"/>
    <w:rsid w:val="003258D2"/>
    <w:rsid w:val="00333CAB"/>
    <w:rsid w:val="00346041"/>
    <w:rsid w:val="00346CC2"/>
    <w:rsid w:val="00354800"/>
    <w:rsid w:val="0035616B"/>
    <w:rsid w:val="00360BB7"/>
    <w:rsid w:val="00367168"/>
    <w:rsid w:val="00370231"/>
    <w:rsid w:val="003812C7"/>
    <w:rsid w:val="00391C8A"/>
    <w:rsid w:val="003A1FC3"/>
    <w:rsid w:val="003F1451"/>
    <w:rsid w:val="003F435B"/>
    <w:rsid w:val="003F7AFE"/>
    <w:rsid w:val="00404382"/>
    <w:rsid w:val="004240B3"/>
    <w:rsid w:val="004255BA"/>
    <w:rsid w:val="00427719"/>
    <w:rsid w:val="00427B79"/>
    <w:rsid w:val="00446290"/>
    <w:rsid w:val="0045135C"/>
    <w:rsid w:val="00456D77"/>
    <w:rsid w:val="00456FA5"/>
    <w:rsid w:val="0046681D"/>
    <w:rsid w:val="00483377"/>
    <w:rsid w:val="004915AD"/>
    <w:rsid w:val="004B1D9C"/>
    <w:rsid w:val="004B3508"/>
    <w:rsid w:val="004C1433"/>
    <w:rsid w:val="004C2146"/>
    <w:rsid w:val="004D670E"/>
    <w:rsid w:val="004D6C22"/>
    <w:rsid w:val="00506F82"/>
    <w:rsid w:val="005100F5"/>
    <w:rsid w:val="005112A9"/>
    <w:rsid w:val="005148FC"/>
    <w:rsid w:val="00515399"/>
    <w:rsid w:val="0054178D"/>
    <w:rsid w:val="0055331D"/>
    <w:rsid w:val="00565386"/>
    <w:rsid w:val="00577396"/>
    <w:rsid w:val="00584D40"/>
    <w:rsid w:val="00585AEF"/>
    <w:rsid w:val="00594EAE"/>
    <w:rsid w:val="005A3E47"/>
    <w:rsid w:val="005A6128"/>
    <w:rsid w:val="005B1ADC"/>
    <w:rsid w:val="005B6024"/>
    <w:rsid w:val="005C4B95"/>
    <w:rsid w:val="005C620E"/>
    <w:rsid w:val="005D35AA"/>
    <w:rsid w:val="005F6C54"/>
    <w:rsid w:val="005F7E94"/>
    <w:rsid w:val="006015E9"/>
    <w:rsid w:val="00602C68"/>
    <w:rsid w:val="006927B2"/>
    <w:rsid w:val="0069504D"/>
    <w:rsid w:val="006A5849"/>
    <w:rsid w:val="006B3412"/>
    <w:rsid w:val="006D0524"/>
    <w:rsid w:val="006D7CA4"/>
    <w:rsid w:val="006E71E2"/>
    <w:rsid w:val="00705795"/>
    <w:rsid w:val="00710B5D"/>
    <w:rsid w:val="00730590"/>
    <w:rsid w:val="00741187"/>
    <w:rsid w:val="007458FF"/>
    <w:rsid w:val="007615E6"/>
    <w:rsid w:val="00775799"/>
    <w:rsid w:val="00796B68"/>
    <w:rsid w:val="007A292B"/>
    <w:rsid w:val="007A31A4"/>
    <w:rsid w:val="007A3DC9"/>
    <w:rsid w:val="007B6812"/>
    <w:rsid w:val="007C5A60"/>
    <w:rsid w:val="007D3B5F"/>
    <w:rsid w:val="007D47DE"/>
    <w:rsid w:val="007E2DF1"/>
    <w:rsid w:val="007F2618"/>
    <w:rsid w:val="007F2851"/>
    <w:rsid w:val="00807C88"/>
    <w:rsid w:val="00815056"/>
    <w:rsid w:val="00817FFD"/>
    <w:rsid w:val="00837067"/>
    <w:rsid w:val="00852BE4"/>
    <w:rsid w:val="0086097B"/>
    <w:rsid w:val="00873446"/>
    <w:rsid w:val="00887EA1"/>
    <w:rsid w:val="008919C4"/>
    <w:rsid w:val="008959B1"/>
    <w:rsid w:val="008C4D16"/>
    <w:rsid w:val="008D01C9"/>
    <w:rsid w:val="008D39B1"/>
    <w:rsid w:val="009021EA"/>
    <w:rsid w:val="00905A1E"/>
    <w:rsid w:val="00911AD4"/>
    <w:rsid w:val="00913461"/>
    <w:rsid w:val="0092321F"/>
    <w:rsid w:val="00930437"/>
    <w:rsid w:val="00933338"/>
    <w:rsid w:val="00943944"/>
    <w:rsid w:val="00946EFC"/>
    <w:rsid w:val="009472C0"/>
    <w:rsid w:val="00967383"/>
    <w:rsid w:val="009754B3"/>
    <w:rsid w:val="0098007F"/>
    <w:rsid w:val="009913A5"/>
    <w:rsid w:val="009A2E95"/>
    <w:rsid w:val="009B6A10"/>
    <w:rsid w:val="009B6AFA"/>
    <w:rsid w:val="009D014B"/>
    <w:rsid w:val="009D66A8"/>
    <w:rsid w:val="009F3D2D"/>
    <w:rsid w:val="00A10463"/>
    <w:rsid w:val="00A21A6A"/>
    <w:rsid w:val="00A2521F"/>
    <w:rsid w:val="00A261C7"/>
    <w:rsid w:val="00A46C14"/>
    <w:rsid w:val="00A51A9A"/>
    <w:rsid w:val="00A57A1B"/>
    <w:rsid w:val="00A665D9"/>
    <w:rsid w:val="00AA41D7"/>
    <w:rsid w:val="00AB1458"/>
    <w:rsid w:val="00AC0F7B"/>
    <w:rsid w:val="00AC5660"/>
    <w:rsid w:val="00AD524D"/>
    <w:rsid w:val="00AF54C6"/>
    <w:rsid w:val="00B027BF"/>
    <w:rsid w:val="00B04F85"/>
    <w:rsid w:val="00B05362"/>
    <w:rsid w:val="00B0792C"/>
    <w:rsid w:val="00B1100C"/>
    <w:rsid w:val="00B42C88"/>
    <w:rsid w:val="00B55302"/>
    <w:rsid w:val="00B67372"/>
    <w:rsid w:val="00B75601"/>
    <w:rsid w:val="00B83ADC"/>
    <w:rsid w:val="00B86672"/>
    <w:rsid w:val="00B93F7F"/>
    <w:rsid w:val="00B95D10"/>
    <w:rsid w:val="00BB6683"/>
    <w:rsid w:val="00BC0661"/>
    <w:rsid w:val="00BC2E58"/>
    <w:rsid w:val="00BD0B38"/>
    <w:rsid w:val="00BF7A6C"/>
    <w:rsid w:val="00C0078B"/>
    <w:rsid w:val="00C12F50"/>
    <w:rsid w:val="00C535D7"/>
    <w:rsid w:val="00C601FF"/>
    <w:rsid w:val="00C64D8B"/>
    <w:rsid w:val="00C71C48"/>
    <w:rsid w:val="00C87F36"/>
    <w:rsid w:val="00C91934"/>
    <w:rsid w:val="00C95826"/>
    <w:rsid w:val="00CA1163"/>
    <w:rsid w:val="00CA1AFE"/>
    <w:rsid w:val="00CB383B"/>
    <w:rsid w:val="00CB3F33"/>
    <w:rsid w:val="00CC0B45"/>
    <w:rsid w:val="00CC15C7"/>
    <w:rsid w:val="00CC1C4B"/>
    <w:rsid w:val="00CC3A00"/>
    <w:rsid w:val="00CC4B64"/>
    <w:rsid w:val="00CC538F"/>
    <w:rsid w:val="00CD3F37"/>
    <w:rsid w:val="00CF1F1B"/>
    <w:rsid w:val="00CF2970"/>
    <w:rsid w:val="00CF758B"/>
    <w:rsid w:val="00D355F4"/>
    <w:rsid w:val="00D44C89"/>
    <w:rsid w:val="00D47212"/>
    <w:rsid w:val="00D70197"/>
    <w:rsid w:val="00D765B0"/>
    <w:rsid w:val="00D80629"/>
    <w:rsid w:val="00D86FCB"/>
    <w:rsid w:val="00D87A9B"/>
    <w:rsid w:val="00D91A43"/>
    <w:rsid w:val="00D94801"/>
    <w:rsid w:val="00DA548F"/>
    <w:rsid w:val="00DB0D4B"/>
    <w:rsid w:val="00DC1F97"/>
    <w:rsid w:val="00DC28B7"/>
    <w:rsid w:val="00DD0B19"/>
    <w:rsid w:val="00DF19B7"/>
    <w:rsid w:val="00DF43A7"/>
    <w:rsid w:val="00E07B07"/>
    <w:rsid w:val="00E22E7F"/>
    <w:rsid w:val="00E239A8"/>
    <w:rsid w:val="00E27265"/>
    <w:rsid w:val="00E2792D"/>
    <w:rsid w:val="00E374CE"/>
    <w:rsid w:val="00E37582"/>
    <w:rsid w:val="00E53E75"/>
    <w:rsid w:val="00E57AC9"/>
    <w:rsid w:val="00E73E21"/>
    <w:rsid w:val="00E86D86"/>
    <w:rsid w:val="00EA0D17"/>
    <w:rsid w:val="00EC3627"/>
    <w:rsid w:val="00EC626B"/>
    <w:rsid w:val="00EC7C0B"/>
    <w:rsid w:val="00ED2DF1"/>
    <w:rsid w:val="00EE22B3"/>
    <w:rsid w:val="00EE5760"/>
    <w:rsid w:val="00EE76BD"/>
    <w:rsid w:val="00F10E6C"/>
    <w:rsid w:val="00F12013"/>
    <w:rsid w:val="00F20B76"/>
    <w:rsid w:val="00F210DB"/>
    <w:rsid w:val="00F46B67"/>
    <w:rsid w:val="00F567B0"/>
    <w:rsid w:val="00F6417D"/>
    <w:rsid w:val="00F65894"/>
    <w:rsid w:val="00F702D7"/>
    <w:rsid w:val="00F86163"/>
    <w:rsid w:val="00F908BA"/>
    <w:rsid w:val="00FB4CB3"/>
    <w:rsid w:val="00FD0924"/>
    <w:rsid w:val="00FD13C3"/>
    <w:rsid w:val="00FD3E08"/>
    <w:rsid w:val="00FD6A13"/>
    <w:rsid w:val="00FE297D"/>
    <w:rsid w:val="00FE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21A6A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character" w:customStyle="1" w:styleId="a4">
    <w:name w:val="Шрифт абзацу за замовчуванням;Знак Знак 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header"/>
    <w:basedOn w:val="a"/>
    <w:uiPriority w:val="99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7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8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0">
    <w:name w:val="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pPr>
      <w:spacing w:after="120"/>
    </w:pPr>
  </w:style>
  <w:style w:type="character" w:customStyle="1" w:styleId="rvts23">
    <w:name w:val="rvts23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af3">
    <w:name w:val="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1">
    <w:name w:val="Body Text Indent 3"/>
    <w:basedOn w:val="a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6">
    <w:name w:val="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0">
    <w:name w:val="Знак Знак1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uiPriority w:val="99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grame">
    <w:name w:val="grame"/>
    <w:rPr>
      <w:w w:val="100"/>
      <w:position w:val="-1"/>
      <w:effect w:val="none"/>
      <w:vertAlign w:val="baseline"/>
      <w:cs w:val="0"/>
      <w:em w:val="none"/>
    </w:rPr>
  </w:style>
  <w:style w:type="paragraph" w:customStyle="1" w:styleId="20">
    <w:name w:val="Знак Знак2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numbering">
    <w:name w:val="Normal numbering"/>
    <w:basedOn w:val="a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</w:pPr>
    <w:rPr>
      <w:sz w:val="28"/>
      <w:szCs w:val="28"/>
      <w:lang w:val="ru-RU"/>
    </w:rPr>
  </w:style>
  <w:style w:type="paragraph" w:customStyle="1" w:styleId="af9">
    <w:name w:val="Обычный буквенный список"/>
    <w:basedOn w:val="a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sz w:val="28"/>
      <w:szCs w:val="28"/>
      <w:lang w:val="ru-RU"/>
    </w:rPr>
  </w:style>
  <w:style w:type="character" w:customStyle="1" w:styleId="afa">
    <w:name w:val="Обычный буквенный список Знак"/>
    <w:rPr>
      <w:w w:val="100"/>
      <w:position w:val="-1"/>
      <w:sz w:val="28"/>
      <w:szCs w:val="28"/>
      <w:effect w:val="none"/>
      <w:vertAlign w:val="baseline"/>
      <w:cs w:val="0"/>
      <w:em w:val="none"/>
      <w:lang w:val="ru-RU" w:eastAsia="ru-RU"/>
    </w:rPr>
  </w:style>
  <w:style w:type="numbering" w:customStyle="1" w:styleId="newnumbering">
    <w:name w:val="new numbering"/>
  </w:style>
  <w:style w:type="paragraph" w:styleId="afb">
    <w:name w:val="List Paragraph"/>
    <w:basedOn w:val="a"/>
    <w:uiPriority w:val="34"/>
    <w:qFormat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c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d">
    <w:name w:val="annotation text"/>
    <w:basedOn w:val="a"/>
  </w:style>
  <w:style w:type="character" w:customStyle="1" w:styleId="afe">
    <w:name w:val="Текст примітки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aff">
    <w:name w:val="annotation subject"/>
    <w:basedOn w:val="afd"/>
    <w:next w:val="afd"/>
    <w:rPr>
      <w:b/>
      <w:bCs/>
    </w:rPr>
  </w:style>
  <w:style w:type="character" w:customStyle="1" w:styleId="aff0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11">
    <w:name w:val="Заголовок 1 Знак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aff1">
    <w:name w:val="Верхній колонтитул Знак"/>
    <w:uiPriority w:val="99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FontStyle">
    <w:name w:val="Font Style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f2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aff3">
    <w:name w:val="а_звіт текст"/>
    <w:basedOn w:val="a"/>
    <w:pPr>
      <w:overflowPunct/>
      <w:autoSpaceDE/>
      <w:autoSpaceDN/>
      <w:adjustRightInd/>
      <w:ind w:firstLine="709"/>
      <w:jc w:val="both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а_звіт текст Знак"/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uk-UA" w:eastAsia="en-US"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rvps2">
    <w:name w:val="rvps2"/>
    <w:basedOn w:val="a"/>
    <w:rsid w:val="00E53E75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eastAsia="uk-UA"/>
    </w:rPr>
  </w:style>
  <w:style w:type="character" w:customStyle="1" w:styleId="fontstyle01">
    <w:name w:val="fontstyle01"/>
    <w:basedOn w:val="a0"/>
    <w:rsid w:val="00AC566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vts44">
    <w:name w:val="rvts44"/>
    <w:basedOn w:val="a0"/>
    <w:rsid w:val="00AC5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E3FD1-AA59-43B3-957E-E44D57F3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11890</Words>
  <Characters>6778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2023-10-10T13:09:00Z</dcterms:created>
  <dcterms:modified xsi:type="dcterms:W3CDTF">2023-10-10T14:43:00Z</dcterms:modified>
</cp:coreProperties>
</file>