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93D" w:rsidRPr="00263D8E" w:rsidRDefault="0082293D" w:rsidP="00271531">
      <w:pPr>
        <w:pStyle w:val="Normal1"/>
        <w:spacing w:after="0" w:line="23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3D8E">
        <w:rPr>
          <w:rFonts w:ascii="Times New Roman" w:eastAsia="Times New Roman" w:hAnsi="Times New Roman" w:cs="Times New Roman"/>
          <w:b/>
          <w:sz w:val="28"/>
          <w:szCs w:val="28"/>
        </w:rPr>
        <w:t>АНАЛІЗ ВПЛИВУ</w:t>
      </w:r>
    </w:p>
    <w:p w:rsidR="0082293D" w:rsidRPr="00263D8E" w:rsidRDefault="0082293D" w:rsidP="00271531">
      <w:pPr>
        <w:pStyle w:val="Normal1"/>
        <w:spacing w:after="0" w:line="23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3D8E">
        <w:rPr>
          <w:rFonts w:ascii="Times New Roman" w:eastAsia="Times New Roman" w:hAnsi="Times New Roman" w:cs="Times New Roman"/>
          <w:b/>
          <w:sz w:val="28"/>
          <w:szCs w:val="28"/>
        </w:rPr>
        <w:t>проєкту постанови Національної комісії, що здійснює державне регулювання у сферах енергетики та кому</w:t>
      </w:r>
      <w:r w:rsidR="00C2686D" w:rsidRPr="00263D8E">
        <w:rPr>
          <w:rFonts w:ascii="Times New Roman" w:eastAsia="Times New Roman" w:hAnsi="Times New Roman" w:cs="Times New Roman"/>
          <w:b/>
          <w:sz w:val="28"/>
          <w:szCs w:val="28"/>
        </w:rPr>
        <w:t>нальних послуг</w:t>
      </w:r>
      <w:r w:rsidR="006A32AC" w:rsidRPr="00263D8E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415217" w:rsidRPr="00057B8B">
        <w:rPr>
          <w:rFonts w:ascii="Times New Roman" w:eastAsia="Times New Roman" w:hAnsi="Times New Roman" w:cs="Times New Roman"/>
          <w:b/>
          <w:sz w:val="28"/>
          <w:szCs w:val="28"/>
        </w:rPr>
        <w:t>Про внесення змін до Методики визначення розмірів нормативних та виробничо-технологічних втрат/витрат природного газу при здійсненні розподілу природного газу</w:t>
      </w:r>
      <w:r w:rsidR="006A32AC" w:rsidRPr="00263D8E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263D8E">
        <w:rPr>
          <w:rFonts w:ascii="Times New Roman" w:eastAsia="Times New Roman" w:hAnsi="Times New Roman" w:cs="Times New Roman"/>
          <w:b/>
          <w:sz w:val="28"/>
          <w:szCs w:val="28"/>
        </w:rPr>
        <w:t>, що має ознаки регуляторного акта</w:t>
      </w:r>
    </w:p>
    <w:p w:rsidR="00C762F0" w:rsidRPr="00263D8E" w:rsidRDefault="00C762F0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І. Визначення проблеми</w:t>
      </w:r>
    </w:p>
    <w:p w:rsidR="001759A1" w:rsidRPr="00263D8E" w:rsidRDefault="001759A1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66DF" w:rsidRPr="007327EB" w:rsidRDefault="008866DF" w:rsidP="00795C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74661369"/>
      <w:r w:rsidRPr="007327EB">
        <w:rPr>
          <w:rFonts w:ascii="Times New Roman" w:hAnsi="Times New Roman" w:cs="Times New Roman"/>
          <w:bCs/>
          <w:sz w:val="28"/>
          <w:szCs w:val="28"/>
        </w:rPr>
        <w:t>Відповідно до положень пункту 22</w:t>
      </w:r>
      <w:r w:rsidRPr="007327EB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327EB">
        <w:rPr>
          <w:rFonts w:ascii="Times New Roman" w:hAnsi="Times New Roman" w:cs="Times New Roman"/>
          <w:bCs/>
          <w:sz w:val="28"/>
          <w:szCs w:val="28"/>
        </w:rPr>
        <w:t xml:space="preserve"> частини першої статті 17 Закону України «Про Національну комісію, що здійснює державне регулювання у сферах енергетики та комунальних п</w:t>
      </w:r>
      <w:r w:rsidRPr="003D4B36">
        <w:rPr>
          <w:rFonts w:ascii="Times New Roman" w:hAnsi="Times New Roman" w:cs="Times New Roman"/>
          <w:bCs/>
          <w:sz w:val="28"/>
          <w:szCs w:val="28"/>
        </w:rPr>
        <w:t>осл</w:t>
      </w:r>
      <w:r w:rsidRPr="007327EB">
        <w:rPr>
          <w:rFonts w:ascii="Times New Roman" w:hAnsi="Times New Roman" w:cs="Times New Roman"/>
          <w:bCs/>
          <w:sz w:val="28"/>
          <w:szCs w:val="28"/>
        </w:rPr>
        <w:t xml:space="preserve">уг»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BE2FB4">
        <w:rPr>
          <w:rFonts w:ascii="Times New Roman" w:hAnsi="Times New Roman" w:cs="Times New Roman"/>
          <w:sz w:val="28"/>
          <w:szCs w:val="28"/>
          <w:shd w:val="clear" w:color="auto" w:fill="FFFFFF"/>
        </w:rPr>
        <w:t>далі – Закон про НКРЕКП</w:t>
      </w:r>
      <w:r w:rsidRPr="007327EB">
        <w:rPr>
          <w:rFonts w:ascii="Times New Roman" w:hAnsi="Times New Roman" w:cs="Times New Roman"/>
          <w:bCs/>
          <w:sz w:val="28"/>
          <w:szCs w:val="28"/>
        </w:rPr>
        <w:t>) до функцій і повноважень Регулятора належить</w:t>
      </w:r>
      <w:r w:rsidR="00CD40DC">
        <w:rPr>
          <w:rFonts w:ascii="Times New Roman" w:hAnsi="Times New Roman" w:cs="Times New Roman"/>
          <w:bCs/>
          <w:sz w:val="28"/>
          <w:szCs w:val="28"/>
        </w:rPr>
        <w:t>,</w:t>
      </w:r>
      <w:r w:rsidR="00BB3C30">
        <w:rPr>
          <w:rFonts w:ascii="Times New Roman" w:hAnsi="Times New Roman" w:cs="Times New Roman"/>
          <w:bCs/>
          <w:sz w:val="28"/>
          <w:szCs w:val="28"/>
        </w:rPr>
        <w:t xml:space="preserve"> зокрема</w:t>
      </w:r>
      <w:r w:rsidRPr="007327EB">
        <w:rPr>
          <w:rFonts w:ascii="Times New Roman" w:hAnsi="Times New Roman" w:cs="Times New Roman"/>
          <w:bCs/>
          <w:sz w:val="28"/>
          <w:szCs w:val="28"/>
        </w:rPr>
        <w:t xml:space="preserve"> затвердження методики визначення розмірів нормативних та виробничо-технологічних втрат/витрат природного газу.</w:t>
      </w:r>
    </w:p>
    <w:p w:rsidR="008866DF" w:rsidRDefault="008866DF" w:rsidP="00795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27EB">
        <w:rPr>
          <w:rFonts w:ascii="Times New Roman" w:hAnsi="Times New Roman" w:cs="Times New Roman"/>
          <w:bCs/>
          <w:sz w:val="28"/>
          <w:szCs w:val="28"/>
        </w:rPr>
        <w:t>Методика визначення розмірів нормативних та виробничо-технологічних втрат/витрат природного газу при здійсненні розподілу природного газу затверджена постановою НКРЕКП від 06.11.2020 № 2033 (далі – Методика).</w:t>
      </w:r>
    </w:p>
    <w:p w:rsidR="008866DF" w:rsidRPr="007327EB" w:rsidRDefault="008866DF" w:rsidP="00795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27EB">
        <w:rPr>
          <w:rFonts w:ascii="Times New Roman" w:hAnsi="Times New Roman" w:cs="Times New Roman"/>
          <w:sz w:val="28"/>
          <w:szCs w:val="28"/>
          <w:shd w:val="clear" w:color="auto" w:fill="FFFFFF"/>
        </w:rPr>
        <w:t>Ця Методика визначає порядок розрахунку розмірів нормативних та виробничо-технологічних втрат/витрат природного газу при здійсненні розподілу природного газу, які пов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’</w:t>
      </w:r>
      <w:r w:rsidRPr="007327EB">
        <w:rPr>
          <w:rFonts w:ascii="Times New Roman" w:hAnsi="Times New Roman" w:cs="Times New Roman"/>
          <w:sz w:val="28"/>
          <w:szCs w:val="28"/>
          <w:shd w:val="clear" w:color="auto" w:fill="FFFFFF"/>
        </w:rPr>
        <w:t>язані з умовною нормативною герметичністю газопроводів, 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’</w:t>
      </w:r>
      <w:r w:rsidRPr="007327EB">
        <w:rPr>
          <w:rFonts w:ascii="Times New Roman" w:hAnsi="Times New Roman" w:cs="Times New Roman"/>
          <w:sz w:val="28"/>
          <w:szCs w:val="28"/>
          <w:shd w:val="clear" w:color="auto" w:fill="FFFFFF"/>
        </w:rPr>
        <w:t>єднувальних деталей, арматури, компенсаторів, газового обладнання, інших газових приладів та обладнання в межах допустимих норм, визначених цією Методикою, та при забезпеченні розподілу природного газу споживачам.</w:t>
      </w:r>
    </w:p>
    <w:bookmarkEnd w:id="0"/>
    <w:p w:rsidR="00795CCE" w:rsidRPr="00D30F68" w:rsidRDefault="00795CCE" w:rsidP="00D30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</w:pPr>
      <w:r w:rsidRPr="00795C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Разом з цим, у зв’язку із збройною агресією російської федерації споживачі природного газу, зокрема юридичні особи, або припинили або </w:t>
      </w:r>
      <w:r w:rsidRPr="00D30F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суттєво </w:t>
      </w:r>
      <w:r w:rsidR="006A2A54" w:rsidRPr="00D30F68">
        <w:rPr>
          <w:rFonts w:ascii="Times New Roman" w:hAnsi="Times New Roman" w:cs="Times New Roman"/>
          <w:sz w:val="28"/>
          <w:szCs w:val="28"/>
          <w:shd w:val="clear" w:color="auto" w:fill="FFFFFF"/>
        </w:rPr>
        <w:t>зменшили</w:t>
      </w:r>
      <w:r w:rsidR="00D30F68" w:rsidRPr="00D30F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30F68">
        <w:rPr>
          <w:rFonts w:ascii="Times New Roman" w:hAnsi="Times New Roman" w:cs="Times New Roman"/>
          <w:sz w:val="28"/>
          <w:szCs w:val="28"/>
          <w:shd w:val="clear" w:color="auto" w:fill="FFFFFF"/>
        </w:rPr>
        <w:t>споживання природного газу</w:t>
      </w:r>
      <w:r w:rsidRPr="00795CCE">
        <w:rPr>
          <w:rFonts w:ascii="Times New Roman" w:hAnsi="Times New Roman" w:cs="Times New Roman"/>
          <w:sz w:val="28"/>
          <w:szCs w:val="28"/>
          <w:shd w:val="clear" w:color="auto" w:fill="FFFFFF"/>
        </w:rPr>
        <w:t>. Така ситуація унеможливлює деякими Операторами ГРМ</w:t>
      </w:r>
      <w:r w:rsidR="003D4B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D4B36" w:rsidRPr="003766B7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 пров</w:t>
      </w:r>
      <w:r w:rsidR="00862800" w:rsidRPr="003766B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3D4B36" w:rsidRPr="003766B7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862800" w:rsidRPr="003766B7">
        <w:rPr>
          <w:rFonts w:ascii="Times New Roman" w:hAnsi="Times New Roman" w:cs="Times New Roman"/>
          <w:sz w:val="28"/>
          <w:szCs w:val="28"/>
          <w:shd w:val="clear" w:color="auto" w:fill="FFFFFF"/>
        </w:rPr>
        <w:t>ж</w:t>
      </w:r>
      <w:r w:rsidR="003D4B36" w:rsidRPr="003766B7">
        <w:rPr>
          <w:rFonts w:ascii="Times New Roman" w:hAnsi="Times New Roman" w:cs="Times New Roman"/>
          <w:sz w:val="28"/>
          <w:szCs w:val="28"/>
          <w:shd w:val="clear" w:color="auto" w:fill="FFFFFF"/>
        </w:rPr>
        <w:t>ення господарської діяльності яких знаходиться на тимчасово окупованій території України,</w:t>
      </w:r>
      <w:r w:rsidRPr="00376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здійсн</w:t>
      </w:r>
      <w:r w:rsidR="00DE01C2" w:rsidRPr="003766B7">
        <w:rPr>
          <w:rFonts w:ascii="Times New Roman" w:hAnsi="Times New Roman" w:cs="Times New Roman"/>
          <w:sz w:val="28"/>
          <w:szCs w:val="28"/>
          <w:shd w:val="clear" w:color="auto" w:fill="FFFFFF"/>
        </w:rPr>
        <w:t>ювати</w:t>
      </w:r>
      <w:r w:rsidRPr="00376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розрахунк</w:t>
      </w:r>
      <w:r w:rsidR="00DE01C2" w:rsidRPr="003766B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795C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нормативних втрат/витрат природного газу відповідно до положень Методики та потребує визначення особливостей здійснення розрахунків нормативних втрат/витрат природного газу в умовах дії воєнного стану.</w:t>
      </w:r>
    </w:p>
    <w:p w:rsidR="00795CCE" w:rsidRDefault="00795CCE" w:rsidP="00795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5C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Враховуючи зазначене, </w:t>
      </w:r>
      <w:r w:rsidR="00B06E16">
        <w:rPr>
          <w:rFonts w:ascii="Times New Roman" w:hAnsi="Times New Roman" w:cs="Times New Roman"/>
          <w:sz w:val="28"/>
          <w:szCs w:val="28"/>
          <w:shd w:val="clear" w:color="auto" w:fill="FFFFFF"/>
        </w:rPr>
        <w:t>НКРЕКП</w:t>
      </w:r>
      <w:r w:rsidRPr="00795C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розроблено </w:t>
      </w:r>
      <w:proofErr w:type="spellStart"/>
      <w:r w:rsidRPr="00795CCE">
        <w:rPr>
          <w:rFonts w:ascii="Times New Roman" w:hAnsi="Times New Roman" w:cs="Times New Roman"/>
          <w:sz w:val="28"/>
          <w:szCs w:val="28"/>
          <w:shd w:val="clear" w:color="auto" w:fill="FFFFFF"/>
        </w:rPr>
        <w:t>проєкт</w:t>
      </w:r>
      <w:proofErr w:type="spellEnd"/>
      <w:r w:rsidRPr="00795C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постанови НКРЕКП «Про внесення змін до Методики визначення розмірів нормативних та виробничо-технологічних втрат/витрат природного газу при здійсненні розподілу природного газу»</w:t>
      </w:r>
      <w:r w:rsidR="00502B6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(дал</w:t>
      </w:r>
      <w:r w:rsidR="00502B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 – </w:t>
      </w:r>
      <w:proofErr w:type="spellStart"/>
      <w:r w:rsidR="00502B62">
        <w:rPr>
          <w:rFonts w:ascii="Times New Roman" w:hAnsi="Times New Roman" w:cs="Times New Roman"/>
          <w:sz w:val="28"/>
          <w:szCs w:val="28"/>
          <w:shd w:val="clear" w:color="auto" w:fill="FFFFFF"/>
        </w:rPr>
        <w:t>Проєкт</w:t>
      </w:r>
      <w:proofErr w:type="spellEnd"/>
      <w:r w:rsidR="00502B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постанови)</w:t>
      </w:r>
      <w:r w:rsidRPr="00795C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яким передбачається визначення </w:t>
      </w:r>
      <w:r w:rsidRPr="00862800">
        <w:rPr>
          <w:rFonts w:ascii="Times New Roman" w:hAnsi="Times New Roman" w:cs="Times New Roman"/>
          <w:sz w:val="28"/>
          <w:szCs w:val="28"/>
          <w:shd w:val="clear" w:color="auto" w:fill="FFFFFF"/>
        </w:rPr>
        <w:t>особливостей</w:t>
      </w:r>
      <w:r w:rsidR="003D4B36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 </w:t>
      </w:r>
      <w:r w:rsidRPr="00795C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здійснення розрахунків нормативних втрат/витрат природного газу в умовах дії воєнного стану, зокрема, в частині механізму визначення нормативних втрат/витрат природного газу для Операторів </w:t>
      </w:r>
      <w:r w:rsidRPr="003766B7">
        <w:rPr>
          <w:rFonts w:ascii="Times New Roman" w:hAnsi="Times New Roman" w:cs="Times New Roman"/>
          <w:sz w:val="28"/>
          <w:szCs w:val="28"/>
          <w:shd w:val="clear" w:color="auto" w:fill="FFFFFF"/>
        </w:rPr>
        <w:t>ГРМ</w:t>
      </w:r>
      <w:r w:rsidR="003D4B36" w:rsidRPr="00376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місце пров</w:t>
      </w:r>
      <w:r w:rsidR="00862800" w:rsidRPr="003766B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3D4B36" w:rsidRPr="003766B7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862800" w:rsidRPr="003766B7">
        <w:rPr>
          <w:rFonts w:ascii="Times New Roman" w:hAnsi="Times New Roman" w:cs="Times New Roman"/>
          <w:sz w:val="28"/>
          <w:szCs w:val="28"/>
          <w:shd w:val="clear" w:color="auto" w:fill="FFFFFF"/>
        </w:rPr>
        <w:t>ж</w:t>
      </w:r>
      <w:r w:rsidR="003D4B36" w:rsidRPr="003766B7">
        <w:rPr>
          <w:rFonts w:ascii="Times New Roman" w:hAnsi="Times New Roman" w:cs="Times New Roman"/>
          <w:sz w:val="28"/>
          <w:szCs w:val="28"/>
          <w:shd w:val="clear" w:color="auto" w:fill="FFFFFF"/>
        </w:rPr>
        <w:t>ення господарської діяльності яких знаходиться на тимчасово окупованій території України</w:t>
      </w:r>
      <w:r w:rsidRPr="003766B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06E16" w:rsidRPr="00795CCE" w:rsidRDefault="00B06E16" w:rsidP="00795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12248" w:rsidRPr="00263D8E" w:rsidRDefault="00312248" w:rsidP="00795CCE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t>Основні г</w:t>
      </w:r>
      <w:r w:rsidR="003C3700" w:rsidRPr="00263D8E">
        <w:rPr>
          <w:rFonts w:ascii="Times New Roman" w:hAnsi="Times New Roman" w:cs="Times New Roman"/>
          <w:sz w:val="28"/>
          <w:szCs w:val="28"/>
        </w:rPr>
        <w:t>рупи (підгрупи), на які проблема справляє</w:t>
      </w:r>
      <w:r w:rsidRPr="00263D8E">
        <w:rPr>
          <w:rFonts w:ascii="Times New Roman" w:hAnsi="Times New Roman" w:cs="Times New Roman"/>
          <w:sz w:val="28"/>
          <w:szCs w:val="28"/>
        </w:rPr>
        <w:t xml:space="preserve"> вплив: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5"/>
        <w:gridCol w:w="3833"/>
        <w:gridCol w:w="3060"/>
      </w:tblGrid>
      <w:tr w:rsidR="00312248" w:rsidRPr="00263D8E" w:rsidTr="006A32AC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b/>
                <w:sz w:val="24"/>
                <w:szCs w:val="24"/>
              </w:rPr>
              <w:t>Так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b/>
                <w:sz w:val="24"/>
                <w:szCs w:val="24"/>
              </w:rPr>
              <w:t>Ні</w:t>
            </w:r>
          </w:p>
        </w:tc>
      </w:tr>
      <w:tr w:rsidR="00312248" w:rsidRPr="00263D8E" w:rsidTr="006A32AC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sz w:val="24"/>
                <w:szCs w:val="24"/>
              </w:rPr>
              <w:t>Громадяни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793F4E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312248" w:rsidRPr="00263D8E" w:rsidTr="006A32AC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sz w:val="24"/>
                <w:szCs w:val="24"/>
              </w:rPr>
              <w:t>Держава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C600FF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2248" w:rsidRPr="00263D8E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312248" w:rsidRPr="00263D8E" w:rsidTr="006A32AC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sz w:val="24"/>
                <w:szCs w:val="24"/>
              </w:rPr>
              <w:t>Суб’єкти господарювання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F6" w:rsidRPr="00263D8E" w:rsidRDefault="00312248" w:rsidP="00271531">
            <w:pPr>
              <w:spacing w:after="0" w:line="230" w:lineRule="auto"/>
              <w:jc w:val="both"/>
              <w:rPr>
                <w:sz w:val="28"/>
                <w:szCs w:val="28"/>
              </w:rPr>
            </w:pPr>
            <w:r w:rsidRPr="00263D8E">
              <w:rPr>
                <w:rFonts w:ascii="Times New Roman" w:hAnsi="Times New Roman" w:cs="Times New Roman"/>
                <w:sz w:val="24"/>
                <w:szCs w:val="24"/>
              </w:rPr>
              <w:t xml:space="preserve">Так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2B62" w:rsidRDefault="00502B62" w:rsidP="00271531">
      <w:pPr>
        <w:spacing w:after="0" w:line="23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664D5" w:rsidRPr="00263D8E" w:rsidRDefault="006664D5" w:rsidP="00271531">
      <w:pPr>
        <w:spacing w:after="0" w:line="23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spacing w:after="0" w:line="23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ІІ. Цілі державного регулювання</w:t>
      </w:r>
    </w:p>
    <w:p w:rsidR="00505CA8" w:rsidRDefault="00505CA8" w:rsidP="00271531">
      <w:pPr>
        <w:spacing w:after="0" w:line="23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F4E" w:rsidRPr="003C042F" w:rsidRDefault="00B06E16" w:rsidP="003C042F">
      <w:pPr>
        <w:spacing w:after="0" w:line="23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Основними цілями розроблення </w:t>
      </w:r>
      <w:proofErr w:type="spellStart"/>
      <w:r w:rsidR="00EF7D18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="00EF7D18">
        <w:rPr>
          <w:rFonts w:ascii="Times New Roman" w:hAnsi="Times New Roman" w:cs="Times New Roman"/>
          <w:bCs/>
          <w:sz w:val="28"/>
          <w:szCs w:val="28"/>
        </w:rPr>
        <w:t xml:space="preserve"> постанови є необхідність удосконалення державного регулювання в частині </w:t>
      </w:r>
      <w:r w:rsidR="0049793F" w:rsidRPr="0049793F">
        <w:rPr>
          <w:rFonts w:ascii="Times New Roman" w:hAnsi="Times New Roman" w:cs="Times New Roman"/>
          <w:sz w:val="28"/>
          <w:szCs w:val="28"/>
        </w:rPr>
        <w:t>розрахунків нормативних втрат/витрат природного газу в умовах дії воєнного стану</w:t>
      </w:r>
      <w:r w:rsidR="00BA7CC0">
        <w:rPr>
          <w:rFonts w:ascii="Times New Roman" w:hAnsi="Times New Roman" w:cs="Times New Roman"/>
          <w:sz w:val="28"/>
          <w:szCs w:val="28"/>
        </w:rPr>
        <w:t>.</w:t>
      </w:r>
    </w:p>
    <w:p w:rsidR="00BA7CC0" w:rsidRPr="00263D8E" w:rsidRDefault="00BA7CC0" w:rsidP="0049793F">
      <w:pPr>
        <w:spacing w:after="0" w:line="23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ІІІ. Визначення та оцінка альтернативних способів досягнення цілей</w:t>
      </w:r>
    </w:p>
    <w:p w:rsidR="00D7018C" w:rsidRPr="00263D8E" w:rsidRDefault="00D7018C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numPr>
          <w:ilvl w:val="0"/>
          <w:numId w:val="4"/>
        </w:numPr>
        <w:tabs>
          <w:tab w:val="clear" w:pos="720"/>
          <w:tab w:val="num" w:pos="142"/>
          <w:tab w:val="left" w:pos="993"/>
        </w:tabs>
        <w:spacing w:after="0" w:line="230" w:lineRule="auto"/>
        <w:ind w:hanging="86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D8E">
        <w:rPr>
          <w:rFonts w:ascii="Times New Roman" w:hAnsi="Times New Roman" w:cs="Times New Roman"/>
          <w:b/>
          <w:sz w:val="28"/>
          <w:szCs w:val="28"/>
        </w:rPr>
        <w:t>Визначення альтернативних способів</w:t>
      </w:r>
    </w:p>
    <w:p w:rsidR="00BB47EE" w:rsidRPr="00263D8E" w:rsidRDefault="00BB47EE" w:rsidP="00BB47EE">
      <w:pPr>
        <w:tabs>
          <w:tab w:val="left" w:pos="993"/>
        </w:tabs>
        <w:spacing w:after="0" w:line="23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0"/>
        <w:gridCol w:w="7583"/>
      </w:tblGrid>
      <w:tr w:rsidR="003767FC" w:rsidRPr="00263D8E" w:rsidTr="003767FC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Вид альтернативи</w:t>
            </w:r>
          </w:p>
        </w:tc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Опис альтернативи</w:t>
            </w:r>
          </w:p>
        </w:tc>
      </w:tr>
      <w:tr w:rsidR="003767FC" w:rsidRPr="00263D8E" w:rsidTr="003767FC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Збереження чинного регулювання</w:t>
            </w:r>
          </w:p>
        </w:tc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08" w:rsidRPr="00A53158" w:rsidRDefault="0079700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Не приймати зазначене регулювання.</w:t>
            </w:r>
            <w:r w:rsidR="00A53158" w:rsidRPr="00DE01C2">
              <w:rPr>
                <w:lang w:eastAsia="en-US"/>
              </w:rPr>
              <w:t xml:space="preserve"> </w:t>
            </w:r>
            <w:r w:rsidR="00A53158">
              <w:rPr>
                <w:lang w:val="uk-UA" w:eastAsia="en-US"/>
              </w:rPr>
              <w:t>Не забезпечує досягненн</w:t>
            </w:r>
            <w:r w:rsidR="006664D5">
              <w:rPr>
                <w:lang w:val="uk-UA" w:eastAsia="en-US"/>
              </w:rPr>
              <w:t>я цілей.</w:t>
            </w:r>
          </w:p>
          <w:p w:rsidR="007D1744" w:rsidRPr="00263D8E" w:rsidRDefault="00797008" w:rsidP="00387F4C">
            <w:pPr>
              <w:spacing w:after="0" w:line="23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D8E">
              <w:rPr>
                <w:rFonts w:ascii="Times New Roman" w:eastAsia="Calibri" w:hAnsi="Times New Roman" w:cs="Times New Roman"/>
                <w:sz w:val="24"/>
                <w:szCs w:val="24"/>
              </w:rPr>
              <w:t>Продовжить існувати необхідність вне</w:t>
            </w:r>
            <w:r w:rsidR="00716274" w:rsidRPr="00263D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сення змін до </w:t>
            </w:r>
            <w:r w:rsidR="00BA7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Методики в частині </w:t>
            </w:r>
            <w:r w:rsidR="00BA7CC0" w:rsidRPr="00BA7CC0">
              <w:rPr>
                <w:rFonts w:ascii="Times New Roman" w:eastAsia="Calibri" w:hAnsi="Times New Roman" w:cs="Times New Roman"/>
                <w:sz w:val="24"/>
                <w:szCs w:val="24"/>
              </w:rPr>
              <w:t>визначення особливостей здійснення розрахунків нормативних втрат/витрат природного газу в умовах дії воєнного стану</w:t>
            </w:r>
          </w:p>
        </w:tc>
      </w:tr>
      <w:tr w:rsidR="003767FC" w:rsidRPr="00263D8E" w:rsidTr="003767FC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2 </w:t>
            </w:r>
          </w:p>
          <w:p w:rsidR="0054391F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F3" w:rsidRPr="00263D8E" w:rsidRDefault="00EE33CF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Цілі будуть досягнуті, п</w:t>
            </w:r>
            <w:r w:rsidR="003C3700" w:rsidRPr="00263D8E">
              <w:rPr>
                <w:lang w:val="uk-UA" w:eastAsia="en-US"/>
              </w:rPr>
              <w:t xml:space="preserve">роте, </w:t>
            </w:r>
            <w:r w:rsidR="00D7018C" w:rsidRPr="00263D8E">
              <w:rPr>
                <w:lang w:val="uk-UA" w:eastAsia="en-US"/>
              </w:rPr>
              <w:t>прийняття нового регуляторного акта</w:t>
            </w:r>
            <w:r w:rsidR="001B31D4" w:rsidRPr="00263D8E">
              <w:rPr>
                <w:lang w:val="uk-UA" w:eastAsia="en-US"/>
              </w:rPr>
              <w:t xml:space="preserve"> є недоцільним, оскільки більшість норм залишаються незмінними</w:t>
            </w:r>
          </w:p>
        </w:tc>
      </w:tr>
      <w:tr w:rsidR="003767FC" w:rsidRPr="00263D8E" w:rsidTr="003767FC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Альтернатива 3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Внесення змін до чинн</w:t>
            </w:r>
            <w:r w:rsidR="005A7A73" w:rsidRPr="00263D8E">
              <w:rPr>
                <w:lang w:val="uk-UA" w:eastAsia="en-US"/>
              </w:rPr>
              <w:t>их</w:t>
            </w:r>
            <w:r w:rsidRPr="00263D8E">
              <w:rPr>
                <w:lang w:val="uk-UA" w:eastAsia="en-US"/>
              </w:rPr>
              <w:t xml:space="preserve"> регуляторн</w:t>
            </w:r>
            <w:r w:rsidR="005A7A73" w:rsidRPr="00263D8E">
              <w:rPr>
                <w:lang w:val="uk-UA" w:eastAsia="en-US"/>
              </w:rPr>
              <w:t>их</w:t>
            </w:r>
            <w:r w:rsidR="00827AB0" w:rsidRPr="00263D8E">
              <w:rPr>
                <w:lang w:val="uk-UA" w:eastAsia="en-US"/>
              </w:rPr>
              <w:t xml:space="preserve"> </w:t>
            </w:r>
            <w:r w:rsidRPr="00263D8E">
              <w:rPr>
                <w:lang w:val="uk-UA" w:eastAsia="en-US"/>
              </w:rPr>
              <w:t>акт</w:t>
            </w:r>
            <w:r w:rsidR="005A7A73" w:rsidRPr="00263D8E">
              <w:rPr>
                <w:lang w:val="uk-UA" w:eastAsia="en-US"/>
              </w:rPr>
              <w:t>ів</w:t>
            </w:r>
          </w:p>
        </w:tc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8B" w:rsidRPr="00263D8E" w:rsidRDefault="00067582" w:rsidP="001232AA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sz w:val="24"/>
                <w:szCs w:val="24"/>
              </w:rPr>
              <w:t xml:space="preserve">Унесення змін </w:t>
            </w:r>
            <w:r w:rsidR="00827AB0" w:rsidRPr="00263D8E">
              <w:rPr>
                <w:rFonts w:ascii="Times New Roman" w:hAnsi="Times New Roman" w:cs="Times New Roman"/>
                <w:sz w:val="24"/>
                <w:szCs w:val="24"/>
              </w:rPr>
              <w:t>сприятиме</w:t>
            </w:r>
            <w:r w:rsidR="00313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3F4E" w:rsidRPr="00263D8E">
              <w:rPr>
                <w:rFonts w:ascii="Times New Roman" w:hAnsi="Times New Roman" w:cs="Times New Roman"/>
                <w:sz w:val="24"/>
                <w:szCs w:val="24"/>
              </w:rPr>
              <w:t>забезпеч</w:t>
            </w:r>
            <w:r w:rsidR="00021E50" w:rsidRPr="00263D8E">
              <w:rPr>
                <w:rFonts w:ascii="Times New Roman" w:hAnsi="Times New Roman" w:cs="Times New Roman"/>
                <w:sz w:val="24"/>
                <w:szCs w:val="24"/>
              </w:rPr>
              <w:t>енню</w:t>
            </w:r>
            <w:r w:rsidR="00793F4E" w:rsidRPr="00263D8E">
              <w:rPr>
                <w:rFonts w:ascii="Times New Roman" w:hAnsi="Times New Roman" w:cs="Times New Roman"/>
                <w:sz w:val="24"/>
                <w:szCs w:val="24"/>
              </w:rPr>
              <w:t xml:space="preserve"> визначення </w:t>
            </w:r>
            <w:r w:rsidR="001232A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793F4E" w:rsidRPr="00263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2AA" w:rsidRPr="001232AA">
              <w:rPr>
                <w:rFonts w:ascii="Times New Roman" w:hAnsi="Times New Roman" w:cs="Times New Roman"/>
                <w:sz w:val="24"/>
                <w:szCs w:val="24"/>
              </w:rPr>
              <w:t>здійснення розрахунків нормативних втрат/витрат природного газу в умовах дії воєнного стану</w:t>
            </w:r>
          </w:p>
        </w:tc>
      </w:tr>
    </w:tbl>
    <w:p w:rsidR="001B31D4" w:rsidRPr="00263D8E" w:rsidRDefault="00312248" w:rsidP="00271531">
      <w:pPr>
        <w:spacing w:after="80" w:line="23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3D8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12248" w:rsidRPr="00263D8E" w:rsidRDefault="00312248" w:rsidP="00271531">
      <w:pPr>
        <w:spacing w:line="230" w:lineRule="auto"/>
        <w:rPr>
          <w:rFonts w:ascii="Times New Roman" w:hAnsi="Times New Roman" w:cs="Times New Roman"/>
          <w:b/>
          <w:sz w:val="28"/>
          <w:szCs w:val="28"/>
        </w:rPr>
      </w:pPr>
      <w:r w:rsidRPr="00263D8E">
        <w:rPr>
          <w:rFonts w:ascii="Times New Roman" w:hAnsi="Times New Roman" w:cs="Times New Roman"/>
          <w:b/>
          <w:sz w:val="28"/>
          <w:szCs w:val="28"/>
        </w:rPr>
        <w:t>2. Оцінка вибраних альтернативних способів досягнення цілей</w:t>
      </w:r>
    </w:p>
    <w:p w:rsidR="0054391F" w:rsidRPr="00263D8E" w:rsidRDefault="00312248" w:rsidP="00271531">
      <w:pPr>
        <w:spacing w:after="120" w:line="230" w:lineRule="auto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t>1) Оцінка впливу на сферу інтересів держави: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2859"/>
        <w:gridCol w:w="3945"/>
      </w:tblGrid>
      <w:tr w:rsidR="00DC2C74" w:rsidRPr="00263D8E" w:rsidTr="003767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Вид альтернативи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Вигоди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Витрати</w:t>
            </w:r>
          </w:p>
        </w:tc>
      </w:tr>
      <w:tr w:rsidR="00DC2C74" w:rsidRPr="00263D8E" w:rsidTr="003767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DC2C74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312248" w:rsidRPr="00263D8E" w:rsidRDefault="00312248" w:rsidP="00DC2C74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Збереження чинного регулювання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DC2C74">
            <w:pPr>
              <w:pStyle w:val="a5"/>
              <w:spacing w:line="230" w:lineRule="auto"/>
              <w:jc w:val="center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1F" w:rsidRPr="00263D8E" w:rsidRDefault="00067582" w:rsidP="00DC2C74">
            <w:pPr>
              <w:pStyle w:val="a5"/>
              <w:spacing w:before="0" w:beforeAutospacing="0" w:after="0" w:afterAutospacing="0" w:line="230" w:lineRule="auto"/>
              <w:jc w:val="center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  <w:p w:rsidR="00505CA8" w:rsidRPr="00263D8E" w:rsidRDefault="00505CA8" w:rsidP="00DC2C74">
            <w:pPr>
              <w:pStyle w:val="a5"/>
              <w:spacing w:before="0" w:beforeAutospacing="0" w:after="0" w:afterAutospacing="0" w:line="230" w:lineRule="auto"/>
              <w:jc w:val="center"/>
              <w:rPr>
                <w:lang w:val="uk-UA" w:eastAsia="en-US"/>
              </w:rPr>
            </w:pPr>
          </w:p>
        </w:tc>
      </w:tr>
      <w:tr w:rsidR="00DC2C74" w:rsidRPr="00263D8E" w:rsidTr="003767FC">
        <w:trPr>
          <w:trHeight w:val="8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DC2C74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2 </w:t>
            </w:r>
          </w:p>
          <w:p w:rsidR="00312248" w:rsidRPr="00263D8E" w:rsidRDefault="00312248" w:rsidP="00DC2C74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DC2C74">
            <w:pPr>
              <w:pStyle w:val="a5"/>
              <w:spacing w:before="0" w:beforeAutospacing="0" w:after="0" w:afterAutospacing="0" w:line="230" w:lineRule="auto"/>
              <w:jc w:val="center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A8" w:rsidRPr="00263D8E" w:rsidRDefault="00067582" w:rsidP="00DC2C74">
            <w:pPr>
              <w:pStyle w:val="a5"/>
              <w:spacing w:before="0" w:beforeAutospacing="0" w:after="0" w:afterAutospacing="0" w:line="230" w:lineRule="auto"/>
              <w:jc w:val="center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</w:tc>
      </w:tr>
      <w:tr w:rsidR="00DC2C74" w:rsidRPr="00263D8E" w:rsidTr="003767FC">
        <w:trPr>
          <w:trHeight w:val="35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13" w:rsidRPr="00263D8E" w:rsidRDefault="00450013" w:rsidP="00DC2C74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Альтернатива 3</w:t>
            </w:r>
          </w:p>
          <w:p w:rsidR="00450013" w:rsidRPr="00263D8E" w:rsidRDefault="00450013" w:rsidP="00DC2C74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 xml:space="preserve">Внесення змін до </w:t>
            </w:r>
            <w:r w:rsidR="005A7A73" w:rsidRPr="00263D8E">
              <w:rPr>
                <w:lang w:val="uk-UA" w:eastAsia="en-US"/>
              </w:rPr>
              <w:t>чинних регуляторних актів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13" w:rsidRPr="00263D8E" w:rsidRDefault="00067582" w:rsidP="00DC2C74">
            <w:pPr>
              <w:spacing w:before="100" w:after="0" w:line="23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D8E">
              <w:rPr>
                <w:rFonts w:ascii="Times New Roman" w:eastAsia="Calibri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13" w:rsidRPr="00263D8E" w:rsidRDefault="00450013" w:rsidP="00DC2C74">
            <w:pPr>
              <w:pStyle w:val="a5"/>
              <w:spacing w:before="0" w:beforeAutospacing="0" w:after="0" w:afterAutospacing="0" w:line="230" w:lineRule="auto"/>
              <w:jc w:val="center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</w:tc>
      </w:tr>
    </w:tbl>
    <w:p w:rsidR="005B2C7C" w:rsidRPr="00263D8E" w:rsidRDefault="005B2C7C" w:rsidP="00271531">
      <w:pPr>
        <w:spacing w:before="240" w:after="120" w:line="230" w:lineRule="auto"/>
        <w:rPr>
          <w:rFonts w:ascii="Times New Roman" w:hAnsi="Times New Roman" w:cs="Times New Roman"/>
          <w:sz w:val="28"/>
          <w:szCs w:val="28"/>
        </w:rPr>
      </w:pPr>
    </w:p>
    <w:p w:rsidR="00312248" w:rsidRPr="00263D8E" w:rsidRDefault="00312248" w:rsidP="00271531">
      <w:pPr>
        <w:spacing w:before="240" w:after="120" w:line="230" w:lineRule="auto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t>2) Оцінка впливу на сферу інтересів громадян: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8"/>
        <w:gridCol w:w="3179"/>
        <w:gridCol w:w="4507"/>
      </w:tblGrid>
      <w:tr w:rsidR="00DC2C74" w:rsidRPr="00263D8E" w:rsidTr="00DC2C7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Вид альтернативи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Вигоди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Витрати</w:t>
            </w:r>
          </w:p>
        </w:tc>
      </w:tr>
      <w:tr w:rsidR="00DC2C74" w:rsidRPr="00263D8E" w:rsidTr="00DC2C7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54391F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Збереження чинного регулювання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  <w:p w:rsidR="00312248" w:rsidRPr="00263D8E" w:rsidRDefault="00312248" w:rsidP="00271531">
            <w:pPr>
              <w:pStyle w:val="a5"/>
              <w:spacing w:line="230" w:lineRule="auto"/>
              <w:rPr>
                <w:lang w:val="uk-UA" w:eastAsia="en-US"/>
              </w:rPr>
            </w:pPr>
          </w:p>
        </w:tc>
      </w:tr>
      <w:tr w:rsidR="00DC2C74" w:rsidRPr="00263D8E" w:rsidTr="00DC2C7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2 </w:t>
            </w:r>
          </w:p>
          <w:p w:rsidR="0054391F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lastRenderedPageBreak/>
              <w:t>Прийняття нового регуляторного акта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43DE1" w:rsidP="00271531">
            <w:pPr>
              <w:pStyle w:val="a5"/>
              <w:spacing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lastRenderedPageBreak/>
              <w:t>Відсутні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  <w:p w:rsidR="00312248" w:rsidRPr="00263D8E" w:rsidRDefault="00312248" w:rsidP="00271531">
            <w:pPr>
              <w:pStyle w:val="a5"/>
              <w:spacing w:line="230" w:lineRule="auto"/>
              <w:rPr>
                <w:lang w:val="uk-UA" w:eastAsia="en-US"/>
              </w:rPr>
            </w:pPr>
          </w:p>
        </w:tc>
      </w:tr>
      <w:tr w:rsidR="00DC2C74" w:rsidRPr="00263D8E" w:rsidTr="00DC2C7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lastRenderedPageBreak/>
              <w:t>Альтернатива 3</w:t>
            </w:r>
          </w:p>
          <w:p w:rsidR="0054391F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 xml:space="preserve">Внесення змін до </w:t>
            </w:r>
            <w:r w:rsidR="005A7A73" w:rsidRPr="00263D8E">
              <w:rPr>
                <w:lang w:val="uk-UA" w:eastAsia="en-US"/>
              </w:rPr>
              <w:t>чинних регуляторних актів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5B2C7C" w:rsidP="00271531">
            <w:pPr>
              <w:pStyle w:val="a5"/>
              <w:spacing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</w:tc>
      </w:tr>
    </w:tbl>
    <w:p w:rsidR="00312248" w:rsidRPr="00263D8E" w:rsidRDefault="00312248" w:rsidP="00271531">
      <w:pPr>
        <w:spacing w:before="240" w:after="120" w:line="230" w:lineRule="auto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t xml:space="preserve">3) Оцінка впливу на сферу інтересів </w:t>
      </w:r>
      <w:r w:rsidR="00686DD8" w:rsidRPr="00263D8E">
        <w:rPr>
          <w:rFonts w:ascii="Times New Roman" w:hAnsi="Times New Roman" w:cs="Times New Roman"/>
          <w:sz w:val="28"/>
          <w:szCs w:val="28"/>
        </w:rPr>
        <w:t>суб’єктів господарювання</w:t>
      </w:r>
      <w:r w:rsidRPr="00263D8E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8"/>
        <w:gridCol w:w="4181"/>
        <w:gridCol w:w="3685"/>
      </w:tblGrid>
      <w:tr w:rsidR="00DC2C74" w:rsidRPr="00263D8E" w:rsidTr="00DC2C74">
        <w:trPr>
          <w:trHeight w:val="89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Вид альтернативи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Вигоди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Витрати</w:t>
            </w:r>
          </w:p>
        </w:tc>
      </w:tr>
      <w:tr w:rsidR="00DC2C74" w:rsidRPr="00263D8E" w:rsidTr="00DC2C74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Збереження чинного регулювання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C7C" w:rsidRPr="00263D8E" w:rsidRDefault="005B0773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/>
              </w:rPr>
              <w:t>Продовжить і</w:t>
            </w:r>
            <w:r w:rsidR="005B2C7C" w:rsidRPr="00263D8E">
              <w:rPr>
                <w:lang w:val="uk-UA"/>
              </w:rPr>
              <w:t xml:space="preserve">снувати необхідність внесення змін до </w:t>
            </w:r>
            <w:r w:rsidR="001232AA">
              <w:rPr>
                <w:lang w:val="uk-UA"/>
              </w:rPr>
              <w:t>Методики</w:t>
            </w:r>
          </w:p>
        </w:tc>
      </w:tr>
      <w:tr w:rsidR="00DC2C74" w:rsidRPr="00263D8E" w:rsidTr="00DC2C74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2 </w:t>
            </w:r>
          </w:p>
          <w:p w:rsidR="005350E3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9D" w:rsidRPr="00263D8E" w:rsidRDefault="006E59AF" w:rsidP="0016047B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Н</w:t>
            </w:r>
            <w:r w:rsidR="00AF55F1" w:rsidRPr="00263D8E">
              <w:rPr>
                <w:lang w:val="uk-UA" w:eastAsia="en-US"/>
              </w:rPr>
              <w:t>еефективне використання людських ресурсів та витрати часу на розроблення та прийняття нового регуляторного акта</w:t>
            </w:r>
            <w:r w:rsidR="000767B1" w:rsidRPr="00263D8E">
              <w:rPr>
                <w:lang w:val="uk-UA" w:eastAsia="en-US"/>
              </w:rPr>
              <w:t>,</w:t>
            </w:r>
            <w:r w:rsidR="0016047B">
              <w:rPr>
                <w:lang w:val="uk-UA" w:eastAsia="en-US"/>
              </w:rPr>
              <w:t xml:space="preserve"> </w:t>
            </w:r>
            <w:r w:rsidR="00C50E9D" w:rsidRPr="00263D8E">
              <w:rPr>
                <w:lang w:val="uk-UA"/>
              </w:rPr>
              <w:t>збільшення кількості нормативно-правових актів з одного питання, що ускладнить його пошук</w:t>
            </w:r>
          </w:p>
        </w:tc>
      </w:tr>
      <w:tr w:rsidR="00DC2C74" w:rsidRPr="00263D8E" w:rsidTr="00DC2C74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Альтернатива 3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 xml:space="preserve">Внесення змін до </w:t>
            </w:r>
            <w:r w:rsidR="005A7A73" w:rsidRPr="00263D8E">
              <w:rPr>
                <w:lang w:val="uk-UA" w:eastAsia="en-US"/>
              </w:rPr>
              <w:t>чинних регуляторних актів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23" w:rsidRPr="00263D8E" w:rsidRDefault="006E59AF" w:rsidP="00271531">
            <w:pPr>
              <w:pStyle w:val="11"/>
              <w:spacing w:after="0" w:line="23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63D8E">
              <w:rPr>
                <w:rFonts w:ascii="Times New Roman" w:hAnsi="Times New Roman"/>
                <w:sz w:val="24"/>
                <w:szCs w:val="24"/>
              </w:rPr>
              <w:t>Д</w:t>
            </w:r>
            <w:r w:rsidR="00062323" w:rsidRPr="00263D8E">
              <w:rPr>
                <w:rFonts w:ascii="Times New Roman" w:hAnsi="Times New Roman"/>
                <w:sz w:val="24"/>
                <w:szCs w:val="24"/>
              </w:rPr>
              <w:t xml:space="preserve">оступність та логічність у </w:t>
            </w:r>
            <w:r w:rsidR="00062323" w:rsidRPr="00263D8E">
              <w:rPr>
                <w:rFonts w:ascii="Times New Roman" w:hAnsi="Times New Roman"/>
                <w:sz w:val="24"/>
                <w:szCs w:val="24"/>
                <w:lang w:eastAsia="uk-UA"/>
              </w:rPr>
              <w:t>пошуку інформації</w:t>
            </w:r>
            <w:r w:rsidR="004B2AAF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  <w:p w:rsidR="00312248" w:rsidRPr="00263D8E" w:rsidRDefault="004B2AAF" w:rsidP="0016047B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</w:t>
            </w:r>
            <w:r w:rsidR="00062323" w:rsidRPr="00263D8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абезпечення </w:t>
            </w:r>
            <w:r w:rsidR="00074038" w:rsidRPr="00263D8E">
              <w:rPr>
                <w:rFonts w:ascii="Times New Roman" w:hAnsi="Times New Roman" w:cs="Times New Roman"/>
                <w:sz w:val="24"/>
                <w:szCs w:val="24"/>
              </w:rPr>
              <w:t xml:space="preserve">визначення </w:t>
            </w:r>
            <w:bookmarkStart w:id="1" w:name="_GoBack"/>
            <w:bookmarkEnd w:id="1"/>
            <w:r w:rsidR="00862800" w:rsidRPr="003766B7">
              <w:rPr>
                <w:rFonts w:ascii="Times New Roman" w:hAnsi="Times New Roman" w:cs="Times New Roman"/>
                <w:sz w:val="24"/>
                <w:szCs w:val="24"/>
              </w:rPr>
              <w:t>особливостей</w:t>
            </w:r>
            <w:r w:rsidR="00862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03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074038" w:rsidRPr="00263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038" w:rsidRPr="001232AA">
              <w:rPr>
                <w:rFonts w:ascii="Times New Roman" w:hAnsi="Times New Roman" w:cs="Times New Roman"/>
                <w:sz w:val="24"/>
                <w:szCs w:val="24"/>
              </w:rPr>
              <w:t>здійснення розрахунків нормативних втрат/витрат природного газу в умовах дії воєнного стану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</w:tc>
      </w:tr>
    </w:tbl>
    <w:p w:rsidR="005707A1" w:rsidRDefault="005707A1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6EF" w:rsidRPr="00263D8E" w:rsidRDefault="00312248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IV. Вибір найбільш оптимального альтернативного способу досягнення цілей</w:t>
      </w:r>
    </w:p>
    <w:p w:rsidR="00505CA8" w:rsidRPr="00263D8E" w:rsidRDefault="00505CA8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2552"/>
        <w:gridCol w:w="4252"/>
      </w:tblGrid>
      <w:tr w:rsidR="00263D8E" w:rsidRPr="00263D8E" w:rsidTr="00263D8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line="230" w:lineRule="auto"/>
              <w:ind w:right="-108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Бал результативності (за чотирибальною системою оцінки)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Коментарі щодо присвоєння відповідного </w:t>
            </w:r>
            <w:proofErr w:type="spellStart"/>
            <w:r w:rsidRPr="00263D8E">
              <w:rPr>
                <w:b/>
                <w:lang w:val="uk-UA" w:eastAsia="en-US"/>
              </w:rPr>
              <w:t>бала</w:t>
            </w:r>
            <w:proofErr w:type="spellEnd"/>
          </w:p>
        </w:tc>
      </w:tr>
      <w:tr w:rsidR="00263D8E" w:rsidRPr="00263D8E" w:rsidTr="00263D8E">
        <w:trPr>
          <w:trHeight w:val="87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Збереження чинного регулювання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Не забезпечує досягнення поставлен</w:t>
            </w:r>
            <w:r w:rsidR="00D46DD8">
              <w:rPr>
                <w:lang w:val="uk-UA" w:eastAsia="en-US"/>
              </w:rPr>
              <w:t>их</w:t>
            </w:r>
            <w:r w:rsidRPr="00263D8E">
              <w:rPr>
                <w:lang w:val="uk-UA" w:eastAsia="en-US"/>
              </w:rPr>
              <w:t xml:space="preserve"> </w:t>
            </w:r>
            <w:r w:rsidR="00B123E0" w:rsidRPr="00263D8E">
              <w:rPr>
                <w:lang w:val="uk-UA" w:eastAsia="en-US"/>
              </w:rPr>
              <w:t>ціл</w:t>
            </w:r>
            <w:r w:rsidR="00D46DD8">
              <w:rPr>
                <w:lang w:val="uk-UA" w:eastAsia="en-US"/>
              </w:rPr>
              <w:t>ей</w:t>
            </w:r>
          </w:p>
        </w:tc>
      </w:tr>
      <w:tr w:rsidR="00263D8E" w:rsidRPr="00263D8E" w:rsidTr="00263D8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2 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FC8" w:rsidRPr="00263D8E" w:rsidRDefault="00B123E0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Ціл</w:t>
            </w:r>
            <w:r w:rsidR="00D46DD8">
              <w:rPr>
                <w:lang w:val="uk-UA" w:eastAsia="en-US"/>
              </w:rPr>
              <w:t>і</w:t>
            </w:r>
            <w:r w:rsidRPr="00263D8E">
              <w:rPr>
                <w:lang w:val="uk-UA" w:eastAsia="en-US"/>
              </w:rPr>
              <w:t xml:space="preserve"> буд</w:t>
            </w:r>
            <w:r w:rsidR="00D46DD8">
              <w:rPr>
                <w:lang w:val="uk-UA" w:eastAsia="en-US"/>
              </w:rPr>
              <w:t>уть</w:t>
            </w:r>
            <w:r w:rsidRPr="00263D8E">
              <w:rPr>
                <w:lang w:val="uk-UA" w:eastAsia="en-US"/>
              </w:rPr>
              <w:t xml:space="preserve"> досягнут</w:t>
            </w:r>
            <w:r w:rsidR="00D46DD8">
              <w:rPr>
                <w:lang w:val="uk-UA" w:eastAsia="en-US"/>
              </w:rPr>
              <w:t>і</w:t>
            </w:r>
            <w:r w:rsidR="00312248" w:rsidRPr="00263D8E">
              <w:rPr>
                <w:lang w:val="uk-UA" w:eastAsia="en-US"/>
              </w:rPr>
              <w:t xml:space="preserve">, проте із суттєвим недоліком: </w:t>
            </w:r>
            <w:r w:rsidR="00EC688C" w:rsidRPr="00263D8E">
              <w:rPr>
                <w:lang w:val="uk-UA" w:eastAsia="en-US"/>
              </w:rPr>
              <w:t>неефективне викор</w:t>
            </w:r>
            <w:r w:rsidR="000D0F3D" w:rsidRPr="00263D8E">
              <w:rPr>
                <w:lang w:val="uk-UA" w:eastAsia="en-US"/>
              </w:rPr>
              <w:t>истан</w:t>
            </w:r>
            <w:r w:rsidR="00EC688C" w:rsidRPr="00263D8E">
              <w:rPr>
                <w:lang w:val="uk-UA" w:eastAsia="en-US"/>
              </w:rPr>
              <w:t>ня людських ресурсів та витрати часу на розроблення та прийняття нового регуляторного акта</w:t>
            </w:r>
          </w:p>
        </w:tc>
      </w:tr>
      <w:tr w:rsidR="00263D8E" w:rsidRPr="00263D8E" w:rsidTr="00263D8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Альтернатива 3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(обрана альтернатива)</w:t>
            </w:r>
          </w:p>
          <w:p w:rsidR="00EC688C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 xml:space="preserve">Внесення змін до </w:t>
            </w:r>
            <w:r w:rsidR="005A7A73" w:rsidRPr="00263D8E">
              <w:rPr>
                <w:lang w:val="uk-UA" w:eastAsia="en-US"/>
              </w:rPr>
              <w:t>чинних регуляторних актів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 xml:space="preserve">Дозволяє </w:t>
            </w:r>
            <w:r w:rsidR="00B123E0" w:rsidRPr="00263D8E">
              <w:rPr>
                <w:lang w:val="uk-UA" w:eastAsia="en-US"/>
              </w:rPr>
              <w:t xml:space="preserve">досягти </w:t>
            </w:r>
            <w:r w:rsidR="00D46DD8">
              <w:rPr>
                <w:lang w:val="uk-UA" w:eastAsia="en-US"/>
              </w:rPr>
              <w:t>поставлених</w:t>
            </w:r>
            <w:r w:rsidR="00B123E0" w:rsidRPr="00263D8E">
              <w:rPr>
                <w:lang w:val="uk-UA" w:eastAsia="en-US"/>
              </w:rPr>
              <w:t xml:space="preserve"> ціл</w:t>
            </w:r>
            <w:r w:rsidR="00D46DD8">
              <w:rPr>
                <w:lang w:val="uk-UA" w:eastAsia="en-US"/>
              </w:rPr>
              <w:t>ей</w:t>
            </w:r>
            <w:r w:rsidR="00B123E0" w:rsidRPr="00263D8E">
              <w:rPr>
                <w:lang w:val="uk-UA" w:eastAsia="en-US"/>
              </w:rPr>
              <w:t xml:space="preserve"> та </w:t>
            </w:r>
            <w:r w:rsidRPr="00263D8E">
              <w:rPr>
                <w:lang w:val="uk-UA" w:eastAsia="en-US"/>
              </w:rPr>
              <w:t xml:space="preserve">вирішити проблему </w:t>
            </w:r>
            <w:r w:rsidR="0010070A" w:rsidRPr="00263D8E">
              <w:rPr>
                <w:lang w:val="uk-UA" w:eastAsia="en-US"/>
              </w:rPr>
              <w:t>найбільш ефективним та найменш затратним способом</w:t>
            </w:r>
          </w:p>
        </w:tc>
      </w:tr>
    </w:tbl>
    <w:p w:rsidR="00625019" w:rsidRDefault="00625019" w:rsidP="00271531">
      <w:pPr>
        <w:spacing w:line="230" w:lineRule="auto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880"/>
        <w:gridCol w:w="1440"/>
        <w:gridCol w:w="3726"/>
      </w:tblGrid>
      <w:tr w:rsidR="00263D8E" w:rsidRPr="00263D8E" w:rsidTr="00263D8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Рейтинг результативності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Вигоди</w:t>
            </w:r>
          </w:p>
          <w:p w:rsidR="000C2A85" w:rsidRPr="00263D8E" w:rsidRDefault="000C2A85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(підсумок)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Витрати (підсумок)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Обґрунтування відповідного місця альтернативи у рейтингу</w:t>
            </w:r>
          </w:p>
        </w:tc>
      </w:tr>
      <w:tr w:rsidR="00263D8E" w:rsidRPr="00263D8E" w:rsidTr="00263D8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6B4565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lastRenderedPageBreak/>
              <w:t>Збереження</w:t>
            </w:r>
            <w:r w:rsidR="006B4565" w:rsidRPr="00263D8E">
              <w:rPr>
                <w:lang w:val="uk-UA" w:eastAsia="en-US"/>
              </w:rPr>
              <w:t xml:space="preserve"> </w:t>
            </w:r>
            <w:r w:rsidRPr="00263D8E">
              <w:rPr>
                <w:lang w:val="uk-UA" w:eastAsia="en-US"/>
              </w:rPr>
              <w:t>чинного регулювання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C7127D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lastRenderedPageBreak/>
              <w:t>В</w:t>
            </w:r>
            <w:r w:rsidR="00312248" w:rsidRPr="00263D8E">
              <w:rPr>
                <w:lang w:val="uk-UA" w:eastAsia="en-US"/>
              </w:rPr>
              <w:t>ідсутні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C7127D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</w:t>
            </w:r>
            <w:r w:rsidR="00312248" w:rsidRPr="00263D8E">
              <w:rPr>
                <w:lang w:val="uk-UA" w:eastAsia="en-US"/>
              </w:rPr>
              <w:t>ідсутні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63" w:rsidRPr="00263D8E" w:rsidRDefault="004315C2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Реалізація а</w:t>
            </w:r>
            <w:r w:rsidR="00312248" w:rsidRPr="00263D8E">
              <w:rPr>
                <w:lang w:val="uk-UA" w:eastAsia="en-US"/>
              </w:rPr>
              <w:t>льтернатив</w:t>
            </w:r>
            <w:r w:rsidR="005C56EF" w:rsidRPr="00263D8E">
              <w:rPr>
                <w:lang w:val="uk-UA" w:eastAsia="en-US"/>
              </w:rPr>
              <w:t>и</w:t>
            </w:r>
            <w:r w:rsidR="00312248" w:rsidRPr="00263D8E">
              <w:rPr>
                <w:lang w:val="uk-UA" w:eastAsia="en-US"/>
              </w:rPr>
              <w:t xml:space="preserve"> 1</w:t>
            </w:r>
            <w:r w:rsidRPr="00263D8E">
              <w:rPr>
                <w:lang w:val="uk-UA" w:eastAsia="en-US"/>
              </w:rPr>
              <w:t>:</w:t>
            </w:r>
            <w:r w:rsidR="00312248" w:rsidRPr="00263D8E">
              <w:rPr>
                <w:lang w:val="uk-UA" w:eastAsia="en-US"/>
              </w:rPr>
              <w:t xml:space="preserve"> </w:t>
            </w:r>
          </w:p>
          <w:p w:rsidR="006A3393" w:rsidRPr="00263D8E" w:rsidRDefault="002778E4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lastRenderedPageBreak/>
              <w:t>н</w:t>
            </w:r>
            <w:r w:rsidR="006E59AF" w:rsidRPr="00263D8E">
              <w:rPr>
                <w:lang w:val="uk-UA" w:eastAsia="en-US"/>
              </w:rPr>
              <w:t>е дозволяє досягнути поставлених цілей</w:t>
            </w:r>
          </w:p>
        </w:tc>
      </w:tr>
      <w:tr w:rsidR="00263D8E" w:rsidRPr="00263D8E" w:rsidTr="00263D8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lastRenderedPageBreak/>
              <w:t xml:space="preserve">Альтернатива 2 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C7127D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</w:t>
            </w:r>
            <w:r w:rsidR="00312248" w:rsidRPr="00263D8E">
              <w:rPr>
                <w:lang w:val="uk-UA" w:eastAsia="en-US"/>
              </w:rPr>
              <w:t>ідсутні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C7127D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</w:t>
            </w:r>
            <w:r w:rsidR="00312248" w:rsidRPr="00263D8E">
              <w:rPr>
                <w:lang w:val="uk-UA" w:eastAsia="en-US"/>
              </w:rPr>
              <w:t>ідсутні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63" w:rsidRPr="00263D8E" w:rsidRDefault="004315C2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Реалізація а</w:t>
            </w:r>
            <w:r w:rsidR="00312248" w:rsidRPr="00263D8E">
              <w:rPr>
                <w:lang w:val="uk-UA" w:eastAsia="en-US"/>
              </w:rPr>
              <w:t>льтернатив</w:t>
            </w:r>
            <w:r w:rsidRPr="00263D8E">
              <w:rPr>
                <w:lang w:val="uk-UA" w:eastAsia="en-US"/>
              </w:rPr>
              <w:t>и</w:t>
            </w:r>
            <w:r w:rsidR="00312248" w:rsidRPr="00263D8E">
              <w:rPr>
                <w:lang w:val="uk-UA" w:eastAsia="en-US"/>
              </w:rPr>
              <w:t xml:space="preserve"> 2</w:t>
            </w:r>
            <w:r w:rsidRPr="00263D8E">
              <w:rPr>
                <w:lang w:val="uk-UA" w:eastAsia="en-US"/>
              </w:rPr>
              <w:t>:</w:t>
            </w:r>
            <w:r w:rsidR="00312248" w:rsidRPr="00263D8E">
              <w:rPr>
                <w:lang w:val="uk-UA" w:eastAsia="en-US"/>
              </w:rPr>
              <w:t xml:space="preserve"> </w:t>
            </w:r>
          </w:p>
          <w:p w:rsidR="006B4565" w:rsidRPr="00263D8E" w:rsidRDefault="002778E4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д</w:t>
            </w:r>
            <w:r w:rsidR="006E59AF" w:rsidRPr="00263D8E">
              <w:rPr>
                <w:lang w:val="uk-UA" w:eastAsia="en-US"/>
              </w:rPr>
              <w:t>озволяє досягнути поставлених</w:t>
            </w:r>
            <w:r w:rsidR="00312248" w:rsidRPr="00263D8E">
              <w:rPr>
                <w:lang w:val="uk-UA" w:eastAsia="en-US"/>
              </w:rPr>
              <w:t xml:space="preserve"> </w:t>
            </w:r>
            <w:r w:rsidR="006E59AF" w:rsidRPr="00263D8E">
              <w:rPr>
                <w:lang w:val="uk-UA" w:eastAsia="en-US"/>
              </w:rPr>
              <w:t>цілей</w:t>
            </w:r>
            <w:r w:rsidR="00312248" w:rsidRPr="00263D8E">
              <w:rPr>
                <w:lang w:val="uk-UA" w:eastAsia="en-US"/>
              </w:rPr>
              <w:t xml:space="preserve">, </w:t>
            </w:r>
            <w:r w:rsidR="00F37A5D" w:rsidRPr="00263D8E">
              <w:rPr>
                <w:lang w:val="uk-UA" w:eastAsia="en-US"/>
              </w:rPr>
              <w:t xml:space="preserve">проте із суттєвим недоліком, </w:t>
            </w:r>
            <w:r w:rsidR="00EC688C" w:rsidRPr="00263D8E">
              <w:rPr>
                <w:lang w:val="uk-UA" w:eastAsia="en-US"/>
              </w:rPr>
              <w:t>неефективним використанням людських ресурсів та витрат</w:t>
            </w:r>
            <w:r w:rsidR="007D5ECD" w:rsidRPr="00263D8E">
              <w:rPr>
                <w:lang w:val="uk-UA" w:eastAsia="en-US"/>
              </w:rPr>
              <w:t>ами</w:t>
            </w:r>
            <w:r w:rsidR="00EC688C" w:rsidRPr="00263D8E">
              <w:rPr>
                <w:lang w:val="uk-UA" w:eastAsia="en-US"/>
              </w:rPr>
              <w:t xml:space="preserve"> часу на розроблення та прийняття нового регуляторного акта</w:t>
            </w:r>
          </w:p>
        </w:tc>
      </w:tr>
      <w:tr w:rsidR="00263D8E" w:rsidRPr="00263D8E" w:rsidTr="00263D8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Альтернатива 3</w:t>
            </w:r>
          </w:p>
          <w:p w:rsidR="00951B24" w:rsidRPr="00263D8E" w:rsidRDefault="00312248" w:rsidP="00271531">
            <w:pPr>
              <w:pStyle w:val="a5"/>
              <w:spacing w:before="0" w:beforeAutospacing="0" w:after="0" w:afterAutospacing="0" w:line="230" w:lineRule="auto"/>
              <w:ind w:right="-108"/>
              <w:jc w:val="both"/>
              <w:rPr>
                <w:b/>
                <w:sz w:val="23"/>
                <w:szCs w:val="23"/>
                <w:lang w:val="uk-UA" w:eastAsia="en-US"/>
              </w:rPr>
            </w:pPr>
            <w:r w:rsidRPr="00263D8E">
              <w:rPr>
                <w:b/>
                <w:sz w:val="23"/>
                <w:szCs w:val="23"/>
                <w:lang w:val="uk-UA" w:eastAsia="en-US"/>
              </w:rPr>
              <w:t>(обрана</w:t>
            </w:r>
            <w:r w:rsidR="00951B24" w:rsidRPr="00263D8E">
              <w:rPr>
                <w:b/>
                <w:sz w:val="23"/>
                <w:szCs w:val="23"/>
                <w:lang w:val="uk-UA" w:eastAsia="en-US"/>
              </w:rPr>
              <w:t xml:space="preserve"> </w:t>
            </w:r>
            <w:r w:rsidRPr="00263D8E">
              <w:rPr>
                <w:b/>
                <w:sz w:val="23"/>
                <w:szCs w:val="23"/>
                <w:lang w:val="uk-UA" w:eastAsia="en-US"/>
              </w:rPr>
              <w:t>альтернатива)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 xml:space="preserve">Внесення змін до </w:t>
            </w:r>
            <w:r w:rsidR="005A7A73" w:rsidRPr="00263D8E">
              <w:rPr>
                <w:lang w:val="uk-UA" w:eastAsia="en-US"/>
              </w:rPr>
              <w:t>чинних регуляторних актів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 xml:space="preserve">Забезпечення </w:t>
            </w:r>
            <w:r w:rsidR="00572FE2" w:rsidRPr="00263D8E">
              <w:rPr>
                <w:lang w:val="uk-UA" w:eastAsia="en-US"/>
              </w:rPr>
              <w:t xml:space="preserve">дієвості механізмів регулювання та </w:t>
            </w:r>
            <w:r w:rsidRPr="00263D8E">
              <w:rPr>
                <w:lang w:val="uk-UA" w:eastAsia="en-US"/>
              </w:rPr>
              <w:t>ефективн</w:t>
            </w:r>
            <w:r w:rsidR="00572FE2" w:rsidRPr="00263D8E">
              <w:rPr>
                <w:lang w:val="uk-UA" w:eastAsia="en-US"/>
              </w:rPr>
              <w:t>е</w:t>
            </w:r>
            <w:r w:rsidR="0010070A" w:rsidRPr="00263D8E">
              <w:rPr>
                <w:lang w:val="uk-UA" w:eastAsia="en-US"/>
              </w:rPr>
              <w:t xml:space="preserve"> </w:t>
            </w:r>
            <w:r w:rsidR="009E12FE" w:rsidRPr="00263D8E">
              <w:rPr>
                <w:lang w:val="uk-UA"/>
              </w:rPr>
              <w:t>використання</w:t>
            </w:r>
            <w:r w:rsidRPr="00263D8E">
              <w:rPr>
                <w:lang w:val="uk-UA"/>
              </w:rPr>
              <w:t xml:space="preserve"> </w:t>
            </w:r>
            <w:r w:rsidR="00F554D3" w:rsidRPr="00263D8E">
              <w:rPr>
                <w:lang w:val="uk-UA"/>
              </w:rPr>
              <w:t>ресурсів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ind w:left="-176"/>
              <w:jc w:val="both"/>
              <w:rPr>
                <w:lang w:val="uk-UA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C7127D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</w:t>
            </w:r>
            <w:r w:rsidR="00312248" w:rsidRPr="00263D8E">
              <w:rPr>
                <w:lang w:val="uk-UA" w:eastAsia="en-US"/>
              </w:rPr>
              <w:t>ідсутні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C2" w:rsidRPr="00263D8E" w:rsidRDefault="004315C2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Реалізація альтернативи 3: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дозвол</w:t>
            </w:r>
            <w:r w:rsidR="005F624F">
              <w:rPr>
                <w:lang w:val="uk-UA" w:eastAsia="en-US"/>
              </w:rPr>
              <w:t>яє</w:t>
            </w:r>
            <w:r w:rsidRPr="00263D8E">
              <w:rPr>
                <w:lang w:val="uk-UA" w:eastAsia="en-US"/>
              </w:rPr>
              <w:t xml:space="preserve"> досягнути </w:t>
            </w:r>
            <w:r w:rsidR="005F624F">
              <w:rPr>
                <w:lang w:val="uk-UA" w:eastAsia="en-US"/>
              </w:rPr>
              <w:t>поставлених</w:t>
            </w:r>
            <w:r w:rsidR="00572FE2" w:rsidRPr="00263D8E">
              <w:rPr>
                <w:lang w:val="uk-UA" w:eastAsia="en-US"/>
              </w:rPr>
              <w:t xml:space="preserve"> цілей повною мірою </w:t>
            </w:r>
            <w:r w:rsidRPr="00263D8E">
              <w:rPr>
                <w:lang w:val="uk-UA" w:eastAsia="en-US"/>
              </w:rPr>
              <w:t>та встановит</w:t>
            </w:r>
            <w:r w:rsidR="00DE01C2" w:rsidRPr="00A91999">
              <w:rPr>
                <w:lang w:val="uk-UA" w:eastAsia="en-US"/>
              </w:rPr>
              <w:t>и</w:t>
            </w:r>
            <w:r w:rsidRPr="00263D8E">
              <w:rPr>
                <w:lang w:val="uk-UA" w:eastAsia="en-US"/>
              </w:rPr>
              <w:t xml:space="preserve"> зрозуміле загальне регулюван</w:t>
            </w:r>
            <w:r w:rsidR="00572FE2" w:rsidRPr="00263D8E">
              <w:rPr>
                <w:lang w:val="uk-UA" w:eastAsia="en-US"/>
              </w:rPr>
              <w:t>ня</w:t>
            </w:r>
            <w:r w:rsidRPr="00263D8E">
              <w:rPr>
                <w:lang w:val="uk-UA" w:eastAsia="en-US"/>
              </w:rPr>
              <w:t>, не примножуючи кількості нормативно-правових актів з одного питання</w:t>
            </w:r>
          </w:p>
        </w:tc>
      </w:tr>
    </w:tbl>
    <w:p w:rsidR="003767FC" w:rsidRDefault="003767FC" w:rsidP="00271531">
      <w:pPr>
        <w:spacing w:line="23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8"/>
        <w:gridCol w:w="4860"/>
        <w:gridCol w:w="2466"/>
      </w:tblGrid>
      <w:tr w:rsidR="00263D8E" w:rsidRPr="00263D8E" w:rsidTr="00263D8E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263D8E" w:rsidRPr="00263D8E" w:rsidTr="00263D8E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6B4565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Збереження чинного регулювання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6E59AF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Не забезпечує досягнення цілей державного регулювання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</w:tc>
      </w:tr>
      <w:tr w:rsidR="00263D8E" w:rsidRPr="00263D8E" w:rsidTr="00263D8E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2 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5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Забезпечує досягнення цілей державного регулювання. Проте створює незручності для суб’єктів газового ринку при пошуку інформації, примножуючи кількість нормативно-правових актів з одного питання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</w:tc>
      </w:tr>
      <w:tr w:rsidR="00263D8E" w:rsidRPr="00263D8E" w:rsidTr="00263D8E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Альтернатива 3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ind w:right="-113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(обрана </w:t>
            </w:r>
            <w:r w:rsidR="00951B24" w:rsidRPr="00263D8E">
              <w:rPr>
                <w:b/>
                <w:lang w:val="uk-UA" w:eastAsia="en-US"/>
              </w:rPr>
              <w:t>альтерна</w:t>
            </w:r>
            <w:r w:rsidRPr="00263D8E">
              <w:rPr>
                <w:b/>
                <w:lang w:val="uk-UA" w:eastAsia="en-US"/>
              </w:rPr>
              <w:t>тива)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 xml:space="preserve">Внесення змін до </w:t>
            </w:r>
            <w:r w:rsidR="005A7A73" w:rsidRPr="00263D8E">
              <w:rPr>
                <w:lang w:val="uk-UA" w:eastAsia="en-US"/>
              </w:rPr>
              <w:t>чинних регуляторних актів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 xml:space="preserve">Забезпечує досягнення цілей державного регулювання. Дозволяє вирішити проблему </w:t>
            </w:r>
            <w:r w:rsidR="0010070A" w:rsidRPr="00263D8E">
              <w:rPr>
                <w:lang w:val="uk-UA" w:eastAsia="en-US"/>
              </w:rPr>
              <w:t>найбільш ефективним</w:t>
            </w:r>
            <w:r w:rsidRPr="00263D8E">
              <w:rPr>
                <w:lang w:val="uk-UA" w:eastAsia="en-US"/>
              </w:rPr>
              <w:t xml:space="preserve"> способом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</w:tc>
      </w:tr>
    </w:tbl>
    <w:p w:rsidR="003C7CAD" w:rsidRDefault="003C7CAD" w:rsidP="00271531">
      <w:pPr>
        <w:spacing w:after="0" w:line="23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7F6F" w:rsidRPr="00263D8E" w:rsidRDefault="00312248" w:rsidP="00271531">
      <w:pPr>
        <w:spacing w:after="0" w:line="23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V. Механізм та заходи, які забезпечують розв’язання визначеної проблеми</w:t>
      </w:r>
    </w:p>
    <w:p w:rsidR="006868C1" w:rsidRPr="00263D8E" w:rsidRDefault="006868C1" w:rsidP="00271531">
      <w:pPr>
        <w:spacing w:after="0" w:line="23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D54A9" w:rsidRPr="00384769" w:rsidRDefault="00C24525" w:rsidP="00384769">
      <w:pPr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Механізмом, який забезпечить </w:t>
      </w:r>
      <w:r w:rsidR="001964E2">
        <w:rPr>
          <w:rFonts w:ascii="Times New Roman" w:hAnsi="Times New Roman"/>
          <w:sz w:val="28"/>
          <w:szCs w:val="28"/>
        </w:rPr>
        <w:t>розв’язання</w:t>
      </w:r>
      <w:r>
        <w:rPr>
          <w:rFonts w:ascii="Times New Roman" w:hAnsi="Times New Roman"/>
          <w:sz w:val="28"/>
          <w:szCs w:val="28"/>
        </w:rPr>
        <w:t xml:space="preserve"> визначен</w:t>
      </w:r>
      <w:r w:rsidR="00310D40">
        <w:rPr>
          <w:rFonts w:ascii="Times New Roman" w:hAnsi="Times New Roman"/>
          <w:sz w:val="28"/>
          <w:szCs w:val="28"/>
        </w:rPr>
        <w:t>ої</w:t>
      </w:r>
      <w:r>
        <w:rPr>
          <w:rFonts w:ascii="Times New Roman" w:hAnsi="Times New Roman"/>
          <w:sz w:val="28"/>
          <w:szCs w:val="28"/>
        </w:rPr>
        <w:t xml:space="preserve"> проблем</w:t>
      </w:r>
      <w:r w:rsidR="00310D4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є внесення </w:t>
      </w:r>
      <w:r w:rsidR="001964E2">
        <w:rPr>
          <w:rFonts w:ascii="Times New Roman" w:hAnsi="Times New Roman"/>
          <w:sz w:val="28"/>
          <w:szCs w:val="28"/>
        </w:rPr>
        <w:t>змін шляхом прийняття постанови НКРЕКП</w:t>
      </w:r>
      <w:r w:rsidR="00A23C5E" w:rsidRPr="00263D8E">
        <w:rPr>
          <w:rFonts w:ascii="Times New Roman" w:hAnsi="Times New Roman" w:cs="Times New Roman"/>
          <w:sz w:val="28"/>
          <w:szCs w:val="28"/>
        </w:rPr>
        <w:t xml:space="preserve">, </w:t>
      </w:r>
      <w:r w:rsidR="00343DE1" w:rsidRPr="00263D8E">
        <w:rPr>
          <w:rFonts w:ascii="Times New Roman" w:hAnsi="Times New Roman" w:cs="Times New Roman"/>
          <w:sz w:val="28"/>
          <w:szCs w:val="28"/>
        </w:rPr>
        <w:t>положення якої спрямовані на</w:t>
      </w:r>
      <w:r w:rsidR="006A49B2" w:rsidRPr="00263D8E">
        <w:rPr>
          <w:rFonts w:ascii="Times New Roman" w:hAnsi="Times New Roman" w:cs="Times New Roman"/>
          <w:sz w:val="28"/>
          <w:szCs w:val="28"/>
        </w:rPr>
        <w:t xml:space="preserve"> </w:t>
      </w:r>
      <w:r w:rsidR="00CD54A9" w:rsidRPr="00CD54A9">
        <w:rPr>
          <w:rFonts w:ascii="Times New Roman" w:hAnsi="Times New Roman" w:cs="Times New Roman"/>
          <w:sz w:val="28"/>
          <w:szCs w:val="28"/>
        </w:rPr>
        <w:t>визначення особливостей здійснення розрахунків нормативних втрат/витрат природного газу в умовах дії воєнного</w:t>
      </w:r>
      <w:r w:rsidR="00387F4C">
        <w:rPr>
          <w:rFonts w:ascii="Times New Roman" w:hAnsi="Times New Roman" w:cs="Times New Roman"/>
          <w:sz w:val="28"/>
          <w:szCs w:val="28"/>
        </w:rPr>
        <w:t xml:space="preserve"> стану</w:t>
      </w:r>
      <w:r w:rsidR="00CD54A9" w:rsidRPr="00CD54A9">
        <w:rPr>
          <w:rFonts w:ascii="Times New Roman" w:hAnsi="Times New Roman" w:cs="Times New Roman"/>
          <w:sz w:val="28"/>
          <w:szCs w:val="28"/>
        </w:rPr>
        <w:t>.</w:t>
      </w:r>
    </w:p>
    <w:p w:rsidR="00A23C5E" w:rsidRPr="00263D8E" w:rsidRDefault="00A23C5E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 виконання вимог регуляторного акта, не очікується.</w:t>
      </w:r>
    </w:p>
    <w:p w:rsidR="006A49B2" w:rsidRPr="00263D8E" w:rsidRDefault="00A23C5E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271531" w:rsidRPr="00263D8E" w:rsidRDefault="00A23C5E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t>Функції в частині здійснення державного контролю та нагляду за додержанням вимог акта будуть здійснюватися державними органами, яким, відповідно до законодавства, надані такі повноваження.</w:t>
      </w:r>
    </w:p>
    <w:p w:rsidR="00271531" w:rsidRPr="00263D8E" w:rsidRDefault="00271531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3D8E" w:rsidRPr="00263D8E" w:rsidRDefault="00263D8E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71531" w:rsidRPr="00263D8E" w:rsidRDefault="00312248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VI. Обґрунтування запропонованого строку дії регуляторного акт</w:t>
      </w:r>
      <w:r w:rsidR="00FD513C" w:rsidRPr="00263D8E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271531" w:rsidRPr="00263D8E" w:rsidRDefault="00271531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2248" w:rsidRPr="00263D8E" w:rsidRDefault="00B2135E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</w:t>
      </w:r>
      <w:r w:rsidR="00956068">
        <w:rPr>
          <w:rFonts w:ascii="Times New Roman" w:hAnsi="Times New Roman" w:cs="Times New Roman"/>
          <w:sz w:val="28"/>
          <w:szCs w:val="28"/>
        </w:rPr>
        <w:t xml:space="preserve"> </w:t>
      </w:r>
      <w:r w:rsidR="00293A63" w:rsidRPr="00263D8E">
        <w:rPr>
          <w:rFonts w:ascii="Times New Roman" w:hAnsi="Times New Roman" w:cs="Times New Roman"/>
          <w:sz w:val="28"/>
          <w:szCs w:val="28"/>
        </w:rPr>
        <w:t>дії</w:t>
      </w:r>
      <w:r w:rsidR="00312248" w:rsidRPr="00263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248" w:rsidRPr="00263D8E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312248" w:rsidRPr="00263D8E">
        <w:rPr>
          <w:rFonts w:ascii="Times New Roman" w:hAnsi="Times New Roman" w:cs="Times New Roman"/>
          <w:sz w:val="28"/>
          <w:szCs w:val="28"/>
        </w:rPr>
        <w:t xml:space="preserve"> необмежений. Він може бути змінений у разі внесення відповідних змін до законодавства.</w:t>
      </w:r>
    </w:p>
    <w:p w:rsidR="005B3465" w:rsidRPr="00263D8E" w:rsidRDefault="005B3465" w:rsidP="00271531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VII. Визначення показників результативності дії регуляторного акт</w:t>
      </w:r>
      <w:r w:rsidR="00FD513C" w:rsidRPr="00263D8E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4C3860" w:rsidRPr="00263D8E" w:rsidRDefault="004C3860" w:rsidP="00271531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263D8E">
        <w:rPr>
          <w:rFonts w:ascii="Times New Roman" w:hAnsi="Times New Roman"/>
          <w:bCs/>
          <w:sz w:val="28"/>
          <w:szCs w:val="28"/>
        </w:rPr>
        <w:t xml:space="preserve">Після набрання чинності постановою НКРЕКП </w:t>
      </w:r>
      <w:r w:rsidR="00535417" w:rsidRPr="00263D8E">
        <w:rPr>
          <w:rFonts w:ascii="Times New Roman" w:hAnsi="Times New Roman" w:cs="Times New Roman"/>
          <w:sz w:val="28"/>
          <w:szCs w:val="28"/>
        </w:rPr>
        <w:t>«</w:t>
      </w:r>
      <w:r w:rsidR="003D493F" w:rsidRPr="003D493F">
        <w:rPr>
          <w:rFonts w:ascii="Times New Roman" w:hAnsi="Times New Roman" w:cs="Times New Roman"/>
          <w:sz w:val="28"/>
          <w:szCs w:val="28"/>
        </w:rPr>
        <w:t>Про внесення змін до Методики визначення розмірів нормативних та виробничо-технологічних втрат/витрат природного газу при здійсненні розподілу природного газу</w:t>
      </w:r>
      <w:r w:rsidR="00535417" w:rsidRPr="00263D8E">
        <w:rPr>
          <w:rFonts w:ascii="Times New Roman" w:hAnsi="Times New Roman" w:cs="Times New Roman"/>
          <w:sz w:val="28"/>
          <w:szCs w:val="28"/>
        </w:rPr>
        <w:t>»</w:t>
      </w:r>
      <w:r w:rsidRPr="00263D8E">
        <w:rPr>
          <w:rFonts w:ascii="Times New Roman" w:hAnsi="Times New Roman"/>
          <w:bCs/>
          <w:sz w:val="28"/>
          <w:szCs w:val="28"/>
        </w:rPr>
        <w:t xml:space="preserve"> її результативність визначатиметься такими показниками:</w:t>
      </w:r>
    </w:p>
    <w:p w:rsidR="00A23C5E" w:rsidRPr="00263D8E" w:rsidRDefault="00C92E37" w:rsidP="00271531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263D8E">
        <w:rPr>
          <w:rFonts w:ascii="Times New Roman" w:hAnsi="Times New Roman"/>
          <w:bCs/>
          <w:sz w:val="28"/>
          <w:szCs w:val="28"/>
        </w:rPr>
        <w:t>1) р</w:t>
      </w:r>
      <w:r w:rsidR="00312248" w:rsidRPr="00263D8E">
        <w:rPr>
          <w:rFonts w:ascii="Times New Roman" w:hAnsi="Times New Roman"/>
          <w:bCs/>
          <w:sz w:val="28"/>
          <w:szCs w:val="28"/>
        </w:rPr>
        <w:t>озміром надходжень до Державного та</w:t>
      </w:r>
      <w:r w:rsidRPr="00263D8E">
        <w:rPr>
          <w:rFonts w:ascii="Times New Roman" w:hAnsi="Times New Roman"/>
          <w:bCs/>
          <w:sz w:val="28"/>
          <w:szCs w:val="28"/>
        </w:rPr>
        <w:t>/або</w:t>
      </w:r>
      <w:r w:rsidR="00312248" w:rsidRPr="00263D8E">
        <w:rPr>
          <w:rFonts w:ascii="Times New Roman" w:hAnsi="Times New Roman"/>
          <w:bCs/>
          <w:sz w:val="28"/>
          <w:szCs w:val="28"/>
        </w:rPr>
        <w:t xml:space="preserve"> місцевих бюджетів</w:t>
      </w:r>
      <w:r w:rsidRPr="00263D8E">
        <w:rPr>
          <w:rFonts w:ascii="Times New Roman" w:hAnsi="Times New Roman"/>
          <w:bCs/>
          <w:sz w:val="28"/>
          <w:szCs w:val="28"/>
        </w:rPr>
        <w:t xml:space="preserve"> України – реалізація про</w:t>
      </w:r>
      <w:r w:rsidR="00370540" w:rsidRPr="00263D8E">
        <w:rPr>
          <w:rFonts w:ascii="Times New Roman" w:hAnsi="Times New Roman"/>
          <w:bCs/>
          <w:sz w:val="28"/>
          <w:szCs w:val="28"/>
        </w:rPr>
        <w:t>є</w:t>
      </w:r>
      <w:r w:rsidRPr="00263D8E">
        <w:rPr>
          <w:rFonts w:ascii="Times New Roman" w:hAnsi="Times New Roman"/>
          <w:bCs/>
          <w:sz w:val="28"/>
          <w:szCs w:val="28"/>
        </w:rPr>
        <w:t>кту регуляторного акта не потребує витрат із Державного бюджету України, надходження до Державного бюджету України у зв’язку з прийняттям регуляторного акта не передбачаються;</w:t>
      </w:r>
    </w:p>
    <w:p w:rsidR="006A49B2" w:rsidRPr="00263D8E" w:rsidRDefault="00C92E37" w:rsidP="00271531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/>
          <w:bCs/>
          <w:sz w:val="28"/>
          <w:szCs w:val="28"/>
        </w:rPr>
        <w:t xml:space="preserve">2) </w:t>
      </w:r>
      <w:r w:rsidR="00535417" w:rsidRPr="00263D8E">
        <w:rPr>
          <w:rFonts w:ascii="Times New Roman" w:hAnsi="Times New Roman" w:cs="Times New Roman"/>
          <w:sz w:val="28"/>
          <w:szCs w:val="28"/>
        </w:rPr>
        <w:t xml:space="preserve">кількістю суб’єктів господарювання та/або фізичних осіб, на яких поширюватиметься дія регуляторного акта – дія акта поширюватиметься на </w:t>
      </w:r>
      <w:r w:rsidR="00343DE1" w:rsidRPr="00263D8E">
        <w:rPr>
          <w:rFonts w:ascii="Times New Roman" w:hAnsi="Times New Roman" w:cs="Times New Roman"/>
          <w:sz w:val="28"/>
          <w:szCs w:val="28"/>
        </w:rPr>
        <w:t xml:space="preserve">Операторів </w:t>
      </w:r>
      <w:r w:rsidR="00CD4F0C" w:rsidRPr="00263D8E">
        <w:rPr>
          <w:rFonts w:ascii="Times New Roman" w:hAnsi="Times New Roman" w:cs="Times New Roman"/>
          <w:sz w:val="28"/>
          <w:szCs w:val="28"/>
        </w:rPr>
        <w:t>ГРМ</w:t>
      </w:r>
      <w:r w:rsidR="006A49B2" w:rsidRPr="00263D8E">
        <w:rPr>
          <w:rFonts w:ascii="Times New Roman" w:hAnsi="Times New Roman" w:cs="Times New Roman"/>
          <w:sz w:val="28"/>
          <w:szCs w:val="28"/>
        </w:rPr>
        <w:t>;</w:t>
      </w:r>
    </w:p>
    <w:p w:rsidR="00C92E37" w:rsidRPr="00263D8E" w:rsidRDefault="00F10ED9" w:rsidP="00271531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263D8E">
        <w:rPr>
          <w:rFonts w:ascii="Times New Roman" w:hAnsi="Times New Roman"/>
          <w:bCs/>
          <w:sz w:val="28"/>
          <w:szCs w:val="28"/>
        </w:rPr>
        <w:t>3) рівнем поінформованості суб’єктів господарювання з основних положень акта</w:t>
      </w:r>
      <w:r w:rsidR="001F6615" w:rsidRPr="00263D8E">
        <w:rPr>
          <w:rFonts w:ascii="Times New Roman" w:hAnsi="Times New Roman"/>
          <w:bCs/>
          <w:sz w:val="28"/>
          <w:szCs w:val="28"/>
        </w:rPr>
        <w:t xml:space="preserve"> – рівень поінформованості середній</w:t>
      </w:r>
      <w:r w:rsidRPr="00263D8E">
        <w:rPr>
          <w:rFonts w:ascii="Times New Roman" w:hAnsi="Times New Roman"/>
          <w:bCs/>
          <w:sz w:val="28"/>
          <w:szCs w:val="28"/>
        </w:rPr>
        <w:t>.</w:t>
      </w:r>
      <w:r w:rsidR="00C92E37" w:rsidRPr="00263D8E">
        <w:rPr>
          <w:rFonts w:ascii="Times New Roman" w:hAnsi="Times New Roman"/>
          <w:bCs/>
          <w:sz w:val="28"/>
          <w:szCs w:val="28"/>
        </w:rPr>
        <w:t xml:space="preserve"> </w:t>
      </w:r>
    </w:p>
    <w:p w:rsidR="00370540" w:rsidRPr="00263D8E" w:rsidRDefault="00C92E37" w:rsidP="00271531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263D8E">
        <w:rPr>
          <w:rFonts w:ascii="Times New Roman" w:hAnsi="Times New Roman"/>
          <w:bCs/>
          <w:sz w:val="28"/>
          <w:szCs w:val="28"/>
        </w:rPr>
        <w:t>Відповідно до частини другої статті 15 Закону України «Про Національну комісію, що здійснює державне регулювання у сферах енергетики та комунальних послуг» про</w:t>
      </w:r>
      <w:r w:rsidR="00370540" w:rsidRPr="00263D8E">
        <w:rPr>
          <w:rFonts w:ascii="Times New Roman" w:hAnsi="Times New Roman"/>
          <w:bCs/>
          <w:sz w:val="28"/>
          <w:szCs w:val="28"/>
        </w:rPr>
        <w:t>є</w:t>
      </w:r>
      <w:r w:rsidRPr="00263D8E">
        <w:rPr>
          <w:rFonts w:ascii="Times New Roman" w:hAnsi="Times New Roman"/>
          <w:bCs/>
          <w:sz w:val="28"/>
          <w:szCs w:val="28"/>
        </w:rPr>
        <w:t>кт п</w:t>
      </w:r>
      <w:r w:rsidR="00C611FA" w:rsidRPr="00263D8E">
        <w:rPr>
          <w:rFonts w:ascii="Times New Roman" w:hAnsi="Times New Roman"/>
          <w:bCs/>
          <w:sz w:val="28"/>
          <w:szCs w:val="28"/>
        </w:rPr>
        <w:t xml:space="preserve">останови </w:t>
      </w:r>
      <w:r w:rsidRPr="00263D8E">
        <w:rPr>
          <w:rFonts w:ascii="Times New Roman" w:hAnsi="Times New Roman"/>
          <w:bCs/>
          <w:sz w:val="28"/>
          <w:szCs w:val="28"/>
        </w:rPr>
        <w:t xml:space="preserve">НКРЕКП </w:t>
      </w:r>
      <w:r w:rsidR="00535417" w:rsidRPr="00263D8E">
        <w:rPr>
          <w:rFonts w:ascii="Times New Roman" w:hAnsi="Times New Roman" w:cs="Times New Roman"/>
          <w:sz w:val="28"/>
          <w:szCs w:val="28"/>
        </w:rPr>
        <w:t>«</w:t>
      </w:r>
      <w:r w:rsidR="00DE5BA5" w:rsidRPr="00DE5BA5">
        <w:rPr>
          <w:rFonts w:ascii="Times New Roman" w:hAnsi="Times New Roman" w:cs="Times New Roman"/>
          <w:sz w:val="28"/>
          <w:szCs w:val="28"/>
        </w:rPr>
        <w:t>Про внесення змін до Методики визначення розмірів нормативних та виробничо-технологічних втрат/витрат природного газу при здійсненні розподілу природного газу</w:t>
      </w:r>
      <w:r w:rsidR="004A10F8" w:rsidRPr="00263D8E">
        <w:rPr>
          <w:rFonts w:ascii="Times New Roman" w:hAnsi="Times New Roman" w:cs="Times New Roman"/>
          <w:sz w:val="28"/>
          <w:szCs w:val="28"/>
        </w:rPr>
        <w:t>»</w:t>
      </w:r>
      <w:r w:rsidRPr="00263D8E">
        <w:rPr>
          <w:rFonts w:ascii="Times New Roman" w:hAnsi="Times New Roman"/>
          <w:bCs/>
          <w:sz w:val="28"/>
          <w:szCs w:val="28"/>
        </w:rPr>
        <w:t>,</w:t>
      </w:r>
      <w:r w:rsidR="001B37CA" w:rsidRPr="00263D8E">
        <w:rPr>
          <w:rFonts w:ascii="Times New Roman" w:hAnsi="Times New Roman"/>
          <w:bCs/>
          <w:sz w:val="28"/>
          <w:szCs w:val="28"/>
        </w:rPr>
        <w:t xml:space="preserve"> що ма</w:t>
      </w:r>
      <w:r w:rsidR="005A7A73" w:rsidRPr="00263D8E">
        <w:rPr>
          <w:rFonts w:ascii="Times New Roman" w:hAnsi="Times New Roman"/>
          <w:bCs/>
          <w:sz w:val="28"/>
          <w:szCs w:val="28"/>
        </w:rPr>
        <w:t>є</w:t>
      </w:r>
      <w:r w:rsidR="001B37CA" w:rsidRPr="00263D8E">
        <w:rPr>
          <w:rFonts w:ascii="Times New Roman" w:hAnsi="Times New Roman"/>
          <w:bCs/>
          <w:sz w:val="28"/>
          <w:szCs w:val="28"/>
        </w:rPr>
        <w:t xml:space="preserve"> ознаки регуляторного акта, разом з матеріалами, що </w:t>
      </w:r>
      <w:r w:rsidR="00271531" w:rsidRPr="00263D8E">
        <w:rPr>
          <w:rFonts w:ascii="Times New Roman" w:hAnsi="Times New Roman"/>
          <w:bCs/>
          <w:sz w:val="28"/>
          <w:szCs w:val="28"/>
        </w:rPr>
        <w:t>обґрунтовують</w:t>
      </w:r>
      <w:r w:rsidR="001B37CA" w:rsidRPr="00263D8E">
        <w:rPr>
          <w:rFonts w:ascii="Times New Roman" w:hAnsi="Times New Roman"/>
          <w:bCs/>
          <w:sz w:val="28"/>
          <w:szCs w:val="28"/>
        </w:rPr>
        <w:t xml:space="preserve"> необхідність прийняття такого рішення, та аналізом його впливу оприлюднено на офіційному вебсайті НКРЕКП у мережі Інтернет: http://nerc.gov.ua з метою одержання зауважень і пропозицій від інших органів державної влади, фізичних та юридичних осіб, їх об'єднань та інших заінтересованих осіб. </w:t>
      </w:r>
      <w:r w:rsidRPr="00263D8E">
        <w:rPr>
          <w:rFonts w:ascii="Times New Roman" w:hAnsi="Times New Roman"/>
          <w:bCs/>
          <w:sz w:val="28"/>
          <w:szCs w:val="28"/>
        </w:rPr>
        <w:t>НКРЕКП у межах компетенції надає необхідні роз’яснення щодо норм про</w:t>
      </w:r>
      <w:r w:rsidR="00370540" w:rsidRPr="00263D8E">
        <w:rPr>
          <w:rFonts w:ascii="Times New Roman" w:hAnsi="Times New Roman"/>
          <w:bCs/>
          <w:sz w:val="28"/>
          <w:szCs w:val="28"/>
        </w:rPr>
        <w:t>є</w:t>
      </w:r>
      <w:r w:rsidRPr="00263D8E">
        <w:rPr>
          <w:rFonts w:ascii="Times New Roman" w:hAnsi="Times New Roman"/>
          <w:bCs/>
          <w:sz w:val="28"/>
          <w:szCs w:val="28"/>
        </w:rPr>
        <w:t>кту регуляторного акта і надаватиме роз’яснення щодо застосування акта, після його прийняття.</w:t>
      </w:r>
    </w:p>
    <w:p w:rsidR="0079398B" w:rsidRPr="00263D8E" w:rsidRDefault="0079398B" w:rsidP="00271531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VIII. Очік</w:t>
      </w:r>
      <w:r w:rsidR="005E3047" w:rsidRPr="00263D8E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263D8E">
        <w:rPr>
          <w:rFonts w:ascii="Times New Roman" w:hAnsi="Times New Roman" w:cs="Times New Roman"/>
          <w:b/>
          <w:bCs/>
          <w:sz w:val="28"/>
          <w:szCs w:val="28"/>
        </w:rPr>
        <w:t>вані результати прийняття регуляторного акта</w:t>
      </w:r>
    </w:p>
    <w:p w:rsidR="004C3860" w:rsidRPr="00263D8E" w:rsidRDefault="004C3860" w:rsidP="00271531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14"/>
          <w:szCs w:val="28"/>
        </w:rPr>
      </w:pPr>
    </w:p>
    <w:p w:rsidR="00535417" w:rsidRPr="00263D8E" w:rsidRDefault="00535417" w:rsidP="0016047B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t>Очікуваним результатом прийняття постанови НКРЕКП «</w:t>
      </w:r>
      <w:r w:rsidR="00DE5BA5" w:rsidRPr="00DE5BA5">
        <w:rPr>
          <w:rFonts w:ascii="Times New Roman" w:hAnsi="Times New Roman" w:cs="Times New Roman"/>
          <w:sz w:val="28"/>
          <w:szCs w:val="28"/>
        </w:rPr>
        <w:t>Про внесення змін до Методики визначення розмірів нормативних та виробничо-технологічних втрат/витрат природного газу при здійсненні розподілу природного газу</w:t>
      </w:r>
      <w:r w:rsidRPr="00263D8E">
        <w:rPr>
          <w:rFonts w:ascii="Times New Roman" w:hAnsi="Times New Roman" w:cs="Times New Roman"/>
          <w:sz w:val="28"/>
          <w:szCs w:val="28"/>
        </w:rPr>
        <w:t>» є підвищення ефективності виконання НКРЕКП завдань державного регулювання, зокрема у частині</w:t>
      </w:r>
      <w:r w:rsidR="0016047B">
        <w:rPr>
          <w:rFonts w:ascii="Times New Roman" w:hAnsi="Times New Roman" w:cs="Times New Roman"/>
          <w:sz w:val="28"/>
          <w:szCs w:val="28"/>
        </w:rPr>
        <w:t xml:space="preserve"> </w:t>
      </w:r>
      <w:r w:rsidR="0016047B" w:rsidRPr="0016047B">
        <w:rPr>
          <w:rFonts w:ascii="Times New Roman" w:hAnsi="Times New Roman" w:cs="Times New Roman"/>
          <w:sz w:val="28"/>
          <w:szCs w:val="28"/>
        </w:rPr>
        <w:t xml:space="preserve">визначення чітких вимог для здійснення розрахунків нормативних втрат/витрат природного газу в умовах дії воєнного стану для Операторів ГРМ </w:t>
      </w:r>
      <w:r w:rsidR="003D4B36" w:rsidRPr="00A91999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 пров</w:t>
      </w:r>
      <w:r w:rsidR="00862800" w:rsidRPr="00A9199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3D4B36" w:rsidRPr="00A91999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862800" w:rsidRPr="00A91999">
        <w:rPr>
          <w:rFonts w:ascii="Times New Roman" w:hAnsi="Times New Roman" w:cs="Times New Roman"/>
          <w:sz w:val="28"/>
          <w:szCs w:val="28"/>
          <w:shd w:val="clear" w:color="auto" w:fill="FFFFFF"/>
        </w:rPr>
        <w:t>ж</w:t>
      </w:r>
      <w:r w:rsidR="003D4B36" w:rsidRPr="00A91999">
        <w:rPr>
          <w:rFonts w:ascii="Times New Roman" w:hAnsi="Times New Roman" w:cs="Times New Roman"/>
          <w:sz w:val="28"/>
          <w:szCs w:val="28"/>
          <w:shd w:val="clear" w:color="auto" w:fill="FFFFFF"/>
        </w:rPr>
        <w:t>ення господарської діяльності яких знаходиться на тимчасово окупованій території України</w:t>
      </w:r>
      <w:r w:rsidR="00FE6D57" w:rsidRPr="00A91999">
        <w:rPr>
          <w:rFonts w:ascii="Times New Roman" w:hAnsi="Times New Roman" w:cs="Times New Roman"/>
          <w:sz w:val="28"/>
          <w:szCs w:val="28"/>
        </w:rPr>
        <w:t>.</w:t>
      </w:r>
    </w:p>
    <w:p w:rsidR="00986B1D" w:rsidRPr="00263D8E" w:rsidRDefault="00986B1D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49B2" w:rsidRPr="00263D8E" w:rsidRDefault="006A49B2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4D8" w:rsidRPr="00263D8E" w:rsidRDefault="00535417" w:rsidP="00271531">
      <w:pPr>
        <w:spacing w:after="0" w:line="23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263D8E">
        <w:rPr>
          <w:rStyle w:val="spelle"/>
          <w:rFonts w:ascii="Times New Roman" w:hAnsi="Times New Roman"/>
          <w:b/>
          <w:sz w:val="28"/>
          <w:szCs w:val="28"/>
        </w:rPr>
        <w:t>Голова НКРЕКП</w:t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ab/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ab/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ab/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ab/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ab/>
      </w:r>
      <w:r w:rsidR="00DD60AA" w:rsidRPr="00263D8E">
        <w:rPr>
          <w:rStyle w:val="spelle"/>
          <w:rFonts w:ascii="Times New Roman" w:hAnsi="Times New Roman"/>
          <w:b/>
          <w:sz w:val="28"/>
          <w:szCs w:val="28"/>
        </w:rPr>
        <w:t xml:space="preserve">   </w:t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 xml:space="preserve"> </w:t>
      </w:r>
      <w:r w:rsidR="005707A1" w:rsidRPr="00263D8E">
        <w:rPr>
          <w:rStyle w:val="spelle"/>
          <w:rFonts w:ascii="Times New Roman" w:hAnsi="Times New Roman"/>
          <w:b/>
          <w:sz w:val="28"/>
          <w:szCs w:val="28"/>
        </w:rPr>
        <w:t xml:space="preserve">      </w:t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>Костянтин УЩАПОВСЬКИЙ</w:t>
      </w:r>
    </w:p>
    <w:sectPr w:rsidR="005E44D8" w:rsidRPr="00263D8E" w:rsidSect="00074038">
      <w:footerReference w:type="even" r:id="rId8"/>
      <w:footerReference w:type="default" r:id="rId9"/>
      <w:footerReference w:type="first" r:id="rId10"/>
      <w:pgSz w:w="11906" w:h="16838"/>
      <w:pgMar w:top="1134" w:right="567" w:bottom="993" w:left="1134" w:header="709" w:footer="5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502" w:rsidRDefault="00FB2502">
      <w:r>
        <w:separator/>
      </w:r>
    </w:p>
  </w:endnote>
  <w:endnote w:type="continuationSeparator" w:id="0">
    <w:p w:rsidR="00FB2502" w:rsidRDefault="00FB2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B13" w:rsidRDefault="00417B13" w:rsidP="00CD494E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926DD">
      <w:rPr>
        <w:rStyle w:val="ae"/>
        <w:noProof/>
      </w:rPr>
      <w:t>6</w:t>
    </w:r>
    <w:r>
      <w:rPr>
        <w:rStyle w:val="ae"/>
      </w:rPr>
      <w:fldChar w:fldCharType="end"/>
    </w:r>
  </w:p>
  <w:p w:rsidR="00417B13" w:rsidRDefault="00417B13" w:rsidP="008D796C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B13" w:rsidRPr="00A53158" w:rsidRDefault="006868C1" w:rsidP="00074038">
    <w:pPr>
      <w:pStyle w:val="ac"/>
      <w:jc w:val="right"/>
      <w:rPr>
        <w:rFonts w:ascii="Times New Roman" w:hAnsi="Times New Roman" w:cs="Times New Roman"/>
      </w:rPr>
    </w:pPr>
    <w:r w:rsidRPr="00A53158">
      <w:rPr>
        <w:rFonts w:ascii="Times New Roman" w:hAnsi="Times New Roman" w:cs="Times New Roman"/>
      </w:rPr>
      <w:fldChar w:fldCharType="begin"/>
    </w:r>
    <w:r w:rsidRPr="00A53158">
      <w:rPr>
        <w:rFonts w:ascii="Times New Roman" w:hAnsi="Times New Roman" w:cs="Times New Roman"/>
      </w:rPr>
      <w:instrText>PAGE   \* MERGEFORMAT</w:instrText>
    </w:r>
    <w:r w:rsidRPr="00A53158">
      <w:rPr>
        <w:rFonts w:ascii="Times New Roman" w:hAnsi="Times New Roman" w:cs="Times New Roman"/>
      </w:rPr>
      <w:fldChar w:fldCharType="separate"/>
    </w:r>
    <w:r w:rsidR="00862800">
      <w:rPr>
        <w:rFonts w:ascii="Times New Roman" w:hAnsi="Times New Roman" w:cs="Times New Roman"/>
        <w:noProof/>
      </w:rPr>
      <w:t>6</w:t>
    </w:r>
    <w:r w:rsidRPr="00A53158">
      <w:rPr>
        <w:rFonts w:ascii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D8E" w:rsidRDefault="00263D8E">
    <w:pPr>
      <w:pStyle w:val="ac"/>
    </w:pPr>
  </w:p>
  <w:p w:rsidR="00263D8E" w:rsidRDefault="00263D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502" w:rsidRDefault="00FB2502">
      <w:r>
        <w:separator/>
      </w:r>
    </w:p>
  </w:footnote>
  <w:footnote w:type="continuationSeparator" w:id="0">
    <w:p w:rsidR="00FB2502" w:rsidRDefault="00FB2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24D1B"/>
    <w:multiLevelType w:val="hybridMultilevel"/>
    <w:tmpl w:val="92FEB472"/>
    <w:lvl w:ilvl="0" w:tplc="04220011">
      <w:start w:val="3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A886369"/>
    <w:multiLevelType w:val="hybridMultilevel"/>
    <w:tmpl w:val="20FCB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A55279"/>
    <w:multiLevelType w:val="hybridMultilevel"/>
    <w:tmpl w:val="8496E1B8"/>
    <w:lvl w:ilvl="0" w:tplc="3A7653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8C7564"/>
    <w:multiLevelType w:val="hybridMultilevel"/>
    <w:tmpl w:val="BA3C2060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73E"/>
    <w:rsid w:val="000011FD"/>
    <w:rsid w:val="00005703"/>
    <w:rsid w:val="00014D89"/>
    <w:rsid w:val="0001736A"/>
    <w:rsid w:val="00021E50"/>
    <w:rsid w:val="00032984"/>
    <w:rsid w:val="00034CE3"/>
    <w:rsid w:val="000358F7"/>
    <w:rsid w:val="00036F43"/>
    <w:rsid w:val="00037420"/>
    <w:rsid w:val="00041BDE"/>
    <w:rsid w:val="00042308"/>
    <w:rsid w:val="00042533"/>
    <w:rsid w:val="00053D5B"/>
    <w:rsid w:val="000556EF"/>
    <w:rsid w:val="00062323"/>
    <w:rsid w:val="00064C40"/>
    <w:rsid w:val="00067582"/>
    <w:rsid w:val="00074038"/>
    <w:rsid w:val="000767B1"/>
    <w:rsid w:val="00093512"/>
    <w:rsid w:val="000A2B4C"/>
    <w:rsid w:val="000A2D39"/>
    <w:rsid w:val="000C2A85"/>
    <w:rsid w:val="000D0F3D"/>
    <w:rsid w:val="000D546F"/>
    <w:rsid w:val="000D6192"/>
    <w:rsid w:val="000D73CF"/>
    <w:rsid w:val="000E3132"/>
    <w:rsid w:val="000E75B7"/>
    <w:rsid w:val="0010070A"/>
    <w:rsid w:val="00105064"/>
    <w:rsid w:val="001055F7"/>
    <w:rsid w:val="001151C8"/>
    <w:rsid w:val="001232AA"/>
    <w:rsid w:val="00127B53"/>
    <w:rsid w:val="00130585"/>
    <w:rsid w:val="00143316"/>
    <w:rsid w:val="00143BF0"/>
    <w:rsid w:val="001504ED"/>
    <w:rsid w:val="0016047B"/>
    <w:rsid w:val="00160687"/>
    <w:rsid w:val="00166619"/>
    <w:rsid w:val="00170FF1"/>
    <w:rsid w:val="001759A1"/>
    <w:rsid w:val="00191354"/>
    <w:rsid w:val="00196075"/>
    <w:rsid w:val="001964E2"/>
    <w:rsid w:val="001A68AD"/>
    <w:rsid w:val="001B31D4"/>
    <w:rsid w:val="001B37CA"/>
    <w:rsid w:val="001C35B3"/>
    <w:rsid w:val="001D3EBE"/>
    <w:rsid w:val="001D64E1"/>
    <w:rsid w:val="001E4B33"/>
    <w:rsid w:val="001F6615"/>
    <w:rsid w:val="00227A00"/>
    <w:rsid w:val="002330E2"/>
    <w:rsid w:val="00244871"/>
    <w:rsid w:val="00244EF9"/>
    <w:rsid w:val="002460A7"/>
    <w:rsid w:val="00251D02"/>
    <w:rsid w:val="002552EA"/>
    <w:rsid w:val="00257CE0"/>
    <w:rsid w:val="00263D8E"/>
    <w:rsid w:val="00264181"/>
    <w:rsid w:val="00265B0B"/>
    <w:rsid w:val="00271531"/>
    <w:rsid w:val="002778E4"/>
    <w:rsid w:val="002820F9"/>
    <w:rsid w:val="00283D5B"/>
    <w:rsid w:val="00287CFF"/>
    <w:rsid w:val="00293A63"/>
    <w:rsid w:val="002952DA"/>
    <w:rsid w:val="00297AF0"/>
    <w:rsid w:val="002A1B71"/>
    <w:rsid w:val="002A6913"/>
    <w:rsid w:val="002B4A6D"/>
    <w:rsid w:val="002C46DD"/>
    <w:rsid w:val="002D38E5"/>
    <w:rsid w:val="002D3B6D"/>
    <w:rsid w:val="002D44E6"/>
    <w:rsid w:val="002D5556"/>
    <w:rsid w:val="002F3C07"/>
    <w:rsid w:val="002F499A"/>
    <w:rsid w:val="002F529C"/>
    <w:rsid w:val="00310D40"/>
    <w:rsid w:val="00312248"/>
    <w:rsid w:val="00313568"/>
    <w:rsid w:val="00320FF4"/>
    <w:rsid w:val="00321D99"/>
    <w:rsid w:val="00324F65"/>
    <w:rsid w:val="00331D20"/>
    <w:rsid w:val="00334416"/>
    <w:rsid w:val="00337C29"/>
    <w:rsid w:val="003426A1"/>
    <w:rsid w:val="00343DE1"/>
    <w:rsid w:val="00352BDC"/>
    <w:rsid w:val="00357292"/>
    <w:rsid w:val="00363E01"/>
    <w:rsid w:val="00370540"/>
    <w:rsid w:val="00370548"/>
    <w:rsid w:val="003723C0"/>
    <w:rsid w:val="00373DA6"/>
    <w:rsid w:val="003766B7"/>
    <w:rsid w:val="00376704"/>
    <w:rsid w:val="003767FC"/>
    <w:rsid w:val="00382DF6"/>
    <w:rsid w:val="00384769"/>
    <w:rsid w:val="00385930"/>
    <w:rsid w:val="00387F4C"/>
    <w:rsid w:val="0039249E"/>
    <w:rsid w:val="003929ED"/>
    <w:rsid w:val="003A12B0"/>
    <w:rsid w:val="003A1EBE"/>
    <w:rsid w:val="003A42BA"/>
    <w:rsid w:val="003A6F0D"/>
    <w:rsid w:val="003B21F3"/>
    <w:rsid w:val="003B7513"/>
    <w:rsid w:val="003C042F"/>
    <w:rsid w:val="003C3700"/>
    <w:rsid w:val="003C3827"/>
    <w:rsid w:val="003C7CAD"/>
    <w:rsid w:val="003D06FC"/>
    <w:rsid w:val="003D2427"/>
    <w:rsid w:val="003D302B"/>
    <w:rsid w:val="003D493F"/>
    <w:rsid w:val="003D4B36"/>
    <w:rsid w:val="003D779B"/>
    <w:rsid w:val="003E6AD2"/>
    <w:rsid w:val="003E79B1"/>
    <w:rsid w:val="003F0FE5"/>
    <w:rsid w:val="003F3081"/>
    <w:rsid w:val="00400742"/>
    <w:rsid w:val="00404792"/>
    <w:rsid w:val="00407198"/>
    <w:rsid w:val="00415217"/>
    <w:rsid w:val="00417B13"/>
    <w:rsid w:val="00422BC6"/>
    <w:rsid w:val="00425DF4"/>
    <w:rsid w:val="004315C2"/>
    <w:rsid w:val="004336DC"/>
    <w:rsid w:val="004368E5"/>
    <w:rsid w:val="00436F85"/>
    <w:rsid w:val="004425BF"/>
    <w:rsid w:val="00450013"/>
    <w:rsid w:val="00451282"/>
    <w:rsid w:val="00470153"/>
    <w:rsid w:val="004729C2"/>
    <w:rsid w:val="00482EF4"/>
    <w:rsid w:val="004863D8"/>
    <w:rsid w:val="00491381"/>
    <w:rsid w:val="004958C1"/>
    <w:rsid w:val="0049793F"/>
    <w:rsid w:val="004A10F8"/>
    <w:rsid w:val="004A74A9"/>
    <w:rsid w:val="004B2AAF"/>
    <w:rsid w:val="004C3860"/>
    <w:rsid w:val="004E02BF"/>
    <w:rsid w:val="004E29A3"/>
    <w:rsid w:val="004E4B31"/>
    <w:rsid w:val="00502B62"/>
    <w:rsid w:val="00505CA8"/>
    <w:rsid w:val="0050747D"/>
    <w:rsid w:val="00513242"/>
    <w:rsid w:val="00525C69"/>
    <w:rsid w:val="0053246E"/>
    <w:rsid w:val="005350E3"/>
    <w:rsid w:val="00535417"/>
    <w:rsid w:val="00541F25"/>
    <w:rsid w:val="00541F39"/>
    <w:rsid w:val="0054391F"/>
    <w:rsid w:val="00552328"/>
    <w:rsid w:val="00554E07"/>
    <w:rsid w:val="005707A1"/>
    <w:rsid w:val="00572FE2"/>
    <w:rsid w:val="005800CB"/>
    <w:rsid w:val="00587884"/>
    <w:rsid w:val="00590068"/>
    <w:rsid w:val="005A64CE"/>
    <w:rsid w:val="005A79F8"/>
    <w:rsid w:val="005A7A73"/>
    <w:rsid w:val="005B0773"/>
    <w:rsid w:val="005B2C7C"/>
    <w:rsid w:val="005B3465"/>
    <w:rsid w:val="005B5933"/>
    <w:rsid w:val="005C4D53"/>
    <w:rsid w:val="005C56EF"/>
    <w:rsid w:val="005E3047"/>
    <w:rsid w:val="005E44D8"/>
    <w:rsid w:val="005E6132"/>
    <w:rsid w:val="005F624F"/>
    <w:rsid w:val="005F7A0A"/>
    <w:rsid w:val="00600101"/>
    <w:rsid w:val="006079B4"/>
    <w:rsid w:val="00622098"/>
    <w:rsid w:val="00625019"/>
    <w:rsid w:val="0062517D"/>
    <w:rsid w:val="0063473E"/>
    <w:rsid w:val="0063536A"/>
    <w:rsid w:val="006430C8"/>
    <w:rsid w:val="006601AE"/>
    <w:rsid w:val="006664D5"/>
    <w:rsid w:val="00670102"/>
    <w:rsid w:val="00671A26"/>
    <w:rsid w:val="00672390"/>
    <w:rsid w:val="006849E2"/>
    <w:rsid w:val="00686043"/>
    <w:rsid w:val="006868C1"/>
    <w:rsid w:val="00686DD8"/>
    <w:rsid w:val="006A2A54"/>
    <w:rsid w:val="006A30CD"/>
    <w:rsid w:val="006A32AC"/>
    <w:rsid w:val="006A3393"/>
    <w:rsid w:val="006A49B2"/>
    <w:rsid w:val="006A57C9"/>
    <w:rsid w:val="006B0451"/>
    <w:rsid w:val="006B4565"/>
    <w:rsid w:val="006C4DD8"/>
    <w:rsid w:val="006D070C"/>
    <w:rsid w:val="006D212A"/>
    <w:rsid w:val="006D5C02"/>
    <w:rsid w:val="006D7286"/>
    <w:rsid w:val="006D7B31"/>
    <w:rsid w:val="006D7CFA"/>
    <w:rsid w:val="006E59AF"/>
    <w:rsid w:val="006F7C23"/>
    <w:rsid w:val="0070067C"/>
    <w:rsid w:val="0070185A"/>
    <w:rsid w:val="00703288"/>
    <w:rsid w:val="00716274"/>
    <w:rsid w:val="00723D69"/>
    <w:rsid w:val="007311C4"/>
    <w:rsid w:val="00736A0A"/>
    <w:rsid w:val="00741FCE"/>
    <w:rsid w:val="0074474E"/>
    <w:rsid w:val="00751AF5"/>
    <w:rsid w:val="00752D37"/>
    <w:rsid w:val="00756A23"/>
    <w:rsid w:val="007628EA"/>
    <w:rsid w:val="00764EE9"/>
    <w:rsid w:val="00766A5E"/>
    <w:rsid w:val="007714F8"/>
    <w:rsid w:val="00771C59"/>
    <w:rsid w:val="00772D23"/>
    <w:rsid w:val="007748E0"/>
    <w:rsid w:val="0079027E"/>
    <w:rsid w:val="007902C5"/>
    <w:rsid w:val="0079037F"/>
    <w:rsid w:val="0079260D"/>
    <w:rsid w:val="007926DD"/>
    <w:rsid w:val="0079398B"/>
    <w:rsid w:val="00793F4E"/>
    <w:rsid w:val="00795CCE"/>
    <w:rsid w:val="00797008"/>
    <w:rsid w:val="007A13C6"/>
    <w:rsid w:val="007A1984"/>
    <w:rsid w:val="007A27F7"/>
    <w:rsid w:val="007C064F"/>
    <w:rsid w:val="007C6F5D"/>
    <w:rsid w:val="007C790F"/>
    <w:rsid w:val="007D1744"/>
    <w:rsid w:val="007D3F6F"/>
    <w:rsid w:val="007D419D"/>
    <w:rsid w:val="007D5ECD"/>
    <w:rsid w:val="0080522F"/>
    <w:rsid w:val="00807AAF"/>
    <w:rsid w:val="00815419"/>
    <w:rsid w:val="008218D6"/>
    <w:rsid w:val="0082293D"/>
    <w:rsid w:val="00827105"/>
    <w:rsid w:val="00827AB0"/>
    <w:rsid w:val="0084128D"/>
    <w:rsid w:val="0084685F"/>
    <w:rsid w:val="0084774E"/>
    <w:rsid w:val="00850B74"/>
    <w:rsid w:val="008577CF"/>
    <w:rsid w:val="00862800"/>
    <w:rsid w:val="008749E4"/>
    <w:rsid w:val="00882F06"/>
    <w:rsid w:val="008866DF"/>
    <w:rsid w:val="0088765E"/>
    <w:rsid w:val="00887829"/>
    <w:rsid w:val="00890FC2"/>
    <w:rsid w:val="00892856"/>
    <w:rsid w:val="00893C1D"/>
    <w:rsid w:val="00897F6F"/>
    <w:rsid w:val="008A204B"/>
    <w:rsid w:val="008A5874"/>
    <w:rsid w:val="008B1970"/>
    <w:rsid w:val="008B4101"/>
    <w:rsid w:val="008C25E7"/>
    <w:rsid w:val="008C2BA5"/>
    <w:rsid w:val="008C5D4F"/>
    <w:rsid w:val="008C6965"/>
    <w:rsid w:val="008D796C"/>
    <w:rsid w:val="008F229D"/>
    <w:rsid w:val="008F2738"/>
    <w:rsid w:val="008F3AA1"/>
    <w:rsid w:val="00900D0A"/>
    <w:rsid w:val="009029BD"/>
    <w:rsid w:val="00903C28"/>
    <w:rsid w:val="00910A71"/>
    <w:rsid w:val="0091350C"/>
    <w:rsid w:val="00925029"/>
    <w:rsid w:val="009250E0"/>
    <w:rsid w:val="00932318"/>
    <w:rsid w:val="00932A37"/>
    <w:rsid w:val="009366F1"/>
    <w:rsid w:val="00936F80"/>
    <w:rsid w:val="00937A6E"/>
    <w:rsid w:val="0094067A"/>
    <w:rsid w:val="009411E8"/>
    <w:rsid w:val="0094281E"/>
    <w:rsid w:val="00944CF4"/>
    <w:rsid w:val="00951B24"/>
    <w:rsid w:val="00955661"/>
    <w:rsid w:val="00956068"/>
    <w:rsid w:val="009670E3"/>
    <w:rsid w:val="0097154D"/>
    <w:rsid w:val="00986B1D"/>
    <w:rsid w:val="0099775C"/>
    <w:rsid w:val="009A1BDF"/>
    <w:rsid w:val="009A734A"/>
    <w:rsid w:val="009B04B4"/>
    <w:rsid w:val="009B1C66"/>
    <w:rsid w:val="009B363B"/>
    <w:rsid w:val="009B3A59"/>
    <w:rsid w:val="009C2EFA"/>
    <w:rsid w:val="009D1DC2"/>
    <w:rsid w:val="009D24F0"/>
    <w:rsid w:val="009D4497"/>
    <w:rsid w:val="009E12FE"/>
    <w:rsid w:val="009F6FCB"/>
    <w:rsid w:val="00A11368"/>
    <w:rsid w:val="00A15250"/>
    <w:rsid w:val="00A23C5E"/>
    <w:rsid w:val="00A43A0B"/>
    <w:rsid w:val="00A45587"/>
    <w:rsid w:val="00A47ECB"/>
    <w:rsid w:val="00A53158"/>
    <w:rsid w:val="00A60BDB"/>
    <w:rsid w:val="00A63920"/>
    <w:rsid w:val="00A703FB"/>
    <w:rsid w:val="00A741D1"/>
    <w:rsid w:val="00A74DC5"/>
    <w:rsid w:val="00A7562D"/>
    <w:rsid w:val="00A77958"/>
    <w:rsid w:val="00A853CD"/>
    <w:rsid w:val="00A90E3C"/>
    <w:rsid w:val="00A91999"/>
    <w:rsid w:val="00AA641D"/>
    <w:rsid w:val="00AB3A98"/>
    <w:rsid w:val="00AE58D1"/>
    <w:rsid w:val="00AF12A5"/>
    <w:rsid w:val="00AF4B67"/>
    <w:rsid w:val="00AF55F1"/>
    <w:rsid w:val="00B005D0"/>
    <w:rsid w:val="00B0062F"/>
    <w:rsid w:val="00B06E16"/>
    <w:rsid w:val="00B116DD"/>
    <w:rsid w:val="00B123E0"/>
    <w:rsid w:val="00B15AFA"/>
    <w:rsid w:val="00B2135E"/>
    <w:rsid w:val="00B24019"/>
    <w:rsid w:val="00B43C6C"/>
    <w:rsid w:val="00B54828"/>
    <w:rsid w:val="00B55EB2"/>
    <w:rsid w:val="00B567A8"/>
    <w:rsid w:val="00B57704"/>
    <w:rsid w:val="00B622E1"/>
    <w:rsid w:val="00B6310E"/>
    <w:rsid w:val="00B845F3"/>
    <w:rsid w:val="00B926EA"/>
    <w:rsid w:val="00B94678"/>
    <w:rsid w:val="00BA2D9E"/>
    <w:rsid w:val="00BA7C29"/>
    <w:rsid w:val="00BA7CC0"/>
    <w:rsid w:val="00BB3C30"/>
    <w:rsid w:val="00BB47EE"/>
    <w:rsid w:val="00BB5F92"/>
    <w:rsid w:val="00BB7E1F"/>
    <w:rsid w:val="00BC1125"/>
    <w:rsid w:val="00BC6E62"/>
    <w:rsid w:val="00BD11C0"/>
    <w:rsid w:val="00BD3AF5"/>
    <w:rsid w:val="00BF193E"/>
    <w:rsid w:val="00BF51E7"/>
    <w:rsid w:val="00C001DF"/>
    <w:rsid w:val="00C12958"/>
    <w:rsid w:val="00C14E02"/>
    <w:rsid w:val="00C24525"/>
    <w:rsid w:val="00C2527D"/>
    <w:rsid w:val="00C2686D"/>
    <w:rsid w:val="00C271C3"/>
    <w:rsid w:val="00C32871"/>
    <w:rsid w:val="00C354E3"/>
    <w:rsid w:val="00C42F9A"/>
    <w:rsid w:val="00C432AA"/>
    <w:rsid w:val="00C43FC8"/>
    <w:rsid w:val="00C50E9D"/>
    <w:rsid w:val="00C512E5"/>
    <w:rsid w:val="00C53EA5"/>
    <w:rsid w:val="00C56DE6"/>
    <w:rsid w:val="00C600FF"/>
    <w:rsid w:val="00C611FA"/>
    <w:rsid w:val="00C62573"/>
    <w:rsid w:val="00C7127D"/>
    <w:rsid w:val="00C762F0"/>
    <w:rsid w:val="00C823CE"/>
    <w:rsid w:val="00C841DB"/>
    <w:rsid w:val="00C92E37"/>
    <w:rsid w:val="00C95D54"/>
    <w:rsid w:val="00C97CAC"/>
    <w:rsid w:val="00CA0015"/>
    <w:rsid w:val="00CA7AE3"/>
    <w:rsid w:val="00CC044D"/>
    <w:rsid w:val="00CC4F1B"/>
    <w:rsid w:val="00CC7093"/>
    <w:rsid w:val="00CD27DD"/>
    <w:rsid w:val="00CD33A0"/>
    <w:rsid w:val="00CD40DC"/>
    <w:rsid w:val="00CD494E"/>
    <w:rsid w:val="00CD4F0C"/>
    <w:rsid w:val="00CD54A9"/>
    <w:rsid w:val="00CE7D86"/>
    <w:rsid w:val="00CF1DEC"/>
    <w:rsid w:val="00D06743"/>
    <w:rsid w:val="00D13E49"/>
    <w:rsid w:val="00D14BBE"/>
    <w:rsid w:val="00D2757F"/>
    <w:rsid w:val="00D30F68"/>
    <w:rsid w:val="00D46DD8"/>
    <w:rsid w:val="00D61F85"/>
    <w:rsid w:val="00D7018C"/>
    <w:rsid w:val="00D7242C"/>
    <w:rsid w:val="00D75C04"/>
    <w:rsid w:val="00D804E5"/>
    <w:rsid w:val="00D9496B"/>
    <w:rsid w:val="00D966C4"/>
    <w:rsid w:val="00DA0B0F"/>
    <w:rsid w:val="00DA590B"/>
    <w:rsid w:val="00DC0374"/>
    <w:rsid w:val="00DC2C74"/>
    <w:rsid w:val="00DD5B9F"/>
    <w:rsid w:val="00DD60AA"/>
    <w:rsid w:val="00DE01C2"/>
    <w:rsid w:val="00DE1D4F"/>
    <w:rsid w:val="00DE5992"/>
    <w:rsid w:val="00DE5BA5"/>
    <w:rsid w:val="00DE5D7A"/>
    <w:rsid w:val="00DF1658"/>
    <w:rsid w:val="00E00211"/>
    <w:rsid w:val="00E06E45"/>
    <w:rsid w:val="00E1494A"/>
    <w:rsid w:val="00E1720D"/>
    <w:rsid w:val="00E201D5"/>
    <w:rsid w:val="00E20816"/>
    <w:rsid w:val="00E252EA"/>
    <w:rsid w:val="00E35A36"/>
    <w:rsid w:val="00E54245"/>
    <w:rsid w:val="00E604C5"/>
    <w:rsid w:val="00E629D9"/>
    <w:rsid w:val="00E765A2"/>
    <w:rsid w:val="00E815CD"/>
    <w:rsid w:val="00E85D4C"/>
    <w:rsid w:val="00E944D4"/>
    <w:rsid w:val="00EA1052"/>
    <w:rsid w:val="00EA52E9"/>
    <w:rsid w:val="00EA73F4"/>
    <w:rsid w:val="00EC688C"/>
    <w:rsid w:val="00EC6996"/>
    <w:rsid w:val="00ED7EE0"/>
    <w:rsid w:val="00EE33CF"/>
    <w:rsid w:val="00EF3667"/>
    <w:rsid w:val="00EF5644"/>
    <w:rsid w:val="00EF7D18"/>
    <w:rsid w:val="00F0121F"/>
    <w:rsid w:val="00F103ED"/>
    <w:rsid w:val="00F10ED9"/>
    <w:rsid w:val="00F14BBB"/>
    <w:rsid w:val="00F23E73"/>
    <w:rsid w:val="00F31612"/>
    <w:rsid w:val="00F37A5D"/>
    <w:rsid w:val="00F554D3"/>
    <w:rsid w:val="00F715B3"/>
    <w:rsid w:val="00F81F1E"/>
    <w:rsid w:val="00F87B13"/>
    <w:rsid w:val="00FA4849"/>
    <w:rsid w:val="00FB0492"/>
    <w:rsid w:val="00FB1305"/>
    <w:rsid w:val="00FB2502"/>
    <w:rsid w:val="00FD513C"/>
    <w:rsid w:val="00FD7FCC"/>
    <w:rsid w:val="00FE105D"/>
    <w:rsid w:val="00FE6D5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41479E2"/>
  <w15:chartTrackingRefBased/>
  <w15:docId w15:val="{FD6DAAC7-436D-4288-AF7D-ACC81C3CA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82EF4"/>
    <w:pPr>
      <w:spacing w:after="160" w:line="259" w:lineRule="auto"/>
    </w:pPr>
    <w:rPr>
      <w:rFonts w:eastAsia="Times New Roman" w:cs="Calibri"/>
      <w:sz w:val="22"/>
      <w:szCs w:val="22"/>
      <w:lang w:val="uk-UA" w:eastAsia="en-US"/>
    </w:rPr>
  </w:style>
  <w:style w:type="paragraph" w:styleId="3">
    <w:name w:val="heading 3"/>
    <w:basedOn w:val="a"/>
    <w:next w:val="a"/>
    <w:link w:val="30"/>
    <w:qFormat/>
    <w:rsid w:val="00CE7D86"/>
    <w:pPr>
      <w:keepNext/>
      <w:keepLines/>
      <w:overflowPunct w:val="0"/>
      <w:autoSpaceDE w:val="0"/>
      <w:autoSpaceDN w:val="0"/>
      <w:adjustRightInd w:val="0"/>
      <w:spacing w:before="40" w:after="0" w:line="240" w:lineRule="auto"/>
      <w:textAlignment w:val="baseline"/>
      <w:outlineLvl w:val="2"/>
    </w:pPr>
    <w:rPr>
      <w:rFonts w:ascii="Calibri Light" w:eastAsia="Calibri" w:hAnsi="Calibri Light" w:cs="Calibri Light"/>
      <w:color w:val="1F4D7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CE7D86"/>
    <w:rPr>
      <w:rFonts w:ascii="Calibri Light" w:hAnsi="Calibri Light" w:cs="Calibri Light"/>
      <w:color w:val="1F4D78"/>
      <w:sz w:val="24"/>
      <w:szCs w:val="24"/>
      <w:lang w:val="uk-UA" w:eastAsia="ru-RU"/>
    </w:rPr>
  </w:style>
  <w:style w:type="character" w:styleId="a3">
    <w:name w:val="Hyperlink"/>
    <w:rsid w:val="006D070C"/>
    <w:rPr>
      <w:rFonts w:cs="Times New Roman"/>
      <w:color w:val="auto"/>
      <w:u w:val="single"/>
    </w:rPr>
  </w:style>
  <w:style w:type="table" w:styleId="a4">
    <w:name w:val="Table Grid"/>
    <w:basedOn w:val="a1"/>
    <w:rsid w:val="0074474E"/>
    <w:rPr>
      <w:rFonts w:eastAsia="Times New Roman" w:cs="Calibri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link w:val="a6"/>
    <w:uiPriority w:val="99"/>
    <w:rsid w:val="00265B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7">
    <w:basedOn w:val="a"/>
    <w:rsid w:val="00C762F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8">
    <w:name w:val="Body Text"/>
    <w:basedOn w:val="a"/>
    <w:link w:val="a9"/>
    <w:rsid w:val="00C92E3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Основний текст Знак"/>
    <w:link w:val="a8"/>
    <w:locked/>
    <w:rsid w:val="00C92E37"/>
    <w:rPr>
      <w:rFonts w:eastAsia="Calibri"/>
      <w:lang w:val="uk-UA" w:eastAsia="ru-RU" w:bidi="ar-SA"/>
    </w:rPr>
  </w:style>
  <w:style w:type="character" w:customStyle="1" w:styleId="FontStyle">
    <w:name w:val="Font Style"/>
    <w:rsid w:val="00C92E37"/>
    <w:rPr>
      <w:rFonts w:cs="Courier New"/>
      <w:color w:val="000000"/>
    </w:rPr>
  </w:style>
  <w:style w:type="character" w:customStyle="1" w:styleId="spelle">
    <w:name w:val="spelle"/>
    <w:rsid w:val="005E3047"/>
    <w:rPr>
      <w:rFonts w:cs="Times New Roman"/>
    </w:rPr>
  </w:style>
  <w:style w:type="character" w:customStyle="1" w:styleId="grame">
    <w:name w:val="grame"/>
    <w:rsid w:val="005E3047"/>
    <w:rPr>
      <w:rFonts w:cs="Times New Roman"/>
    </w:rPr>
  </w:style>
  <w:style w:type="paragraph" w:customStyle="1" w:styleId="1">
    <w:name w:val="Без інтервалів1"/>
    <w:rsid w:val="00036F43"/>
    <w:rPr>
      <w:rFonts w:eastAsia="Times New Roman"/>
      <w:sz w:val="22"/>
      <w:szCs w:val="22"/>
      <w:lang w:val="uk-UA" w:eastAsia="en-US"/>
    </w:rPr>
  </w:style>
  <w:style w:type="paragraph" w:styleId="aa">
    <w:name w:val="Balloon Text"/>
    <w:basedOn w:val="a"/>
    <w:link w:val="ab"/>
    <w:rsid w:val="00282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rsid w:val="002820F9"/>
    <w:rPr>
      <w:rFonts w:ascii="Segoe UI" w:eastAsia="Times New Roman" w:hAnsi="Segoe UI" w:cs="Segoe UI"/>
      <w:sz w:val="18"/>
      <w:szCs w:val="18"/>
      <w:lang w:eastAsia="en-US"/>
    </w:rPr>
  </w:style>
  <w:style w:type="paragraph" w:styleId="ac">
    <w:name w:val="footer"/>
    <w:basedOn w:val="a"/>
    <w:link w:val="ad"/>
    <w:uiPriority w:val="99"/>
    <w:rsid w:val="008D796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8D796C"/>
  </w:style>
  <w:style w:type="paragraph" w:customStyle="1" w:styleId="10">
    <w:name w:val="Знак Знак1 Знак Знак"/>
    <w:basedOn w:val="a"/>
    <w:rsid w:val="00067582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rsid w:val="006868C1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link w:val="af"/>
    <w:rsid w:val="006868C1"/>
    <w:rPr>
      <w:rFonts w:eastAsia="Times New Roman" w:cs="Calibri"/>
      <w:sz w:val="22"/>
      <w:szCs w:val="22"/>
      <w:lang w:val="uk-UA" w:eastAsia="en-US"/>
    </w:rPr>
  </w:style>
  <w:style w:type="character" w:customStyle="1" w:styleId="ad">
    <w:name w:val="Нижній колонтитул Знак"/>
    <w:link w:val="ac"/>
    <w:uiPriority w:val="99"/>
    <w:rsid w:val="006868C1"/>
    <w:rPr>
      <w:rFonts w:eastAsia="Times New Roman" w:cs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7C6F5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a6">
    <w:name w:val="Звичайний (веб) Знак"/>
    <w:link w:val="a5"/>
    <w:locked/>
    <w:rsid w:val="00797008"/>
    <w:rPr>
      <w:rFonts w:ascii="Times New Roman" w:hAnsi="Times New Roman"/>
      <w:sz w:val="24"/>
      <w:szCs w:val="24"/>
      <w:lang w:val="ru-RU" w:eastAsia="ru-RU"/>
    </w:rPr>
  </w:style>
  <w:style w:type="paragraph" w:customStyle="1" w:styleId="11">
    <w:name w:val="Абзац списку1"/>
    <w:basedOn w:val="a"/>
    <w:rsid w:val="00062323"/>
    <w:pPr>
      <w:spacing w:after="200" w:line="276" w:lineRule="auto"/>
      <w:ind w:left="720"/>
    </w:pPr>
    <w:rPr>
      <w:rFonts w:cs="Times New Roman"/>
    </w:rPr>
  </w:style>
  <w:style w:type="paragraph" w:customStyle="1" w:styleId="Normal1">
    <w:name w:val="Normal1"/>
    <w:rsid w:val="0082293D"/>
    <w:pPr>
      <w:spacing w:after="160" w:line="259" w:lineRule="auto"/>
    </w:pPr>
    <w:rPr>
      <w:rFonts w:cs="Calibri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1523C-8130-4974-B44D-9ABB7601D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1291</Words>
  <Characters>9667</Characters>
  <Application>Microsoft Office Word</Application>
  <DocSecurity>4</DocSecurity>
  <Lines>80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АНАЛІЗ ВПЛИВУ</vt:lpstr>
      <vt:lpstr>АНАЛІЗ ВПЛИВУ</vt:lpstr>
    </vt:vector>
  </TitlesOfParts>
  <Company>UTG</Company>
  <LinksUpToDate>false</LinksUpToDate>
  <CharactersWithSpaces>10937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АНАЛІЗ ВПЛИВУ</dc:title>
  <dc:subject/>
  <dc:creator>Коваленко Екатерина Михайловна</dc:creator>
  <cp:keywords/>
  <dc:description/>
  <cp:lastModifiedBy>Павло Мельник</cp:lastModifiedBy>
  <cp:revision>2</cp:revision>
  <cp:lastPrinted>2023-09-26T06:45:00Z</cp:lastPrinted>
  <dcterms:created xsi:type="dcterms:W3CDTF">2023-09-26T09:04:00Z</dcterms:created>
  <dcterms:modified xsi:type="dcterms:W3CDTF">2023-09-26T09:04:00Z</dcterms:modified>
</cp:coreProperties>
</file>