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86972" w14:textId="77777777" w:rsidR="00B469DB" w:rsidRPr="006616DD" w:rsidRDefault="00B469DB" w:rsidP="004E1529">
      <w:pPr>
        <w:widowControl w:val="0"/>
        <w:autoSpaceDE w:val="0"/>
        <w:autoSpaceDN w:val="0"/>
        <w:spacing w:before="5"/>
        <w:jc w:val="center"/>
        <w:rPr>
          <w:sz w:val="16"/>
          <w:szCs w:val="28"/>
          <w:lang w:val="uk-UA"/>
        </w:rPr>
      </w:pPr>
    </w:p>
    <w:p w14:paraId="1061F60F" w14:textId="77777777" w:rsidR="00651A19" w:rsidRPr="006616DD" w:rsidRDefault="002109C7" w:rsidP="004E1529">
      <w:pPr>
        <w:widowControl w:val="0"/>
        <w:autoSpaceDE w:val="0"/>
        <w:autoSpaceDN w:val="0"/>
        <w:spacing w:before="5"/>
        <w:jc w:val="center"/>
        <w:rPr>
          <w:sz w:val="16"/>
          <w:szCs w:val="28"/>
          <w:lang w:val="uk-UA"/>
        </w:rPr>
      </w:pPr>
      <w:r w:rsidRPr="006616DD">
        <w:rPr>
          <w:noProof/>
          <w:sz w:val="20"/>
          <w:lang w:val="uk-UA" w:eastAsia="uk-UA"/>
        </w:rPr>
        <w:drawing>
          <wp:inline distT="0" distB="0" distL="0" distR="0" wp14:anchorId="289AEC11" wp14:editId="5A5F01CB">
            <wp:extent cx="504825" cy="7048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04825" cy="704850"/>
                    </a:xfrm>
                    <a:prstGeom prst="rect">
                      <a:avLst/>
                    </a:prstGeom>
                    <a:noFill/>
                    <a:ln>
                      <a:noFill/>
                    </a:ln>
                  </pic:spPr>
                </pic:pic>
              </a:graphicData>
            </a:graphic>
          </wp:inline>
        </w:drawing>
      </w:r>
    </w:p>
    <w:p w14:paraId="19296768" w14:textId="77777777" w:rsidR="00821878" w:rsidRPr="006616DD" w:rsidRDefault="002109C7" w:rsidP="001978DC">
      <w:pPr>
        <w:widowControl w:val="0"/>
        <w:autoSpaceDE w:val="0"/>
        <w:autoSpaceDN w:val="0"/>
        <w:ind w:left="196" w:right="189"/>
        <w:jc w:val="center"/>
        <w:rPr>
          <w:b/>
          <w:sz w:val="28"/>
          <w:szCs w:val="28"/>
          <w:lang w:val="uk-UA"/>
        </w:rPr>
      </w:pPr>
      <w:r w:rsidRPr="006616DD">
        <w:rPr>
          <w:b/>
          <w:sz w:val="28"/>
          <w:szCs w:val="28"/>
          <w:lang w:val="uk-UA"/>
        </w:rPr>
        <w:t>НАЦІОНАЛЬНА КОМІСІЯ, ЩО ЗДІЙСНЮЄ ДЕРЖАВНЕ</w:t>
      </w:r>
      <w:r w:rsidRPr="006616DD">
        <w:rPr>
          <w:b/>
          <w:spacing w:val="-66"/>
          <w:sz w:val="28"/>
          <w:szCs w:val="28"/>
          <w:lang w:val="uk-UA"/>
        </w:rPr>
        <w:t xml:space="preserve"> </w:t>
      </w:r>
      <w:r w:rsidR="002F3D1F" w:rsidRPr="006616DD">
        <w:rPr>
          <w:b/>
          <w:spacing w:val="-66"/>
          <w:sz w:val="28"/>
          <w:szCs w:val="28"/>
          <w:lang w:val="uk-UA"/>
        </w:rPr>
        <w:t xml:space="preserve">            </w:t>
      </w:r>
      <w:r w:rsidRPr="006616DD">
        <w:rPr>
          <w:b/>
          <w:sz w:val="28"/>
          <w:szCs w:val="28"/>
          <w:lang w:val="uk-UA"/>
        </w:rPr>
        <w:t>РЕГУЛЮВАННЯ</w:t>
      </w:r>
      <w:r w:rsidRPr="006616DD">
        <w:rPr>
          <w:b/>
          <w:spacing w:val="-4"/>
          <w:sz w:val="28"/>
          <w:szCs w:val="28"/>
          <w:lang w:val="uk-UA"/>
        </w:rPr>
        <w:t xml:space="preserve"> </w:t>
      </w:r>
      <w:r w:rsidRPr="006616DD">
        <w:rPr>
          <w:b/>
          <w:sz w:val="28"/>
          <w:szCs w:val="28"/>
          <w:lang w:val="uk-UA"/>
        </w:rPr>
        <w:t>У</w:t>
      </w:r>
      <w:r w:rsidRPr="006616DD">
        <w:rPr>
          <w:b/>
          <w:spacing w:val="-1"/>
          <w:sz w:val="28"/>
          <w:szCs w:val="28"/>
          <w:lang w:val="uk-UA"/>
        </w:rPr>
        <w:t xml:space="preserve"> </w:t>
      </w:r>
      <w:r w:rsidRPr="006616DD">
        <w:rPr>
          <w:b/>
          <w:sz w:val="28"/>
          <w:szCs w:val="28"/>
          <w:lang w:val="uk-UA"/>
        </w:rPr>
        <w:t>СФЕРАХ</w:t>
      </w:r>
      <w:r w:rsidRPr="006616DD">
        <w:rPr>
          <w:b/>
          <w:spacing w:val="-4"/>
          <w:sz w:val="28"/>
          <w:szCs w:val="28"/>
          <w:lang w:val="uk-UA"/>
        </w:rPr>
        <w:t xml:space="preserve"> </w:t>
      </w:r>
      <w:r w:rsidR="001978DC" w:rsidRPr="006616DD">
        <w:rPr>
          <w:b/>
          <w:spacing w:val="-4"/>
          <w:sz w:val="28"/>
          <w:szCs w:val="28"/>
          <w:lang w:val="uk-UA"/>
        </w:rPr>
        <w:t xml:space="preserve"> </w:t>
      </w:r>
      <w:r w:rsidRPr="006616DD">
        <w:rPr>
          <w:b/>
          <w:sz w:val="28"/>
          <w:szCs w:val="28"/>
          <w:lang w:val="uk-UA"/>
        </w:rPr>
        <w:t xml:space="preserve">ЕНЕРГЕТИКИ </w:t>
      </w:r>
    </w:p>
    <w:p w14:paraId="6470BEF8" w14:textId="77777777" w:rsidR="00340D91" w:rsidRPr="006616DD" w:rsidRDefault="002109C7" w:rsidP="001978DC">
      <w:pPr>
        <w:widowControl w:val="0"/>
        <w:autoSpaceDE w:val="0"/>
        <w:autoSpaceDN w:val="0"/>
        <w:ind w:left="196" w:right="189"/>
        <w:jc w:val="center"/>
        <w:rPr>
          <w:b/>
          <w:sz w:val="28"/>
          <w:szCs w:val="28"/>
          <w:lang w:val="uk-UA"/>
        </w:rPr>
      </w:pPr>
      <w:r w:rsidRPr="006616DD">
        <w:rPr>
          <w:b/>
          <w:sz w:val="28"/>
          <w:szCs w:val="28"/>
          <w:lang w:val="uk-UA"/>
        </w:rPr>
        <w:t>ТА КОМУНАЛЬНИХ</w:t>
      </w:r>
      <w:r w:rsidR="00326659" w:rsidRPr="006616DD">
        <w:rPr>
          <w:b/>
          <w:sz w:val="28"/>
          <w:szCs w:val="28"/>
          <w:lang w:val="uk-UA"/>
        </w:rPr>
        <w:t xml:space="preserve"> </w:t>
      </w:r>
      <w:r w:rsidRPr="006616DD">
        <w:rPr>
          <w:b/>
          <w:sz w:val="28"/>
          <w:szCs w:val="28"/>
          <w:lang w:val="uk-UA"/>
        </w:rPr>
        <w:t>ПОСЛУГ</w:t>
      </w:r>
    </w:p>
    <w:p w14:paraId="545B2727" w14:textId="77777777" w:rsidR="00651A19" w:rsidRPr="006616DD" w:rsidRDefault="002109C7">
      <w:pPr>
        <w:widowControl w:val="0"/>
        <w:autoSpaceDE w:val="0"/>
        <w:autoSpaceDN w:val="0"/>
        <w:ind w:left="2962" w:right="2949"/>
        <w:jc w:val="center"/>
        <w:rPr>
          <w:b/>
          <w:sz w:val="28"/>
          <w:szCs w:val="28"/>
          <w:lang w:val="uk-UA"/>
        </w:rPr>
      </w:pPr>
      <w:r w:rsidRPr="006616DD">
        <w:rPr>
          <w:b/>
          <w:spacing w:val="-65"/>
          <w:sz w:val="28"/>
          <w:szCs w:val="28"/>
          <w:lang w:val="uk-UA"/>
        </w:rPr>
        <w:t xml:space="preserve"> </w:t>
      </w:r>
      <w:r w:rsidRPr="006616DD">
        <w:rPr>
          <w:b/>
          <w:sz w:val="28"/>
          <w:szCs w:val="28"/>
          <w:lang w:val="uk-UA"/>
        </w:rPr>
        <w:t>(НКРЕКП)</w:t>
      </w:r>
    </w:p>
    <w:p w14:paraId="47F9F50F" w14:textId="77777777" w:rsidR="00651A19" w:rsidRPr="006616DD" w:rsidRDefault="00651A19">
      <w:pPr>
        <w:widowControl w:val="0"/>
        <w:autoSpaceDE w:val="0"/>
        <w:autoSpaceDN w:val="0"/>
        <w:rPr>
          <w:b/>
          <w:sz w:val="30"/>
          <w:szCs w:val="28"/>
          <w:lang w:val="uk-UA"/>
        </w:rPr>
      </w:pPr>
    </w:p>
    <w:p w14:paraId="5B3B1DE2" w14:textId="77777777" w:rsidR="00651A19" w:rsidRPr="006616DD" w:rsidRDefault="002109C7">
      <w:pPr>
        <w:widowControl w:val="0"/>
        <w:autoSpaceDE w:val="0"/>
        <w:autoSpaceDN w:val="0"/>
        <w:spacing w:before="208"/>
        <w:ind w:left="741" w:right="750"/>
        <w:jc w:val="center"/>
        <w:rPr>
          <w:b/>
          <w:sz w:val="32"/>
          <w:szCs w:val="32"/>
          <w:lang w:val="uk-UA"/>
        </w:rPr>
      </w:pPr>
      <w:bookmarkStart w:id="0" w:name="ПОСТАНОВА"/>
      <w:bookmarkEnd w:id="0"/>
      <w:r w:rsidRPr="006616DD">
        <w:rPr>
          <w:b/>
          <w:w w:val="95"/>
          <w:sz w:val="32"/>
          <w:szCs w:val="32"/>
          <w:lang w:val="uk-UA"/>
        </w:rPr>
        <w:t>ПО</w:t>
      </w:r>
      <w:r w:rsidRPr="006616DD">
        <w:rPr>
          <w:b/>
          <w:spacing w:val="24"/>
          <w:w w:val="95"/>
          <w:sz w:val="32"/>
          <w:szCs w:val="32"/>
          <w:lang w:val="uk-UA"/>
        </w:rPr>
        <w:t>СТАНО</w:t>
      </w:r>
      <w:r w:rsidRPr="006616DD">
        <w:rPr>
          <w:b/>
          <w:w w:val="95"/>
          <w:sz w:val="32"/>
          <w:szCs w:val="32"/>
          <w:lang w:val="uk-UA"/>
        </w:rPr>
        <w:t>ВА</w:t>
      </w:r>
    </w:p>
    <w:p w14:paraId="05F6545A" w14:textId="77777777" w:rsidR="00651A19" w:rsidRPr="006616DD" w:rsidRDefault="00651A19">
      <w:pPr>
        <w:widowControl w:val="0"/>
        <w:autoSpaceDE w:val="0"/>
        <w:autoSpaceDN w:val="0"/>
        <w:rPr>
          <w:b/>
          <w:sz w:val="20"/>
          <w:szCs w:val="28"/>
          <w:lang w:val="uk-UA"/>
        </w:rPr>
      </w:pPr>
    </w:p>
    <w:p w14:paraId="560EADBA" w14:textId="77777777" w:rsidR="00651A19" w:rsidRPr="006616DD" w:rsidRDefault="002109C7">
      <w:pPr>
        <w:widowControl w:val="0"/>
        <w:autoSpaceDE w:val="0"/>
        <w:autoSpaceDN w:val="0"/>
        <w:spacing w:before="11"/>
        <w:rPr>
          <w:b/>
          <w:sz w:val="11"/>
          <w:szCs w:val="28"/>
          <w:lang w:val="uk-UA"/>
        </w:rPr>
      </w:pPr>
      <w:r w:rsidRPr="006616DD">
        <w:rPr>
          <w:noProof/>
          <w:lang w:val="uk-UA" w:eastAsia="uk-UA"/>
        </w:rPr>
        <mc:AlternateContent>
          <mc:Choice Requires="wps">
            <w:drawing>
              <wp:anchor distT="0" distB="0" distL="0" distR="0" simplePos="0" relativeHeight="251659264" behindDoc="1" locked="0" layoutInCell="1" allowOverlap="1" wp14:anchorId="09D4BCBD" wp14:editId="41595908">
                <wp:simplePos x="0" y="0"/>
                <wp:positionH relativeFrom="page">
                  <wp:posOffset>1463675</wp:posOffset>
                </wp:positionH>
                <wp:positionV relativeFrom="paragraph">
                  <wp:posOffset>116205</wp:posOffset>
                </wp:positionV>
                <wp:extent cx="1283335" cy="1270"/>
                <wp:effectExtent l="0" t="0" r="0" b="0"/>
                <wp:wrapTopAndBottom/>
                <wp:docPr id="5" name="AutoShape 5"/>
                <wp:cNvGraphicFramePr/>
                <a:graphic xmlns:a="http://schemas.openxmlformats.org/drawingml/2006/main">
                  <a:graphicData uri="http://schemas.microsoft.com/office/word/2010/wordprocessingShape">
                    <wps:wsp>
                      <wps:cNvSpPr/>
                      <wps:spPr bwMode="auto">
                        <a:xfrm>
                          <a:off x="0" y="0"/>
                          <a:ext cx="1283335" cy="1270"/>
                        </a:xfrm>
                        <a:custGeom>
                          <a:avLst/>
                          <a:gdLst>
                            <a:gd name="T0" fmla="+- 0 2305 2305"/>
                            <a:gd name="T1" fmla="*/ T0 w 2021"/>
                            <a:gd name="T2" fmla="+- 0 3246 2305"/>
                            <a:gd name="T3" fmla="*/ T2 w 2021"/>
                            <a:gd name="T4" fmla="+- 0 3250 2305"/>
                            <a:gd name="T5" fmla="*/ T4 w 2021"/>
                            <a:gd name="T6" fmla="+- 0 4326 2305"/>
                            <a:gd name="T7" fmla="*/ T6 w 2021"/>
                          </a:gdLst>
                          <a:ahLst/>
                          <a:cxnLst>
                            <a:cxn ang="0">
                              <a:pos x="T1" y="0"/>
                            </a:cxn>
                            <a:cxn ang="0">
                              <a:pos x="T3" y="0"/>
                            </a:cxn>
                            <a:cxn ang="0">
                              <a:pos x="T5" y="0"/>
                            </a:cxn>
                            <a:cxn ang="0">
                              <a:pos x="T7" y="0"/>
                            </a:cxn>
                          </a:cxnLst>
                          <a:rect l="0" t="0" r="r" b="b"/>
                          <a:pathLst>
                            <a:path w="2021">
                              <a:moveTo>
                                <a:pt x="0" y="0"/>
                              </a:moveTo>
                              <a:lnTo>
                                <a:pt x="941" y="0"/>
                              </a:lnTo>
                              <a:moveTo>
                                <a:pt x="945" y="0"/>
                              </a:moveTo>
                              <a:lnTo>
                                <a:pt x="2021" y="0"/>
                              </a:lnTo>
                            </a:path>
                          </a:pathLst>
                        </a:custGeom>
                        <a:noFill/>
                        <a:ln w="68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4D36F5A" id="AutoShape 5" o:spid="_x0000_s1026" style="position:absolute;margin-left:115.25pt;margin-top:9.15pt;width:101.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" path="m,l941,t4,l2021,e" filled="f" strokeweight=".18967mm">
                <v:path arrowok="t" o:connecttype="custom" o:connectlocs="0,0;597535,0;600075,0;1283335,0" o:connectangles="0,0,0,0"/>
                <w10:wrap type="topAndBottom" anchorx="page"/>
              </v:shape>
            </w:pict>
          </mc:Fallback>
        </mc:AlternateContent>
      </w:r>
      <w:r w:rsidRPr="006616DD">
        <w:rPr>
          <w:noProof/>
          <w:lang w:val="uk-UA" w:eastAsia="uk-UA"/>
        </w:rPr>
        <mc:AlternateContent>
          <mc:Choice Requires="wps">
            <w:drawing>
              <wp:anchor distT="0" distB="0" distL="0" distR="0" simplePos="0" relativeHeight="251661312" behindDoc="1" locked="0" layoutInCell="1" allowOverlap="1" wp14:anchorId="1BB94E7E" wp14:editId="2F04EF4C">
                <wp:simplePos x="0" y="0"/>
                <wp:positionH relativeFrom="page">
                  <wp:posOffset>5193030</wp:posOffset>
                </wp:positionH>
                <wp:positionV relativeFrom="paragraph">
                  <wp:posOffset>116205</wp:posOffset>
                </wp:positionV>
                <wp:extent cx="1283335" cy="1270"/>
                <wp:effectExtent l="0" t="0" r="0" b="0"/>
                <wp:wrapTopAndBottom/>
                <wp:docPr id="4" name="AutoShape 4"/>
                <wp:cNvGraphicFramePr/>
                <a:graphic xmlns:a="http://schemas.openxmlformats.org/drawingml/2006/main">
                  <a:graphicData uri="http://schemas.microsoft.com/office/word/2010/wordprocessingShape">
                    <wps:wsp>
                      <wps:cNvSpPr/>
                      <wps:spPr bwMode="auto">
                        <a:xfrm>
                          <a:off x="0" y="0"/>
                          <a:ext cx="1283335" cy="1270"/>
                        </a:xfrm>
                        <a:custGeom>
                          <a:avLst/>
                          <a:gdLst>
                            <a:gd name="T0" fmla="+- 0 8178 8178"/>
                            <a:gd name="T1" fmla="*/ T0 w 2021"/>
                            <a:gd name="T2" fmla="+- 0 9253 8178"/>
                            <a:gd name="T3" fmla="*/ T2 w 2021"/>
                            <a:gd name="T4" fmla="+- 0 9258 8178"/>
                            <a:gd name="T5" fmla="*/ T4 w 2021"/>
                            <a:gd name="T6" fmla="+- 0 10198 8178"/>
                            <a:gd name="T7" fmla="*/ T6 w 2021"/>
                          </a:gdLst>
                          <a:ahLst/>
                          <a:cxnLst>
                            <a:cxn ang="0">
                              <a:pos x="T1" y="0"/>
                            </a:cxn>
                            <a:cxn ang="0">
                              <a:pos x="T3" y="0"/>
                            </a:cxn>
                            <a:cxn ang="0">
                              <a:pos x="T5" y="0"/>
                            </a:cxn>
                            <a:cxn ang="0">
                              <a:pos x="T7" y="0"/>
                            </a:cxn>
                          </a:cxnLst>
                          <a:rect l="0" t="0" r="r" b="b"/>
                          <a:pathLst>
                            <a:path w="2021">
                              <a:moveTo>
                                <a:pt x="0" y="0"/>
                              </a:moveTo>
                              <a:lnTo>
                                <a:pt x="1075" y="0"/>
                              </a:lnTo>
                              <a:moveTo>
                                <a:pt x="1080" y="0"/>
                              </a:moveTo>
                              <a:lnTo>
                                <a:pt x="2020" y="0"/>
                              </a:lnTo>
                            </a:path>
                          </a:pathLst>
                        </a:custGeom>
                        <a:noFill/>
                        <a:ln w="68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623295C" id="AutoShape 4" o:spid="_x0000_s1026" style="position:absolute;margin-left:408.9pt;margin-top:9.15pt;width:101.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" path="m,l1075,t5,l2020,e" filled="f" strokeweight=".18967mm">
                <v:path arrowok="t" o:connecttype="custom" o:connectlocs="0,0;682625,0;685800,0;1282700,0" o:connectangles="0,0,0,0"/>
                <w10:wrap type="topAndBottom" anchorx="page"/>
              </v:shape>
            </w:pict>
          </mc:Fallback>
        </mc:AlternateContent>
      </w:r>
    </w:p>
    <w:p w14:paraId="0C2B98C8" w14:textId="77777777" w:rsidR="00651A19" w:rsidRPr="006616DD" w:rsidRDefault="00651A19">
      <w:pPr>
        <w:widowControl w:val="0"/>
        <w:autoSpaceDE w:val="0"/>
        <w:autoSpaceDN w:val="0"/>
        <w:rPr>
          <w:b/>
          <w:sz w:val="20"/>
          <w:szCs w:val="28"/>
          <w:lang w:val="uk-UA"/>
        </w:rPr>
      </w:pPr>
    </w:p>
    <w:p w14:paraId="7F90ECD2" w14:textId="77777777" w:rsidR="00651A19" w:rsidRPr="006616DD" w:rsidRDefault="00651A19">
      <w:pPr>
        <w:widowControl w:val="0"/>
        <w:autoSpaceDE w:val="0"/>
        <w:autoSpaceDN w:val="0"/>
        <w:spacing w:before="1"/>
        <w:rPr>
          <w:b/>
          <w:sz w:val="18"/>
          <w:szCs w:val="28"/>
          <w:lang w:val="uk-UA"/>
        </w:rPr>
      </w:pPr>
    </w:p>
    <w:p w14:paraId="75DA2F05" w14:textId="77777777" w:rsidR="00651A19" w:rsidRPr="006616DD" w:rsidRDefault="002109C7">
      <w:pPr>
        <w:widowControl w:val="0"/>
        <w:autoSpaceDE w:val="0"/>
        <w:autoSpaceDN w:val="0"/>
        <w:spacing w:before="87"/>
        <w:ind w:left="196" w:right="182"/>
        <w:jc w:val="center"/>
        <w:rPr>
          <w:sz w:val="28"/>
          <w:szCs w:val="28"/>
          <w:lang w:val="uk-UA"/>
        </w:rPr>
      </w:pPr>
      <w:bookmarkStart w:id="1" w:name="________________________________________"/>
      <w:bookmarkStart w:id="2" w:name="Київ"/>
      <w:bookmarkEnd w:id="1"/>
      <w:bookmarkEnd w:id="2"/>
      <w:r w:rsidRPr="006616DD">
        <w:rPr>
          <w:sz w:val="28"/>
          <w:szCs w:val="28"/>
          <w:lang w:val="uk-UA"/>
        </w:rPr>
        <w:t>Київ</w:t>
      </w:r>
    </w:p>
    <w:p w14:paraId="4E4AC109" w14:textId="77777777" w:rsidR="00DA2965" w:rsidRPr="006616DD" w:rsidRDefault="00DA2965">
      <w:pPr>
        <w:widowControl w:val="0"/>
        <w:autoSpaceDE w:val="0"/>
        <w:autoSpaceDN w:val="0"/>
        <w:spacing w:before="87"/>
        <w:ind w:left="196" w:right="182"/>
        <w:jc w:val="center"/>
        <w:rPr>
          <w:sz w:val="28"/>
          <w:szCs w:val="28"/>
          <w:lang w:val="uk-UA"/>
        </w:rPr>
      </w:pPr>
    </w:p>
    <w:p w14:paraId="24DC579A" w14:textId="77777777" w:rsidR="00DA2965" w:rsidRPr="006616DD" w:rsidRDefault="002109C7" w:rsidP="00DA2965">
      <w:pPr>
        <w:widowControl w:val="0"/>
        <w:autoSpaceDE w:val="0"/>
        <w:autoSpaceDN w:val="0"/>
        <w:ind w:right="4860"/>
        <w:rPr>
          <w:sz w:val="28"/>
          <w:szCs w:val="28"/>
          <w:lang w:val="uk-UA"/>
        </w:rPr>
      </w:pPr>
      <w:r w:rsidRPr="006616DD">
        <w:rPr>
          <w:sz w:val="28"/>
          <w:szCs w:val="28"/>
          <w:lang w:val="uk-UA"/>
        </w:rPr>
        <w:t xml:space="preserve">Про затвердження Змін до </w:t>
      </w:r>
    </w:p>
    <w:p w14:paraId="341986EA" w14:textId="77777777" w:rsidR="00DA2965" w:rsidRPr="006616DD" w:rsidRDefault="002109C7" w:rsidP="00DA2965">
      <w:pPr>
        <w:widowControl w:val="0"/>
        <w:autoSpaceDE w:val="0"/>
        <w:autoSpaceDN w:val="0"/>
        <w:ind w:right="4860"/>
        <w:rPr>
          <w:b/>
          <w:sz w:val="28"/>
          <w:szCs w:val="28"/>
          <w:lang w:val="uk-UA"/>
        </w:rPr>
      </w:pPr>
      <w:r w:rsidRPr="006616DD">
        <w:rPr>
          <w:sz w:val="28"/>
          <w:szCs w:val="28"/>
          <w:lang w:val="uk-UA"/>
        </w:rPr>
        <w:t>Кодексу комерційного обліку електричної енергії</w:t>
      </w:r>
    </w:p>
    <w:p w14:paraId="52597BEC" w14:textId="77777777" w:rsidR="00DA2965" w:rsidRPr="006616DD" w:rsidRDefault="00DA2965">
      <w:pPr>
        <w:widowControl w:val="0"/>
        <w:autoSpaceDE w:val="0"/>
        <w:autoSpaceDN w:val="0"/>
        <w:spacing w:before="87"/>
        <w:ind w:left="196" w:right="182"/>
        <w:jc w:val="center"/>
        <w:rPr>
          <w:sz w:val="28"/>
          <w:szCs w:val="28"/>
          <w:lang w:val="uk-UA"/>
        </w:rPr>
      </w:pPr>
    </w:p>
    <w:p w14:paraId="4DF4006C" w14:textId="77777777" w:rsidR="003132BB" w:rsidRPr="006616DD" w:rsidRDefault="002109C7" w:rsidP="00323B3D">
      <w:pPr>
        <w:widowControl w:val="0"/>
        <w:tabs>
          <w:tab w:val="left" w:pos="1133"/>
        </w:tabs>
        <w:autoSpaceDE w:val="0"/>
        <w:autoSpaceDN w:val="0"/>
        <w:ind w:right="246" w:firstLine="993"/>
        <w:jc w:val="both"/>
        <w:rPr>
          <w:sz w:val="28"/>
          <w:szCs w:val="22"/>
          <w:lang w:val="uk-UA"/>
        </w:rPr>
      </w:pPr>
      <w:bookmarkStart w:id="3" w:name="Про_особливості_забезпечення_комерційног"/>
      <w:bookmarkEnd w:id="3"/>
      <w:r w:rsidRPr="006616DD">
        <w:rPr>
          <w:sz w:val="28"/>
          <w:szCs w:val="22"/>
          <w:lang w:val="uk-UA"/>
        </w:rPr>
        <w:t>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w:t>
      </w:r>
    </w:p>
    <w:p w14:paraId="24C11A75" w14:textId="77777777" w:rsidR="003132BB" w:rsidRPr="006616DD" w:rsidRDefault="003132BB" w:rsidP="003132BB">
      <w:pPr>
        <w:widowControl w:val="0"/>
        <w:autoSpaceDE w:val="0"/>
        <w:autoSpaceDN w:val="0"/>
        <w:rPr>
          <w:sz w:val="22"/>
          <w:szCs w:val="28"/>
          <w:lang w:val="uk-UA"/>
        </w:rPr>
      </w:pPr>
    </w:p>
    <w:p w14:paraId="1F20D193" w14:textId="77777777" w:rsidR="003132BB" w:rsidRPr="006616DD" w:rsidRDefault="002109C7" w:rsidP="000B0E82">
      <w:pPr>
        <w:widowControl w:val="0"/>
        <w:autoSpaceDE w:val="0"/>
        <w:autoSpaceDN w:val="0"/>
        <w:spacing w:after="120"/>
        <w:rPr>
          <w:b/>
          <w:spacing w:val="20"/>
          <w:sz w:val="28"/>
          <w:szCs w:val="22"/>
          <w:lang w:val="uk-UA"/>
        </w:rPr>
      </w:pPr>
      <w:r w:rsidRPr="006616DD">
        <w:rPr>
          <w:b/>
          <w:spacing w:val="20"/>
          <w:sz w:val="28"/>
          <w:szCs w:val="22"/>
          <w:lang w:val="uk-UA"/>
        </w:rPr>
        <w:t xml:space="preserve">ПОСТАНОВЛЯЄ: </w:t>
      </w:r>
    </w:p>
    <w:p w14:paraId="4914AA6D" w14:textId="77777777" w:rsidR="003132BB" w:rsidRPr="006616DD" w:rsidRDefault="003132BB" w:rsidP="003132BB">
      <w:pPr>
        <w:widowControl w:val="0"/>
        <w:autoSpaceDE w:val="0"/>
        <w:autoSpaceDN w:val="0"/>
        <w:rPr>
          <w:sz w:val="22"/>
          <w:szCs w:val="28"/>
          <w:lang w:val="uk-UA"/>
        </w:rPr>
      </w:pPr>
    </w:p>
    <w:p w14:paraId="38DAF004" w14:textId="77777777" w:rsidR="003132BB" w:rsidRPr="006616DD" w:rsidRDefault="002109C7" w:rsidP="003132BB">
      <w:pPr>
        <w:widowControl w:val="0"/>
        <w:autoSpaceDE w:val="0"/>
        <w:autoSpaceDN w:val="0"/>
        <w:spacing w:before="1"/>
        <w:ind w:left="119" w:right="400" w:firstLine="850"/>
        <w:jc w:val="both"/>
        <w:rPr>
          <w:sz w:val="28"/>
          <w:szCs w:val="28"/>
          <w:lang w:val="uk-UA"/>
        </w:rPr>
      </w:pPr>
      <w:r w:rsidRPr="006616DD">
        <w:rPr>
          <w:sz w:val="28"/>
          <w:szCs w:val="28"/>
          <w:lang w:val="uk-UA"/>
        </w:rPr>
        <w:t xml:space="preserve">1. Затвердити Зміни до Кодексу комерційного обліку електричної енергії, затвердженого постановою Національної комісії, що здійснює державне регулювання у сферах енергетики та комунальних послуг, </w:t>
      </w:r>
      <w:r w:rsidR="003B6C23" w:rsidRPr="006616DD">
        <w:rPr>
          <w:sz w:val="28"/>
          <w:szCs w:val="28"/>
          <w:lang w:val="uk-UA"/>
        </w:rPr>
        <w:br/>
      </w:r>
      <w:r w:rsidRPr="006616DD">
        <w:rPr>
          <w:sz w:val="28"/>
          <w:szCs w:val="28"/>
          <w:lang w:val="uk-UA"/>
        </w:rPr>
        <w:t xml:space="preserve">від 14 березня 2018 </w:t>
      </w:r>
      <w:r w:rsidR="00340D91" w:rsidRPr="006616DD">
        <w:rPr>
          <w:sz w:val="28"/>
          <w:szCs w:val="28"/>
          <w:lang w:val="uk-UA"/>
        </w:rPr>
        <w:t xml:space="preserve">року </w:t>
      </w:r>
      <w:r w:rsidRPr="006616DD">
        <w:rPr>
          <w:sz w:val="28"/>
          <w:szCs w:val="28"/>
          <w:lang w:val="uk-UA"/>
        </w:rPr>
        <w:t>№ 311, що додаються.</w:t>
      </w:r>
    </w:p>
    <w:p w14:paraId="423689D1" w14:textId="77777777" w:rsidR="003132BB" w:rsidRPr="006616DD" w:rsidRDefault="003132BB" w:rsidP="003132BB">
      <w:pPr>
        <w:widowControl w:val="0"/>
        <w:autoSpaceDE w:val="0"/>
        <w:autoSpaceDN w:val="0"/>
        <w:spacing w:before="1"/>
        <w:ind w:left="119" w:right="400" w:firstLine="850"/>
        <w:jc w:val="both"/>
        <w:rPr>
          <w:sz w:val="28"/>
          <w:szCs w:val="28"/>
          <w:lang w:val="uk-UA"/>
        </w:rPr>
      </w:pPr>
    </w:p>
    <w:p w14:paraId="0A477F21" w14:textId="65C6530C" w:rsidR="003132BB" w:rsidRPr="006616DD" w:rsidRDefault="00710458" w:rsidP="003132BB">
      <w:pPr>
        <w:widowControl w:val="0"/>
        <w:autoSpaceDE w:val="0"/>
        <w:autoSpaceDN w:val="0"/>
        <w:spacing w:before="1"/>
        <w:ind w:left="119" w:right="400" w:firstLine="850"/>
        <w:jc w:val="both"/>
        <w:rPr>
          <w:sz w:val="28"/>
          <w:szCs w:val="28"/>
          <w:lang w:val="uk-UA"/>
        </w:rPr>
      </w:pPr>
      <w:r>
        <w:rPr>
          <w:sz w:val="28"/>
          <w:szCs w:val="28"/>
          <w:lang w:val="uk-UA"/>
        </w:rPr>
        <w:t>2</w:t>
      </w:r>
      <w:r w:rsidR="002109C7" w:rsidRPr="006616DD">
        <w:rPr>
          <w:sz w:val="28"/>
          <w:szCs w:val="28"/>
          <w:lang w:val="uk-UA"/>
        </w:rPr>
        <w:t xml:space="preserve">. </w:t>
      </w:r>
      <w:r w:rsidR="009F596A" w:rsidRPr="006616DD">
        <w:rPr>
          <w:sz w:val="28"/>
          <w:szCs w:val="28"/>
          <w:lang w:val="uk-UA"/>
        </w:rPr>
        <w:t xml:space="preserve">Ця постанова набирає чинності з дня, наступного за днем її оприлюднення на офіційному </w:t>
      </w:r>
      <w:proofErr w:type="spellStart"/>
      <w:r w:rsidR="009F596A" w:rsidRPr="006616DD">
        <w:rPr>
          <w:sz w:val="28"/>
          <w:szCs w:val="28"/>
          <w:lang w:val="uk-UA"/>
        </w:rPr>
        <w:t>вебсайті</w:t>
      </w:r>
      <w:proofErr w:type="spellEnd"/>
      <w:r w:rsidR="009F596A" w:rsidRPr="006616DD">
        <w:rPr>
          <w:sz w:val="28"/>
          <w:szCs w:val="28"/>
          <w:lang w:val="uk-UA"/>
        </w:rPr>
        <w:t xml:space="preserve"> Національної комісії, що здійснює державне регулювання у сферах енергетики та комунальних послуг</w:t>
      </w:r>
      <w:r w:rsidR="002109C7" w:rsidRPr="006616DD">
        <w:rPr>
          <w:sz w:val="28"/>
          <w:szCs w:val="28"/>
          <w:lang w:val="uk-UA"/>
        </w:rPr>
        <w:t>.</w:t>
      </w:r>
    </w:p>
    <w:p w14:paraId="73E4C278" w14:textId="77777777" w:rsidR="001A5D8B" w:rsidRPr="006616DD" w:rsidRDefault="001A5D8B" w:rsidP="003132BB">
      <w:pPr>
        <w:widowControl w:val="0"/>
        <w:autoSpaceDE w:val="0"/>
        <w:autoSpaceDN w:val="0"/>
        <w:spacing w:before="1"/>
        <w:ind w:left="119" w:right="400" w:firstLine="850"/>
        <w:jc w:val="both"/>
        <w:rPr>
          <w:sz w:val="28"/>
          <w:szCs w:val="28"/>
          <w:lang w:val="uk-UA"/>
        </w:rPr>
      </w:pPr>
    </w:p>
    <w:p w14:paraId="2A055940" w14:textId="77777777" w:rsidR="00544D51" w:rsidRPr="006616DD" w:rsidRDefault="00544D51" w:rsidP="003132BB">
      <w:pPr>
        <w:widowControl w:val="0"/>
        <w:autoSpaceDE w:val="0"/>
        <w:autoSpaceDN w:val="0"/>
        <w:spacing w:before="1"/>
        <w:ind w:left="119" w:right="400" w:firstLine="850"/>
        <w:jc w:val="both"/>
        <w:rPr>
          <w:sz w:val="28"/>
          <w:szCs w:val="28"/>
          <w:lang w:val="uk-UA"/>
        </w:rPr>
      </w:pPr>
    </w:p>
    <w:p w14:paraId="2A3DB635" w14:textId="4D80C088" w:rsidR="003132BB" w:rsidRPr="006616DD" w:rsidRDefault="002109C7" w:rsidP="003132BB">
      <w:pPr>
        <w:widowControl w:val="0"/>
        <w:tabs>
          <w:tab w:val="left" w:pos="7388"/>
        </w:tabs>
        <w:autoSpaceDE w:val="0"/>
        <w:autoSpaceDN w:val="0"/>
        <w:ind w:left="122"/>
        <w:rPr>
          <w:sz w:val="28"/>
          <w:szCs w:val="28"/>
          <w:lang w:val="uk-UA"/>
        </w:rPr>
      </w:pPr>
      <w:bookmarkStart w:id="4" w:name="Голова_НКРЕКП___________________________"/>
      <w:bookmarkEnd w:id="4"/>
      <w:r w:rsidRPr="006616DD">
        <w:rPr>
          <w:sz w:val="28"/>
          <w:szCs w:val="28"/>
          <w:lang w:val="uk-UA"/>
        </w:rPr>
        <w:t>Голова</w:t>
      </w:r>
      <w:r w:rsidRPr="006616DD">
        <w:rPr>
          <w:spacing w:val="-4"/>
          <w:sz w:val="28"/>
          <w:szCs w:val="28"/>
          <w:lang w:val="uk-UA"/>
        </w:rPr>
        <w:t xml:space="preserve"> </w:t>
      </w:r>
      <w:r w:rsidRPr="006616DD">
        <w:rPr>
          <w:sz w:val="28"/>
          <w:szCs w:val="28"/>
          <w:lang w:val="uk-UA"/>
        </w:rPr>
        <w:t>НКРЕКП</w:t>
      </w:r>
      <w:r w:rsidR="00506C68" w:rsidRPr="006616DD">
        <w:rPr>
          <w:sz w:val="28"/>
          <w:szCs w:val="28"/>
          <w:lang w:val="uk-UA"/>
        </w:rPr>
        <w:t xml:space="preserve">                    </w:t>
      </w:r>
      <w:r w:rsidR="00114264">
        <w:rPr>
          <w:sz w:val="28"/>
          <w:szCs w:val="28"/>
          <w:lang w:val="uk-UA"/>
        </w:rPr>
        <w:t xml:space="preserve">           </w:t>
      </w:r>
      <w:r w:rsidR="00506C68" w:rsidRPr="006616DD">
        <w:rPr>
          <w:sz w:val="28"/>
          <w:szCs w:val="28"/>
          <w:lang w:val="uk-UA"/>
        </w:rPr>
        <w:t xml:space="preserve">                        </w:t>
      </w:r>
      <w:r w:rsidR="00114264">
        <w:rPr>
          <w:sz w:val="28"/>
          <w:szCs w:val="28"/>
          <w:lang w:val="uk-UA"/>
        </w:rPr>
        <w:t>Костянтин УЩАПОВСЬКИЙ</w:t>
      </w:r>
    </w:p>
    <w:p w14:paraId="1C83CD72" w14:textId="77777777" w:rsidR="00651A19" w:rsidRPr="006616DD" w:rsidRDefault="00651A19">
      <w:pPr>
        <w:widowControl w:val="0"/>
        <w:autoSpaceDE w:val="0"/>
        <w:autoSpaceDN w:val="0"/>
        <w:rPr>
          <w:sz w:val="22"/>
          <w:szCs w:val="22"/>
          <w:lang w:val="uk-UA"/>
        </w:rPr>
        <w:sectPr w:rsidR="00651A19" w:rsidRPr="006616DD" w:rsidSect="001978DC">
          <w:headerReference w:type="default" r:id="rId9"/>
          <w:pgSz w:w="11910" w:h="16840"/>
          <w:pgMar w:top="567" w:right="851" w:bottom="567" w:left="1418" w:header="709" w:footer="709" w:gutter="0"/>
          <w:cols w:space="720"/>
        </w:sectPr>
      </w:pPr>
    </w:p>
    <w:p w14:paraId="076D5F1E" w14:textId="77777777" w:rsidR="00A974F1" w:rsidRPr="006616DD" w:rsidRDefault="002109C7" w:rsidP="007E59A3">
      <w:pPr>
        <w:spacing w:line="240" w:lineRule="atLeast"/>
        <w:ind w:left="5670"/>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lastRenderedPageBreak/>
        <w:t>ЗАТВЕРДЖЕНО</w:t>
      </w:r>
    </w:p>
    <w:p w14:paraId="09E6A711" w14:textId="77777777" w:rsidR="00A974F1" w:rsidRPr="006616DD" w:rsidRDefault="002109C7" w:rsidP="007E59A3">
      <w:pPr>
        <w:spacing w:line="240" w:lineRule="atLeast"/>
        <w:ind w:left="5670"/>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Постанова Національної комісії,</w:t>
      </w:r>
    </w:p>
    <w:p w14:paraId="70A3EE3F" w14:textId="77777777" w:rsidR="00A974F1" w:rsidRPr="006616DD" w:rsidRDefault="002109C7" w:rsidP="007E59A3">
      <w:pPr>
        <w:spacing w:line="240" w:lineRule="atLeast"/>
        <w:ind w:left="5670"/>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що здійснює державне регулювання у сферах енергетики та комунальних послуг</w:t>
      </w:r>
    </w:p>
    <w:p w14:paraId="5BF7D421" w14:textId="77777777" w:rsidR="008F5913" w:rsidRPr="006616DD" w:rsidRDefault="002109C7" w:rsidP="00561E8D">
      <w:pPr>
        <w:spacing w:before="120" w:after="120" w:line="240" w:lineRule="atLeast"/>
        <w:ind w:firstLine="567"/>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 xml:space="preserve">                                                                         ___________________№ ______</w:t>
      </w:r>
    </w:p>
    <w:p w14:paraId="4D91EFE5" w14:textId="77777777" w:rsidR="00561E8D" w:rsidRPr="006616DD" w:rsidRDefault="00561E8D" w:rsidP="00561E8D">
      <w:pPr>
        <w:spacing w:before="120" w:after="120" w:line="240" w:lineRule="atLeast"/>
        <w:ind w:firstLine="567"/>
        <w:rPr>
          <w:rFonts w:eastAsia="Calibri"/>
          <w:color w:val="000000"/>
          <w:sz w:val="4"/>
          <w:szCs w:val="4"/>
          <w:shd w:val="clear" w:color="auto" w:fill="FFFFFF"/>
          <w:lang w:val="uk-UA"/>
        </w:rPr>
      </w:pPr>
    </w:p>
    <w:p w14:paraId="72AD1255" w14:textId="77777777" w:rsidR="007D64EB" w:rsidRPr="006616DD" w:rsidRDefault="002109C7" w:rsidP="008D32C1">
      <w:pPr>
        <w:spacing w:line="240" w:lineRule="atLeast"/>
        <w:ind w:firstLine="567"/>
        <w:jc w:val="center"/>
        <w:rPr>
          <w:rFonts w:eastAsia="Calibri"/>
          <w:b/>
          <w:color w:val="000000"/>
          <w:sz w:val="28"/>
          <w:szCs w:val="28"/>
          <w:shd w:val="clear" w:color="auto" w:fill="FFFFFF"/>
          <w:lang w:val="uk-UA"/>
        </w:rPr>
      </w:pPr>
      <w:r w:rsidRPr="006616DD">
        <w:rPr>
          <w:rFonts w:eastAsia="Calibri"/>
          <w:b/>
          <w:color w:val="000000"/>
          <w:sz w:val="28"/>
          <w:szCs w:val="28"/>
          <w:shd w:val="clear" w:color="auto" w:fill="FFFFFF"/>
          <w:lang w:val="uk-UA"/>
        </w:rPr>
        <w:t xml:space="preserve">Зміни </w:t>
      </w:r>
    </w:p>
    <w:p w14:paraId="74A54787" w14:textId="77777777" w:rsidR="00A974F1" w:rsidRPr="006616DD" w:rsidRDefault="002109C7" w:rsidP="007D64EB">
      <w:pPr>
        <w:spacing w:line="240" w:lineRule="atLeast"/>
        <w:ind w:firstLine="567"/>
        <w:jc w:val="center"/>
        <w:rPr>
          <w:rFonts w:eastAsia="Calibri"/>
          <w:color w:val="000000"/>
          <w:sz w:val="28"/>
          <w:szCs w:val="28"/>
          <w:shd w:val="clear" w:color="auto" w:fill="FFFFFF"/>
          <w:lang w:val="uk-UA"/>
        </w:rPr>
      </w:pPr>
      <w:r w:rsidRPr="006616DD">
        <w:rPr>
          <w:rFonts w:eastAsia="Calibri"/>
          <w:b/>
          <w:color w:val="000000"/>
          <w:sz w:val="28"/>
          <w:szCs w:val="28"/>
          <w:shd w:val="clear" w:color="auto" w:fill="FFFFFF"/>
          <w:lang w:val="uk-UA"/>
        </w:rPr>
        <w:t>до Кодексу комерційного обліку електричної енергії</w:t>
      </w:r>
    </w:p>
    <w:p w14:paraId="03B6019B" w14:textId="77777777" w:rsidR="00507482" w:rsidRPr="006616DD" w:rsidRDefault="00507482" w:rsidP="00507482">
      <w:pPr>
        <w:spacing w:line="240" w:lineRule="atLeast"/>
        <w:ind w:firstLine="567"/>
        <w:jc w:val="center"/>
        <w:rPr>
          <w:rFonts w:eastAsia="Calibri"/>
          <w:color w:val="000000"/>
          <w:sz w:val="28"/>
          <w:szCs w:val="28"/>
          <w:shd w:val="clear" w:color="auto" w:fill="FFFFFF"/>
          <w:lang w:val="uk-UA"/>
        </w:rPr>
      </w:pPr>
    </w:p>
    <w:p w14:paraId="786838A6" w14:textId="77777777" w:rsidR="002B6143" w:rsidRPr="006616DD" w:rsidRDefault="002109C7" w:rsidP="00B469DB">
      <w:pPr>
        <w:ind w:firstLine="567"/>
        <w:jc w:val="both"/>
        <w:rPr>
          <w:rFonts w:eastAsia="Calibri"/>
          <w:sz w:val="28"/>
          <w:szCs w:val="28"/>
          <w:shd w:val="clear" w:color="auto" w:fill="FFFFFF"/>
          <w:lang w:val="uk-UA"/>
        </w:rPr>
      </w:pPr>
      <w:r w:rsidRPr="006616DD">
        <w:rPr>
          <w:rFonts w:eastAsia="Calibri"/>
          <w:sz w:val="28"/>
          <w:szCs w:val="28"/>
          <w:shd w:val="clear" w:color="auto" w:fill="FFFFFF"/>
          <w:lang w:val="uk-UA"/>
        </w:rPr>
        <w:t>1</w:t>
      </w:r>
      <w:r w:rsidR="00B13597" w:rsidRPr="006616DD">
        <w:rPr>
          <w:rFonts w:eastAsia="Calibri"/>
          <w:sz w:val="28"/>
          <w:szCs w:val="28"/>
          <w:shd w:val="clear" w:color="auto" w:fill="FFFFFF"/>
          <w:lang w:val="uk-UA"/>
        </w:rPr>
        <w:t xml:space="preserve">. </w:t>
      </w:r>
      <w:r w:rsidRPr="006616DD">
        <w:rPr>
          <w:rFonts w:eastAsia="Calibri"/>
          <w:sz w:val="28"/>
          <w:szCs w:val="28"/>
          <w:shd w:val="clear" w:color="auto" w:fill="FFFFFF"/>
          <w:lang w:val="uk-UA"/>
        </w:rPr>
        <w:t xml:space="preserve">У </w:t>
      </w:r>
      <w:r w:rsidR="00B469DB" w:rsidRPr="006616DD">
        <w:rPr>
          <w:rFonts w:eastAsia="Calibri"/>
          <w:sz w:val="28"/>
          <w:szCs w:val="28"/>
          <w:shd w:val="clear" w:color="auto" w:fill="FFFFFF"/>
          <w:lang w:val="uk-UA"/>
        </w:rPr>
        <w:t xml:space="preserve">пункті 1.2.1 глави 1.2 </w:t>
      </w:r>
      <w:r w:rsidRPr="006616DD">
        <w:rPr>
          <w:rFonts w:eastAsia="Calibri"/>
          <w:sz w:val="28"/>
          <w:szCs w:val="28"/>
          <w:shd w:val="clear" w:color="auto" w:fill="FFFFFF"/>
          <w:lang w:val="uk-UA"/>
        </w:rPr>
        <w:t>розділ</w:t>
      </w:r>
      <w:r w:rsidR="00B469DB" w:rsidRPr="006616DD">
        <w:rPr>
          <w:rFonts w:eastAsia="Calibri"/>
          <w:sz w:val="28"/>
          <w:szCs w:val="28"/>
          <w:shd w:val="clear" w:color="auto" w:fill="FFFFFF"/>
          <w:lang w:val="uk-UA"/>
        </w:rPr>
        <w:t>у</w:t>
      </w:r>
      <w:r w:rsidRPr="006616DD">
        <w:rPr>
          <w:rFonts w:eastAsia="Calibri"/>
          <w:sz w:val="28"/>
          <w:szCs w:val="28"/>
          <w:shd w:val="clear" w:color="auto" w:fill="FFFFFF"/>
          <w:lang w:val="uk-UA"/>
        </w:rPr>
        <w:t xml:space="preserve"> І:</w:t>
      </w:r>
    </w:p>
    <w:p w14:paraId="515231FD" w14:textId="77777777" w:rsidR="001E5C3B" w:rsidRPr="006616DD" w:rsidRDefault="001E5C3B" w:rsidP="00B469DB">
      <w:pPr>
        <w:ind w:firstLine="567"/>
        <w:jc w:val="both"/>
        <w:rPr>
          <w:rFonts w:eastAsia="Calibri"/>
          <w:sz w:val="28"/>
          <w:szCs w:val="28"/>
          <w:shd w:val="clear" w:color="auto" w:fill="FFFFFF"/>
          <w:lang w:val="uk-UA"/>
        </w:rPr>
      </w:pPr>
    </w:p>
    <w:p w14:paraId="59549026" w14:textId="77777777" w:rsidR="00EF2406" w:rsidRPr="006616DD" w:rsidRDefault="00EF2406" w:rsidP="00B469DB">
      <w:pPr>
        <w:ind w:firstLine="567"/>
        <w:jc w:val="both"/>
        <w:rPr>
          <w:rFonts w:eastAsia="Calibri"/>
          <w:sz w:val="28"/>
          <w:szCs w:val="28"/>
          <w:shd w:val="clear" w:color="auto" w:fill="FFFFFF"/>
          <w:lang w:val="uk-UA"/>
        </w:rPr>
      </w:pPr>
      <w:r w:rsidRPr="006616DD">
        <w:rPr>
          <w:rFonts w:eastAsia="Calibri"/>
          <w:sz w:val="28"/>
          <w:szCs w:val="28"/>
          <w:shd w:val="clear" w:color="auto" w:fill="FFFFFF"/>
          <w:lang w:val="uk-UA"/>
        </w:rPr>
        <w:t>1) підпункт 19 викласти у такій редакції:</w:t>
      </w:r>
    </w:p>
    <w:p w14:paraId="1C2AE875" w14:textId="77777777" w:rsidR="001E5C3B" w:rsidRPr="006616DD" w:rsidRDefault="001E5C3B" w:rsidP="00B469DB">
      <w:pPr>
        <w:ind w:firstLine="567"/>
        <w:jc w:val="both"/>
        <w:rPr>
          <w:rFonts w:eastAsia="Calibri"/>
          <w:sz w:val="28"/>
          <w:szCs w:val="28"/>
          <w:shd w:val="clear" w:color="auto" w:fill="FFFFFF"/>
          <w:lang w:val="uk-UA"/>
        </w:rPr>
      </w:pPr>
    </w:p>
    <w:p w14:paraId="3524A480" w14:textId="04351859" w:rsidR="00EF2406" w:rsidRPr="00405B1A" w:rsidRDefault="002C77F8" w:rsidP="002C77F8">
      <w:pPr>
        <w:ind w:firstLine="567"/>
        <w:jc w:val="both"/>
        <w:rPr>
          <w:sz w:val="26"/>
          <w:szCs w:val="26"/>
          <w:lang w:val="uk-UA"/>
        </w:rPr>
      </w:pPr>
      <w:r w:rsidRPr="006616DD">
        <w:rPr>
          <w:color w:val="000000"/>
          <w:sz w:val="28"/>
          <w:szCs w:val="28"/>
          <w:lang w:val="uk-UA"/>
        </w:rPr>
        <w:t xml:space="preserve">«19) </w:t>
      </w:r>
      <w:r w:rsidR="007411AE" w:rsidRPr="007411AE">
        <w:rPr>
          <w:color w:val="000000"/>
          <w:sz w:val="28"/>
          <w:szCs w:val="28"/>
          <w:lang w:val="uk-UA"/>
        </w:rPr>
        <w:t>замовник послуги комерційного обліку (замовник) – фізична або юридична особа, яка офіційно звернулася в усній або письмовій (зокрема електронній) формі до ППКО про намір отримати послугу комерційного обліку;</w:t>
      </w:r>
      <w:r w:rsidRPr="00405B1A">
        <w:rPr>
          <w:sz w:val="28"/>
          <w:szCs w:val="28"/>
          <w:lang w:val="uk-UA"/>
        </w:rPr>
        <w:t>»</w:t>
      </w:r>
      <w:r w:rsidR="006616DD" w:rsidRPr="00405B1A">
        <w:rPr>
          <w:sz w:val="28"/>
          <w:szCs w:val="28"/>
          <w:lang w:val="uk-UA"/>
        </w:rPr>
        <w:t>;</w:t>
      </w:r>
    </w:p>
    <w:p w14:paraId="59C78DBA" w14:textId="77777777" w:rsidR="00EF2406" w:rsidRPr="00114264" w:rsidRDefault="00EF2406" w:rsidP="00B469DB">
      <w:pPr>
        <w:ind w:firstLine="567"/>
        <w:jc w:val="both"/>
        <w:rPr>
          <w:rFonts w:eastAsia="Calibri"/>
          <w:sz w:val="28"/>
          <w:szCs w:val="28"/>
          <w:shd w:val="clear" w:color="auto" w:fill="FFFFFF"/>
          <w:lang w:val="uk-UA"/>
        </w:rPr>
      </w:pPr>
    </w:p>
    <w:p w14:paraId="5795007F" w14:textId="77777777" w:rsidR="000F0545" w:rsidRPr="00114264" w:rsidRDefault="00EF2406" w:rsidP="00B469DB">
      <w:pPr>
        <w:ind w:firstLine="567"/>
        <w:jc w:val="both"/>
        <w:rPr>
          <w:rFonts w:eastAsia="Calibri"/>
          <w:sz w:val="28"/>
          <w:szCs w:val="28"/>
          <w:shd w:val="clear" w:color="auto" w:fill="FFFFFF"/>
          <w:lang w:val="uk-UA"/>
        </w:rPr>
      </w:pPr>
      <w:r w:rsidRPr="00114264">
        <w:rPr>
          <w:rFonts w:eastAsia="Calibri"/>
          <w:sz w:val="28"/>
          <w:szCs w:val="28"/>
          <w:shd w:val="clear" w:color="auto" w:fill="FFFFFF"/>
          <w:lang w:val="uk-UA"/>
        </w:rPr>
        <w:t xml:space="preserve">2) </w:t>
      </w:r>
      <w:r w:rsidR="000F0545" w:rsidRPr="00114264">
        <w:rPr>
          <w:rFonts w:eastAsia="Calibri"/>
          <w:sz w:val="28"/>
          <w:szCs w:val="28"/>
          <w:shd w:val="clear" w:color="auto" w:fill="FFFFFF"/>
          <w:lang w:val="uk-UA"/>
        </w:rPr>
        <w:t>підпункт 32 виключити.</w:t>
      </w:r>
    </w:p>
    <w:p w14:paraId="0A40DF82" w14:textId="77777777" w:rsidR="00F2375B" w:rsidRPr="00114264" w:rsidRDefault="00F2375B" w:rsidP="00B469DB">
      <w:pPr>
        <w:ind w:firstLine="567"/>
        <w:jc w:val="both"/>
        <w:rPr>
          <w:rFonts w:eastAsia="Calibri"/>
          <w:sz w:val="28"/>
          <w:szCs w:val="28"/>
          <w:shd w:val="clear" w:color="auto" w:fill="FFFFFF"/>
          <w:lang w:val="uk-UA"/>
        </w:rPr>
      </w:pPr>
      <w:r w:rsidRPr="00114264">
        <w:rPr>
          <w:rFonts w:eastAsia="Calibri"/>
          <w:sz w:val="28"/>
          <w:szCs w:val="28"/>
          <w:shd w:val="clear" w:color="auto" w:fill="FFFFFF"/>
          <w:lang w:val="uk-UA"/>
        </w:rPr>
        <w:t xml:space="preserve">У зв’язку з цим підпункти </w:t>
      </w:r>
      <w:r w:rsidR="000F0545" w:rsidRPr="00114264">
        <w:rPr>
          <w:rFonts w:eastAsia="Calibri"/>
          <w:sz w:val="28"/>
          <w:szCs w:val="28"/>
          <w:shd w:val="clear" w:color="auto" w:fill="FFFFFF"/>
          <w:lang w:val="uk-UA"/>
        </w:rPr>
        <w:t>33</w:t>
      </w:r>
      <w:r w:rsidRPr="00114264">
        <w:rPr>
          <w:rFonts w:eastAsia="Calibri"/>
          <w:sz w:val="28"/>
          <w:szCs w:val="28"/>
          <w:shd w:val="clear" w:color="auto" w:fill="FFFFFF"/>
          <w:lang w:val="uk-UA"/>
        </w:rPr>
        <w:t xml:space="preserve"> – </w:t>
      </w:r>
      <w:r w:rsidR="000F0545" w:rsidRPr="00114264">
        <w:rPr>
          <w:rFonts w:eastAsia="Calibri"/>
          <w:sz w:val="28"/>
          <w:szCs w:val="28"/>
          <w:shd w:val="clear" w:color="auto" w:fill="FFFFFF"/>
          <w:lang w:val="uk-UA"/>
        </w:rPr>
        <w:t>82</w:t>
      </w:r>
      <w:r w:rsidRPr="00114264">
        <w:rPr>
          <w:rFonts w:eastAsia="Calibri"/>
          <w:sz w:val="28"/>
          <w:szCs w:val="28"/>
          <w:shd w:val="clear" w:color="auto" w:fill="FFFFFF"/>
          <w:lang w:val="uk-UA"/>
        </w:rPr>
        <w:t xml:space="preserve"> вважати відповідно підпунктами </w:t>
      </w:r>
      <w:r w:rsidR="000F0545" w:rsidRPr="00114264">
        <w:rPr>
          <w:rFonts w:eastAsia="Calibri"/>
          <w:sz w:val="28"/>
          <w:szCs w:val="28"/>
          <w:shd w:val="clear" w:color="auto" w:fill="FFFFFF"/>
          <w:lang w:val="uk-UA"/>
        </w:rPr>
        <w:t>32</w:t>
      </w:r>
      <w:r w:rsidRPr="00114264">
        <w:rPr>
          <w:rFonts w:eastAsia="Calibri"/>
          <w:sz w:val="28"/>
          <w:szCs w:val="28"/>
          <w:shd w:val="clear" w:color="auto" w:fill="FFFFFF"/>
          <w:lang w:val="uk-UA"/>
        </w:rPr>
        <w:t xml:space="preserve"> – </w:t>
      </w:r>
      <w:r w:rsidR="000F0545" w:rsidRPr="00114264">
        <w:rPr>
          <w:rFonts w:eastAsia="Calibri"/>
          <w:sz w:val="28"/>
          <w:szCs w:val="28"/>
          <w:shd w:val="clear" w:color="auto" w:fill="FFFFFF"/>
          <w:lang w:val="uk-UA"/>
        </w:rPr>
        <w:t>81</w:t>
      </w:r>
      <w:r w:rsidRPr="00114264">
        <w:rPr>
          <w:rFonts w:eastAsia="Calibri"/>
          <w:sz w:val="28"/>
          <w:szCs w:val="28"/>
          <w:shd w:val="clear" w:color="auto" w:fill="FFFFFF"/>
          <w:lang w:val="uk-UA"/>
        </w:rPr>
        <w:t>;</w:t>
      </w:r>
    </w:p>
    <w:p w14:paraId="75CB29C2" w14:textId="77777777" w:rsidR="001E5C3B" w:rsidRPr="00114264" w:rsidRDefault="001E5C3B" w:rsidP="00B469DB">
      <w:pPr>
        <w:ind w:firstLine="567"/>
        <w:jc w:val="both"/>
        <w:rPr>
          <w:rFonts w:eastAsia="Calibri"/>
          <w:sz w:val="28"/>
          <w:szCs w:val="28"/>
          <w:shd w:val="clear" w:color="auto" w:fill="FFFFFF"/>
          <w:lang w:val="uk-UA"/>
        </w:rPr>
      </w:pPr>
    </w:p>
    <w:p w14:paraId="0E0DE5C6" w14:textId="77777777" w:rsidR="00EA23D5" w:rsidRPr="00114264" w:rsidRDefault="00EF2406" w:rsidP="00B469DB">
      <w:pPr>
        <w:ind w:firstLine="567"/>
        <w:jc w:val="both"/>
        <w:rPr>
          <w:b/>
          <w:sz w:val="26"/>
          <w:szCs w:val="26"/>
          <w:lang w:val="uk-UA"/>
        </w:rPr>
      </w:pPr>
      <w:r w:rsidRPr="00114264">
        <w:rPr>
          <w:rFonts w:eastAsia="Calibri"/>
          <w:sz w:val="28"/>
          <w:szCs w:val="28"/>
          <w:shd w:val="clear" w:color="auto" w:fill="FFFFFF"/>
          <w:lang w:val="uk-UA"/>
        </w:rPr>
        <w:t xml:space="preserve">3) </w:t>
      </w:r>
      <w:r w:rsidR="007D5D1F" w:rsidRPr="00114264">
        <w:rPr>
          <w:rFonts w:eastAsia="Calibri"/>
          <w:sz w:val="28"/>
          <w:szCs w:val="28"/>
          <w:shd w:val="clear" w:color="auto" w:fill="FFFFFF"/>
          <w:lang w:val="uk-UA"/>
        </w:rPr>
        <w:t xml:space="preserve">після підпункту </w:t>
      </w:r>
      <w:r w:rsidR="000F0545" w:rsidRPr="00114264">
        <w:rPr>
          <w:rFonts w:eastAsia="Calibri"/>
          <w:sz w:val="28"/>
          <w:szCs w:val="28"/>
          <w:shd w:val="clear" w:color="auto" w:fill="FFFFFF"/>
          <w:lang w:val="uk-UA"/>
        </w:rPr>
        <w:t>32</w:t>
      </w:r>
      <w:r w:rsidR="007D5D1F" w:rsidRPr="00114264">
        <w:rPr>
          <w:rFonts w:eastAsia="Calibri"/>
          <w:sz w:val="28"/>
          <w:szCs w:val="28"/>
          <w:shd w:val="clear" w:color="auto" w:fill="FFFFFF"/>
          <w:lang w:val="uk-UA"/>
        </w:rPr>
        <w:t xml:space="preserve"> доповнити новим підпунктом </w:t>
      </w:r>
      <w:r w:rsidR="000F0545" w:rsidRPr="00114264">
        <w:rPr>
          <w:rFonts w:eastAsia="Calibri"/>
          <w:sz w:val="28"/>
          <w:szCs w:val="28"/>
          <w:shd w:val="clear" w:color="auto" w:fill="FFFFFF"/>
          <w:lang w:val="uk-UA"/>
        </w:rPr>
        <w:t>33</w:t>
      </w:r>
      <w:r w:rsidR="007D5D1F" w:rsidRPr="00114264">
        <w:rPr>
          <w:sz w:val="28"/>
          <w:szCs w:val="28"/>
          <w:vertAlign w:val="superscript"/>
          <w:lang w:val="uk-UA"/>
        </w:rPr>
        <w:t xml:space="preserve"> </w:t>
      </w:r>
      <w:r w:rsidR="007D5D1F" w:rsidRPr="00114264">
        <w:rPr>
          <w:sz w:val="28"/>
          <w:szCs w:val="28"/>
          <w:lang w:val="uk-UA"/>
        </w:rPr>
        <w:t>такого змісту:</w:t>
      </w:r>
    </w:p>
    <w:p w14:paraId="46349ECB" w14:textId="77777777" w:rsidR="00EA23D5" w:rsidRPr="00114264" w:rsidRDefault="007D5D1F" w:rsidP="00B469DB">
      <w:pPr>
        <w:ind w:firstLine="567"/>
        <w:jc w:val="both"/>
        <w:rPr>
          <w:rFonts w:eastAsia="Calibri"/>
          <w:sz w:val="28"/>
          <w:szCs w:val="28"/>
          <w:highlight w:val="yellow"/>
          <w:shd w:val="clear" w:color="auto" w:fill="FFFFFF"/>
          <w:lang w:val="uk-UA"/>
        </w:rPr>
      </w:pPr>
      <w:r w:rsidRPr="00114264">
        <w:rPr>
          <w:sz w:val="28"/>
          <w:szCs w:val="28"/>
          <w:lang w:val="uk-UA"/>
        </w:rPr>
        <w:t>«</w:t>
      </w:r>
      <w:r w:rsidR="000F0545" w:rsidRPr="00114264">
        <w:rPr>
          <w:sz w:val="28"/>
          <w:szCs w:val="28"/>
          <w:lang w:val="uk-UA"/>
        </w:rPr>
        <w:t>33) комерційний облік електричної енергії - сукупність процесів та процедур із забезпечення формування даних щодо обсягів виробленої, відпущеної, переданої, розподіленої, спожитої, імпортованої та експортованої електричної енергії у визначений проміжок часу з метою використання таких даних для здійснення розрахунків між учасниками ринку;</w:t>
      </w:r>
      <w:r w:rsidRPr="00114264">
        <w:rPr>
          <w:sz w:val="28"/>
          <w:szCs w:val="28"/>
          <w:lang w:val="uk-UA"/>
        </w:rPr>
        <w:t>»</w:t>
      </w:r>
      <w:r w:rsidR="000946ED" w:rsidRPr="00114264">
        <w:rPr>
          <w:sz w:val="28"/>
          <w:szCs w:val="28"/>
          <w:lang w:val="uk-UA"/>
        </w:rPr>
        <w:t>.</w:t>
      </w:r>
    </w:p>
    <w:p w14:paraId="6BBC9E9F" w14:textId="77777777" w:rsidR="00C30E89" w:rsidRPr="006616DD" w:rsidRDefault="00C30E89" w:rsidP="007D5D1F">
      <w:pPr>
        <w:ind w:firstLine="567"/>
        <w:jc w:val="both"/>
        <w:rPr>
          <w:sz w:val="28"/>
          <w:szCs w:val="28"/>
          <w:lang w:val="uk-UA"/>
        </w:rPr>
      </w:pPr>
      <w:r w:rsidRPr="006616DD">
        <w:rPr>
          <w:sz w:val="28"/>
          <w:szCs w:val="28"/>
          <w:lang w:val="uk-UA"/>
        </w:rPr>
        <w:t xml:space="preserve">У зв’язку з цим підпункти </w:t>
      </w:r>
      <w:r w:rsidR="000F0545" w:rsidRPr="006616DD">
        <w:rPr>
          <w:sz w:val="28"/>
          <w:szCs w:val="28"/>
          <w:lang w:val="uk-UA"/>
        </w:rPr>
        <w:t>33</w:t>
      </w:r>
      <w:r w:rsidRPr="006616DD">
        <w:rPr>
          <w:sz w:val="28"/>
          <w:szCs w:val="28"/>
          <w:lang w:val="uk-UA"/>
        </w:rPr>
        <w:t xml:space="preserve"> – 8</w:t>
      </w:r>
      <w:r w:rsidR="000F0545" w:rsidRPr="006616DD">
        <w:rPr>
          <w:sz w:val="28"/>
          <w:szCs w:val="28"/>
          <w:lang w:val="uk-UA"/>
        </w:rPr>
        <w:t>1</w:t>
      </w:r>
      <w:r w:rsidRPr="006616DD">
        <w:rPr>
          <w:sz w:val="28"/>
          <w:szCs w:val="28"/>
          <w:lang w:val="uk-UA"/>
        </w:rPr>
        <w:t xml:space="preserve"> вважати відповідно підпунктами 3</w:t>
      </w:r>
      <w:r w:rsidR="000F0545" w:rsidRPr="006616DD">
        <w:rPr>
          <w:sz w:val="28"/>
          <w:szCs w:val="28"/>
          <w:lang w:val="uk-UA"/>
        </w:rPr>
        <w:t>4</w:t>
      </w:r>
      <w:r w:rsidRPr="006616DD">
        <w:rPr>
          <w:sz w:val="28"/>
          <w:szCs w:val="28"/>
          <w:lang w:val="uk-UA"/>
        </w:rPr>
        <w:t xml:space="preserve"> – 8</w:t>
      </w:r>
      <w:r w:rsidR="000F0545" w:rsidRPr="006616DD">
        <w:rPr>
          <w:sz w:val="28"/>
          <w:szCs w:val="28"/>
          <w:lang w:val="uk-UA"/>
        </w:rPr>
        <w:t>2.</w:t>
      </w:r>
    </w:p>
    <w:p w14:paraId="3E1E218A" w14:textId="77777777" w:rsidR="003205B3" w:rsidRPr="006616DD" w:rsidRDefault="003205B3" w:rsidP="003205B3">
      <w:pPr>
        <w:spacing w:after="120"/>
        <w:ind w:firstLine="567"/>
        <w:jc w:val="both"/>
        <w:rPr>
          <w:rFonts w:eastAsia="Calibri"/>
          <w:sz w:val="28"/>
          <w:szCs w:val="28"/>
          <w:shd w:val="clear" w:color="auto" w:fill="FFFFFF"/>
          <w:lang w:val="uk-UA"/>
        </w:rPr>
      </w:pPr>
    </w:p>
    <w:p w14:paraId="24F974A4" w14:textId="77777777" w:rsidR="004A1D63" w:rsidRPr="006616DD" w:rsidRDefault="000F0545" w:rsidP="004A1D63">
      <w:pPr>
        <w:ind w:firstLine="567"/>
        <w:jc w:val="both"/>
        <w:rPr>
          <w:rFonts w:eastAsia="Calibri"/>
          <w:sz w:val="28"/>
          <w:szCs w:val="28"/>
          <w:shd w:val="clear" w:color="auto" w:fill="FFFFFF"/>
          <w:lang w:val="uk-UA"/>
        </w:rPr>
      </w:pPr>
      <w:r w:rsidRPr="006616DD">
        <w:rPr>
          <w:rFonts w:eastAsia="Calibri"/>
          <w:sz w:val="28"/>
          <w:szCs w:val="28"/>
          <w:shd w:val="clear" w:color="auto" w:fill="FFFFFF"/>
          <w:lang w:val="uk-UA"/>
        </w:rPr>
        <w:t xml:space="preserve">2. У </w:t>
      </w:r>
      <w:r w:rsidR="00B469DB" w:rsidRPr="006616DD">
        <w:rPr>
          <w:rFonts w:eastAsia="Calibri"/>
          <w:sz w:val="28"/>
          <w:szCs w:val="28"/>
          <w:shd w:val="clear" w:color="auto" w:fill="FFFFFF"/>
          <w:lang w:val="uk-UA"/>
        </w:rPr>
        <w:t xml:space="preserve">главі 5.10 </w:t>
      </w:r>
      <w:r w:rsidRPr="006616DD">
        <w:rPr>
          <w:rFonts w:eastAsia="Calibri"/>
          <w:sz w:val="28"/>
          <w:szCs w:val="28"/>
          <w:shd w:val="clear" w:color="auto" w:fill="FFFFFF"/>
          <w:lang w:val="uk-UA"/>
        </w:rPr>
        <w:t>розділ</w:t>
      </w:r>
      <w:r w:rsidR="00B469DB" w:rsidRPr="006616DD">
        <w:rPr>
          <w:rFonts w:eastAsia="Calibri"/>
          <w:sz w:val="28"/>
          <w:szCs w:val="28"/>
          <w:shd w:val="clear" w:color="auto" w:fill="FFFFFF"/>
          <w:lang w:val="uk-UA"/>
        </w:rPr>
        <w:t>у</w:t>
      </w:r>
      <w:r w:rsidRPr="006616DD">
        <w:rPr>
          <w:rFonts w:eastAsia="Calibri"/>
          <w:sz w:val="28"/>
          <w:szCs w:val="28"/>
          <w:shd w:val="clear" w:color="auto" w:fill="FFFFFF"/>
          <w:lang w:val="uk-UA"/>
        </w:rPr>
        <w:t xml:space="preserve"> </w:t>
      </w:r>
      <w:r w:rsidR="003205B3" w:rsidRPr="006616DD">
        <w:rPr>
          <w:rFonts w:eastAsia="Calibri"/>
          <w:sz w:val="28"/>
          <w:szCs w:val="28"/>
          <w:shd w:val="clear" w:color="auto" w:fill="FFFFFF"/>
          <w:lang w:val="uk-UA"/>
        </w:rPr>
        <w:t>V:</w:t>
      </w:r>
    </w:p>
    <w:p w14:paraId="10FC7253" w14:textId="77777777" w:rsidR="004A1D63" w:rsidRPr="006616DD" w:rsidRDefault="004A1D63" w:rsidP="004A1D63">
      <w:pPr>
        <w:ind w:firstLine="567"/>
        <w:jc w:val="both"/>
        <w:rPr>
          <w:rFonts w:eastAsia="Calibri"/>
          <w:color w:val="000000"/>
          <w:sz w:val="28"/>
          <w:szCs w:val="28"/>
          <w:shd w:val="clear" w:color="auto" w:fill="FFFFFF"/>
          <w:lang w:val="uk-UA"/>
        </w:rPr>
      </w:pPr>
    </w:p>
    <w:p w14:paraId="3FBA9D37" w14:textId="77777777" w:rsidR="00B469DB" w:rsidRPr="006616DD" w:rsidRDefault="00A20224" w:rsidP="00B469DB">
      <w:pPr>
        <w:pStyle w:val="a8"/>
        <w:numPr>
          <w:ilvl w:val="0"/>
          <w:numId w:val="4"/>
        </w:numPr>
        <w:ind w:left="142" w:firstLine="425"/>
        <w:rPr>
          <w:color w:val="000000"/>
          <w:sz w:val="28"/>
          <w:szCs w:val="28"/>
        </w:rPr>
      </w:pPr>
      <w:r w:rsidRPr="006616DD">
        <w:rPr>
          <w:rFonts w:eastAsia="Calibri"/>
          <w:color w:val="000000"/>
          <w:sz w:val="28"/>
          <w:szCs w:val="28"/>
          <w:shd w:val="clear" w:color="auto" w:fill="FFFFFF"/>
        </w:rPr>
        <w:t xml:space="preserve">назву </w:t>
      </w:r>
      <w:r w:rsidR="00B469DB" w:rsidRPr="006616DD">
        <w:rPr>
          <w:rFonts w:eastAsia="Calibri"/>
          <w:color w:val="000000"/>
          <w:sz w:val="28"/>
          <w:szCs w:val="28"/>
          <w:shd w:val="clear" w:color="auto" w:fill="FFFFFF"/>
        </w:rPr>
        <w:t>після слова та знаку «</w:t>
      </w:r>
      <w:r w:rsidR="000F0545" w:rsidRPr="006616DD">
        <w:rPr>
          <w:color w:val="000000"/>
          <w:sz w:val="28"/>
          <w:szCs w:val="28"/>
        </w:rPr>
        <w:t>підстанціях,</w:t>
      </w:r>
      <w:r w:rsidR="00B469DB" w:rsidRPr="006616DD">
        <w:rPr>
          <w:color w:val="000000"/>
          <w:sz w:val="28"/>
          <w:szCs w:val="28"/>
        </w:rPr>
        <w:t>» доповнити словами та знаком «</w:t>
      </w:r>
      <w:r w:rsidR="000F0545" w:rsidRPr="006616DD">
        <w:rPr>
          <w:color w:val="000000"/>
          <w:sz w:val="28"/>
          <w:szCs w:val="28"/>
        </w:rPr>
        <w:t>об’єктах активних споживачів,</w:t>
      </w:r>
      <w:r w:rsidR="00B469DB" w:rsidRPr="006616DD">
        <w:rPr>
          <w:color w:val="000000"/>
          <w:sz w:val="28"/>
          <w:szCs w:val="28"/>
        </w:rPr>
        <w:t>»;</w:t>
      </w:r>
    </w:p>
    <w:p w14:paraId="752E1042" w14:textId="77777777" w:rsidR="00A54908" w:rsidRPr="006616DD" w:rsidRDefault="00A54908" w:rsidP="00A54908">
      <w:pPr>
        <w:pStyle w:val="a8"/>
        <w:ind w:left="567" w:firstLine="0"/>
        <w:rPr>
          <w:color w:val="000000"/>
          <w:sz w:val="28"/>
          <w:szCs w:val="28"/>
        </w:rPr>
      </w:pPr>
    </w:p>
    <w:p w14:paraId="0332A68C" w14:textId="77777777" w:rsidR="000157C9" w:rsidRPr="006616DD" w:rsidRDefault="000157C9" w:rsidP="00B469DB">
      <w:pPr>
        <w:pStyle w:val="a8"/>
        <w:numPr>
          <w:ilvl w:val="0"/>
          <w:numId w:val="4"/>
        </w:numPr>
        <w:ind w:left="0" w:firstLine="567"/>
        <w:rPr>
          <w:color w:val="000000"/>
          <w:sz w:val="28"/>
          <w:szCs w:val="28"/>
        </w:rPr>
      </w:pPr>
      <w:r w:rsidRPr="006616DD">
        <w:rPr>
          <w:color w:val="000000"/>
          <w:sz w:val="28"/>
          <w:szCs w:val="28"/>
        </w:rPr>
        <w:t>після пункту 5.10.2 доповнити двома новими пунктами 5.10.3 та 5.10.4 такого змісту:</w:t>
      </w:r>
    </w:p>
    <w:p w14:paraId="492BF1FF" w14:textId="77777777" w:rsidR="000157C9" w:rsidRPr="006616DD" w:rsidRDefault="000157C9" w:rsidP="000157C9">
      <w:pPr>
        <w:ind w:left="142" w:firstLine="425"/>
        <w:jc w:val="both"/>
        <w:rPr>
          <w:color w:val="000000"/>
          <w:sz w:val="28"/>
          <w:szCs w:val="28"/>
          <w:lang w:val="uk-UA"/>
        </w:rPr>
      </w:pPr>
      <w:r w:rsidRPr="006616DD">
        <w:rPr>
          <w:color w:val="000000"/>
          <w:sz w:val="28"/>
          <w:szCs w:val="28"/>
          <w:lang w:val="uk-UA"/>
        </w:rPr>
        <w:t xml:space="preserve">«5.10.3. 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електроустановок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w:t>
      </w:r>
      <w:r w:rsidRPr="006616DD">
        <w:rPr>
          <w:color w:val="000000"/>
          <w:sz w:val="28"/>
          <w:szCs w:val="28"/>
          <w:lang w:val="uk-UA"/>
        </w:rPr>
        <w:lastRenderedPageBreak/>
        <w:t>мають спільні між собою межі,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14:paraId="35EF92C4" w14:textId="77777777" w:rsidR="000157C9" w:rsidRPr="006616DD" w:rsidRDefault="000157C9" w:rsidP="000157C9">
      <w:pPr>
        <w:ind w:left="142" w:firstLine="425"/>
        <w:jc w:val="both"/>
        <w:rPr>
          <w:color w:val="000000"/>
          <w:sz w:val="28"/>
          <w:szCs w:val="28"/>
          <w:lang w:val="uk-UA"/>
        </w:rPr>
      </w:pPr>
      <w:r w:rsidRPr="006616DD">
        <w:rPr>
          <w:color w:val="000000"/>
          <w:sz w:val="28"/>
          <w:szCs w:val="28"/>
          <w:lang w:val="uk-UA"/>
        </w:rPr>
        <w:t>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генеруючих установок, на потреби електроустановок пов’язаних осіб та/або на потреби електроустановок власного споживання, не пов’язаних з виробництвом електричної енергії, у тому числі в синхронному та несинхронному режимі роботи цих електроустановок.</w:t>
      </w:r>
    </w:p>
    <w:p w14:paraId="42DE2C7D" w14:textId="77777777" w:rsidR="00A54908" w:rsidRPr="006616DD" w:rsidRDefault="00A54908" w:rsidP="000157C9">
      <w:pPr>
        <w:ind w:left="142" w:firstLine="425"/>
        <w:jc w:val="both"/>
        <w:rPr>
          <w:color w:val="000000"/>
          <w:sz w:val="28"/>
          <w:szCs w:val="28"/>
          <w:lang w:val="uk-UA"/>
        </w:rPr>
      </w:pPr>
    </w:p>
    <w:p w14:paraId="605D9598" w14:textId="77777777" w:rsidR="000157C9" w:rsidRPr="006616DD" w:rsidRDefault="000157C9" w:rsidP="000157C9">
      <w:pPr>
        <w:ind w:left="142" w:firstLine="425"/>
        <w:jc w:val="both"/>
        <w:rPr>
          <w:color w:val="000000"/>
          <w:sz w:val="28"/>
          <w:szCs w:val="28"/>
          <w:lang w:val="uk-UA"/>
        </w:rPr>
      </w:pPr>
      <w:r w:rsidRPr="006616DD">
        <w:rPr>
          <w:color w:val="000000"/>
          <w:sz w:val="28"/>
          <w:szCs w:val="28"/>
          <w:lang w:val="uk-UA"/>
        </w:rPr>
        <w:t xml:space="preserve">5.10.4. Виробники електричної енергії, що здійснюють виробництво електричної енергії на </w:t>
      </w:r>
      <w:proofErr w:type="spellStart"/>
      <w:r w:rsidRPr="006616DD">
        <w:rPr>
          <w:color w:val="000000"/>
          <w:sz w:val="28"/>
          <w:szCs w:val="28"/>
          <w:lang w:val="uk-UA"/>
        </w:rPr>
        <w:t>когенераційних</w:t>
      </w:r>
      <w:proofErr w:type="spellEnd"/>
      <w:r w:rsidRPr="006616DD">
        <w:rPr>
          <w:color w:val="000000"/>
          <w:sz w:val="28"/>
          <w:szCs w:val="28"/>
          <w:lang w:val="uk-UA"/>
        </w:rPr>
        <w:t xml:space="preserve"> установках потужністю до 20 МВт у разі здійснення електрозабезпечення електроустановок власних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критичної інфраструктури генеруючих установок)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14:paraId="0140CE6D" w14:textId="77777777" w:rsidR="000157C9" w:rsidRPr="006616DD" w:rsidRDefault="000157C9" w:rsidP="000157C9">
      <w:pPr>
        <w:ind w:left="142" w:firstLine="425"/>
        <w:jc w:val="both"/>
        <w:rPr>
          <w:color w:val="000000"/>
          <w:sz w:val="28"/>
          <w:szCs w:val="28"/>
          <w:lang w:val="uk-UA"/>
        </w:rPr>
      </w:pPr>
      <w:r w:rsidRPr="006616DD">
        <w:rPr>
          <w:color w:val="000000"/>
          <w:sz w:val="28"/>
          <w:szCs w:val="28"/>
          <w:lang w:val="uk-UA"/>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w:t>
      </w:r>
      <w:proofErr w:type="spellStart"/>
      <w:r w:rsidRPr="006616DD">
        <w:rPr>
          <w:color w:val="000000"/>
          <w:sz w:val="28"/>
          <w:szCs w:val="28"/>
          <w:lang w:val="uk-UA"/>
        </w:rPr>
        <w:t>когенераційних</w:t>
      </w:r>
      <w:proofErr w:type="spellEnd"/>
      <w:r w:rsidRPr="006616DD">
        <w:rPr>
          <w:color w:val="000000"/>
          <w:sz w:val="28"/>
          <w:szCs w:val="28"/>
          <w:lang w:val="uk-UA"/>
        </w:rPr>
        <w:t xml:space="preserve"> установок, потреби електроустановок власних об’єктів критичної інфраструктури та/або на потреби електроустановок об’єктів критичної інфраструктури інших власників, у тому числі в синхронному та несинхронному режимі роботи цих електроустановок.</w:t>
      </w:r>
    </w:p>
    <w:p w14:paraId="2E3BD5C9" w14:textId="77777777" w:rsidR="000157C9" w:rsidRPr="006616DD" w:rsidRDefault="000157C9" w:rsidP="000157C9">
      <w:pPr>
        <w:ind w:left="142" w:firstLine="425"/>
        <w:jc w:val="both"/>
        <w:rPr>
          <w:color w:val="000000"/>
          <w:sz w:val="28"/>
          <w:szCs w:val="28"/>
          <w:lang w:val="uk-UA"/>
        </w:rPr>
      </w:pPr>
      <w:r w:rsidRPr="006616DD">
        <w:rPr>
          <w:color w:val="000000"/>
          <w:sz w:val="28"/>
          <w:szCs w:val="28"/>
          <w:lang w:val="uk-UA"/>
        </w:rPr>
        <w:t xml:space="preserve">Власники об’єктів критичної інфраструктури у разі здійснення електрозабезпечення електроустановок їх об’єктів критичної інфраструктури виробниками електричної енергії, що здійснюють виробництво електричної енергії на </w:t>
      </w:r>
      <w:proofErr w:type="spellStart"/>
      <w:r w:rsidRPr="006616DD">
        <w:rPr>
          <w:color w:val="000000"/>
          <w:sz w:val="28"/>
          <w:szCs w:val="28"/>
          <w:lang w:val="uk-UA"/>
        </w:rPr>
        <w:t>когенераційних</w:t>
      </w:r>
      <w:proofErr w:type="spellEnd"/>
      <w:r w:rsidRPr="006616DD">
        <w:rPr>
          <w:color w:val="000000"/>
          <w:sz w:val="28"/>
          <w:szCs w:val="28"/>
          <w:lang w:val="uk-UA"/>
        </w:rPr>
        <w:t xml:space="preserve"> установках потужністю до 20 МВт, мають забезпечити визначення обсягів відбору електричної енергії цими об’єктами від мереж оператора системи.».</w:t>
      </w:r>
    </w:p>
    <w:p w14:paraId="48853D9D" w14:textId="77777777" w:rsidR="000157C9" w:rsidRPr="006616DD" w:rsidRDefault="000157C9" w:rsidP="000157C9">
      <w:pPr>
        <w:ind w:firstLine="567"/>
        <w:jc w:val="both"/>
        <w:rPr>
          <w:sz w:val="28"/>
          <w:szCs w:val="28"/>
          <w:lang w:val="uk-UA"/>
        </w:rPr>
      </w:pPr>
      <w:r w:rsidRPr="006616DD">
        <w:rPr>
          <w:sz w:val="28"/>
          <w:szCs w:val="28"/>
          <w:lang w:val="uk-UA"/>
        </w:rPr>
        <w:t>У зв’язку з цим пункти 5.10.3 – 5.10.9 вважати відповідно підпунктами 5.10.5 – 5.10.11.</w:t>
      </w:r>
    </w:p>
    <w:p w14:paraId="3A997ADA" w14:textId="77777777" w:rsidR="000157C9" w:rsidRPr="006616DD" w:rsidRDefault="000157C9" w:rsidP="000157C9">
      <w:pPr>
        <w:ind w:left="142" w:firstLine="425"/>
        <w:jc w:val="both"/>
        <w:rPr>
          <w:color w:val="000000"/>
          <w:sz w:val="28"/>
          <w:szCs w:val="28"/>
          <w:lang w:val="uk-UA"/>
        </w:rPr>
      </w:pPr>
    </w:p>
    <w:p w14:paraId="117F545C" w14:textId="77777777" w:rsidR="00466FE5" w:rsidRPr="006616DD" w:rsidRDefault="00466FE5" w:rsidP="00190272">
      <w:pPr>
        <w:ind w:firstLine="567"/>
        <w:jc w:val="both"/>
        <w:rPr>
          <w:sz w:val="28"/>
          <w:szCs w:val="28"/>
          <w:lang w:val="uk-UA"/>
        </w:rPr>
      </w:pPr>
    </w:p>
    <w:p w14:paraId="680F87FC" w14:textId="77777777" w:rsidR="008161EE" w:rsidRPr="008161EE" w:rsidRDefault="008161EE" w:rsidP="008161EE">
      <w:pPr>
        <w:jc w:val="both"/>
        <w:rPr>
          <w:sz w:val="28"/>
          <w:szCs w:val="28"/>
          <w:lang w:val="uk-UA"/>
        </w:rPr>
      </w:pPr>
      <w:r w:rsidRPr="008161EE">
        <w:rPr>
          <w:sz w:val="28"/>
          <w:szCs w:val="28"/>
          <w:lang w:val="uk-UA"/>
        </w:rPr>
        <w:t xml:space="preserve">Директор Департаменту із регулювання </w:t>
      </w:r>
    </w:p>
    <w:p w14:paraId="0E8D3427" w14:textId="36E0AE75" w:rsidR="00BF42DF" w:rsidRPr="00261435" w:rsidRDefault="008161EE" w:rsidP="008161EE">
      <w:pPr>
        <w:jc w:val="both"/>
        <w:rPr>
          <w:sz w:val="28"/>
          <w:szCs w:val="28"/>
          <w:lang w:val="ru-RU"/>
        </w:rPr>
      </w:pPr>
      <w:r w:rsidRPr="008161EE">
        <w:rPr>
          <w:sz w:val="28"/>
          <w:szCs w:val="28"/>
          <w:lang w:val="uk-UA"/>
        </w:rPr>
        <w:t>відносин у сфері енергетики                                                          Андрій ОГНЬОВ</w:t>
      </w:r>
      <w:bookmarkStart w:id="5" w:name="_GoBack"/>
      <w:bookmarkEnd w:id="5"/>
    </w:p>
    <w:sectPr w:rsidR="00BF42DF" w:rsidRPr="00261435" w:rsidSect="00C473E3">
      <w:headerReference w:type="even" r:id="rId10"/>
      <w:headerReference w:type="default" r:id="rId11"/>
      <w:footerReference w:type="even" r:id="rId12"/>
      <w:footerReference w:type="default" r:id="rId13"/>
      <w:headerReference w:type="first" r:id="rId14"/>
      <w:footerReference w:type="first" r:id="rId15"/>
      <w:pgSz w:w="11906" w:h="16838"/>
      <w:pgMar w:top="709" w:right="567" w:bottom="426" w:left="1701" w:header="709" w:footer="709" w:gutter="0"/>
      <w:pgNumType w:start="8"/>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9FA28" w14:textId="77777777" w:rsidR="00A56192" w:rsidRDefault="00A56192">
      <w:r>
        <w:separator/>
      </w:r>
    </w:p>
  </w:endnote>
  <w:endnote w:type="continuationSeparator" w:id="0">
    <w:p w14:paraId="723E8373" w14:textId="77777777" w:rsidR="00A56192" w:rsidRDefault="00A5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F1C5" w14:textId="77777777" w:rsidR="005A4901" w:rsidRDefault="005A490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910541"/>
      <w:docPartObj>
        <w:docPartGallery w:val="Page Numbers (Top of Page)"/>
        <w:docPartUnique/>
      </w:docPartObj>
    </w:sdtPr>
    <w:sdtEndPr>
      <w:rPr>
        <w:rFonts w:ascii="Times New Roman" w:hAnsi="Times New Roman" w:cs="Times New Roman"/>
        <w:sz w:val="28"/>
        <w:szCs w:val="28"/>
      </w:rPr>
    </w:sdtEndPr>
    <w:sdtContent>
      <w:p w14:paraId="712F0987" w14:textId="77777777" w:rsidR="007B68F6" w:rsidRPr="009A0153" w:rsidRDefault="00A56192" w:rsidP="00FD49BB">
        <w:pPr>
          <w:pStyle w:val="a3"/>
          <w:jc w:val="center"/>
          <w:rPr>
            <w:rFonts w:ascii="Times New Roman" w:hAnsi="Times New Roman" w:cs="Times New Roman"/>
            <w:sz w:val="28"/>
            <w:szCs w:val="28"/>
          </w:rPr>
        </w:pPr>
      </w:p>
    </w:sdtContent>
  </w:sdt>
  <w:p w14:paraId="348D81AC" w14:textId="77777777" w:rsidR="007B68F6" w:rsidRDefault="007B68F6">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BF78D" w14:textId="77777777" w:rsidR="005A4901" w:rsidRDefault="005A490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D212A" w14:textId="77777777" w:rsidR="00A56192" w:rsidRDefault="00A56192">
      <w:r>
        <w:separator/>
      </w:r>
    </w:p>
  </w:footnote>
  <w:footnote w:type="continuationSeparator" w:id="0">
    <w:p w14:paraId="4B2457CD" w14:textId="77777777" w:rsidR="00A56192" w:rsidRDefault="00A561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16507" w14:textId="77777777" w:rsidR="007E0728" w:rsidRPr="004B251B" w:rsidRDefault="002109C7" w:rsidP="004B251B">
    <w:pPr>
      <w:pStyle w:val="a3"/>
      <w:jc w:val="right"/>
      <w:rPr>
        <w:rFonts w:ascii="Times New Roman" w:hAnsi="Times New Roman" w:cs="Times New Roman"/>
        <w:sz w:val="28"/>
        <w:szCs w:val="28"/>
      </w:rPr>
    </w:pPr>
    <w:r>
      <w:t xml:space="preserve">                                                    </w:t>
    </w:r>
    <w:r>
      <w:rPr>
        <w:rFonts w:ascii="Times New Roman" w:hAnsi="Times New Roman" w:cs="Times New Roman"/>
        <w:sz w:val="28"/>
        <w:szCs w:val="28"/>
      </w:rPr>
      <w:t>ПРОЄКТ</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8CD54" w14:textId="77777777" w:rsidR="007B68F6" w:rsidRPr="006731F6" w:rsidRDefault="002109C7" w:rsidP="00256C36">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17A1F" w14:textId="77777777" w:rsidR="00323B3D" w:rsidRPr="00363A5E" w:rsidRDefault="00323B3D" w:rsidP="00323B3D">
    <w:pPr>
      <w:pStyle w:val="a3"/>
      <w:tabs>
        <w:tab w:val="left" w:pos="1725"/>
      </w:tabs>
      <w:jc w:val="center"/>
      <w:rPr>
        <w:rFonts w:ascii="Times New Roman" w:hAnsi="Times New Roman" w:cs="Times New Roman"/>
        <w:sz w:val="28"/>
        <w:szCs w:val="28"/>
        <w:lang w:val="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D5D01" w14:textId="77777777" w:rsidR="005A4901" w:rsidRDefault="005A490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B4BCB"/>
    <w:multiLevelType w:val="hybridMultilevel"/>
    <w:tmpl w:val="7FC65A14"/>
    <w:lvl w:ilvl="0" w:tplc="7174CF04">
      <w:start w:val="4"/>
      <w:numFmt w:val="decimal"/>
      <w:lvlText w:val="%1)"/>
      <w:lvlJc w:val="left"/>
      <w:pPr>
        <w:ind w:left="915" w:hanging="360"/>
      </w:pPr>
      <w:rPr>
        <w:rFonts w:hint="default"/>
      </w:rPr>
    </w:lvl>
    <w:lvl w:ilvl="1" w:tplc="87D203A6" w:tentative="1">
      <w:start w:val="1"/>
      <w:numFmt w:val="lowerLetter"/>
      <w:lvlText w:val="%2."/>
      <w:lvlJc w:val="left"/>
      <w:pPr>
        <w:ind w:left="1635" w:hanging="360"/>
      </w:pPr>
    </w:lvl>
    <w:lvl w:ilvl="2" w:tplc="69F41EC8" w:tentative="1">
      <w:start w:val="1"/>
      <w:numFmt w:val="lowerRoman"/>
      <w:lvlText w:val="%3."/>
      <w:lvlJc w:val="right"/>
      <w:pPr>
        <w:ind w:left="2355" w:hanging="180"/>
      </w:pPr>
    </w:lvl>
    <w:lvl w:ilvl="3" w:tplc="44C804E6" w:tentative="1">
      <w:start w:val="1"/>
      <w:numFmt w:val="decimal"/>
      <w:lvlText w:val="%4."/>
      <w:lvlJc w:val="left"/>
      <w:pPr>
        <w:ind w:left="3075" w:hanging="360"/>
      </w:pPr>
    </w:lvl>
    <w:lvl w:ilvl="4" w:tplc="2D4AC2DE" w:tentative="1">
      <w:start w:val="1"/>
      <w:numFmt w:val="lowerLetter"/>
      <w:lvlText w:val="%5."/>
      <w:lvlJc w:val="left"/>
      <w:pPr>
        <w:ind w:left="3795" w:hanging="360"/>
      </w:pPr>
    </w:lvl>
    <w:lvl w:ilvl="5" w:tplc="77A0C1D4" w:tentative="1">
      <w:start w:val="1"/>
      <w:numFmt w:val="lowerRoman"/>
      <w:lvlText w:val="%6."/>
      <w:lvlJc w:val="right"/>
      <w:pPr>
        <w:ind w:left="4515" w:hanging="180"/>
      </w:pPr>
    </w:lvl>
    <w:lvl w:ilvl="6" w:tplc="5E66D500" w:tentative="1">
      <w:start w:val="1"/>
      <w:numFmt w:val="decimal"/>
      <w:lvlText w:val="%7."/>
      <w:lvlJc w:val="left"/>
      <w:pPr>
        <w:ind w:left="5235" w:hanging="360"/>
      </w:pPr>
    </w:lvl>
    <w:lvl w:ilvl="7" w:tplc="FF40D220" w:tentative="1">
      <w:start w:val="1"/>
      <w:numFmt w:val="lowerLetter"/>
      <w:lvlText w:val="%8."/>
      <w:lvlJc w:val="left"/>
      <w:pPr>
        <w:ind w:left="5955" w:hanging="360"/>
      </w:pPr>
    </w:lvl>
    <w:lvl w:ilvl="8" w:tplc="D5689AEE" w:tentative="1">
      <w:start w:val="1"/>
      <w:numFmt w:val="lowerRoman"/>
      <w:lvlText w:val="%9."/>
      <w:lvlJc w:val="right"/>
      <w:pPr>
        <w:ind w:left="6675" w:hanging="180"/>
      </w:pPr>
    </w:lvl>
  </w:abstractNum>
  <w:abstractNum w:abstractNumId="1" w15:restartNumberingAfterBreak="0">
    <w:nsid w:val="1D557BDE"/>
    <w:multiLevelType w:val="hybridMultilevel"/>
    <w:tmpl w:val="ED96383E"/>
    <w:lvl w:ilvl="0" w:tplc="1A6026C6">
      <w:start w:val="1"/>
      <w:numFmt w:val="decimal"/>
      <w:lvlText w:val="%1)"/>
      <w:lvlJc w:val="left"/>
      <w:pPr>
        <w:ind w:left="927" w:hanging="360"/>
      </w:pPr>
      <w:rPr>
        <w:rFonts w:eastAsia="Calibri"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3A66322"/>
    <w:multiLevelType w:val="hybridMultilevel"/>
    <w:tmpl w:val="97A8AF1A"/>
    <w:lvl w:ilvl="0" w:tplc="953225A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35053666"/>
    <w:multiLevelType w:val="hybridMultilevel"/>
    <w:tmpl w:val="84CE4C42"/>
    <w:lvl w:ilvl="0" w:tplc="01EC1978">
      <w:start w:val="2"/>
      <w:numFmt w:val="decimal"/>
      <w:lvlText w:val="%1)"/>
      <w:lvlJc w:val="left"/>
      <w:pPr>
        <w:ind w:left="915" w:hanging="360"/>
      </w:pPr>
      <w:rPr>
        <w:rFonts w:hint="default"/>
      </w:rPr>
    </w:lvl>
    <w:lvl w:ilvl="1" w:tplc="53C4EF7A" w:tentative="1">
      <w:start w:val="1"/>
      <w:numFmt w:val="lowerLetter"/>
      <w:lvlText w:val="%2."/>
      <w:lvlJc w:val="left"/>
      <w:pPr>
        <w:ind w:left="1635" w:hanging="360"/>
      </w:pPr>
    </w:lvl>
    <w:lvl w:ilvl="2" w:tplc="DAD83E9A" w:tentative="1">
      <w:start w:val="1"/>
      <w:numFmt w:val="lowerRoman"/>
      <w:lvlText w:val="%3."/>
      <w:lvlJc w:val="right"/>
      <w:pPr>
        <w:ind w:left="2355" w:hanging="180"/>
      </w:pPr>
    </w:lvl>
    <w:lvl w:ilvl="3" w:tplc="EA545AFE" w:tentative="1">
      <w:start w:val="1"/>
      <w:numFmt w:val="decimal"/>
      <w:lvlText w:val="%4."/>
      <w:lvlJc w:val="left"/>
      <w:pPr>
        <w:ind w:left="3075" w:hanging="360"/>
      </w:pPr>
    </w:lvl>
    <w:lvl w:ilvl="4" w:tplc="2E98F35C" w:tentative="1">
      <w:start w:val="1"/>
      <w:numFmt w:val="lowerLetter"/>
      <w:lvlText w:val="%5."/>
      <w:lvlJc w:val="left"/>
      <w:pPr>
        <w:ind w:left="3795" w:hanging="360"/>
      </w:pPr>
    </w:lvl>
    <w:lvl w:ilvl="5" w:tplc="CDE68364" w:tentative="1">
      <w:start w:val="1"/>
      <w:numFmt w:val="lowerRoman"/>
      <w:lvlText w:val="%6."/>
      <w:lvlJc w:val="right"/>
      <w:pPr>
        <w:ind w:left="4515" w:hanging="180"/>
      </w:pPr>
    </w:lvl>
    <w:lvl w:ilvl="6" w:tplc="27CE4D64" w:tentative="1">
      <w:start w:val="1"/>
      <w:numFmt w:val="decimal"/>
      <w:lvlText w:val="%7."/>
      <w:lvlJc w:val="left"/>
      <w:pPr>
        <w:ind w:left="5235" w:hanging="360"/>
      </w:pPr>
    </w:lvl>
    <w:lvl w:ilvl="7" w:tplc="848C93BE" w:tentative="1">
      <w:start w:val="1"/>
      <w:numFmt w:val="lowerLetter"/>
      <w:lvlText w:val="%8."/>
      <w:lvlJc w:val="left"/>
      <w:pPr>
        <w:ind w:left="5955" w:hanging="360"/>
      </w:pPr>
    </w:lvl>
    <w:lvl w:ilvl="8" w:tplc="7B2AA19C" w:tentative="1">
      <w:start w:val="1"/>
      <w:numFmt w:val="lowerRoman"/>
      <w:lvlText w:val="%9."/>
      <w:lvlJc w:val="right"/>
      <w:pPr>
        <w:ind w:left="6675"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157C9"/>
    <w:rsid w:val="00020902"/>
    <w:rsid w:val="00054019"/>
    <w:rsid w:val="00071257"/>
    <w:rsid w:val="00074B05"/>
    <w:rsid w:val="00081B30"/>
    <w:rsid w:val="00082269"/>
    <w:rsid w:val="00087C59"/>
    <w:rsid w:val="000946ED"/>
    <w:rsid w:val="000A3718"/>
    <w:rsid w:val="000B0E82"/>
    <w:rsid w:val="000B7931"/>
    <w:rsid w:val="000D0BB1"/>
    <w:rsid w:val="000D425D"/>
    <w:rsid w:val="000F0545"/>
    <w:rsid w:val="000F1CC3"/>
    <w:rsid w:val="000F4E74"/>
    <w:rsid w:val="00114264"/>
    <w:rsid w:val="00122F64"/>
    <w:rsid w:val="00152B10"/>
    <w:rsid w:val="001835C0"/>
    <w:rsid w:val="00190272"/>
    <w:rsid w:val="001967F4"/>
    <w:rsid w:val="00196C7C"/>
    <w:rsid w:val="001978DC"/>
    <w:rsid w:val="001A5D8B"/>
    <w:rsid w:val="001B589D"/>
    <w:rsid w:val="001D0468"/>
    <w:rsid w:val="001D4F5E"/>
    <w:rsid w:val="001D51AE"/>
    <w:rsid w:val="001E5C3B"/>
    <w:rsid w:val="001F428F"/>
    <w:rsid w:val="002109C7"/>
    <w:rsid w:val="00212FC8"/>
    <w:rsid w:val="00236040"/>
    <w:rsid w:val="00241E66"/>
    <w:rsid w:val="00256C36"/>
    <w:rsid w:val="00261435"/>
    <w:rsid w:val="002707A4"/>
    <w:rsid w:val="002A72A6"/>
    <w:rsid w:val="002B5391"/>
    <w:rsid w:val="002B6143"/>
    <w:rsid w:val="002B7455"/>
    <w:rsid w:val="002C77F8"/>
    <w:rsid w:val="002E1249"/>
    <w:rsid w:val="002F3D1F"/>
    <w:rsid w:val="0030789A"/>
    <w:rsid w:val="003132BB"/>
    <w:rsid w:val="003176FC"/>
    <w:rsid w:val="003205B3"/>
    <w:rsid w:val="00323B3D"/>
    <w:rsid w:val="003248B3"/>
    <w:rsid w:val="00326659"/>
    <w:rsid w:val="00340D91"/>
    <w:rsid w:val="003430D8"/>
    <w:rsid w:val="00363A5E"/>
    <w:rsid w:val="00376383"/>
    <w:rsid w:val="0038113B"/>
    <w:rsid w:val="003B6C23"/>
    <w:rsid w:val="003C6087"/>
    <w:rsid w:val="00404214"/>
    <w:rsid w:val="00405B1A"/>
    <w:rsid w:val="00412307"/>
    <w:rsid w:val="00412CD1"/>
    <w:rsid w:val="00427C48"/>
    <w:rsid w:val="0043068B"/>
    <w:rsid w:val="00441A5E"/>
    <w:rsid w:val="00441C13"/>
    <w:rsid w:val="00457E5B"/>
    <w:rsid w:val="00466FE5"/>
    <w:rsid w:val="004901DE"/>
    <w:rsid w:val="004A1D63"/>
    <w:rsid w:val="004B251B"/>
    <w:rsid w:val="004B39E0"/>
    <w:rsid w:val="004D462C"/>
    <w:rsid w:val="004E1529"/>
    <w:rsid w:val="004E4911"/>
    <w:rsid w:val="004F31A6"/>
    <w:rsid w:val="00506C68"/>
    <w:rsid w:val="00507482"/>
    <w:rsid w:val="00521086"/>
    <w:rsid w:val="0052170F"/>
    <w:rsid w:val="00532816"/>
    <w:rsid w:val="00533549"/>
    <w:rsid w:val="0054144B"/>
    <w:rsid w:val="00544D51"/>
    <w:rsid w:val="00561E8D"/>
    <w:rsid w:val="00567AEC"/>
    <w:rsid w:val="00592C98"/>
    <w:rsid w:val="005956C4"/>
    <w:rsid w:val="005A2B94"/>
    <w:rsid w:val="005A4901"/>
    <w:rsid w:val="005B4215"/>
    <w:rsid w:val="005B6C7E"/>
    <w:rsid w:val="005C31FB"/>
    <w:rsid w:val="005D53FA"/>
    <w:rsid w:val="005E10F5"/>
    <w:rsid w:val="005F24D0"/>
    <w:rsid w:val="00604E98"/>
    <w:rsid w:val="00605716"/>
    <w:rsid w:val="00610E2D"/>
    <w:rsid w:val="0061199A"/>
    <w:rsid w:val="00620953"/>
    <w:rsid w:val="006262BE"/>
    <w:rsid w:val="00626D4F"/>
    <w:rsid w:val="00651A19"/>
    <w:rsid w:val="00652DA5"/>
    <w:rsid w:val="006544DD"/>
    <w:rsid w:val="006616DD"/>
    <w:rsid w:val="006731F6"/>
    <w:rsid w:val="00694713"/>
    <w:rsid w:val="006A011E"/>
    <w:rsid w:val="006A16F5"/>
    <w:rsid w:val="006B3C8F"/>
    <w:rsid w:val="006D0DD9"/>
    <w:rsid w:val="006F05C2"/>
    <w:rsid w:val="00707876"/>
    <w:rsid w:val="00710458"/>
    <w:rsid w:val="00731526"/>
    <w:rsid w:val="007411AE"/>
    <w:rsid w:val="00743D78"/>
    <w:rsid w:val="00747824"/>
    <w:rsid w:val="007B1A4C"/>
    <w:rsid w:val="007B68F6"/>
    <w:rsid w:val="007C194C"/>
    <w:rsid w:val="007C53E1"/>
    <w:rsid w:val="007D5D1F"/>
    <w:rsid w:val="007D64EB"/>
    <w:rsid w:val="007E0728"/>
    <w:rsid w:val="007E59A3"/>
    <w:rsid w:val="007E7A44"/>
    <w:rsid w:val="007E7A4F"/>
    <w:rsid w:val="007F78AD"/>
    <w:rsid w:val="00805036"/>
    <w:rsid w:val="008161EE"/>
    <w:rsid w:val="00821878"/>
    <w:rsid w:val="00827719"/>
    <w:rsid w:val="00844726"/>
    <w:rsid w:val="00850438"/>
    <w:rsid w:val="00850C3F"/>
    <w:rsid w:val="00871107"/>
    <w:rsid w:val="008800F4"/>
    <w:rsid w:val="00893D52"/>
    <w:rsid w:val="008A40F0"/>
    <w:rsid w:val="008B0CB4"/>
    <w:rsid w:val="008D32C1"/>
    <w:rsid w:val="008D5AAD"/>
    <w:rsid w:val="008F5913"/>
    <w:rsid w:val="008F6525"/>
    <w:rsid w:val="008F7281"/>
    <w:rsid w:val="0091141C"/>
    <w:rsid w:val="00934BC2"/>
    <w:rsid w:val="00942853"/>
    <w:rsid w:val="009555C3"/>
    <w:rsid w:val="00970FA9"/>
    <w:rsid w:val="009A0153"/>
    <w:rsid w:val="009A322C"/>
    <w:rsid w:val="009D3C6F"/>
    <w:rsid w:val="009E0BEC"/>
    <w:rsid w:val="009F4338"/>
    <w:rsid w:val="009F596A"/>
    <w:rsid w:val="00A20224"/>
    <w:rsid w:val="00A32DA3"/>
    <w:rsid w:val="00A41711"/>
    <w:rsid w:val="00A54908"/>
    <w:rsid w:val="00A56192"/>
    <w:rsid w:val="00A77B3E"/>
    <w:rsid w:val="00A96C84"/>
    <w:rsid w:val="00A974F1"/>
    <w:rsid w:val="00AA049A"/>
    <w:rsid w:val="00AB1DE0"/>
    <w:rsid w:val="00AC38DE"/>
    <w:rsid w:val="00AD0A30"/>
    <w:rsid w:val="00AE0BC1"/>
    <w:rsid w:val="00AE4A4B"/>
    <w:rsid w:val="00AF1024"/>
    <w:rsid w:val="00B02227"/>
    <w:rsid w:val="00B07C9A"/>
    <w:rsid w:val="00B13597"/>
    <w:rsid w:val="00B37C19"/>
    <w:rsid w:val="00B469DB"/>
    <w:rsid w:val="00B46F83"/>
    <w:rsid w:val="00B73EB8"/>
    <w:rsid w:val="00B876E6"/>
    <w:rsid w:val="00B96332"/>
    <w:rsid w:val="00BA0DBA"/>
    <w:rsid w:val="00BC0964"/>
    <w:rsid w:val="00BF22CC"/>
    <w:rsid w:val="00BF34CD"/>
    <w:rsid w:val="00BF42DF"/>
    <w:rsid w:val="00BF44A7"/>
    <w:rsid w:val="00BF70E2"/>
    <w:rsid w:val="00C30E89"/>
    <w:rsid w:val="00C32EB7"/>
    <w:rsid w:val="00C36314"/>
    <w:rsid w:val="00C44F14"/>
    <w:rsid w:val="00C473E3"/>
    <w:rsid w:val="00CA2A55"/>
    <w:rsid w:val="00CE5161"/>
    <w:rsid w:val="00CF6C5D"/>
    <w:rsid w:val="00D023B0"/>
    <w:rsid w:val="00D0704A"/>
    <w:rsid w:val="00D21A55"/>
    <w:rsid w:val="00D24079"/>
    <w:rsid w:val="00D24C02"/>
    <w:rsid w:val="00D304C0"/>
    <w:rsid w:val="00D328D6"/>
    <w:rsid w:val="00D364AD"/>
    <w:rsid w:val="00D4503C"/>
    <w:rsid w:val="00D64118"/>
    <w:rsid w:val="00D64B56"/>
    <w:rsid w:val="00D90EC1"/>
    <w:rsid w:val="00D96571"/>
    <w:rsid w:val="00DA2965"/>
    <w:rsid w:val="00DA3D8D"/>
    <w:rsid w:val="00DF48AB"/>
    <w:rsid w:val="00DF70BA"/>
    <w:rsid w:val="00E06876"/>
    <w:rsid w:val="00E17521"/>
    <w:rsid w:val="00E23F2A"/>
    <w:rsid w:val="00E24DE3"/>
    <w:rsid w:val="00E64CBA"/>
    <w:rsid w:val="00E710A0"/>
    <w:rsid w:val="00E74695"/>
    <w:rsid w:val="00E82E9A"/>
    <w:rsid w:val="00E97686"/>
    <w:rsid w:val="00EA23D5"/>
    <w:rsid w:val="00EB55BF"/>
    <w:rsid w:val="00EF2406"/>
    <w:rsid w:val="00EF6383"/>
    <w:rsid w:val="00F14A04"/>
    <w:rsid w:val="00F2375B"/>
    <w:rsid w:val="00F270B0"/>
    <w:rsid w:val="00F62B11"/>
    <w:rsid w:val="00F74356"/>
    <w:rsid w:val="00FA2F1F"/>
    <w:rsid w:val="00FB0ADA"/>
    <w:rsid w:val="00FC6E14"/>
    <w:rsid w:val="00FD49BB"/>
    <w:rsid w:val="00FD50DD"/>
    <w:rsid w:val="00FE1F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28FC0C"/>
  <w15:docId w15:val="{707C5530-7FC0-4363-A5F7-382FE16A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2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E1B44"/>
    <w:pPr>
      <w:tabs>
        <w:tab w:val="center" w:pos="4677"/>
        <w:tab w:val="right" w:pos="9355"/>
      </w:tabs>
    </w:pPr>
    <w:rPr>
      <w:rFonts w:ascii="Calibri" w:eastAsia="Calibri" w:hAnsi="Calibri" w:cs="Calibri"/>
      <w:sz w:val="22"/>
      <w:szCs w:val="22"/>
      <w:lang w:val="uk-UA"/>
    </w:rPr>
  </w:style>
  <w:style w:type="character" w:customStyle="1" w:styleId="a4">
    <w:name w:val="Верхній колонтитул Знак"/>
    <w:basedOn w:val="a0"/>
    <w:link w:val="a3"/>
    <w:uiPriority w:val="99"/>
    <w:rsid w:val="009E1B44"/>
    <w:rPr>
      <w:rFonts w:ascii="Calibri" w:eastAsia="Calibri" w:hAnsi="Calibri" w:cs="Calibri"/>
      <w:sz w:val="22"/>
      <w:szCs w:val="22"/>
      <w:lang w:val="uk-UA" w:eastAsia="en-US" w:bidi="ar-SA"/>
    </w:rPr>
  </w:style>
  <w:style w:type="paragraph" w:styleId="a5">
    <w:name w:val="footer"/>
    <w:basedOn w:val="a"/>
    <w:link w:val="a6"/>
    <w:uiPriority w:val="99"/>
    <w:unhideWhenUsed/>
    <w:rsid w:val="00DC0297"/>
    <w:pPr>
      <w:tabs>
        <w:tab w:val="center" w:pos="4677"/>
        <w:tab w:val="right" w:pos="9355"/>
      </w:tabs>
    </w:pPr>
    <w:rPr>
      <w:rFonts w:ascii="Calibri" w:eastAsia="Calibri" w:hAnsi="Calibri" w:cs="Calibri"/>
      <w:sz w:val="22"/>
      <w:szCs w:val="22"/>
      <w:lang w:val="uk-UA"/>
    </w:rPr>
  </w:style>
  <w:style w:type="character" w:customStyle="1" w:styleId="a6">
    <w:name w:val="Нижній колонтитул Знак"/>
    <w:basedOn w:val="a0"/>
    <w:link w:val="a5"/>
    <w:uiPriority w:val="99"/>
    <w:rsid w:val="00DC0297"/>
    <w:rPr>
      <w:rFonts w:ascii="Calibri" w:eastAsia="Calibri" w:hAnsi="Calibri" w:cs="Calibri"/>
      <w:sz w:val="22"/>
      <w:szCs w:val="22"/>
      <w:lang w:val="uk-UA" w:eastAsia="en-US" w:bidi="ar-SA"/>
    </w:rPr>
  </w:style>
  <w:style w:type="table" w:styleId="a7">
    <w:name w:val="Table Grid"/>
    <w:basedOn w:val="a1"/>
    <w:rsid w:val="00F7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pPr>
      <w:widowControl w:val="0"/>
      <w:autoSpaceDE w:val="0"/>
      <w:autoSpaceDN w:val="0"/>
      <w:ind w:left="119" w:right="240" w:firstLine="710"/>
      <w:jc w:val="both"/>
    </w:pPr>
    <w:rPr>
      <w:sz w:val="22"/>
      <w:szCs w:val="22"/>
      <w:lang w:val="uk-UA"/>
    </w:rPr>
  </w:style>
  <w:style w:type="paragraph" w:styleId="a9">
    <w:name w:val="Balloon Text"/>
    <w:basedOn w:val="a"/>
    <w:link w:val="aa"/>
    <w:semiHidden/>
    <w:unhideWhenUsed/>
    <w:rsid w:val="004A1D63"/>
    <w:rPr>
      <w:rFonts w:ascii="Segoe UI" w:hAnsi="Segoe UI" w:cs="Segoe UI"/>
      <w:sz w:val="18"/>
      <w:szCs w:val="18"/>
    </w:rPr>
  </w:style>
  <w:style w:type="character" w:customStyle="1" w:styleId="aa">
    <w:name w:val="Текст у виносці Знак"/>
    <w:basedOn w:val="a0"/>
    <w:link w:val="a9"/>
    <w:semiHidden/>
    <w:rsid w:val="004A1D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36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C8315-DA5C-4A28-BCE6-CFBC3560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3388</Words>
  <Characters>1932</Characters>
  <Application>Microsoft Office Word</Application>
  <DocSecurity>0</DocSecurity>
  <Lines>16</Lines>
  <Paragraphs>10</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Синяк</dc:creator>
  <cp:lastModifiedBy>Юлія Печеновська</cp:lastModifiedBy>
  <cp:revision>16</cp:revision>
  <cp:lastPrinted>2023-09-20T06:35:00Z</cp:lastPrinted>
  <dcterms:created xsi:type="dcterms:W3CDTF">2023-09-19T09:57:00Z</dcterms:created>
  <dcterms:modified xsi:type="dcterms:W3CDTF">2023-09-26T07:42:00Z</dcterms:modified>
</cp:coreProperties>
</file>