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AD55B" w14:textId="77777777" w:rsidR="001B0E01" w:rsidRPr="003F68CE" w:rsidRDefault="001B0E01" w:rsidP="003D1256">
      <w:pPr>
        <w:spacing w:after="0" w:line="240" w:lineRule="auto"/>
        <w:jc w:val="center"/>
        <w:rPr>
          <w:rFonts w:ascii="Times New Roman" w:hAnsi="Times New Roman" w:cs="Times New Roman"/>
          <w:b/>
          <w:sz w:val="28"/>
          <w:lang w:val="uk-UA"/>
        </w:rPr>
      </w:pPr>
      <w:bookmarkStart w:id="0" w:name="_GoBack"/>
      <w:bookmarkEnd w:id="0"/>
      <w:r w:rsidRPr="003F68CE">
        <w:rPr>
          <w:rFonts w:ascii="Times New Roman" w:hAnsi="Times New Roman" w:cs="Times New Roman"/>
          <w:b/>
          <w:sz w:val="28"/>
          <w:lang w:val="uk-UA"/>
        </w:rPr>
        <w:t>МЕТОДИКА</w:t>
      </w:r>
    </w:p>
    <w:p w14:paraId="43F80336" w14:textId="77777777" w:rsidR="005E73E8" w:rsidRPr="003F68CE" w:rsidRDefault="001B0E01" w:rsidP="003D1256">
      <w:pPr>
        <w:spacing w:after="0" w:line="240" w:lineRule="auto"/>
        <w:jc w:val="center"/>
        <w:rPr>
          <w:rFonts w:ascii="Times New Roman" w:hAnsi="Times New Roman" w:cs="Times New Roman"/>
          <w:b/>
          <w:sz w:val="28"/>
          <w:lang w:val="uk-UA"/>
        </w:rPr>
      </w:pPr>
      <w:r w:rsidRPr="003F68CE">
        <w:rPr>
          <w:rFonts w:ascii="Times New Roman" w:hAnsi="Times New Roman" w:cs="Times New Roman"/>
          <w:b/>
          <w:sz w:val="28"/>
          <w:lang w:val="uk-UA"/>
        </w:rPr>
        <w:t>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w:t>
      </w:r>
    </w:p>
    <w:tbl>
      <w:tblPr>
        <w:tblStyle w:val="a3"/>
        <w:tblW w:w="14879" w:type="dxa"/>
        <w:tblInd w:w="-147" w:type="dxa"/>
        <w:tblLook w:val="04A0" w:firstRow="1" w:lastRow="0" w:firstColumn="1" w:lastColumn="0" w:noHBand="0" w:noVBand="1"/>
      </w:tblPr>
      <w:tblGrid>
        <w:gridCol w:w="7476"/>
        <w:gridCol w:w="7904"/>
      </w:tblGrid>
      <w:tr w:rsidR="00143080" w:rsidRPr="003F68CE" w14:paraId="66AC49B5" w14:textId="77777777" w:rsidTr="003D1256">
        <w:tc>
          <w:tcPr>
            <w:tcW w:w="6976" w:type="dxa"/>
          </w:tcPr>
          <w:p w14:paraId="1CA011E6" w14:textId="77777777" w:rsidR="001B0E01" w:rsidRPr="003F68CE" w:rsidRDefault="001B0E01" w:rsidP="003D1256">
            <w:pPr>
              <w:spacing w:after="0" w:line="240" w:lineRule="auto"/>
              <w:jc w:val="center"/>
              <w:rPr>
                <w:rFonts w:ascii="Times New Roman" w:eastAsia="Times New Roman" w:hAnsi="Times New Roman" w:cs="Times New Roman"/>
                <w:b/>
                <w:i/>
                <w:lang w:val="uk-UA" w:eastAsia="uk-UA"/>
              </w:rPr>
            </w:pPr>
            <w:r w:rsidRPr="003F68CE">
              <w:rPr>
                <w:rFonts w:ascii="Times New Roman" w:eastAsia="Times New Roman" w:hAnsi="Times New Roman" w:cs="Times New Roman"/>
                <w:b/>
                <w:i/>
                <w:lang w:val="uk-UA" w:eastAsia="uk-UA"/>
              </w:rPr>
              <w:t xml:space="preserve">ЗМІСТ ПОЛОЖЕННЯ ДІЮЧОЇ РЕДАКЦІЇ </w:t>
            </w:r>
          </w:p>
          <w:p w14:paraId="43DB71E1" w14:textId="77777777" w:rsidR="003737EF" w:rsidRPr="003F68CE" w:rsidRDefault="001B0E01" w:rsidP="003D1256">
            <w:pPr>
              <w:spacing w:after="0" w:line="240" w:lineRule="auto"/>
              <w:jc w:val="center"/>
              <w:rPr>
                <w:rFonts w:ascii="Times New Roman" w:eastAsia="Times New Roman" w:hAnsi="Times New Roman" w:cs="Times New Roman"/>
                <w:b/>
                <w:i/>
                <w:lang w:val="uk-UA" w:eastAsia="uk-UA"/>
              </w:rPr>
            </w:pPr>
            <w:r w:rsidRPr="003F68CE">
              <w:rPr>
                <w:rFonts w:ascii="Times New Roman" w:eastAsia="Times New Roman" w:hAnsi="Times New Roman" w:cs="Times New Roman"/>
                <w:b/>
                <w:i/>
                <w:lang w:val="uk-UA" w:eastAsia="uk-UA"/>
              </w:rPr>
              <w:t>НОРМАТИВНО-ПРАВОВОГО АКТУ</w:t>
            </w:r>
          </w:p>
        </w:tc>
        <w:tc>
          <w:tcPr>
            <w:tcW w:w="7903" w:type="dxa"/>
          </w:tcPr>
          <w:p w14:paraId="54ACAFF6" w14:textId="77777777" w:rsidR="001B0E01" w:rsidRPr="003F68CE" w:rsidRDefault="001B0E01" w:rsidP="003D1256">
            <w:pPr>
              <w:spacing w:after="0" w:line="240" w:lineRule="auto"/>
              <w:jc w:val="center"/>
              <w:rPr>
                <w:rFonts w:ascii="Times New Roman" w:eastAsia="Times New Roman" w:hAnsi="Times New Roman" w:cs="Times New Roman"/>
                <w:b/>
                <w:i/>
                <w:lang w:val="uk-UA" w:eastAsia="uk-UA"/>
              </w:rPr>
            </w:pPr>
            <w:r w:rsidRPr="003F68CE">
              <w:rPr>
                <w:rFonts w:ascii="Times New Roman" w:eastAsia="Times New Roman" w:hAnsi="Times New Roman" w:cs="Times New Roman"/>
                <w:b/>
                <w:i/>
                <w:lang w:val="uk-UA" w:eastAsia="uk-UA"/>
              </w:rPr>
              <w:t xml:space="preserve">ЗМІСТ ВІДПОВІДНОГО ПОЛОЖЕННЯ </w:t>
            </w:r>
          </w:p>
          <w:p w14:paraId="7FE7476E" w14:textId="77777777" w:rsidR="003737EF" w:rsidRPr="003F68CE" w:rsidRDefault="001B0E01" w:rsidP="003D1256">
            <w:pPr>
              <w:spacing w:after="0" w:line="240" w:lineRule="auto"/>
              <w:jc w:val="center"/>
              <w:rPr>
                <w:lang w:val="uk-UA"/>
              </w:rPr>
            </w:pPr>
            <w:r w:rsidRPr="003F68CE">
              <w:rPr>
                <w:rFonts w:ascii="Times New Roman" w:eastAsia="Times New Roman" w:hAnsi="Times New Roman" w:cs="Times New Roman"/>
                <w:b/>
                <w:i/>
                <w:lang w:val="uk-UA" w:eastAsia="uk-UA"/>
              </w:rPr>
              <w:t>ПРОЄКТУ ПОСТАНОВИ</w:t>
            </w:r>
          </w:p>
        </w:tc>
      </w:tr>
      <w:tr w:rsidR="003F68CE" w:rsidRPr="003F68CE" w14:paraId="33555F01" w14:textId="77777777" w:rsidTr="003D1256">
        <w:trPr>
          <w:trHeight w:val="210"/>
        </w:trPr>
        <w:tc>
          <w:tcPr>
            <w:tcW w:w="14879" w:type="dxa"/>
            <w:gridSpan w:val="2"/>
          </w:tcPr>
          <w:p w14:paraId="7A94A39B" w14:textId="77777777" w:rsidR="00D81469" w:rsidRPr="003F68CE" w:rsidRDefault="00D81469" w:rsidP="003D1256">
            <w:pPr>
              <w:pStyle w:val="a4"/>
              <w:spacing w:before="0" w:beforeAutospacing="0" w:after="0" w:afterAutospacing="0"/>
              <w:jc w:val="center"/>
              <w:rPr>
                <w:b/>
              </w:rPr>
            </w:pPr>
            <w:r w:rsidRPr="003F68CE">
              <w:rPr>
                <w:b/>
              </w:rPr>
              <w:t>I. Загальні положення</w:t>
            </w:r>
          </w:p>
        </w:tc>
      </w:tr>
      <w:tr w:rsidR="00143080" w:rsidRPr="003F68CE" w14:paraId="571FA02C" w14:textId="77777777" w:rsidTr="003D1256">
        <w:trPr>
          <w:trHeight w:val="150"/>
        </w:trPr>
        <w:tc>
          <w:tcPr>
            <w:tcW w:w="6976" w:type="dxa"/>
          </w:tcPr>
          <w:p w14:paraId="6D2A8034" w14:textId="77777777" w:rsidR="00256500" w:rsidRPr="003F68CE" w:rsidRDefault="00256500" w:rsidP="003D1256">
            <w:pPr>
              <w:shd w:val="clear" w:color="auto" w:fill="FFFFFF"/>
              <w:spacing w:after="0" w:line="240" w:lineRule="auto"/>
              <w:jc w:val="both"/>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5. У цій Методиці терміни вживаються у таких значеннях:</w:t>
            </w:r>
          </w:p>
          <w:p w14:paraId="128538BD" w14:textId="77777777" w:rsidR="00256500" w:rsidRPr="003F68CE" w:rsidRDefault="00256500" w:rsidP="003D1256">
            <w:pPr>
              <w:shd w:val="clear" w:color="auto" w:fill="FFFFFF"/>
              <w:spacing w:after="0" w:line="240" w:lineRule="auto"/>
              <w:jc w:val="both"/>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w:t>
            </w:r>
          </w:p>
          <w:p w14:paraId="1BDE693A" w14:textId="77777777" w:rsidR="00256500" w:rsidRPr="003F68CE" w:rsidRDefault="00256500" w:rsidP="003D1256">
            <w:pPr>
              <w:shd w:val="clear" w:color="auto" w:fill="FFFFFF"/>
              <w:spacing w:after="0" w:line="240" w:lineRule="auto"/>
              <w:jc w:val="both"/>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заява - письмове звернення суб’єкта господарювання до НКРЕКП про встановлення або перегляд тарифів на послуги зберігання (закачування, відбору) природного газу;</w:t>
            </w:r>
          </w:p>
          <w:p w14:paraId="3E77A33F" w14:textId="77777777" w:rsidR="00256500" w:rsidRPr="003F68CE" w:rsidRDefault="00256500" w:rsidP="003D1256">
            <w:pPr>
              <w:shd w:val="clear" w:color="auto" w:fill="FFFFFF"/>
              <w:spacing w:after="0" w:line="240" w:lineRule="auto"/>
              <w:jc w:val="both"/>
              <w:rPr>
                <w:rFonts w:ascii="Times New Roman" w:eastAsia="Times New Roman" w:hAnsi="Times New Roman" w:cs="Times New Roman"/>
                <w:sz w:val="24"/>
                <w:szCs w:val="24"/>
                <w:lang w:val="uk-UA" w:eastAsia="uk-UA"/>
              </w:rPr>
            </w:pPr>
          </w:p>
          <w:p w14:paraId="0EBE852D" w14:textId="77777777" w:rsidR="00256500" w:rsidRPr="003F68CE" w:rsidRDefault="00256500" w:rsidP="003D1256">
            <w:pPr>
              <w:shd w:val="clear" w:color="auto" w:fill="FFFFFF"/>
              <w:spacing w:after="0" w:line="240" w:lineRule="auto"/>
              <w:jc w:val="both"/>
              <w:rPr>
                <w:rFonts w:ascii="Times New Roman" w:eastAsia="Times New Roman" w:hAnsi="Times New Roman" w:cs="Times New Roman"/>
                <w:b/>
                <w:sz w:val="24"/>
                <w:szCs w:val="24"/>
                <w:lang w:val="uk-UA" w:eastAsia="uk-UA"/>
              </w:rPr>
            </w:pPr>
            <w:r w:rsidRPr="003F68CE">
              <w:rPr>
                <w:rFonts w:ascii="Times New Roman" w:eastAsia="Times New Roman" w:hAnsi="Times New Roman" w:cs="Times New Roman"/>
                <w:b/>
                <w:sz w:val="24"/>
                <w:szCs w:val="24"/>
                <w:lang w:val="uk-UA" w:eastAsia="uk-UA"/>
              </w:rPr>
              <w:t>Норма відсутня</w:t>
            </w:r>
          </w:p>
          <w:p w14:paraId="3E07C84B" w14:textId="77777777" w:rsidR="007E47BB" w:rsidRPr="003F68CE" w:rsidRDefault="007E47BB" w:rsidP="003D1256">
            <w:pPr>
              <w:shd w:val="clear" w:color="auto" w:fill="FFFFFF"/>
              <w:spacing w:after="0" w:line="240" w:lineRule="auto"/>
              <w:jc w:val="both"/>
              <w:rPr>
                <w:rFonts w:ascii="Times New Roman" w:eastAsia="Times New Roman" w:hAnsi="Times New Roman" w:cs="Times New Roman"/>
                <w:sz w:val="24"/>
                <w:szCs w:val="24"/>
                <w:lang w:val="uk-UA" w:eastAsia="uk-UA"/>
              </w:rPr>
            </w:pPr>
          </w:p>
          <w:p w14:paraId="4B9BC0E2" w14:textId="77777777" w:rsidR="00256500" w:rsidRPr="003F68CE" w:rsidRDefault="00256500" w:rsidP="003D1256">
            <w:pPr>
              <w:shd w:val="clear" w:color="auto" w:fill="FFFFFF"/>
              <w:spacing w:after="0" w:line="240" w:lineRule="auto"/>
              <w:jc w:val="both"/>
              <w:rPr>
                <w:rFonts w:ascii="Times New Roman" w:eastAsia="Times New Roman" w:hAnsi="Times New Roman" w:cs="Times New Roman"/>
                <w:sz w:val="24"/>
                <w:szCs w:val="24"/>
                <w:lang w:val="uk-UA" w:eastAsia="uk-UA"/>
              </w:rPr>
            </w:pPr>
          </w:p>
          <w:p w14:paraId="31437D90" w14:textId="77777777" w:rsidR="00963870" w:rsidRPr="003F68CE" w:rsidRDefault="00963870" w:rsidP="003D1256">
            <w:pPr>
              <w:shd w:val="clear" w:color="auto" w:fill="FFFFFF"/>
              <w:spacing w:after="0" w:line="240" w:lineRule="auto"/>
              <w:jc w:val="both"/>
              <w:rPr>
                <w:rFonts w:ascii="Times New Roman" w:eastAsia="Times New Roman" w:hAnsi="Times New Roman" w:cs="Times New Roman"/>
                <w:sz w:val="24"/>
                <w:szCs w:val="24"/>
                <w:lang w:val="uk-UA" w:eastAsia="uk-UA"/>
              </w:rPr>
            </w:pPr>
          </w:p>
          <w:p w14:paraId="0534C087" w14:textId="77777777" w:rsidR="008A2058" w:rsidRPr="003F68CE" w:rsidRDefault="003E65CB" w:rsidP="003D1256">
            <w:pPr>
              <w:shd w:val="clear" w:color="auto" w:fill="FFFFFF"/>
              <w:spacing w:after="0" w:line="240" w:lineRule="auto"/>
              <w:jc w:val="both"/>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 xml:space="preserve"> </w:t>
            </w:r>
          </w:p>
          <w:p w14:paraId="53CAABE5" w14:textId="77777777" w:rsidR="00256500" w:rsidRPr="003F68CE" w:rsidRDefault="00256500" w:rsidP="003D1256">
            <w:pPr>
              <w:shd w:val="clear" w:color="auto" w:fill="FFFFFF"/>
              <w:spacing w:after="0" w:line="240" w:lineRule="auto"/>
              <w:jc w:val="both"/>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w:t>
            </w:r>
          </w:p>
          <w:p w14:paraId="21315A84" w14:textId="77777777" w:rsidR="008A2058" w:rsidRPr="003F68CE" w:rsidRDefault="008A2058" w:rsidP="003D1256">
            <w:pPr>
              <w:shd w:val="clear" w:color="auto" w:fill="FFFFFF"/>
              <w:spacing w:after="0" w:line="240" w:lineRule="auto"/>
              <w:jc w:val="both"/>
              <w:rPr>
                <w:rFonts w:ascii="Times New Roman" w:eastAsia="Times New Roman" w:hAnsi="Times New Roman" w:cs="Times New Roman"/>
                <w:sz w:val="24"/>
                <w:szCs w:val="24"/>
                <w:lang w:val="uk-UA" w:eastAsia="uk-UA"/>
              </w:rPr>
            </w:pPr>
          </w:p>
          <w:p w14:paraId="7D6A4A1F" w14:textId="1BA6DD7C" w:rsidR="008A2058" w:rsidRPr="003F68CE" w:rsidRDefault="008A48AD" w:rsidP="003D1256">
            <w:pPr>
              <w:shd w:val="clear" w:color="auto" w:fill="FFFFFF"/>
              <w:spacing w:after="0" w:line="240" w:lineRule="auto"/>
              <w:jc w:val="both"/>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планована тарифна виручка - планований дохід оператора газосховища на планований період для фінансування його обґрунтованих витрат, пов’язаних із провадженням господарської діяльності із зберігання (закачування, відбору) природного газу в/з підземних сховищ газу (далі - ПСГ);</w:t>
            </w:r>
          </w:p>
          <w:p w14:paraId="6B8BA3A7" w14:textId="6982BE77" w:rsidR="008A48AD" w:rsidRDefault="00C55AE3" w:rsidP="003D1256">
            <w:pPr>
              <w:shd w:val="clear" w:color="auto" w:fill="FFFFFF"/>
              <w:spacing w:after="0" w:line="240" w:lineRule="auto"/>
              <w:jc w:val="both"/>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w:t>
            </w:r>
          </w:p>
          <w:p w14:paraId="57D1B871" w14:textId="77777777" w:rsidR="003D1256" w:rsidRPr="003F68CE" w:rsidRDefault="003D1256" w:rsidP="003D1256">
            <w:pPr>
              <w:shd w:val="clear" w:color="auto" w:fill="FFFFFF"/>
              <w:spacing w:after="0" w:line="240" w:lineRule="auto"/>
              <w:jc w:val="both"/>
              <w:rPr>
                <w:rFonts w:ascii="Times New Roman" w:eastAsia="Times New Roman" w:hAnsi="Times New Roman" w:cs="Times New Roman"/>
                <w:sz w:val="24"/>
                <w:szCs w:val="24"/>
                <w:lang w:val="uk-UA" w:eastAsia="uk-UA"/>
              </w:rPr>
            </w:pPr>
          </w:p>
          <w:p w14:paraId="71AA9519" w14:textId="77777777" w:rsidR="00256500" w:rsidRPr="003D1256" w:rsidRDefault="00256500" w:rsidP="003D1256">
            <w:pPr>
              <w:shd w:val="clear" w:color="auto" w:fill="FFFFFF"/>
              <w:spacing w:after="0" w:line="240" w:lineRule="auto"/>
              <w:jc w:val="both"/>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планований прибуток - розрахункова сума, що є окремою складовою структури тарифів на послуги зберігання (закачування, відбору) природного газу в/з ПСГ та спрямовується, зокрема, на здійснення інвестицій, пов'язаних з ліцензованою діяльністю із зберігання (закачування, відбору) природного</w:t>
            </w:r>
            <w:r w:rsidRPr="003F68CE">
              <w:rPr>
                <w:rFonts w:ascii="Times New Roman" w:eastAsia="Times New Roman" w:hAnsi="Times New Roman" w:cs="Times New Roman"/>
                <w:strike/>
                <w:sz w:val="24"/>
                <w:szCs w:val="24"/>
                <w:lang w:val="uk-UA" w:eastAsia="uk-UA"/>
              </w:rPr>
              <w:t xml:space="preserve"> </w:t>
            </w:r>
            <w:r w:rsidRPr="003D1256">
              <w:rPr>
                <w:rFonts w:ascii="Times New Roman" w:eastAsia="Times New Roman" w:hAnsi="Times New Roman" w:cs="Times New Roman"/>
                <w:sz w:val="24"/>
                <w:szCs w:val="24"/>
                <w:lang w:val="uk-UA" w:eastAsia="uk-UA"/>
              </w:rPr>
              <w:t>газу, сплати податку на прибуток тощо;</w:t>
            </w:r>
          </w:p>
          <w:p w14:paraId="3826DA71" w14:textId="77777777" w:rsidR="00256500" w:rsidRPr="003F68CE" w:rsidRDefault="00256500" w:rsidP="003D1256">
            <w:pPr>
              <w:shd w:val="clear" w:color="auto" w:fill="FFFFFF"/>
              <w:spacing w:after="0" w:line="240" w:lineRule="auto"/>
              <w:jc w:val="both"/>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w:t>
            </w:r>
          </w:p>
          <w:p w14:paraId="4596EC5B" w14:textId="77777777" w:rsidR="00256500" w:rsidRPr="003F68CE" w:rsidRDefault="00256500" w:rsidP="003D1256">
            <w:pPr>
              <w:pStyle w:val="a4"/>
              <w:spacing w:before="0" w:beforeAutospacing="0" w:after="0" w:afterAutospacing="0"/>
              <w:jc w:val="both"/>
            </w:pPr>
            <w:r w:rsidRPr="003F68CE">
              <w:t xml:space="preserve">структура тарифу (планованої річної тарифної виручки) - перелік елементів витрат, що групуються за елементами витрат відповідно до Положення (стандарту) бухгалтерського обліку 16 «Витрати», затвердженого наказом Міністерства фінансів України від 31 грудня </w:t>
            </w:r>
            <w:r w:rsidRPr="003F68CE">
              <w:lastRenderedPageBreak/>
              <w:t>1999 року № 318, зареєстрованого в Міністерстві юстиції України 19 січня 2000 року за № 27/4248, та/або міжнародних стандартів бухгалтерського обліку та фінансової звітності, планованого прибутку та коригування планованої тарифної виручки;</w:t>
            </w:r>
          </w:p>
          <w:p w14:paraId="03599F1B" w14:textId="61FCFEAC" w:rsidR="006B0689" w:rsidRPr="003D1256" w:rsidRDefault="003D1256" w:rsidP="003D1256">
            <w:pPr>
              <w:pStyle w:val="a4"/>
              <w:spacing w:before="0" w:beforeAutospacing="0" w:after="0" w:afterAutospacing="0"/>
              <w:jc w:val="both"/>
            </w:pPr>
            <w:r>
              <w:t>….</w:t>
            </w:r>
          </w:p>
        </w:tc>
        <w:tc>
          <w:tcPr>
            <w:tcW w:w="7903" w:type="dxa"/>
          </w:tcPr>
          <w:p w14:paraId="20397AB8" w14:textId="77777777" w:rsidR="00256500" w:rsidRPr="003F68CE" w:rsidRDefault="00256500" w:rsidP="003D1256">
            <w:pPr>
              <w:shd w:val="clear" w:color="auto" w:fill="FFFFFF"/>
              <w:spacing w:after="0" w:line="240" w:lineRule="auto"/>
              <w:jc w:val="both"/>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lastRenderedPageBreak/>
              <w:t>5. У цій Методиці терміни вживаються у таких значеннях:</w:t>
            </w:r>
          </w:p>
          <w:p w14:paraId="5825A941" w14:textId="77777777" w:rsidR="00256500" w:rsidRPr="003F68CE" w:rsidRDefault="00256500" w:rsidP="003D1256">
            <w:pPr>
              <w:shd w:val="clear" w:color="auto" w:fill="FFFFFF"/>
              <w:spacing w:after="0" w:line="240" w:lineRule="auto"/>
              <w:jc w:val="both"/>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w:t>
            </w:r>
          </w:p>
          <w:p w14:paraId="37DAF63C" w14:textId="77777777" w:rsidR="00256500" w:rsidRPr="003F68CE" w:rsidRDefault="00256500" w:rsidP="003D1256">
            <w:pPr>
              <w:shd w:val="clear" w:color="auto" w:fill="FFFFFF"/>
              <w:spacing w:after="0" w:line="240" w:lineRule="auto"/>
              <w:jc w:val="both"/>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заява - письмове звернення суб’єкта господарювання до НКРЕКП про встановлення або перегляд тарифів на послуги зберігання (закачування, відбору) природного газу;</w:t>
            </w:r>
          </w:p>
          <w:p w14:paraId="66252A8B" w14:textId="77777777" w:rsidR="00256500" w:rsidRPr="003F68CE" w:rsidRDefault="00256500" w:rsidP="003D1256">
            <w:pPr>
              <w:pStyle w:val="a4"/>
              <w:spacing w:before="0" w:beforeAutospacing="0" w:after="0" w:afterAutospacing="0"/>
              <w:jc w:val="both"/>
              <w:rPr>
                <w:b/>
              </w:rPr>
            </w:pPr>
          </w:p>
          <w:p w14:paraId="3ADE1307" w14:textId="4C67822D" w:rsidR="00256500" w:rsidRPr="003F68CE" w:rsidRDefault="00256500" w:rsidP="003D1256">
            <w:pPr>
              <w:pStyle w:val="a4"/>
              <w:spacing w:before="0" w:beforeAutospacing="0" w:after="0" w:afterAutospacing="0"/>
              <w:jc w:val="both"/>
              <w:rPr>
                <w:b/>
              </w:rPr>
            </w:pPr>
            <w:r w:rsidRPr="003F68CE">
              <w:rPr>
                <w:b/>
              </w:rPr>
              <w:t xml:space="preserve">капітальні інвестиції - розрахункова сума, що є окремою складовою структури </w:t>
            </w:r>
            <w:r w:rsidR="00963870" w:rsidRPr="003F68CE">
              <w:rPr>
                <w:b/>
              </w:rPr>
              <w:t xml:space="preserve">тарифів на послуги зберігання (закачування, відбору) природного газу в/з </w:t>
            </w:r>
            <w:r w:rsidR="008A48AD" w:rsidRPr="003F68CE">
              <w:rPr>
                <w:b/>
              </w:rPr>
              <w:t xml:space="preserve">підземних сховищ газу (далі – ПСГ) </w:t>
            </w:r>
            <w:r w:rsidRPr="003F68CE">
              <w:rPr>
                <w:b/>
              </w:rPr>
              <w:t xml:space="preserve">та є одним з джерел фінансування інвестиційної програми </w:t>
            </w:r>
            <w:r w:rsidR="00963870" w:rsidRPr="003F68CE">
              <w:rPr>
                <w:b/>
              </w:rPr>
              <w:t>оператора газосховищ</w:t>
            </w:r>
            <w:r w:rsidRPr="003F68CE">
              <w:rPr>
                <w:b/>
              </w:rPr>
              <w:t>;</w:t>
            </w:r>
          </w:p>
          <w:p w14:paraId="748CC909" w14:textId="77777777" w:rsidR="00256500" w:rsidRPr="003F68CE" w:rsidRDefault="00256500" w:rsidP="003D1256">
            <w:pPr>
              <w:pStyle w:val="a4"/>
              <w:spacing w:before="0" w:beforeAutospacing="0" w:after="0" w:afterAutospacing="0"/>
              <w:jc w:val="both"/>
            </w:pPr>
            <w:r w:rsidRPr="003F68CE">
              <w:t>…</w:t>
            </w:r>
          </w:p>
          <w:p w14:paraId="580941C6" w14:textId="5B2928BE" w:rsidR="00963870" w:rsidRDefault="00963870" w:rsidP="003D1256">
            <w:pPr>
              <w:pStyle w:val="a4"/>
              <w:spacing w:before="0" w:beforeAutospacing="0" w:after="0" w:afterAutospacing="0"/>
              <w:jc w:val="both"/>
              <w:rPr>
                <w:b/>
              </w:rPr>
            </w:pPr>
          </w:p>
          <w:p w14:paraId="550CDCE2" w14:textId="77777777" w:rsidR="003D1256" w:rsidRPr="003F68CE" w:rsidRDefault="003D1256" w:rsidP="003D1256">
            <w:pPr>
              <w:pStyle w:val="a4"/>
              <w:spacing w:before="0" w:beforeAutospacing="0" w:after="0" w:afterAutospacing="0"/>
              <w:jc w:val="both"/>
              <w:rPr>
                <w:b/>
              </w:rPr>
            </w:pPr>
          </w:p>
          <w:p w14:paraId="4063D6A0" w14:textId="34213028" w:rsidR="008A48AD" w:rsidRPr="003F68CE" w:rsidRDefault="008A48AD" w:rsidP="003D1256">
            <w:pPr>
              <w:pStyle w:val="a4"/>
              <w:spacing w:before="0" w:beforeAutospacing="0" w:after="0" w:afterAutospacing="0"/>
              <w:jc w:val="both"/>
            </w:pPr>
            <w:r w:rsidRPr="003F68CE">
              <w:t xml:space="preserve">планована тарифна виручка - планований дохід оператора газосховища на планований період для фінансування його обґрунтованих витрат, пов’язаних із провадженням господарської діяльності із зберігання (закачування, відбору) природного газу в/з </w:t>
            </w:r>
            <w:r w:rsidRPr="003F68CE">
              <w:rPr>
                <w:strike/>
              </w:rPr>
              <w:t>підземних сховищ газу (далі -</w:t>
            </w:r>
            <w:r w:rsidRPr="003F68CE">
              <w:t xml:space="preserve"> ПСГ</w:t>
            </w:r>
            <w:r w:rsidRPr="003F68CE">
              <w:rPr>
                <w:strike/>
              </w:rPr>
              <w:t>)</w:t>
            </w:r>
            <w:r w:rsidRPr="003F68CE">
              <w:t>;</w:t>
            </w:r>
          </w:p>
          <w:p w14:paraId="7B0576AE" w14:textId="77DD2FC7" w:rsidR="008A48AD" w:rsidRDefault="00C55AE3" w:rsidP="003D1256">
            <w:pPr>
              <w:pStyle w:val="a4"/>
              <w:spacing w:before="0" w:beforeAutospacing="0" w:after="0" w:afterAutospacing="0"/>
              <w:jc w:val="both"/>
              <w:rPr>
                <w:b/>
              </w:rPr>
            </w:pPr>
            <w:r w:rsidRPr="003F68CE">
              <w:rPr>
                <w:b/>
              </w:rPr>
              <w:t>…</w:t>
            </w:r>
          </w:p>
          <w:p w14:paraId="7B7EDCA7" w14:textId="77777777" w:rsidR="003D1256" w:rsidRPr="003F68CE" w:rsidRDefault="003D1256" w:rsidP="003D1256">
            <w:pPr>
              <w:pStyle w:val="a4"/>
              <w:spacing w:before="0" w:beforeAutospacing="0" w:after="0" w:afterAutospacing="0"/>
              <w:jc w:val="both"/>
              <w:rPr>
                <w:b/>
              </w:rPr>
            </w:pPr>
          </w:p>
          <w:p w14:paraId="762D2B28" w14:textId="77777777" w:rsidR="00256500" w:rsidRPr="003F68CE" w:rsidRDefault="00256500" w:rsidP="003D1256">
            <w:pPr>
              <w:pStyle w:val="a4"/>
              <w:spacing w:before="0" w:beforeAutospacing="0" w:after="0" w:afterAutospacing="0"/>
              <w:jc w:val="both"/>
              <w:rPr>
                <w:b/>
              </w:rPr>
            </w:pPr>
            <w:r w:rsidRPr="003F68CE">
              <w:rPr>
                <w:b/>
              </w:rPr>
              <w:t xml:space="preserve">планований прибуток – розрахункова сума, що є окремою складовою структури </w:t>
            </w:r>
            <w:r w:rsidR="00963870" w:rsidRPr="003F68CE">
              <w:rPr>
                <w:b/>
              </w:rPr>
              <w:t>тарифів на послуги зберігання (закачування, відбору) природного газу в/з ПСГ</w:t>
            </w:r>
            <w:r w:rsidRPr="003F68CE">
              <w:t xml:space="preserve"> </w:t>
            </w:r>
            <w:bookmarkStart w:id="1" w:name="_Hlk141200603"/>
            <w:r w:rsidRPr="003F68CE">
              <w:rPr>
                <w:b/>
              </w:rPr>
              <w:t>та визначається відповідно до розділу IV цієї Методики</w:t>
            </w:r>
            <w:bookmarkEnd w:id="1"/>
            <w:r w:rsidRPr="003F68CE">
              <w:t>;</w:t>
            </w:r>
          </w:p>
          <w:p w14:paraId="3DDDA2C1" w14:textId="77777777" w:rsidR="00963870" w:rsidRPr="003F68CE" w:rsidRDefault="00963870" w:rsidP="003D1256">
            <w:pPr>
              <w:pStyle w:val="a4"/>
              <w:spacing w:before="0" w:beforeAutospacing="0" w:after="0" w:afterAutospacing="0"/>
              <w:jc w:val="both"/>
            </w:pPr>
          </w:p>
          <w:p w14:paraId="7AB99E73" w14:textId="77777777" w:rsidR="00963870" w:rsidRPr="003F68CE" w:rsidRDefault="00963870" w:rsidP="003D1256">
            <w:pPr>
              <w:pStyle w:val="a4"/>
              <w:spacing w:before="0" w:beforeAutospacing="0" w:after="0" w:afterAutospacing="0"/>
              <w:jc w:val="both"/>
            </w:pPr>
          </w:p>
          <w:p w14:paraId="3E00A7E6" w14:textId="09B27155" w:rsidR="00963870" w:rsidRPr="003F68CE" w:rsidRDefault="003D1256" w:rsidP="003D1256">
            <w:pPr>
              <w:pStyle w:val="a4"/>
              <w:spacing w:before="0" w:beforeAutospacing="0" w:after="0" w:afterAutospacing="0"/>
              <w:jc w:val="both"/>
            </w:pPr>
            <w:r>
              <w:t>…</w:t>
            </w:r>
          </w:p>
          <w:p w14:paraId="44EF770D" w14:textId="4CE3DA25" w:rsidR="001B4EB7" w:rsidRPr="003F68CE" w:rsidRDefault="00963870" w:rsidP="003D1256">
            <w:pPr>
              <w:pStyle w:val="a4"/>
              <w:spacing w:before="0" w:beforeAutospacing="0" w:after="0" w:afterAutospacing="0"/>
              <w:jc w:val="both"/>
            </w:pPr>
            <w:r w:rsidRPr="003F68CE">
              <w:t xml:space="preserve">структура тарифу (планованої річної тарифної виручки) - перелік елементів витрат, що групуються за елементами витрат відповідно до Положення (стандарту) бухгалтерського обліку 16 «Витрати», затвердженого наказом Міністерства фінансів України від 31 грудня 1999 року № 318, </w:t>
            </w:r>
            <w:r w:rsidRPr="003F68CE">
              <w:lastRenderedPageBreak/>
              <w:t xml:space="preserve">зареєстрованого в Міністерстві юстиції України 19 січня 2000 року за № 27/4248, та/або міжнародних стандартів бухгалтерського обліку та фінансової звітності, планованого прибутку, </w:t>
            </w:r>
            <w:r w:rsidRPr="003F68CE">
              <w:rPr>
                <w:b/>
              </w:rPr>
              <w:t>капітальних інвестицій</w:t>
            </w:r>
            <w:r w:rsidRPr="003F68CE">
              <w:t xml:space="preserve"> та коригування планованої тарифної виручки;</w:t>
            </w:r>
          </w:p>
          <w:p w14:paraId="31B7114E" w14:textId="77777777" w:rsidR="006B0689" w:rsidRPr="003D1256" w:rsidRDefault="006B0689" w:rsidP="003D1256">
            <w:pPr>
              <w:pStyle w:val="a4"/>
              <w:spacing w:before="0" w:beforeAutospacing="0" w:after="0" w:afterAutospacing="0"/>
              <w:jc w:val="both"/>
            </w:pPr>
            <w:r w:rsidRPr="003D1256">
              <w:t>…</w:t>
            </w:r>
          </w:p>
        </w:tc>
      </w:tr>
      <w:tr w:rsidR="003F68CE" w:rsidRPr="003F68CE" w14:paraId="75199BC5" w14:textId="77777777" w:rsidTr="003D1256">
        <w:trPr>
          <w:trHeight w:val="135"/>
        </w:trPr>
        <w:tc>
          <w:tcPr>
            <w:tcW w:w="14879" w:type="dxa"/>
            <w:gridSpan w:val="2"/>
          </w:tcPr>
          <w:p w14:paraId="735092B8" w14:textId="77777777" w:rsidR="00256500" w:rsidRPr="003F68CE" w:rsidRDefault="00256500" w:rsidP="003D1256">
            <w:pPr>
              <w:pStyle w:val="3"/>
              <w:spacing w:before="0" w:beforeAutospacing="0" w:after="0" w:afterAutospacing="0"/>
              <w:jc w:val="center"/>
              <w:outlineLvl w:val="2"/>
            </w:pPr>
            <w:r w:rsidRPr="003F68CE">
              <w:lastRenderedPageBreak/>
              <w:t>ІІ. Розрахунок тарифів на послуги зберігання (закачування, відбору) природного газу</w:t>
            </w:r>
          </w:p>
        </w:tc>
      </w:tr>
      <w:tr w:rsidR="00143080" w:rsidRPr="003F68CE" w14:paraId="1F436C08" w14:textId="77777777" w:rsidTr="003D1256">
        <w:trPr>
          <w:trHeight w:val="833"/>
        </w:trPr>
        <w:tc>
          <w:tcPr>
            <w:tcW w:w="6976" w:type="dxa"/>
          </w:tcPr>
          <w:p w14:paraId="7279C960" w14:textId="77777777" w:rsidR="007E47BB" w:rsidRPr="003F68CE" w:rsidRDefault="00256500" w:rsidP="003D1256">
            <w:pPr>
              <w:shd w:val="clear" w:color="auto" w:fill="FFFFFF"/>
              <w:spacing w:after="0" w:line="240" w:lineRule="auto"/>
              <w:jc w:val="both"/>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 xml:space="preserve"> 1.</w:t>
            </w:r>
            <w:r w:rsidR="006B0689" w:rsidRPr="003F68CE">
              <w:rPr>
                <w:rFonts w:ascii="Times New Roman" w:eastAsia="Times New Roman" w:hAnsi="Times New Roman" w:cs="Times New Roman"/>
                <w:sz w:val="24"/>
                <w:szCs w:val="24"/>
                <w:lang w:val="uk-UA" w:eastAsia="uk-UA"/>
              </w:rPr>
              <w:t xml:space="preserve"> </w:t>
            </w:r>
            <w:r w:rsidRPr="003F68CE">
              <w:rPr>
                <w:rFonts w:ascii="Times New Roman" w:eastAsia="Times New Roman" w:hAnsi="Times New Roman" w:cs="Times New Roman"/>
                <w:sz w:val="24"/>
                <w:szCs w:val="24"/>
                <w:lang w:val="uk-UA" w:eastAsia="uk-UA"/>
              </w:rPr>
              <w:t>Загальна планована тарифна виручка розраховується на основі повної планованої собівартості, планованого прибутку та коригування планованої тарифної виручки за формулою</w:t>
            </w:r>
          </w:p>
          <w:p w14:paraId="452F6EF9" w14:textId="77777777" w:rsidR="00256500" w:rsidRPr="003F68CE" w:rsidRDefault="00256500" w:rsidP="003D1256">
            <w:pPr>
              <w:pStyle w:val="a4"/>
              <w:spacing w:before="0" w:beforeAutospacing="0" w:after="0" w:afterAutospacing="0"/>
              <w:ind w:left="360"/>
              <w:jc w:val="both"/>
            </w:pPr>
            <w:r w:rsidRPr="003F68CE">
              <w:rPr>
                <w:noProof/>
                <w:lang w:val="ru-RU" w:eastAsia="ru-RU"/>
              </w:rPr>
              <w:drawing>
                <wp:inline distT="0" distB="0" distL="0" distR="0" wp14:anchorId="6F2743D1" wp14:editId="50619EA3">
                  <wp:extent cx="3624450" cy="404037"/>
                  <wp:effectExtent l="0" t="0" r="0" b="0"/>
                  <wp:docPr id="7" name="Рисунок 7" descr="https://zakon.rada.gov.ua/laws/file/imgs/100/p458906n272.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100/p458906n272.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59490" cy="419091"/>
                          </a:xfrm>
                          <a:prstGeom prst="rect">
                            <a:avLst/>
                          </a:prstGeom>
                          <a:noFill/>
                          <a:ln>
                            <a:noFill/>
                          </a:ln>
                        </pic:spPr>
                      </pic:pic>
                    </a:graphicData>
                  </a:graphic>
                </wp:inline>
              </w:drawing>
            </w:r>
          </w:p>
          <w:p w14:paraId="47C10D1D" w14:textId="77777777" w:rsidR="006B0689" w:rsidRPr="003F68CE" w:rsidRDefault="006B0689" w:rsidP="003D1256">
            <w:pPr>
              <w:pStyle w:val="a4"/>
              <w:spacing w:before="0" w:beforeAutospacing="0" w:after="0" w:afterAutospacing="0"/>
              <w:ind w:left="360"/>
              <w:jc w:val="both"/>
            </w:pPr>
          </w:p>
          <w:tbl>
            <w:tblPr>
              <w:tblW w:w="7260" w:type="dxa"/>
              <w:shd w:val="clear" w:color="auto" w:fill="FFFFFF"/>
              <w:tblCellMar>
                <w:left w:w="0" w:type="dxa"/>
                <w:right w:w="0" w:type="dxa"/>
              </w:tblCellMar>
              <w:tblLook w:val="04A0" w:firstRow="1" w:lastRow="0" w:firstColumn="1" w:lastColumn="0" w:noHBand="0" w:noVBand="1"/>
            </w:tblPr>
            <w:tblGrid>
              <w:gridCol w:w="685"/>
              <w:gridCol w:w="1017"/>
              <w:gridCol w:w="273"/>
              <w:gridCol w:w="5285"/>
            </w:tblGrid>
            <w:tr w:rsidR="00143080" w:rsidRPr="003F68CE" w14:paraId="5AA8D3A0" w14:textId="77777777" w:rsidTr="003D1256">
              <w:tc>
                <w:tcPr>
                  <w:tcW w:w="685" w:type="dxa"/>
                  <w:shd w:val="clear" w:color="auto" w:fill="FFFFFF"/>
                  <w:hideMark/>
                </w:tcPr>
                <w:p w14:paraId="5420F663" w14:textId="77777777" w:rsidR="006B0689" w:rsidRPr="003F68CE" w:rsidRDefault="006B0689" w:rsidP="003D1256">
                  <w:pPr>
                    <w:spacing w:after="0" w:line="240" w:lineRule="auto"/>
                    <w:ind w:firstLine="450"/>
                    <w:jc w:val="both"/>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де</w:t>
                  </w:r>
                </w:p>
              </w:tc>
              <w:tc>
                <w:tcPr>
                  <w:tcW w:w="1017" w:type="dxa"/>
                  <w:shd w:val="clear" w:color="auto" w:fill="FFFFFF"/>
                  <w:hideMark/>
                </w:tcPr>
                <w:p w14:paraId="0F99208A" w14:textId="77777777" w:rsidR="006B0689" w:rsidRPr="003F68CE" w:rsidRDefault="006B0689" w:rsidP="003D1256">
                  <w:pPr>
                    <w:spacing w:after="0" w:line="240" w:lineRule="auto"/>
                    <w:rPr>
                      <w:rFonts w:ascii="Times New Roman" w:eastAsia="Times New Roman" w:hAnsi="Times New Roman" w:cs="Times New Roman"/>
                      <w:sz w:val="24"/>
                      <w:szCs w:val="24"/>
                      <w:lang w:val="uk-UA" w:eastAsia="uk-UA"/>
                    </w:rPr>
                  </w:pPr>
                </w:p>
                <w:p w14:paraId="0082092E" w14:textId="457888FD" w:rsidR="006B0689" w:rsidRPr="003F68CE" w:rsidRDefault="006B0689" w:rsidP="003D1256">
                  <w:pPr>
                    <w:spacing w:after="0" w:line="240" w:lineRule="auto"/>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noProof/>
                      <w:sz w:val="24"/>
                      <w:szCs w:val="24"/>
                      <w:lang w:eastAsia="ru-RU"/>
                    </w:rPr>
                    <w:drawing>
                      <wp:inline distT="0" distB="0" distL="0" distR="0" wp14:anchorId="47662735" wp14:editId="34FAEC6E">
                        <wp:extent cx="428625" cy="257175"/>
                        <wp:effectExtent l="0" t="0" r="9525" b="9525"/>
                        <wp:docPr id="9" name="Рисунок 9" descr="https://zakon.rada.gov.ua/laws/file/imgs/100/p458906n42v1-1.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100/p458906n42v1-1.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257175"/>
                                </a:xfrm>
                                <a:prstGeom prst="rect">
                                  <a:avLst/>
                                </a:prstGeom>
                                <a:noFill/>
                                <a:ln>
                                  <a:noFill/>
                                </a:ln>
                              </pic:spPr>
                            </pic:pic>
                          </a:graphicData>
                        </a:graphic>
                      </wp:inline>
                    </w:drawing>
                  </w:r>
                </w:p>
              </w:tc>
              <w:tc>
                <w:tcPr>
                  <w:tcW w:w="273" w:type="dxa"/>
                  <w:shd w:val="clear" w:color="auto" w:fill="FFFFFF"/>
                  <w:hideMark/>
                </w:tcPr>
                <w:p w14:paraId="17A6E249" w14:textId="77777777" w:rsidR="006B0689" w:rsidRPr="003F68CE" w:rsidRDefault="006B0689" w:rsidP="003D1256">
                  <w:pPr>
                    <w:spacing w:after="0" w:line="240" w:lineRule="auto"/>
                    <w:jc w:val="center"/>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w:t>
                  </w:r>
                </w:p>
              </w:tc>
              <w:tc>
                <w:tcPr>
                  <w:tcW w:w="5285" w:type="dxa"/>
                  <w:shd w:val="clear" w:color="auto" w:fill="FFFFFF"/>
                  <w:hideMark/>
                </w:tcPr>
                <w:p w14:paraId="7843C350" w14:textId="77777777" w:rsidR="006B0689" w:rsidRPr="003F68CE" w:rsidRDefault="006B0689" w:rsidP="003D1256">
                  <w:pPr>
                    <w:spacing w:after="0" w:line="240" w:lineRule="auto"/>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загальна планована тарифна виручка оператора газосховища від надання послуг зберігання (закачування, відбору) природного газу в/з ПСГ, тис. грн;</w:t>
                  </w:r>
                </w:p>
              </w:tc>
            </w:tr>
            <w:tr w:rsidR="00143080" w:rsidRPr="003F68CE" w14:paraId="744E7274" w14:textId="77777777" w:rsidTr="003D1256">
              <w:tc>
                <w:tcPr>
                  <w:tcW w:w="685" w:type="dxa"/>
                  <w:shd w:val="clear" w:color="auto" w:fill="FFFFFF"/>
                  <w:hideMark/>
                </w:tcPr>
                <w:p w14:paraId="19CB9797" w14:textId="77777777" w:rsidR="006B0689" w:rsidRPr="003F68CE" w:rsidRDefault="006B0689" w:rsidP="003D1256">
                  <w:pPr>
                    <w:spacing w:after="0" w:line="240" w:lineRule="auto"/>
                    <w:jc w:val="both"/>
                    <w:rPr>
                      <w:rFonts w:ascii="Times New Roman" w:eastAsia="Times New Roman" w:hAnsi="Times New Roman" w:cs="Times New Roman"/>
                      <w:sz w:val="24"/>
                      <w:szCs w:val="24"/>
                      <w:lang w:val="uk-UA" w:eastAsia="uk-UA"/>
                    </w:rPr>
                  </w:pPr>
                </w:p>
              </w:tc>
              <w:tc>
                <w:tcPr>
                  <w:tcW w:w="1017" w:type="dxa"/>
                  <w:shd w:val="clear" w:color="auto" w:fill="FFFFFF"/>
                  <w:hideMark/>
                </w:tcPr>
                <w:p w14:paraId="32833600" w14:textId="77777777" w:rsidR="006B0689" w:rsidRPr="003F68CE" w:rsidRDefault="006B0689" w:rsidP="003D1256">
                  <w:pPr>
                    <w:spacing w:after="0" w:line="240" w:lineRule="auto"/>
                    <w:jc w:val="center"/>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bCs/>
                      <w:sz w:val="24"/>
                      <w:szCs w:val="24"/>
                      <w:lang w:val="uk-UA" w:eastAsia="uk-UA"/>
                    </w:rPr>
                    <w:t>ППС</w:t>
                  </w:r>
                </w:p>
              </w:tc>
              <w:tc>
                <w:tcPr>
                  <w:tcW w:w="273" w:type="dxa"/>
                  <w:shd w:val="clear" w:color="auto" w:fill="FFFFFF"/>
                  <w:hideMark/>
                </w:tcPr>
                <w:p w14:paraId="6EBB760A" w14:textId="77777777" w:rsidR="006B0689" w:rsidRPr="003F68CE" w:rsidRDefault="006B0689" w:rsidP="003D1256">
                  <w:pPr>
                    <w:spacing w:after="0" w:line="240" w:lineRule="auto"/>
                    <w:jc w:val="center"/>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w:t>
                  </w:r>
                </w:p>
              </w:tc>
              <w:tc>
                <w:tcPr>
                  <w:tcW w:w="5285" w:type="dxa"/>
                  <w:shd w:val="clear" w:color="auto" w:fill="FFFFFF"/>
                  <w:hideMark/>
                </w:tcPr>
                <w:p w14:paraId="28AC47E2" w14:textId="77777777" w:rsidR="006B0689" w:rsidRPr="003F68CE" w:rsidRDefault="006B0689" w:rsidP="003D1256">
                  <w:pPr>
                    <w:spacing w:after="0" w:line="240" w:lineRule="auto"/>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повна планована собівартість надання послуг зберігання (закачування, відбору) природного газу в/з ПСГ, що визначається відповідно до </w:t>
                  </w:r>
                  <w:hyperlink r:id="rId10" w:anchor="n72" w:history="1">
                    <w:r w:rsidRPr="003F68CE">
                      <w:rPr>
                        <w:rFonts w:ascii="Times New Roman" w:eastAsia="Times New Roman" w:hAnsi="Times New Roman" w:cs="Times New Roman"/>
                        <w:sz w:val="24"/>
                        <w:szCs w:val="24"/>
                        <w:u w:val="single"/>
                        <w:lang w:val="uk-UA" w:eastAsia="uk-UA"/>
                      </w:rPr>
                      <w:t>розділу III</w:t>
                    </w:r>
                  </w:hyperlink>
                  <w:r w:rsidRPr="003F68CE">
                    <w:rPr>
                      <w:rFonts w:ascii="Times New Roman" w:eastAsia="Times New Roman" w:hAnsi="Times New Roman" w:cs="Times New Roman"/>
                      <w:sz w:val="24"/>
                      <w:szCs w:val="24"/>
                      <w:lang w:val="uk-UA" w:eastAsia="uk-UA"/>
                    </w:rPr>
                    <w:t> цієї Методики, тис. грн;</w:t>
                  </w:r>
                </w:p>
              </w:tc>
            </w:tr>
            <w:tr w:rsidR="00143080" w:rsidRPr="003F68CE" w14:paraId="149877D0" w14:textId="77777777" w:rsidTr="003D1256">
              <w:trPr>
                <w:trHeight w:val="1090"/>
              </w:trPr>
              <w:tc>
                <w:tcPr>
                  <w:tcW w:w="685" w:type="dxa"/>
                  <w:vMerge w:val="restart"/>
                  <w:shd w:val="clear" w:color="auto" w:fill="FFFFFF"/>
                  <w:hideMark/>
                </w:tcPr>
                <w:p w14:paraId="0089C5AE" w14:textId="77777777" w:rsidR="00894743" w:rsidRPr="003F68CE" w:rsidRDefault="00894743" w:rsidP="003D1256">
                  <w:pPr>
                    <w:spacing w:after="0" w:line="240" w:lineRule="auto"/>
                    <w:jc w:val="both"/>
                    <w:rPr>
                      <w:rFonts w:ascii="Times New Roman" w:eastAsia="Times New Roman" w:hAnsi="Times New Roman" w:cs="Times New Roman"/>
                      <w:sz w:val="24"/>
                      <w:szCs w:val="24"/>
                      <w:lang w:val="uk-UA" w:eastAsia="uk-UA"/>
                    </w:rPr>
                  </w:pPr>
                </w:p>
              </w:tc>
              <w:tc>
                <w:tcPr>
                  <w:tcW w:w="1017" w:type="dxa"/>
                  <w:shd w:val="clear" w:color="auto" w:fill="FFFFFF"/>
                  <w:hideMark/>
                </w:tcPr>
                <w:p w14:paraId="4071494D" w14:textId="77777777" w:rsidR="00894743" w:rsidRPr="003F68CE" w:rsidRDefault="00894743" w:rsidP="003D1256">
                  <w:pPr>
                    <w:spacing w:after="0" w:line="240" w:lineRule="auto"/>
                    <w:jc w:val="center"/>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bCs/>
                      <w:sz w:val="24"/>
                      <w:szCs w:val="24"/>
                      <w:lang w:val="uk-UA" w:eastAsia="uk-UA"/>
                    </w:rPr>
                    <w:t>П</w:t>
                  </w:r>
                </w:p>
              </w:tc>
              <w:tc>
                <w:tcPr>
                  <w:tcW w:w="273" w:type="dxa"/>
                  <w:shd w:val="clear" w:color="auto" w:fill="FFFFFF"/>
                  <w:hideMark/>
                </w:tcPr>
                <w:p w14:paraId="5515E571" w14:textId="77777777" w:rsidR="00894743" w:rsidRPr="003F68CE" w:rsidRDefault="00894743" w:rsidP="003D1256">
                  <w:pPr>
                    <w:spacing w:after="0" w:line="240" w:lineRule="auto"/>
                    <w:jc w:val="center"/>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w:t>
                  </w:r>
                </w:p>
              </w:tc>
              <w:tc>
                <w:tcPr>
                  <w:tcW w:w="5285" w:type="dxa"/>
                  <w:shd w:val="clear" w:color="auto" w:fill="FFFFFF"/>
                  <w:hideMark/>
                </w:tcPr>
                <w:p w14:paraId="440FF685" w14:textId="452FF51F" w:rsidR="00894743" w:rsidRDefault="00894743" w:rsidP="003D1256">
                  <w:pPr>
                    <w:spacing w:after="0" w:line="240" w:lineRule="auto"/>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планований прибуток оператора газосховища, що визначається відповідно до </w:t>
                  </w:r>
                  <w:hyperlink r:id="rId11" w:anchor="n181" w:history="1">
                    <w:r w:rsidRPr="003F68CE">
                      <w:rPr>
                        <w:rFonts w:ascii="Times New Roman" w:eastAsia="Times New Roman" w:hAnsi="Times New Roman" w:cs="Times New Roman"/>
                        <w:sz w:val="24"/>
                        <w:szCs w:val="24"/>
                        <w:u w:val="single"/>
                        <w:lang w:val="uk-UA" w:eastAsia="uk-UA"/>
                      </w:rPr>
                      <w:t>розділу IV</w:t>
                    </w:r>
                  </w:hyperlink>
                  <w:r w:rsidRPr="003F68CE">
                    <w:rPr>
                      <w:rFonts w:ascii="Times New Roman" w:eastAsia="Times New Roman" w:hAnsi="Times New Roman" w:cs="Times New Roman"/>
                      <w:sz w:val="24"/>
                      <w:szCs w:val="24"/>
                      <w:lang w:val="uk-UA" w:eastAsia="uk-UA"/>
                    </w:rPr>
                    <w:t> цієї Методики, тис. грн.</w:t>
                  </w:r>
                </w:p>
                <w:p w14:paraId="5BDB6DAB" w14:textId="77777777" w:rsidR="003D1256" w:rsidRPr="003F68CE" w:rsidRDefault="003D1256" w:rsidP="003D1256">
                  <w:pPr>
                    <w:spacing w:after="0" w:line="240" w:lineRule="auto"/>
                    <w:rPr>
                      <w:rFonts w:ascii="Times New Roman" w:eastAsia="Times New Roman" w:hAnsi="Times New Roman" w:cs="Times New Roman"/>
                      <w:sz w:val="24"/>
                      <w:szCs w:val="24"/>
                      <w:lang w:val="uk-UA" w:eastAsia="uk-UA"/>
                    </w:rPr>
                  </w:pPr>
                </w:p>
                <w:p w14:paraId="33711752" w14:textId="77777777" w:rsidR="00894743" w:rsidRPr="003F68CE" w:rsidRDefault="00894743" w:rsidP="003D1256">
                  <w:pPr>
                    <w:spacing w:after="0" w:line="240" w:lineRule="auto"/>
                    <w:rPr>
                      <w:rFonts w:ascii="Times New Roman" w:eastAsia="Times New Roman" w:hAnsi="Times New Roman" w:cs="Times New Roman"/>
                      <w:sz w:val="24"/>
                      <w:szCs w:val="24"/>
                      <w:lang w:val="uk-UA" w:eastAsia="uk-UA"/>
                    </w:rPr>
                  </w:pPr>
                </w:p>
              </w:tc>
            </w:tr>
            <w:tr w:rsidR="00143080" w:rsidRPr="003F68CE" w14:paraId="6E516035" w14:textId="77777777" w:rsidTr="003D1256">
              <w:trPr>
                <w:trHeight w:val="463"/>
              </w:trPr>
              <w:tc>
                <w:tcPr>
                  <w:tcW w:w="685" w:type="dxa"/>
                  <w:vMerge/>
                  <w:shd w:val="clear" w:color="auto" w:fill="FFFFFF"/>
                </w:tcPr>
                <w:p w14:paraId="383923EE" w14:textId="77777777" w:rsidR="00894743" w:rsidRPr="003F68CE" w:rsidRDefault="00894743" w:rsidP="003D1256">
                  <w:pPr>
                    <w:spacing w:after="0" w:line="240" w:lineRule="auto"/>
                    <w:jc w:val="both"/>
                    <w:rPr>
                      <w:rFonts w:ascii="Times New Roman" w:eastAsia="Times New Roman" w:hAnsi="Times New Roman" w:cs="Times New Roman"/>
                      <w:sz w:val="24"/>
                      <w:szCs w:val="24"/>
                      <w:lang w:val="uk-UA" w:eastAsia="uk-UA"/>
                    </w:rPr>
                  </w:pPr>
                </w:p>
              </w:tc>
              <w:tc>
                <w:tcPr>
                  <w:tcW w:w="1017" w:type="dxa"/>
                  <w:shd w:val="clear" w:color="auto" w:fill="FFFFFF"/>
                </w:tcPr>
                <w:p w14:paraId="0324323D" w14:textId="77777777" w:rsidR="00894743" w:rsidRPr="003F68CE" w:rsidRDefault="00894743" w:rsidP="003D1256">
                  <w:pPr>
                    <w:spacing w:after="0" w:line="240" w:lineRule="auto"/>
                    <w:jc w:val="center"/>
                    <w:rPr>
                      <w:rFonts w:ascii="Times New Roman" w:eastAsia="Times New Roman" w:hAnsi="Times New Roman" w:cs="Times New Roman"/>
                      <w:b/>
                      <w:bCs/>
                      <w:sz w:val="24"/>
                      <w:szCs w:val="24"/>
                      <w:lang w:val="uk-UA" w:eastAsia="uk-UA"/>
                    </w:rPr>
                  </w:pPr>
                </w:p>
              </w:tc>
              <w:tc>
                <w:tcPr>
                  <w:tcW w:w="273" w:type="dxa"/>
                  <w:shd w:val="clear" w:color="auto" w:fill="FFFFFF"/>
                </w:tcPr>
                <w:p w14:paraId="1EA7FA4C" w14:textId="77777777" w:rsidR="00894743" w:rsidRPr="003F68CE" w:rsidRDefault="00894743" w:rsidP="003D1256">
                  <w:pPr>
                    <w:spacing w:after="0" w:line="240" w:lineRule="auto"/>
                    <w:jc w:val="center"/>
                    <w:rPr>
                      <w:rFonts w:ascii="Times New Roman" w:eastAsia="Times New Roman" w:hAnsi="Times New Roman" w:cs="Times New Roman"/>
                      <w:sz w:val="24"/>
                      <w:szCs w:val="24"/>
                      <w:lang w:val="uk-UA" w:eastAsia="uk-UA"/>
                    </w:rPr>
                  </w:pPr>
                </w:p>
              </w:tc>
              <w:tc>
                <w:tcPr>
                  <w:tcW w:w="5285" w:type="dxa"/>
                  <w:shd w:val="clear" w:color="auto" w:fill="FFFFFF"/>
                </w:tcPr>
                <w:p w14:paraId="2D39E890" w14:textId="68DA568E" w:rsidR="00894743" w:rsidRPr="003F68CE" w:rsidRDefault="00894743" w:rsidP="003D1256">
                  <w:pPr>
                    <w:spacing w:after="0" w:line="240" w:lineRule="auto"/>
                    <w:rPr>
                      <w:rFonts w:ascii="Times New Roman" w:eastAsia="Times New Roman" w:hAnsi="Times New Roman" w:cs="Times New Roman"/>
                      <w:b/>
                      <w:sz w:val="24"/>
                      <w:szCs w:val="24"/>
                      <w:lang w:val="uk-UA" w:eastAsia="uk-UA"/>
                    </w:rPr>
                  </w:pPr>
                  <w:r w:rsidRPr="003F68CE">
                    <w:rPr>
                      <w:rFonts w:ascii="Times New Roman" w:eastAsia="Times New Roman" w:hAnsi="Times New Roman" w:cs="Times New Roman"/>
                      <w:b/>
                      <w:sz w:val="24"/>
                      <w:szCs w:val="24"/>
                      <w:lang w:val="uk-UA" w:eastAsia="uk-UA"/>
                    </w:rPr>
                    <w:t>норма відсутня</w:t>
                  </w:r>
                </w:p>
                <w:p w14:paraId="207B9230" w14:textId="77777777" w:rsidR="00894743" w:rsidRDefault="00894743" w:rsidP="003D1256">
                  <w:pPr>
                    <w:spacing w:after="0" w:line="240" w:lineRule="auto"/>
                    <w:rPr>
                      <w:rFonts w:ascii="Times New Roman" w:eastAsia="Times New Roman" w:hAnsi="Times New Roman" w:cs="Times New Roman"/>
                      <w:sz w:val="24"/>
                      <w:szCs w:val="24"/>
                      <w:lang w:val="uk-UA" w:eastAsia="uk-UA"/>
                    </w:rPr>
                  </w:pPr>
                </w:p>
                <w:p w14:paraId="219BBA93" w14:textId="0C0B16EF" w:rsidR="003D1256" w:rsidRPr="003F68CE" w:rsidRDefault="003D1256" w:rsidP="003D1256">
                  <w:pPr>
                    <w:spacing w:after="0" w:line="240" w:lineRule="auto"/>
                    <w:rPr>
                      <w:rFonts w:ascii="Times New Roman" w:eastAsia="Times New Roman" w:hAnsi="Times New Roman" w:cs="Times New Roman"/>
                      <w:sz w:val="24"/>
                      <w:szCs w:val="24"/>
                      <w:lang w:val="uk-UA" w:eastAsia="uk-UA"/>
                    </w:rPr>
                  </w:pPr>
                </w:p>
              </w:tc>
            </w:tr>
            <w:tr w:rsidR="00143080" w:rsidRPr="003F68CE" w14:paraId="0C12CB2C" w14:textId="77777777" w:rsidTr="003D1256">
              <w:tc>
                <w:tcPr>
                  <w:tcW w:w="685" w:type="dxa"/>
                  <w:shd w:val="clear" w:color="auto" w:fill="FFFFFF"/>
                  <w:hideMark/>
                </w:tcPr>
                <w:p w14:paraId="42E4C40B" w14:textId="77777777" w:rsidR="006B0689" w:rsidRPr="003F68CE" w:rsidRDefault="006B0689" w:rsidP="003D1256">
                  <w:pPr>
                    <w:spacing w:after="0" w:line="240" w:lineRule="auto"/>
                    <w:jc w:val="both"/>
                    <w:rPr>
                      <w:rFonts w:ascii="Times New Roman" w:eastAsia="Times New Roman" w:hAnsi="Times New Roman" w:cs="Times New Roman"/>
                      <w:sz w:val="24"/>
                      <w:szCs w:val="24"/>
                      <w:lang w:val="uk-UA" w:eastAsia="uk-UA"/>
                    </w:rPr>
                  </w:pPr>
                </w:p>
              </w:tc>
              <w:tc>
                <w:tcPr>
                  <w:tcW w:w="1017" w:type="dxa"/>
                  <w:shd w:val="clear" w:color="auto" w:fill="FFFFFF"/>
                  <w:hideMark/>
                </w:tcPr>
                <w:p w14:paraId="5D41BE53" w14:textId="77777777" w:rsidR="006B0689" w:rsidRPr="003F68CE" w:rsidRDefault="006B0689" w:rsidP="003D1256">
                  <w:pPr>
                    <w:spacing w:after="0" w:line="240" w:lineRule="auto"/>
                    <w:jc w:val="center"/>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КТВ</w:t>
                  </w:r>
                </w:p>
              </w:tc>
              <w:tc>
                <w:tcPr>
                  <w:tcW w:w="273" w:type="dxa"/>
                  <w:shd w:val="clear" w:color="auto" w:fill="FFFFFF"/>
                  <w:hideMark/>
                </w:tcPr>
                <w:p w14:paraId="3E2F584F" w14:textId="77777777" w:rsidR="006B0689" w:rsidRPr="003F68CE" w:rsidRDefault="006B0689" w:rsidP="003D1256">
                  <w:pPr>
                    <w:spacing w:after="0" w:line="240" w:lineRule="auto"/>
                    <w:jc w:val="center"/>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w:t>
                  </w:r>
                </w:p>
              </w:tc>
              <w:tc>
                <w:tcPr>
                  <w:tcW w:w="5285" w:type="dxa"/>
                  <w:shd w:val="clear" w:color="auto" w:fill="FFFFFF"/>
                  <w:hideMark/>
                </w:tcPr>
                <w:p w14:paraId="395BA697" w14:textId="77777777" w:rsidR="006B0689" w:rsidRPr="003F68CE" w:rsidRDefault="006B0689" w:rsidP="003D1256">
                  <w:pPr>
                    <w:spacing w:after="0" w:line="240" w:lineRule="auto"/>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коригування планованої тарифної виручки оператора газосховищ, що визначається відповідно до </w:t>
                  </w:r>
                  <w:hyperlink r:id="rId12" w:anchor="n337" w:history="1">
                    <w:r w:rsidRPr="003F68CE">
                      <w:rPr>
                        <w:rFonts w:ascii="Times New Roman" w:eastAsia="Times New Roman" w:hAnsi="Times New Roman" w:cs="Times New Roman"/>
                        <w:sz w:val="24"/>
                        <w:szCs w:val="24"/>
                        <w:u w:val="single"/>
                        <w:lang w:val="uk-UA" w:eastAsia="uk-UA"/>
                      </w:rPr>
                      <w:t>розділу V</w:t>
                    </w:r>
                  </w:hyperlink>
                  <w:r w:rsidRPr="003F68CE">
                    <w:rPr>
                      <w:rFonts w:ascii="Times New Roman" w:eastAsia="Times New Roman" w:hAnsi="Times New Roman" w:cs="Times New Roman"/>
                      <w:sz w:val="24"/>
                      <w:szCs w:val="24"/>
                      <w:lang w:val="uk-UA" w:eastAsia="uk-UA"/>
                    </w:rPr>
                    <w:t> цієї Методики, тис. грн.</w:t>
                  </w:r>
                </w:p>
              </w:tc>
            </w:tr>
          </w:tbl>
          <w:p w14:paraId="03347E96" w14:textId="77777777" w:rsidR="00292143" w:rsidRPr="003F68CE" w:rsidRDefault="00292143" w:rsidP="003D1256">
            <w:pPr>
              <w:pStyle w:val="rvps2"/>
              <w:shd w:val="clear" w:color="auto" w:fill="FFFFFF"/>
              <w:spacing w:before="0" w:beforeAutospacing="0" w:after="0" w:afterAutospacing="0"/>
              <w:ind w:firstLine="450"/>
              <w:jc w:val="both"/>
            </w:pPr>
            <w:r w:rsidRPr="003F68CE">
              <w:t>4. Тариф на зберігання природного газу розраховується за формулою</w:t>
            </w:r>
          </w:p>
          <w:tbl>
            <w:tblPr>
              <w:tblW w:w="6834" w:type="dxa"/>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537"/>
              <w:gridCol w:w="681"/>
              <w:gridCol w:w="232"/>
              <w:gridCol w:w="4910"/>
              <w:gridCol w:w="474"/>
            </w:tblGrid>
            <w:tr w:rsidR="003F68CE" w:rsidRPr="003F68CE" w14:paraId="23A526A3" w14:textId="77777777" w:rsidTr="003D1256">
              <w:tc>
                <w:tcPr>
                  <w:tcW w:w="6360" w:type="dxa"/>
                  <w:gridSpan w:val="4"/>
                  <w:tcBorders>
                    <w:top w:val="nil"/>
                    <w:left w:val="nil"/>
                    <w:bottom w:val="nil"/>
                    <w:right w:val="nil"/>
                  </w:tcBorders>
                  <w:hideMark/>
                </w:tcPr>
                <w:p w14:paraId="0FE903B5" w14:textId="4B50DD6A" w:rsidR="00292143" w:rsidRPr="003F68CE" w:rsidRDefault="00292143" w:rsidP="003D1256">
                  <w:pPr>
                    <w:pStyle w:val="rvps12"/>
                    <w:spacing w:before="0" w:beforeAutospacing="0" w:after="0" w:afterAutospacing="0"/>
                    <w:jc w:val="center"/>
                  </w:pPr>
                  <w:bookmarkStart w:id="2" w:name="n279"/>
                  <w:bookmarkEnd w:id="2"/>
                  <w:r w:rsidRPr="003F68CE">
                    <w:rPr>
                      <w:noProof/>
                    </w:rPr>
                    <w:drawing>
                      <wp:inline distT="0" distB="0" distL="0" distR="0" wp14:anchorId="1D69E9A1" wp14:editId="42B2160D">
                        <wp:extent cx="3962400" cy="581025"/>
                        <wp:effectExtent l="0" t="0" r="0" b="9525"/>
                        <wp:docPr id="2" name="Рисунок 2" descr="https://zakon.rada.gov.ua/laws/file/imgs/100/p458906n279-2.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100/p458906n279-2.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62400" cy="581025"/>
                                </a:xfrm>
                                <a:prstGeom prst="rect">
                                  <a:avLst/>
                                </a:prstGeom>
                                <a:noFill/>
                                <a:ln>
                                  <a:noFill/>
                                </a:ln>
                              </pic:spPr>
                            </pic:pic>
                          </a:graphicData>
                        </a:graphic>
                      </wp:inline>
                    </w:drawing>
                  </w:r>
                </w:p>
              </w:tc>
              <w:tc>
                <w:tcPr>
                  <w:tcW w:w="474" w:type="dxa"/>
                  <w:tcBorders>
                    <w:top w:val="nil"/>
                    <w:left w:val="nil"/>
                    <w:bottom w:val="nil"/>
                    <w:right w:val="nil"/>
                  </w:tcBorders>
                  <w:hideMark/>
                </w:tcPr>
                <w:p w14:paraId="793FE79B" w14:textId="77777777" w:rsidR="00292143" w:rsidRPr="003F68CE" w:rsidRDefault="00292143" w:rsidP="003D1256">
                  <w:pPr>
                    <w:pStyle w:val="rvps11"/>
                    <w:spacing w:before="0" w:beforeAutospacing="0" w:after="0" w:afterAutospacing="0"/>
                    <w:jc w:val="right"/>
                  </w:pPr>
                  <w:r w:rsidRPr="003F68CE">
                    <w:t>(3)</w:t>
                  </w:r>
                </w:p>
              </w:tc>
            </w:tr>
            <w:tr w:rsidR="003F68CE" w:rsidRPr="003F68CE" w14:paraId="7D80EA2A" w14:textId="77777777" w:rsidTr="003D1256">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537" w:type="dxa"/>
                  <w:hideMark/>
                </w:tcPr>
                <w:p w14:paraId="4113ABD5" w14:textId="77777777" w:rsidR="00292143" w:rsidRPr="003F68CE" w:rsidRDefault="00292143" w:rsidP="003D1256">
                  <w:pPr>
                    <w:pStyle w:val="rvps11"/>
                    <w:spacing w:before="0" w:beforeAutospacing="0" w:after="0" w:afterAutospacing="0"/>
                    <w:jc w:val="right"/>
                  </w:pPr>
                  <w:bookmarkStart w:id="3" w:name="n280"/>
                  <w:bookmarkStart w:id="4" w:name="n222"/>
                  <w:bookmarkEnd w:id="3"/>
                  <w:bookmarkEnd w:id="4"/>
                  <w:r w:rsidRPr="003F68CE">
                    <w:lastRenderedPageBreak/>
                    <w:t>де:</w:t>
                  </w:r>
                </w:p>
              </w:tc>
              <w:tc>
                <w:tcPr>
                  <w:tcW w:w="681" w:type="dxa"/>
                  <w:hideMark/>
                </w:tcPr>
                <w:p w14:paraId="2AB3D5FC" w14:textId="77777777" w:rsidR="00292143" w:rsidRPr="003F68CE" w:rsidRDefault="00292143" w:rsidP="003D1256">
                  <w:pPr>
                    <w:pStyle w:val="rvps12"/>
                    <w:spacing w:before="0" w:beforeAutospacing="0" w:after="0" w:afterAutospacing="0"/>
                    <w:jc w:val="center"/>
                  </w:pPr>
                  <w:r w:rsidRPr="003F68CE">
                    <w:t>Т</w:t>
                  </w:r>
                  <w:r w:rsidRPr="003F68CE">
                    <w:rPr>
                      <w:rStyle w:val="rvts40"/>
                      <w:b/>
                      <w:bCs/>
                      <w:sz w:val="16"/>
                      <w:szCs w:val="16"/>
                      <w:vertAlign w:val="subscript"/>
                    </w:rPr>
                    <w:t>зб</w:t>
                  </w:r>
                </w:p>
              </w:tc>
              <w:tc>
                <w:tcPr>
                  <w:tcW w:w="232" w:type="dxa"/>
                  <w:hideMark/>
                </w:tcPr>
                <w:p w14:paraId="5024E296" w14:textId="77777777" w:rsidR="00292143" w:rsidRPr="003F68CE" w:rsidRDefault="00292143" w:rsidP="003D1256">
                  <w:pPr>
                    <w:pStyle w:val="rvps12"/>
                    <w:spacing w:before="0" w:beforeAutospacing="0" w:after="0" w:afterAutospacing="0"/>
                    <w:jc w:val="center"/>
                  </w:pPr>
                  <w:r w:rsidRPr="003F68CE">
                    <w:t>-</w:t>
                  </w:r>
                </w:p>
              </w:tc>
              <w:tc>
                <w:tcPr>
                  <w:tcW w:w="5384" w:type="dxa"/>
                  <w:gridSpan w:val="2"/>
                  <w:hideMark/>
                </w:tcPr>
                <w:p w14:paraId="32157D9E" w14:textId="77777777" w:rsidR="00292143" w:rsidRPr="003F68CE" w:rsidRDefault="00292143" w:rsidP="003D1256">
                  <w:pPr>
                    <w:pStyle w:val="rvps14"/>
                    <w:spacing w:before="0" w:beforeAutospacing="0" w:after="0" w:afterAutospacing="0"/>
                  </w:pPr>
                  <w:r w:rsidRPr="003F68CE">
                    <w:t>тариф на зберігання природного газу, грн за 1000 м</w:t>
                  </w:r>
                  <w:r w:rsidRPr="003F68CE">
                    <w:rPr>
                      <w:rStyle w:val="rvts37"/>
                      <w:b/>
                      <w:bCs/>
                      <w:sz w:val="2"/>
                      <w:szCs w:val="2"/>
                      <w:vertAlign w:val="superscript"/>
                    </w:rPr>
                    <w:t>-</w:t>
                  </w:r>
                  <w:r w:rsidRPr="003F68CE">
                    <w:rPr>
                      <w:rStyle w:val="rvts37"/>
                      <w:b/>
                      <w:bCs/>
                      <w:sz w:val="16"/>
                      <w:szCs w:val="16"/>
                      <w:vertAlign w:val="superscript"/>
                    </w:rPr>
                    <w:t>3</w:t>
                  </w:r>
                  <w:r w:rsidRPr="003F68CE">
                    <w:t> на добу;</w:t>
                  </w:r>
                </w:p>
              </w:tc>
            </w:tr>
            <w:tr w:rsidR="003F68CE" w:rsidRPr="00387749" w14:paraId="1F8E4E43" w14:textId="77777777" w:rsidTr="003D1256">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537" w:type="dxa"/>
                  <w:hideMark/>
                </w:tcPr>
                <w:p w14:paraId="55A4504E" w14:textId="77777777" w:rsidR="00292143" w:rsidRPr="003F68CE" w:rsidRDefault="00292143" w:rsidP="003D1256">
                  <w:pPr>
                    <w:spacing w:after="0" w:line="240" w:lineRule="auto"/>
                  </w:pPr>
                </w:p>
              </w:tc>
              <w:tc>
                <w:tcPr>
                  <w:tcW w:w="681" w:type="dxa"/>
                  <w:hideMark/>
                </w:tcPr>
                <w:p w14:paraId="1BA9B4B4" w14:textId="77777777" w:rsidR="00292143" w:rsidRPr="003F68CE" w:rsidRDefault="00292143" w:rsidP="003D1256">
                  <w:pPr>
                    <w:pStyle w:val="rvps12"/>
                    <w:spacing w:before="0" w:beforeAutospacing="0" w:after="0" w:afterAutospacing="0"/>
                    <w:jc w:val="center"/>
                  </w:pPr>
                  <w:r w:rsidRPr="003F68CE">
                    <w:t>В</w:t>
                  </w:r>
                  <w:r w:rsidRPr="003F68CE">
                    <w:rPr>
                      <w:rStyle w:val="rvts40"/>
                      <w:b/>
                      <w:bCs/>
                      <w:sz w:val="16"/>
                      <w:szCs w:val="16"/>
                      <w:vertAlign w:val="subscript"/>
                    </w:rPr>
                    <w:t>зб</w:t>
                  </w:r>
                </w:p>
              </w:tc>
              <w:tc>
                <w:tcPr>
                  <w:tcW w:w="232" w:type="dxa"/>
                  <w:hideMark/>
                </w:tcPr>
                <w:p w14:paraId="5886143D" w14:textId="77777777" w:rsidR="00292143" w:rsidRPr="003F68CE" w:rsidRDefault="00292143" w:rsidP="003D1256">
                  <w:pPr>
                    <w:pStyle w:val="rvps12"/>
                    <w:spacing w:before="0" w:beforeAutospacing="0" w:after="0" w:afterAutospacing="0"/>
                    <w:jc w:val="center"/>
                  </w:pPr>
                  <w:r w:rsidRPr="003F68CE">
                    <w:t>-</w:t>
                  </w:r>
                </w:p>
              </w:tc>
              <w:tc>
                <w:tcPr>
                  <w:tcW w:w="5384" w:type="dxa"/>
                  <w:gridSpan w:val="2"/>
                  <w:hideMark/>
                </w:tcPr>
                <w:p w14:paraId="2AC34081" w14:textId="77777777" w:rsidR="00292143" w:rsidRPr="003F68CE" w:rsidRDefault="00292143" w:rsidP="003D1256">
                  <w:pPr>
                    <w:pStyle w:val="rvps14"/>
                    <w:spacing w:before="0" w:beforeAutospacing="0" w:after="0" w:afterAutospacing="0"/>
                  </w:pPr>
                  <w:r w:rsidRPr="003F68CE">
                    <w:t>плановані витрати оператора газосховища на зберігання природного газу, які визначаються згідно з розподілом витрат, пов'язаних з наданням послуг зберігання (закачування, відбору) природного газу в/з ПСГ, відповідно до </w:t>
                  </w:r>
                  <w:hyperlink r:id="rId15" w:anchor="n204" w:history="1">
                    <w:r w:rsidRPr="003F68CE">
                      <w:rPr>
                        <w:rStyle w:val="a6"/>
                        <w:color w:val="auto"/>
                      </w:rPr>
                      <w:t>додатка 1</w:t>
                    </w:r>
                  </w:hyperlink>
                  <w:r w:rsidRPr="003F68CE">
                    <w:t> до цієї Методики, тис. грн;</w:t>
                  </w:r>
                </w:p>
              </w:tc>
            </w:tr>
            <w:tr w:rsidR="003F68CE" w:rsidRPr="003F68CE" w14:paraId="1D455278" w14:textId="77777777" w:rsidTr="003D1256">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537" w:type="dxa"/>
                  <w:hideMark/>
                </w:tcPr>
                <w:p w14:paraId="54BA5D51" w14:textId="77777777" w:rsidR="00292143" w:rsidRPr="003F68CE" w:rsidRDefault="00292143" w:rsidP="003D1256">
                  <w:pPr>
                    <w:spacing w:after="0" w:line="240" w:lineRule="auto"/>
                    <w:rPr>
                      <w:lang w:val="uk-UA"/>
                    </w:rPr>
                  </w:pPr>
                </w:p>
              </w:tc>
              <w:tc>
                <w:tcPr>
                  <w:tcW w:w="681" w:type="dxa"/>
                  <w:hideMark/>
                </w:tcPr>
                <w:p w14:paraId="0C9AD4E1" w14:textId="77777777" w:rsidR="00292143" w:rsidRPr="003F68CE" w:rsidRDefault="00292143" w:rsidP="003D1256">
                  <w:pPr>
                    <w:pStyle w:val="rvps12"/>
                    <w:spacing w:before="0" w:beforeAutospacing="0" w:after="0" w:afterAutospacing="0"/>
                    <w:jc w:val="center"/>
                  </w:pPr>
                  <w:r w:rsidRPr="003F68CE">
                    <w:t>Р</w:t>
                  </w:r>
                </w:p>
              </w:tc>
              <w:tc>
                <w:tcPr>
                  <w:tcW w:w="232" w:type="dxa"/>
                  <w:hideMark/>
                </w:tcPr>
                <w:p w14:paraId="2AE57728" w14:textId="77777777" w:rsidR="00292143" w:rsidRPr="003F68CE" w:rsidRDefault="00292143" w:rsidP="003D1256">
                  <w:pPr>
                    <w:pStyle w:val="rvps12"/>
                    <w:spacing w:before="0" w:beforeAutospacing="0" w:after="0" w:afterAutospacing="0"/>
                    <w:jc w:val="center"/>
                  </w:pPr>
                  <w:r w:rsidRPr="003F68CE">
                    <w:t>-</w:t>
                  </w:r>
                </w:p>
              </w:tc>
              <w:tc>
                <w:tcPr>
                  <w:tcW w:w="5384" w:type="dxa"/>
                  <w:gridSpan w:val="2"/>
                  <w:hideMark/>
                </w:tcPr>
                <w:p w14:paraId="401914F2" w14:textId="77777777" w:rsidR="00292143" w:rsidRPr="003F68CE" w:rsidRDefault="00292143" w:rsidP="003D1256">
                  <w:pPr>
                    <w:pStyle w:val="rvps14"/>
                    <w:spacing w:before="0" w:beforeAutospacing="0" w:after="0" w:afterAutospacing="0"/>
                  </w:pPr>
                  <w:r w:rsidRPr="003F68CE">
                    <w:t>планована рентабельність оператора газосховищ, розраховується за формулою (4), %;</w:t>
                  </w:r>
                </w:p>
              </w:tc>
            </w:tr>
            <w:tr w:rsidR="003F68CE" w:rsidRPr="003F68CE" w14:paraId="2B11DFC5" w14:textId="77777777" w:rsidTr="003D1256">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810"/>
              </w:trPr>
              <w:tc>
                <w:tcPr>
                  <w:tcW w:w="537" w:type="dxa"/>
                  <w:hideMark/>
                </w:tcPr>
                <w:p w14:paraId="0779952C" w14:textId="77777777" w:rsidR="00292143" w:rsidRPr="003F68CE" w:rsidRDefault="00292143" w:rsidP="003D1256">
                  <w:pPr>
                    <w:spacing w:after="0" w:line="240" w:lineRule="auto"/>
                  </w:pPr>
                </w:p>
              </w:tc>
              <w:tc>
                <w:tcPr>
                  <w:tcW w:w="681" w:type="dxa"/>
                  <w:hideMark/>
                </w:tcPr>
                <w:p w14:paraId="5E5C68B6" w14:textId="77777777" w:rsidR="00292143" w:rsidRPr="003F68CE" w:rsidRDefault="00292143" w:rsidP="003D1256">
                  <w:pPr>
                    <w:pStyle w:val="rvps12"/>
                    <w:spacing w:before="0" w:beforeAutospacing="0" w:after="0" w:afterAutospacing="0"/>
                    <w:jc w:val="center"/>
                  </w:pPr>
                  <w:r w:rsidRPr="003F68CE">
                    <w:rPr>
                      <w:rStyle w:val="rvts11"/>
                      <w:i/>
                      <w:iCs/>
                    </w:rPr>
                    <w:t>К</w:t>
                  </w:r>
                </w:p>
              </w:tc>
              <w:tc>
                <w:tcPr>
                  <w:tcW w:w="232" w:type="dxa"/>
                  <w:hideMark/>
                </w:tcPr>
                <w:p w14:paraId="1A2A0302" w14:textId="77777777" w:rsidR="00292143" w:rsidRPr="003F68CE" w:rsidRDefault="00292143" w:rsidP="003D1256">
                  <w:pPr>
                    <w:pStyle w:val="rvps12"/>
                    <w:spacing w:before="0" w:beforeAutospacing="0" w:after="0" w:afterAutospacing="0"/>
                    <w:jc w:val="center"/>
                  </w:pPr>
                  <w:r w:rsidRPr="003F68CE">
                    <w:t>-</w:t>
                  </w:r>
                </w:p>
              </w:tc>
              <w:tc>
                <w:tcPr>
                  <w:tcW w:w="5384" w:type="dxa"/>
                  <w:gridSpan w:val="2"/>
                  <w:hideMark/>
                </w:tcPr>
                <w:p w14:paraId="58C224FD" w14:textId="2A326426" w:rsidR="00292143" w:rsidRPr="003F68CE" w:rsidRDefault="00292143" w:rsidP="003D1256">
                  <w:pPr>
                    <w:pStyle w:val="rvps14"/>
                    <w:spacing w:before="0" w:beforeAutospacing="0" w:after="0" w:afterAutospacing="0"/>
                  </w:pPr>
                  <w:r w:rsidRPr="003F68CE">
                    <w:t>коефіцієнт коригування планованої тарифної виручки, що розраховується за формулою 5, %;</w:t>
                  </w:r>
                </w:p>
              </w:tc>
            </w:tr>
            <w:tr w:rsidR="003F68CE" w:rsidRPr="003F68CE" w14:paraId="6AB1FF3A" w14:textId="77777777" w:rsidTr="003D1256">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660"/>
              </w:trPr>
              <w:tc>
                <w:tcPr>
                  <w:tcW w:w="537" w:type="dxa"/>
                </w:tcPr>
                <w:p w14:paraId="0EFD89A3" w14:textId="77777777" w:rsidR="00292143" w:rsidRPr="003F68CE" w:rsidRDefault="00292143" w:rsidP="003D1256">
                  <w:pPr>
                    <w:spacing w:after="0" w:line="240" w:lineRule="auto"/>
                  </w:pPr>
                </w:p>
              </w:tc>
              <w:tc>
                <w:tcPr>
                  <w:tcW w:w="681" w:type="dxa"/>
                </w:tcPr>
                <w:p w14:paraId="2F95DF79" w14:textId="77777777" w:rsidR="00292143" w:rsidRPr="003F68CE" w:rsidRDefault="00292143" w:rsidP="003D1256">
                  <w:pPr>
                    <w:pStyle w:val="rvps12"/>
                    <w:spacing w:before="0" w:beforeAutospacing="0" w:after="0" w:afterAutospacing="0"/>
                    <w:jc w:val="center"/>
                    <w:rPr>
                      <w:rStyle w:val="rvts11"/>
                      <w:i/>
                      <w:iCs/>
                    </w:rPr>
                  </w:pPr>
                </w:p>
              </w:tc>
              <w:tc>
                <w:tcPr>
                  <w:tcW w:w="232" w:type="dxa"/>
                </w:tcPr>
                <w:p w14:paraId="23AAF3B5" w14:textId="77777777" w:rsidR="00292143" w:rsidRPr="003F68CE" w:rsidRDefault="00292143" w:rsidP="003D1256">
                  <w:pPr>
                    <w:pStyle w:val="rvps12"/>
                    <w:spacing w:before="0" w:beforeAutospacing="0" w:after="0" w:afterAutospacing="0"/>
                    <w:jc w:val="center"/>
                  </w:pPr>
                </w:p>
              </w:tc>
              <w:tc>
                <w:tcPr>
                  <w:tcW w:w="5384" w:type="dxa"/>
                  <w:gridSpan w:val="2"/>
                </w:tcPr>
                <w:p w14:paraId="63C49670" w14:textId="41303CDD" w:rsidR="00007048" w:rsidRPr="003F68CE" w:rsidRDefault="00007048" w:rsidP="003D1256">
                  <w:pPr>
                    <w:pStyle w:val="rvps14"/>
                    <w:spacing w:before="0" w:beforeAutospacing="0" w:after="0" w:afterAutospacing="0"/>
                    <w:rPr>
                      <w:b/>
                    </w:rPr>
                  </w:pPr>
                  <w:r>
                    <w:rPr>
                      <w:b/>
                    </w:rPr>
                    <w:t>в</w:t>
                  </w:r>
                  <w:r w:rsidRPr="003F68CE">
                    <w:rPr>
                      <w:b/>
                    </w:rPr>
                    <w:t>ідсутнє значення</w:t>
                  </w:r>
                </w:p>
                <w:p w14:paraId="70543CEB" w14:textId="5E9A6293" w:rsidR="00292143" w:rsidRPr="003F68CE" w:rsidRDefault="00292143" w:rsidP="003D1256">
                  <w:pPr>
                    <w:pStyle w:val="rvps14"/>
                    <w:spacing w:before="0" w:beforeAutospacing="0" w:after="0" w:afterAutospacing="0"/>
                    <w:rPr>
                      <w:b/>
                    </w:rPr>
                  </w:pPr>
                </w:p>
              </w:tc>
            </w:tr>
            <w:tr w:rsidR="003F68CE" w:rsidRPr="003F68CE" w14:paraId="638866ED" w14:textId="77777777" w:rsidTr="003D1256">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537" w:type="dxa"/>
                  <w:hideMark/>
                </w:tcPr>
                <w:p w14:paraId="5239F80C" w14:textId="77777777" w:rsidR="00292143" w:rsidRPr="003F68CE" w:rsidRDefault="00292143" w:rsidP="003D1256">
                  <w:pPr>
                    <w:spacing w:after="0" w:line="240" w:lineRule="auto"/>
                  </w:pPr>
                </w:p>
              </w:tc>
              <w:tc>
                <w:tcPr>
                  <w:tcW w:w="681" w:type="dxa"/>
                  <w:hideMark/>
                </w:tcPr>
                <w:p w14:paraId="14EDB6EF" w14:textId="77777777" w:rsidR="00292143" w:rsidRPr="003F68CE" w:rsidRDefault="00292143" w:rsidP="003D1256">
                  <w:pPr>
                    <w:pStyle w:val="rvps12"/>
                    <w:spacing w:before="0" w:beforeAutospacing="0" w:after="0" w:afterAutospacing="0"/>
                    <w:jc w:val="center"/>
                  </w:pPr>
                  <w:r w:rsidRPr="003F68CE">
                    <w:rPr>
                      <w:rStyle w:val="rvts11"/>
                      <w:i/>
                      <w:iCs/>
                    </w:rPr>
                    <w:t>W</w:t>
                  </w:r>
                  <w:r w:rsidRPr="003F68CE">
                    <w:rPr>
                      <w:rStyle w:val="rvts40"/>
                      <w:b/>
                      <w:bCs/>
                      <w:sz w:val="16"/>
                      <w:szCs w:val="16"/>
                      <w:vertAlign w:val="subscript"/>
                    </w:rPr>
                    <w:t>зб</w:t>
                  </w:r>
                </w:p>
              </w:tc>
              <w:tc>
                <w:tcPr>
                  <w:tcW w:w="232" w:type="dxa"/>
                  <w:hideMark/>
                </w:tcPr>
                <w:p w14:paraId="7E8FA8BE" w14:textId="77777777" w:rsidR="00292143" w:rsidRPr="003F68CE" w:rsidRDefault="00292143" w:rsidP="003D1256">
                  <w:pPr>
                    <w:pStyle w:val="rvps12"/>
                    <w:spacing w:before="0" w:beforeAutospacing="0" w:after="0" w:afterAutospacing="0"/>
                    <w:jc w:val="center"/>
                  </w:pPr>
                  <w:r w:rsidRPr="003F68CE">
                    <w:t>-</w:t>
                  </w:r>
                </w:p>
              </w:tc>
              <w:tc>
                <w:tcPr>
                  <w:tcW w:w="5384" w:type="dxa"/>
                  <w:gridSpan w:val="2"/>
                  <w:hideMark/>
                </w:tcPr>
                <w:p w14:paraId="1F7A3405" w14:textId="77777777" w:rsidR="00292143" w:rsidRDefault="00292143" w:rsidP="003D1256">
                  <w:pPr>
                    <w:pStyle w:val="rvps14"/>
                    <w:spacing w:before="0" w:beforeAutospacing="0" w:after="0" w:afterAutospacing="0"/>
                  </w:pPr>
                  <w:r w:rsidRPr="003F68CE">
                    <w:t>планований середній за рік робочий обсяг зберігання природного газу протягом планованого періоду, млн м</w:t>
                  </w:r>
                  <w:r w:rsidRPr="003F68CE">
                    <w:rPr>
                      <w:rStyle w:val="rvts37"/>
                      <w:b/>
                      <w:bCs/>
                      <w:sz w:val="2"/>
                      <w:szCs w:val="2"/>
                      <w:vertAlign w:val="superscript"/>
                    </w:rPr>
                    <w:t>-</w:t>
                  </w:r>
                  <w:r w:rsidRPr="003F68CE">
                    <w:rPr>
                      <w:rStyle w:val="rvts37"/>
                      <w:b/>
                      <w:bCs/>
                      <w:sz w:val="16"/>
                      <w:szCs w:val="16"/>
                      <w:vertAlign w:val="superscript"/>
                    </w:rPr>
                    <w:t>3</w:t>
                  </w:r>
                  <w:r w:rsidRPr="003F68CE">
                    <w:t> на рік.</w:t>
                  </w:r>
                </w:p>
                <w:p w14:paraId="68496A85" w14:textId="4BDE0532" w:rsidR="003D1256" w:rsidRPr="003F68CE" w:rsidRDefault="003D1256" w:rsidP="003D1256">
                  <w:pPr>
                    <w:pStyle w:val="rvps14"/>
                    <w:spacing w:before="0" w:beforeAutospacing="0" w:after="0" w:afterAutospacing="0"/>
                  </w:pPr>
                </w:p>
              </w:tc>
            </w:tr>
          </w:tbl>
          <w:p w14:paraId="00179D52" w14:textId="77777777" w:rsidR="00F25976" w:rsidRPr="003F68CE" w:rsidRDefault="00D8463F" w:rsidP="003D1256">
            <w:pPr>
              <w:pStyle w:val="a4"/>
              <w:spacing w:before="0" w:beforeAutospacing="0" w:after="0" w:afterAutospacing="0"/>
              <w:jc w:val="both"/>
              <w:rPr>
                <w:shd w:val="clear" w:color="auto" w:fill="FFFFFF"/>
              </w:rPr>
            </w:pPr>
            <w:r w:rsidRPr="003F68CE">
              <w:rPr>
                <w:shd w:val="clear" w:color="auto" w:fill="FFFFFF"/>
              </w:rPr>
              <w:t>6. Коефіцієнт коригування планованої тарифної виручки розраховується за формулою</w:t>
            </w:r>
          </w:p>
          <w:p w14:paraId="4A800F28" w14:textId="77777777" w:rsidR="00D8463F" w:rsidRPr="003F68CE" w:rsidRDefault="00D8463F" w:rsidP="003D1256">
            <w:pPr>
              <w:pStyle w:val="a4"/>
              <w:spacing w:before="0" w:beforeAutospacing="0" w:after="0" w:afterAutospacing="0"/>
              <w:jc w:val="both"/>
            </w:pP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850"/>
              <w:gridCol w:w="303"/>
              <w:gridCol w:w="6107"/>
            </w:tblGrid>
            <w:tr w:rsidR="00143080" w:rsidRPr="003F68CE" w14:paraId="484A0B77" w14:textId="77777777" w:rsidTr="00D8463F">
              <w:tc>
                <w:tcPr>
                  <w:tcW w:w="1260" w:type="dxa"/>
                  <w:tcBorders>
                    <w:top w:val="nil"/>
                    <w:left w:val="nil"/>
                    <w:bottom w:val="nil"/>
                    <w:right w:val="nil"/>
                  </w:tcBorders>
                  <w:shd w:val="clear" w:color="auto" w:fill="FFFFFF"/>
                  <w:hideMark/>
                </w:tcPr>
                <w:p w14:paraId="25127DEC" w14:textId="77777777" w:rsidR="00D8463F" w:rsidRPr="003F68CE" w:rsidRDefault="00D8463F" w:rsidP="003D1256">
                  <w:pPr>
                    <w:pStyle w:val="rvps12"/>
                    <w:spacing w:before="0" w:beforeAutospacing="0" w:after="0" w:afterAutospacing="0"/>
                    <w:jc w:val="center"/>
                  </w:pPr>
                  <w:r w:rsidRPr="003F68CE">
                    <w:rPr>
                      <w:rStyle w:val="rvts11"/>
                      <w:i/>
                      <w:iCs/>
                    </w:rPr>
                    <w:t>КТВ</w:t>
                  </w:r>
                </w:p>
              </w:tc>
              <w:tc>
                <w:tcPr>
                  <w:tcW w:w="510" w:type="dxa"/>
                  <w:tcBorders>
                    <w:top w:val="nil"/>
                    <w:left w:val="nil"/>
                    <w:bottom w:val="nil"/>
                    <w:right w:val="nil"/>
                  </w:tcBorders>
                  <w:shd w:val="clear" w:color="auto" w:fill="FFFFFF"/>
                  <w:hideMark/>
                </w:tcPr>
                <w:p w14:paraId="5175824D" w14:textId="77777777" w:rsidR="00D8463F" w:rsidRPr="003F68CE" w:rsidRDefault="00D8463F" w:rsidP="003D1256">
                  <w:pPr>
                    <w:pStyle w:val="rvps12"/>
                    <w:spacing w:before="0" w:beforeAutospacing="0" w:after="0" w:afterAutospacing="0"/>
                    <w:jc w:val="center"/>
                  </w:pPr>
                  <w:r w:rsidRPr="003F68CE">
                    <w:t>-</w:t>
                  </w:r>
                </w:p>
              </w:tc>
              <w:tc>
                <w:tcPr>
                  <w:tcW w:w="11220" w:type="dxa"/>
                  <w:tcBorders>
                    <w:top w:val="nil"/>
                    <w:left w:val="nil"/>
                    <w:bottom w:val="nil"/>
                    <w:right w:val="nil"/>
                  </w:tcBorders>
                  <w:shd w:val="clear" w:color="auto" w:fill="FFFFFF"/>
                  <w:hideMark/>
                </w:tcPr>
                <w:p w14:paraId="2414AD53" w14:textId="77777777" w:rsidR="00D8463F" w:rsidRPr="003F68CE" w:rsidRDefault="00D8463F" w:rsidP="003D1256">
                  <w:pPr>
                    <w:pStyle w:val="rvps14"/>
                    <w:spacing w:before="0" w:beforeAutospacing="0" w:after="0" w:afterAutospacing="0"/>
                  </w:pPr>
                  <w:r w:rsidRPr="003F68CE">
                    <w:t>коригування планованої тарифної виручки оператора газосховищ, що визначається відповідно до </w:t>
                  </w:r>
                  <w:hyperlink r:id="rId16" w:anchor="n337" w:history="1">
                    <w:r w:rsidRPr="003F68CE">
                      <w:rPr>
                        <w:rStyle w:val="a6"/>
                        <w:color w:val="auto"/>
                      </w:rPr>
                      <w:t>розділу V</w:t>
                    </w:r>
                  </w:hyperlink>
                  <w:r w:rsidRPr="003F68CE">
                    <w:t> цієї Методики, тис. грн</w:t>
                  </w:r>
                </w:p>
              </w:tc>
            </w:tr>
          </w:tbl>
          <w:p w14:paraId="4D6E8388" w14:textId="69F7122D" w:rsidR="00176D3E" w:rsidRDefault="00176D3E" w:rsidP="003D1256">
            <w:pPr>
              <w:pStyle w:val="a4"/>
              <w:spacing w:before="0" w:beforeAutospacing="0" w:after="0" w:afterAutospacing="0"/>
              <w:ind w:firstLine="708"/>
              <w:jc w:val="both"/>
              <w:rPr>
                <w:b/>
                <w:lang w:val="ru-RU"/>
              </w:rPr>
            </w:pPr>
          </w:p>
          <w:p w14:paraId="4681300D" w14:textId="77777777" w:rsidR="003D1256" w:rsidRDefault="003D1256" w:rsidP="003D1256">
            <w:pPr>
              <w:pStyle w:val="a4"/>
              <w:spacing w:before="0" w:beforeAutospacing="0" w:after="0" w:afterAutospacing="0"/>
              <w:ind w:firstLine="708"/>
              <w:jc w:val="both"/>
              <w:rPr>
                <w:b/>
                <w:lang w:val="ru-RU"/>
              </w:rPr>
            </w:pPr>
          </w:p>
          <w:p w14:paraId="771E1321" w14:textId="32F3C8E3" w:rsidR="00D8463F" w:rsidRPr="003F68CE" w:rsidRDefault="00176D3E" w:rsidP="003D1256">
            <w:pPr>
              <w:pStyle w:val="a4"/>
              <w:spacing w:before="0" w:beforeAutospacing="0" w:after="0" w:afterAutospacing="0"/>
              <w:jc w:val="both"/>
              <w:rPr>
                <w:b/>
                <w:lang w:val="ru-RU"/>
              </w:rPr>
            </w:pPr>
            <w:r w:rsidRPr="003F68CE">
              <w:rPr>
                <w:b/>
                <w:lang w:val="ru-RU"/>
              </w:rPr>
              <w:t>Пункт відсутній</w:t>
            </w:r>
          </w:p>
          <w:p w14:paraId="19E7724F" w14:textId="77777777" w:rsidR="00E51B5E" w:rsidRPr="003F68CE" w:rsidRDefault="00E51B5E" w:rsidP="003D1256">
            <w:pPr>
              <w:pStyle w:val="a4"/>
              <w:spacing w:before="0" w:beforeAutospacing="0" w:after="0" w:afterAutospacing="0"/>
              <w:jc w:val="both"/>
              <w:rPr>
                <w:shd w:val="clear" w:color="auto" w:fill="FFFFFF"/>
              </w:rPr>
            </w:pPr>
          </w:p>
          <w:p w14:paraId="5FE85FA4" w14:textId="77777777" w:rsidR="00E51B5E" w:rsidRPr="003F68CE" w:rsidRDefault="00E51B5E" w:rsidP="003D1256">
            <w:pPr>
              <w:pStyle w:val="a4"/>
              <w:spacing w:before="0" w:beforeAutospacing="0" w:after="0" w:afterAutospacing="0"/>
              <w:jc w:val="both"/>
              <w:rPr>
                <w:shd w:val="clear" w:color="auto" w:fill="FFFFFF"/>
              </w:rPr>
            </w:pPr>
          </w:p>
          <w:p w14:paraId="453F0A99" w14:textId="77777777" w:rsidR="00E51B5E" w:rsidRPr="003F68CE" w:rsidRDefault="00E51B5E" w:rsidP="003D1256">
            <w:pPr>
              <w:pStyle w:val="a4"/>
              <w:spacing w:before="0" w:beforeAutospacing="0" w:after="0" w:afterAutospacing="0"/>
              <w:jc w:val="both"/>
              <w:rPr>
                <w:shd w:val="clear" w:color="auto" w:fill="FFFFFF"/>
              </w:rPr>
            </w:pPr>
          </w:p>
          <w:p w14:paraId="2827C7A5" w14:textId="77777777" w:rsidR="00E51B5E" w:rsidRPr="003F68CE" w:rsidRDefault="00E51B5E" w:rsidP="003D1256">
            <w:pPr>
              <w:pStyle w:val="a4"/>
              <w:spacing w:before="0" w:beforeAutospacing="0" w:after="0" w:afterAutospacing="0"/>
              <w:jc w:val="both"/>
              <w:rPr>
                <w:shd w:val="clear" w:color="auto" w:fill="FFFFFF"/>
              </w:rPr>
            </w:pPr>
          </w:p>
          <w:p w14:paraId="68EEFA28" w14:textId="77777777" w:rsidR="00E51B5E" w:rsidRPr="003F68CE" w:rsidRDefault="00E51B5E" w:rsidP="003D1256">
            <w:pPr>
              <w:pStyle w:val="a4"/>
              <w:spacing w:before="0" w:beforeAutospacing="0" w:after="0" w:afterAutospacing="0"/>
              <w:jc w:val="both"/>
              <w:rPr>
                <w:shd w:val="clear" w:color="auto" w:fill="FFFFFF"/>
              </w:rPr>
            </w:pPr>
          </w:p>
          <w:p w14:paraId="16180619" w14:textId="77777777" w:rsidR="00E51B5E" w:rsidRPr="003F68CE" w:rsidRDefault="00E51B5E" w:rsidP="003D1256">
            <w:pPr>
              <w:pStyle w:val="a4"/>
              <w:spacing w:before="0" w:beforeAutospacing="0" w:after="0" w:afterAutospacing="0"/>
              <w:jc w:val="both"/>
              <w:rPr>
                <w:shd w:val="clear" w:color="auto" w:fill="FFFFFF"/>
              </w:rPr>
            </w:pPr>
          </w:p>
          <w:p w14:paraId="73D33745" w14:textId="77777777" w:rsidR="00E51B5E" w:rsidRPr="003F68CE" w:rsidRDefault="00E51B5E" w:rsidP="003D1256">
            <w:pPr>
              <w:pStyle w:val="a4"/>
              <w:spacing w:before="0" w:beforeAutospacing="0" w:after="0" w:afterAutospacing="0"/>
              <w:jc w:val="both"/>
              <w:rPr>
                <w:shd w:val="clear" w:color="auto" w:fill="FFFFFF"/>
              </w:rPr>
            </w:pPr>
          </w:p>
          <w:p w14:paraId="4FE4D5BB" w14:textId="77777777" w:rsidR="00E51B5E" w:rsidRPr="003F68CE" w:rsidRDefault="00E51B5E" w:rsidP="003D1256">
            <w:pPr>
              <w:pStyle w:val="a4"/>
              <w:spacing w:before="0" w:beforeAutospacing="0" w:after="0" w:afterAutospacing="0"/>
              <w:jc w:val="both"/>
              <w:rPr>
                <w:shd w:val="clear" w:color="auto" w:fill="FFFFFF"/>
              </w:rPr>
            </w:pPr>
          </w:p>
          <w:p w14:paraId="22099218" w14:textId="77777777" w:rsidR="00E51B5E" w:rsidRPr="003F68CE" w:rsidRDefault="00E51B5E" w:rsidP="003D1256">
            <w:pPr>
              <w:pStyle w:val="a4"/>
              <w:spacing w:before="0" w:beforeAutospacing="0" w:after="0" w:afterAutospacing="0"/>
              <w:jc w:val="both"/>
              <w:rPr>
                <w:shd w:val="clear" w:color="auto" w:fill="FFFFFF"/>
              </w:rPr>
            </w:pPr>
          </w:p>
          <w:p w14:paraId="160B1184" w14:textId="77777777" w:rsidR="00E51B5E" w:rsidRPr="003F68CE" w:rsidRDefault="00E51B5E" w:rsidP="003D1256">
            <w:pPr>
              <w:pStyle w:val="a4"/>
              <w:spacing w:before="0" w:beforeAutospacing="0" w:after="0" w:afterAutospacing="0"/>
              <w:jc w:val="both"/>
              <w:rPr>
                <w:shd w:val="clear" w:color="auto" w:fill="FFFFFF"/>
              </w:rPr>
            </w:pPr>
          </w:p>
          <w:p w14:paraId="741296FB" w14:textId="77777777" w:rsidR="00E51B5E" w:rsidRPr="003F68CE" w:rsidRDefault="00E51B5E" w:rsidP="003D1256">
            <w:pPr>
              <w:pStyle w:val="a4"/>
              <w:spacing w:before="0" w:beforeAutospacing="0" w:after="0" w:afterAutospacing="0"/>
              <w:jc w:val="both"/>
              <w:rPr>
                <w:shd w:val="clear" w:color="auto" w:fill="FFFFFF"/>
              </w:rPr>
            </w:pPr>
          </w:p>
          <w:p w14:paraId="426DB5F4" w14:textId="77777777" w:rsidR="00E51B5E" w:rsidRPr="003F68CE" w:rsidRDefault="00E51B5E" w:rsidP="003D1256">
            <w:pPr>
              <w:pStyle w:val="a4"/>
              <w:spacing w:before="0" w:beforeAutospacing="0" w:after="0" w:afterAutospacing="0"/>
              <w:jc w:val="both"/>
              <w:rPr>
                <w:shd w:val="clear" w:color="auto" w:fill="FFFFFF"/>
              </w:rPr>
            </w:pPr>
          </w:p>
          <w:p w14:paraId="04F46F74" w14:textId="77777777" w:rsidR="00E51B5E" w:rsidRPr="003F68CE" w:rsidRDefault="00E51B5E" w:rsidP="003D1256">
            <w:pPr>
              <w:pStyle w:val="a4"/>
              <w:spacing w:before="0" w:beforeAutospacing="0" w:after="0" w:afterAutospacing="0"/>
              <w:jc w:val="both"/>
              <w:rPr>
                <w:shd w:val="clear" w:color="auto" w:fill="FFFFFF"/>
              </w:rPr>
            </w:pPr>
          </w:p>
          <w:p w14:paraId="15C3B5F2" w14:textId="569E49EC" w:rsidR="00E51B5E" w:rsidRPr="003F68CE" w:rsidRDefault="00E51B5E" w:rsidP="003D1256">
            <w:pPr>
              <w:pStyle w:val="a4"/>
              <w:spacing w:before="0" w:beforeAutospacing="0" w:after="0" w:afterAutospacing="0"/>
              <w:jc w:val="both"/>
              <w:rPr>
                <w:shd w:val="clear" w:color="auto" w:fill="FFFFFF"/>
              </w:rPr>
            </w:pPr>
          </w:p>
          <w:p w14:paraId="2B40B5A3" w14:textId="7B1EBED5" w:rsidR="00007BBD" w:rsidRPr="003F68CE" w:rsidRDefault="00007BBD" w:rsidP="003D1256">
            <w:pPr>
              <w:pStyle w:val="rvps2"/>
              <w:shd w:val="clear" w:color="auto" w:fill="FFFFFF"/>
              <w:spacing w:before="0" w:beforeAutospacing="0" w:after="0" w:afterAutospacing="0"/>
              <w:ind w:firstLine="450"/>
              <w:jc w:val="both"/>
            </w:pPr>
            <w:r w:rsidRPr="003F68CE">
              <w:t>7. Тариф на закачування природного газу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515"/>
              <w:gridCol w:w="676"/>
              <w:gridCol w:w="214"/>
              <w:gridCol w:w="5444"/>
              <w:gridCol w:w="411"/>
            </w:tblGrid>
            <w:tr w:rsidR="003F68CE" w:rsidRPr="003F68CE" w14:paraId="07E46EFD" w14:textId="77777777" w:rsidTr="003F68CE">
              <w:tc>
                <w:tcPr>
                  <w:tcW w:w="6678" w:type="dxa"/>
                  <w:gridSpan w:val="4"/>
                  <w:tcBorders>
                    <w:top w:val="nil"/>
                    <w:left w:val="nil"/>
                    <w:bottom w:val="nil"/>
                    <w:right w:val="nil"/>
                  </w:tcBorders>
                  <w:hideMark/>
                </w:tcPr>
                <w:p w14:paraId="6C85007C" w14:textId="49F3538D" w:rsidR="00007BBD" w:rsidRPr="003F68CE" w:rsidRDefault="00007BBD" w:rsidP="003D1256">
                  <w:pPr>
                    <w:pStyle w:val="rvps12"/>
                    <w:spacing w:before="0" w:beforeAutospacing="0" w:after="0" w:afterAutospacing="0"/>
                    <w:jc w:val="center"/>
                  </w:pPr>
                  <w:bookmarkStart w:id="5" w:name="n294"/>
                  <w:bookmarkEnd w:id="5"/>
                  <w:r w:rsidRPr="003F68CE">
                    <w:rPr>
                      <w:noProof/>
                    </w:rPr>
                    <w:drawing>
                      <wp:inline distT="0" distB="0" distL="0" distR="0" wp14:anchorId="31FBFDB4" wp14:editId="3E8D323B">
                        <wp:extent cx="3636645" cy="584835"/>
                        <wp:effectExtent l="0" t="0" r="1905" b="5715"/>
                        <wp:docPr id="8" name="Рисунок 8" descr="https://zakon.rada.gov.ua/laws/file/imgs/100/p458906n294-5.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100/p458906n294-5.gif">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36645" cy="584835"/>
                                </a:xfrm>
                                <a:prstGeom prst="rect">
                                  <a:avLst/>
                                </a:prstGeom>
                                <a:noFill/>
                                <a:ln>
                                  <a:noFill/>
                                </a:ln>
                              </pic:spPr>
                            </pic:pic>
                          </a:graphicData>
                        </a:graphic>
                      </wp:inline>
                    </w:drawing>
                  </w:r>
                </w:p>
              </w:tc>
              <w:tc>
                <w:tcPr>
                  <w:tcW w:w="401" w:type="dxa"/>
                  <w:tcBorders>
                    <w:top w:val="nil"/>
                    <w:left w:val="nil"/>
                    <w:bottom w:val="nil"/>
                    <w:right w:val="nil"/>
                  </w:tcBorders>
                  <w:hideMark/>
                </w:tcPr>
                <w:p w14:paraId="45707FD2" w14:textId="77777777" w:rsidR="00007BBD" w:rsidRPr="003F68CE" w:rsidRDefault="00007BBD" w:rsidP="003D1256">
                  <w:pPr>
                    <w:pStyle w:val="rvps11"/>
                    <w:spacing w:before="0" w:beforeAutospacing="0" w:after="0" w:afterAutospacing="0"/>
                    <w:jc w:val="right"/>
                  </w:pPr>
                  <w:r w:rsidRPr="003F68CE">
                    <w:t>(6)</w:t>
                  </w:r>
                </w:p>
              </w:tc>
            </w:tr>
            <w:tr w:rsidR="003F68CE" w:rsidRPr="003F68CE" w14:paraId="335A6FDE" w14:textId="77777777" w:rsidTr="003F68CE">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502" w:type="dxa"/>
                  <w:hideMark/>
                </w:tcPr>
                <w:p w14:paraId="53290DE6" w14:textId="4E675A46" w:rsidR="00007BBD" w:rsidRPr="003F68CE" w:rsidRDefault="00007BBD" w:rsidP="003D1256">
                  <w:pPr>
                    <w:pStyle w:val="rvps11"/>
                    <w:spacing w:before="0" w:beforeAutospacing="0" w:after="0" w:afterAutospacing="0"/>
                    <w:jc w:val="right"/>
                  </w:pPr>
                  <w:r w:rsidRPr="003F68CE">
                    <w:t xml:space="preserve"> де:</w:t>
                  </w:r>
                </w:p>
              </w:tc>
              <w:tc>
                <w:tcPr>
                  <w:tcW w:w="659" w:type="dxa"/>
                  <w:hideMark/>
                </w:tcPr>
                <w:p w14:paraId="6907078B" w14:textId="77777777" w:rsidR="00007BBD" w:rsidRPr="003F68CE" w:rsidRDefault="00007BBD" w:rsidP="003D1256">
                  <w:pPr>
                    <w:pStyle w:val="rvps12"/>
                    <w:spacing w:before="0" w:beforeAutospacing="0" w:after="0" w:afterAutospacing="0"/>
                    <w:jc w:val="center"/>
                  </w:pPr>
                  <w:r w:rsidRPr="003F68CE">
                    <w:t>Т</w:t>
                  </w:r>
                  <w:r w:rsidRPr="003F68CE">
                    <w:rPr>
                      <w:rStyle w:val="rvts40"/>
                      <w:b/>
                      <w:bCs/>
                      <w:sz w:val="16"/>
                      <w:szCs w:val="16"/>
                      <w:vertAlign w:val="subscript"/>
                    </w:rPr>
                    <w:t>зак</w:t>
                  </w:r>
                </w:p>
              </w:tc>
              <w:tc>
                <w:tcPr>
                  <w:tcW w:w="209" w:type="dxa"/>
                  <w:hideMark/>
                </w:tcPr>
                <w:p w14:paraId="4DB95B47" w14:textId="77777777" w:rsidR="00007BBD" w:rsidRPr="003F68CE" w:rsidRDefault="00007BBD" w:rsidP="003D1256">
                  <w:pPr>
                    <w:pStyle w:val="rvps12"/>
                    <w:spacing w:before="0" w:beforeAutospacing="0" w:after="0" w:afterAutospacing="0"/>
                    <w:jc w:val="center"/>
                  </w:pPr>
                  <w:r w:rsidRPr="003F68CE">
                    <w:t>-</w:t>
                  </w:r>
                </w:p>
              </w:tc>
              <w:tc>
                <w:tcPr>
                  <w:tcW w:w="5709" w:type="dxa"/>
                  <w:gridSpan w:val="2"/>
                  <w:hideMark/>
                </w:tcPr>
                <w:p w14:paraId="5AEF8F54" w14:textId="77777777" w:rsidR="00007BBD" w:rsidRPr="003F68CE" w:rsidRDefault="00007BBD" w:rsidP="003D1256">
                  <w:pPr>
                    <w:pStyle w:val="rvps14"/>
                    <w:spacing w:before="0" w:beforeAutospacing="0" w:after="0" w:afterAutospacing="0"/>
                  </w:pPr>
                  <w:r w:rsidRPr="003F68CE">
                    <w:t>тариф на закачування природного газу, грн за 1000 м</w:t>
                  </w:r>
                  <w:r w:rsidRPr="003F68CE">
                    <w:rPr>
                      <w:rStyle w:val="rvts37"/>
                      <w:b/>
                      <w:bCs/>
                      <w:sz w:val="2"/>
                      <w:szCs w:val="2"/>
                      <w:vertAlign w:val="superscript"/>
                    </w:rPr>
                    <w:t>-</w:t>
                  </w:r>
                  <w:r w:rsidRPr="003F68CE">
                    <w:rPr>
                      <w:rStyle w:val="rvts37"/>
                      <w:b/>
                      <w:bCs/>
                      <w:sz w:val="16"/>
                      <w:szCs w:val="16"/>
                      <w:vertAlign w:val="superscript"/>
                    </w:rPr>
                    <w:t>3</w:t>
                  </w:r>
                  <w:r w:rsidRPr="003F68CE">
                    <w:t> на добу;</w:t>
                  </w:r>
                </w:p>
              </w:tc>
            </w:tr>
            <w:tr w:rsidR="003F68CE" w:rsidRPr="00387749" w14:paraId="269069A1" w14:textId="77777777" w:rsidTr="003F68CE">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502" w:type="dxa"/>
                  <w:hideMark/>
                </w:tcPr>
                <w:p w14:paraId="2F827622" w14:textId="77777777" w:rsidR="00007BBD" w:rsidRPr="003F68CE" w:rsidRDefault="00007BBD" w:rsidP="003D1256">
                  <w:pPr>
                    <w:spacing w:after="0" w:line="240" w:lineRule="auto"/>
                  </w:pPr>
                </w:p>
              </w:tc>
              <w:tc>
                <w:tcPr>
                  <w:tcW w:w="659" w:type="dxa"/>
                  <w:hideMark/>
                </w:tcPr>
                <w:p w14:paraId="3AFAD210" w14:textId="77777777" w:rsidR="00007BBD" w:rsidRPr="003F68CE" w:rsidRDefault="00007BBD" w:rsidP="003D1256">
                  <w:pPr>
                    <w:pStyle w:val="rvps12"/>
                    <w:spacing w:before="0" w:beforeAutospacing="0" w:after="0" w:afterAutospacing="0"/>
                    <w:jc w:val="center"/>
                  </w:pPr>
                  <w:r w:rsidRPr="003F68CE">
                    <w:t>В</w:t>
                  </w:r>
                  <w:r w:rsidRPr="003F68CE">
                    <w:rPr>
                      <w:rStyle w:val="rvts40"/>
                      <w:b/>
                      <w:bCs/>
                      <w:sz w:val="16"/>
                      <w:szCs w:val="16"/>
                      <w:vertAlign w:val="subscript"/>
                    </w:rPr>
                    <w:t>зак</w:t>
                  </w:r>
                </w:p>
              </w:tc>
              <w:tc>
                <w:tcPr>
                  <w:tcW w:w="209" w:type="dxa"/>
                  <w:hideMark/>
                </w:tcPr>
                <w:p w14:paraId="4359963D" w14:textId="77777777" w:rsidR="00007BBD" w:rsidRPr="003F68CE" w:rsidRDefault="00007BBD" w:rsidP="003D1256">
                  <w:pPr>
                    <w:pStyle w:val="rvps12"/>
                    <w:spacing w:before="0" w:beforeAutospacing="0" w:after="0" w:afterAutospacing="0"/>
                    <w:jc w:val="center"/>
                  </w:pPr>
                  <w:r w:rsidRPr="003F68CE">
                    <w:t>-</w:t>
                  </w:r>
                </w:p>
              </w:tc>
              <w:tc>
                <w:tcPr>
                  <w:tcW w:w="5709" w:type="dxa"/>
                  <w:gridSpan w:val="2"/>
                  <w:hideMark/>
                </w:tcPr>
                <w:p w14:paraId="5EE5879D" w14:textId="77777777" w:rsidR="00007BBD" w:rsidRPr="003F68CE" w:rsidRDefault="00007BBD" w:rsidP="003D1256">
                  <w:pPr>
                    <w:pStyle w:val="rvps14"/>
                    <w:spacing w:before="0" w:beforeAutospacing="0" w:after="0" w:afterAutospacing="0"/>
                  </w:pPr>
                  <w:r w:rsidRPr="003F68CE">
                    <w:t>плановані витрати оператора газосховища на закачування природного газу, які визначаються згідно з розподілом витрат, пов'язаних з наданням послуг зберігання (закачування, відбору) природного газу в/з ПСГ, відповідно до </w:t>
                  </w:r>
                  <w:hyperlink r:id="rId19" w:anchor="n204" w:history="1">
                    <w:r w:rsidRPr="003F68CE">
                      <w:rPr>
                        <w:rStyle w:val="a6"/>
                        <w:color w:val="auto"/>
                      </w:rPr>
                      <w:t>додатка 1</w:t>
                    </w:r>
                  </w:hyperlink>
                  <w:r w:rsidRPr="003F68CE">
                    <w:t> до цієї Методики, тис. грн;</w:t>
                  </w:r>
                </w:p>
              </w:tc>
            </w:tr>
            <w:tr w:rsidR="003F68CE" w:rsidRPr="00387749" w14:paraId="2CBD3708" w14:textId="77777777" w:rsidTr="003F68CE">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7079" w:type="dxa"/>
                  <w:gridSpan w:val="5"/>
                  <w:hideMark/>
                </w:tcPr>
                <w:p w14:paraId="0D3105EE" w14:textId="1390680E" w:rsidR="00007BBD" w:rsidRPr="003F68CE" w:rsidRDefault="00007BBD" w:rsidP="003D1256">
                  <w:pPr>
                    <w:pStyle w:val="rvps2"/>
                    <w:spacing w:before="0" w:beforeAutospacing="0" w:after="0" w:afterAutospacing="0"/>
                    <w:jc w:val="both"/>
                  </w:pPr>
                </w:p>
              </w:tc>
            </w:tr>
            <w:tr w:rsidR="003F68CE" w:rsidRPr="003F68CE" w14:paraId="07834CFB" w14:textId="77777777" w:rsidTr="003F68CE">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502" w:type="dxa"/>
                  <w:hideMark/>
                </w:tcPr>
                <w:p w14:paraId="71F4F0E4" w14:textId="77777777" w:rsidR="00007BBD" w:rsidRPr="003F68CE" w:rsidRDefault="00007BBD" w:rsidP="003D1256">
                  <w:pPr>
                    <w:spacing w:after="0" w:line="240" w:lineRule="auto"/>
                    <w:rPr>
                      <w:lang w:val="uk-UA"/>
                    </w:rPr>
                  </w:pPr>
                </w:p>
              </w:tc>
              <w:tc>
                <w:tcPr>
                  <w:tcW w:w="659" w:type="dxa"/>
                  <w:hideMark/>
                </w:tcPr>
                <w:p w14:paraId="5CCA4380" w14:textId="77777777" w:rsidR="00007BBD" w:rsidRPr="003F68CE" w:rsidRDefault="00007BBD" w:rsidP="003D1256">
                  <w:pPr>
                    <w:pStyle w:val="rvps12"/>
                    <w:spacing w:before="0" w:beforeAutospacing="0" w:after="0" w:afterAutospacing="0"/>
                    <w:jc w:val="center"/>
                  </w:pPr>
                  <w:r w:rsidRPr="003F68CE">
                    <w:t>Р</w:t>
                  </w:r>
                </w:p>
              </w:tc>
              <w:tc>
                <w:tcPr>
                  <w:tcW w:w="209" w:type="dxa"/>
                  <w:hideMark/>
                </w:tcPr>
                <w:p w14:paraId="568C7C43" w14:textId="77777777" w:rsidR="00007BBD" w:rsidRPr="003F68CE" w:rsidRDefault="00007BBD" w:rsidP="003D1256">
                  <w:pPr>
                    <w:pStyle w:val="rvps12"/>
                    <w:spacing w:before="0" w:beforeAutospacing="0" w:after="0" w:afterAutospacing="0"/>
                    <w:jc w:val="center"/>
                  </w:pPr>
                  <w:r w:rsidRPr="003F68CE">
                    <w:t>-</w:t>
                  </w:r>
                </w:p>
              </w:tc>
              <w:tc>
                <w:tcPr>
                  <w:tcW w:w="5709" w:type="dxa"/>
                  <w:gridSpan w:val="2"/>
                  <w:hideMark/>
                </w:tcPr>
                <w:p w14:paraId="6687EC5B" w14:textId="77777777" w:rsidR="00007BBD" w:rsidRPr="003F68CE" w:rsidRDefault="00007BBD" w:rsidP="003D1256">
                  <w:pPr>
                    <w:pStyle w:val="rvps14"/>
                    <w:spacing w:before="0" w:beforeAutospacing="0" w:after="0" w:afterAutospacing="0"/>
                  </w:pPr>
                  <w:r w:rsidRPr="003F68CE">
                    <w:t>планована рентабельність оператора газосховищ, розраховується за формулою (4), %;</w:t>
                  </w:r>
                </w:p>
              </w:tc>
            </w:tr>
            <w:tr w:rsidR="003F68CE" w:rsidRPr="003F68CE" w14:paraId="0D02A340" w14:textId="77777777" w:rsidTr="003F68CE">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787"/>
              </w:trPr>
              <w:tc>
                <w:tcPr>
                  <w:tcW w:w="502" w:type="dxa"/>
                  <w:hideMark/>
                </w:tcPr>
                <w:p w14:paraId="532CFE91" w14:textId="77777777" w:rsidR="00007BBD" w:rsidRPr="003F68CE" w:rsidRDefault="00007BBD" w:rsidP="003D1256">
                  <w:pPr>
                    <w:spacing w:after="0" w:line="240" w:lineRule="auto"/>
                  </w:pPr>
                </w:p>
              </w:tc>
              <w:tc>
                <w:tcPr>
                  <w:tcW w:w="659" w:type="dxa"/>
                  <w:hideMark/>
                </w:tcPr>
                <w:p w14:paraId="002EE229" w14:textId="77777777" w:rsidR="00007BBD" w:rsidRPr="003F68CE" w:rsidRDefault="00007BBD" w:rsidP="003D1256">
                  <w:pPr>
                    <w:pStyle w:val="rvps12"/>
                    <w:spacing w:before="0" w:beforeAutospacing="0" w:after="0" w:afterAutospacing="0"/>
                    <w:jc w:val="center"/>
                  </w:pPr>
                  <w:r w:rsidRPr="003F68CE">
                    <w:rPr>
                      <w:rStyle w:val="rvts11"/>
                      <w:i/>
                      <w:iCs/>
                    </w:rPr>
                    <w:t>К</w:t>
                  </w:r>
                </w:p>
              </w:tc>
              <w:tc>
                <w:tcPr>
                  <w:tcW w:w="209" w:type="dxa"/>
                  <w:hideMark/>
                </w:tcPr>
                <w:p w14:paraId="21A6FE70" w14:textId="77777777" w:rsidR="00007BBD" w:rsidRPr="003F68CE" w:rsidRDefault="00007BBD" w:rsidP="003D1256">
                  <w:pPr>
                    <w:pStyle w:val="rvps12"/>
                    <w:spacing w:before="0" w:beforeAutospacing="0" w:after="0" w:afterAutospacing="0"/>
                    <w:jc w:val="center"/>
                  </w:pPr>
                  <w:r w:rsidRPr="003F68CE">
                    <w:t>-</w:t>
                  </w:r>
                </w:p>
              </w:tc>
              <w:tc>
                <w:tcPr>
                  <w:tcW w:w="5709" w:type="dxa"/>
                  <w:gridSpan w:val="2"/>
                  <w:hideMark/>
                </w:tcPr>
                <w:p w14:paraId="1E7BC35E" w14:textId="63DE3278" w:rsidR="00007BBD" w:rsidRPr="003F68CE" w:rsidRDefault="00007BBD" w:rsidP="003D1256">
                  <w:pPr>
                    <w:pStyle w:val="rvps14"/>
                    <w:spacing w:before="0" w:beforeAutospacing="0" w:after="0" w:afterAutospacing="0"/>
                  </w:pPr>
                  <w:r w:rsidRPr="003F68CE">
                    <w:t>коефіцієнт коригування планованої тарифної виручки, що розраховується за формулою 5, %;</w:t>
                  </w:r>
                </w:p>
              </w:tc>
            </w:tr>
            <w:tr w:rsidR="003F68CE" w:rsidRPr="003F68CE" w14:paraId="32A11A20" w14:textId="77777777" w:rsidTr="003F68CE">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921"/>
              </w:trPr>
              <w:tc>
                <w:tcPr>
                  <w:tcW w:w="502" w:type="dxa"/>
                </w:tcPr>
                <w:p w14:paraId="494C4860" w14:textId="77777777" w:rsidR="00007BBD" w:rsidRPr="003F68CE" w:rsidRDefault="00007BBD" w:rsidP="003D1256">
                  <w:pPr>
                    <w:spacing w:after="0" w:line="240" w:lineRule="auto"/>
                  </w:pPr>
                </w:p>
              </w:tc>
              <w:tc>
                <w:tcPr>
                  <w:tcW w:w="659" w:type="dxa"/>
                </w:tcPr>
                <w:p w14:paraId="0E815881" w14:textId="77777777" w:rsidR="00007BBD" w:rsidRPr="003F68CE" w:rsidRDefault="00007BBD" w:rsidP="003D1256">
                  <w:pPr>
                    <w:pStyle w:val="rvps12"/>
                    <w:spacing w:before="0" w:beforeAutospacing="0" w:after="0" w:afterAutospacing="0"/>
                    <w:jc w:val="center"/>
                    <w:rPr>
                      <w:rStyle w:val="rvts11"/>
                      <w:i/>
                      <w:iCs/>
                    </w:rPr>
                  </w:pPr>
                </w:p>
              </w:tc>
              <w:tc>
                <w:tcPr>
                  <w:tcW w:w="209" w:type="dxa"/>
                </w:tcPr>
                <w:p w14:paraId="132D073C" w14:textId="77777777" w:rsidR="00007BBD" w:rsidRPr="003F68CE" w:rsidRDefault="00007BBD" w:rsidP="003D1256">
                  <w:pPr>
                    <w:pStyle w:val="rvps12"/>
                    <w:spacing w:before="0" w:beforeAutospacing="0" w:after="0" w:afterAutospacing="0"/>
                    <w:jc w:val="center"/>
                  </w:pPr>
                </w:p>
              </w:tc>
              <w:tc>
                <w:tcPr>
                  <w:tcW w:w="5709" w:type="dxa"/>
                  <w:gridSpan w:val="2"/>
                </w:tcPr>
                <w:p w14:paraId="5826CEF3" w14:textId="61790F6F" w:rsidR="00007BBD" w:rsidRPr="003F68CE" w:rsidRDefault="00E803CD" w:rsidP="003D1256">
                  <w:pPr>
                    <w:pStyle w:val="rvps14"/>
                    <w:spacing w:before="0" w:beforeAutospacing="0" w:after="0" w:afterAutospacing="0"/>
                    <w:rPr>
                      <w:b/>
                    </w:rPr>
                  </w:pPr>
                  <w:r>
                    <w:rPr>
                      <w:b/>
                    </w:rPr>
                    <w:t>в</w:t>
                  </w:r>
                  <w:r w:rsidR="00007BBD" w:rsidRPr="003F68CE">
                    <w:rPr>
                      <w:b/>
                    </w:rPr>
                    <w:t>ідсутн</w:t>
                  </w:r>
                  <w:r w:rsidR="00E813D2" w:rsidRPr="003F68CE">
                    <w:rPr>
                      <w:b/>
                    </w:rPr>
                    <w:t>є</w:t>
                  </w:r>
                  <w:r w:rsidR="00007BBD" w:rsidRPr="003F68CE">
                    <w:rPr>
                      <w:b/>
                    </w:rPr>
                    <w:t xml:space="preserve"> значення</w:t>
                  </w:r>
                </w:p>
                <w:p w14:paraId="417B4F61" w14:textId="07AD742F" w:rsidR="003D1256" w:rsidRPr="003F68CE" w:rsidRDefault="003D1256" w:rsidP="003D1256">
                  <w:pPr>
                    <w:pStyle w:val="rvps14"/>
                    <w:spacing w:before="0" w:beforeAutospacing="0" w:after="0" w:afterAutospacing="0"/>
                  </w:pPr>
                </w:p>
              </w:tc>
            </w:tr>
            <w:tr w:rsidR="003F68CE" w:rsidRPr="003F68CE" w14:paraId="4A6A329F" w14:textId="77777777" w:rsidTr="003F68CE">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502" w:type="dxa"/>
                  <w:hideMark/>
                </w:tcPr>
                <w:p w14:paraId="7C0655D2" w14:textId="77777777" w:rsidR="00007BBD" w:rsidRPr="003F68CE" w:rsidRDefault="00007BBD" w:rsidP="003D1256">
                  <w:pPr>
                    <w:spacing w:after="0" w:line="240" w:lineRule="auto"/>
                  </w:pPr>
                </w:p>
              </w:tc>
              <w:tc>
                <w:tcPr>
                  <w:tcW w:w="659" w:type="dxa"/>
                  <w:hideMark/>
                </w:tcPr>
                <w:p w14:paraId="1A17433E" w14:textId="77777777" w:rsidR="00007BBD" w:rsidRPr="003F68CE" w:rsidRDefault="00007BBD" w:rsidP="003D1256">
                  <w:pPr>
                    <w:pStyle w:val="rvps12"/>
                    <w:spacing w:before="0" w:beforeAutospacing="0" w:after="0" w:afterAutospacing="0"/>
                    <w:jc w:val="center"/>
                  </w:pPr>
                  <w:r w:rsidRPr="003F68CE">
                    <w:t>W</w:t>
                  </w:r>
                  <w:r w:rsidRPr="003F68CE">
                    <w:rPr>
                      <w:rStyle w:val="rvts40"/>
                      <w:b/>
                      <w:bCs/>
                      <w:sz w:val="16"/>
                      <w:szCs w:val="16"/>
                      <w:vertAlign w:val="subscript"/>
                    </w:rPr>
                    <w:t>зак</w:t>
                  </w:r>
                </w:p>
              </w:tc>
              <w:tc>
                <w:tcPr>
                  <w:tcW w:w="209" w:type="dxa"/>
                  <w:hideMark/>
                </w:tcPr>
                <w:p w14:paraId="097B4F02" w14:textId="77777777" w:rsidR="00007BBD" w:rsidRPr="003F68CE" w:rsidRDefault="00007BBD" w:rsidP="003D1256">
                  <w:pPr>
                    <w:pStyle w:val="rvps12"/>
                    <w:spacing w:before="0" w:beforeAutospacing="0" w:after="0" w:afterAutospacing="0"/>
                    <w:jc w:val="center"/>
                  </w:pPr>
                  <w:r w:rsidRPr="003F68CE">
                    <w:t>-</w:t>
                  </w:r>
                </w:p>
              </w:tc>
              <w:tc>
                <w:tcPr>
                  <w:tcW w:w="5709" w:type="dxa"/>
                  <w:gridSpan w:val="2"/>
                  <w:hideMark/>
                </w:tcPr>
                <w:p w14:paraId="5A92BD04" w14:textId="77777777" w:rsidR="00007BBD" w:rsidRPr="003F68CE" w:rsidRDefault="00007BBD" w:rsidP="003D1256">
                  <w:pPr>
                    <w:pStyle w:val="rvps14"/>
                    <w:spacing w:before="0" w:beforeAutospacing="0" w:after="0" w:afterAutospacing="0"/>
                  </w:pPr>
                  <w:r w:rsidRPr="003F68CE">
                    <w:t>планована річна потужність закачування природного газу в ПСГ, на планований період, млн м</w:t>
                  </w:r>
                  <w:r w:rsidRPr="003F68CE">
                    <w:rPr>
                      <w:rStyle w:val="rvts37"/>
                      <w:b/>
                      <w:bCs/>
                      <w:sz w:val="2"/>
                      <w:szCs w:val="2"/>
                      <w:vertAlign w:val="superscript"/>
                    </w:rPr>
                    <w:t>-</w:t>
                  </w:r>
                  <w:r w:rsidRPr="003F68CE">
                    <w:rPr>
                      <w:rStyle w:val="rvts37"/>
                      <w:b/>
                      <w:bCs/>
                      <w:sz w:val="16"/>
                      <w:szCs w:val="16"/>
                      <w:vertAlign w:val="superscript"/>
                    </w:rPr>
                    <w:t>3</w:t>
                  </w:r>
                  <w:r w:rsidRPr="003F68CE">
                    <w:t> на рік.</w:t>
                  </w:r>
                </w:p>
              </w:tc>
            </w:tr>
          </w:tbl>
          <w:p w14:paraId="05BDA018" w14:textId="77777777" w:rsidR="003D1256" w:rsidRDefault="003D1256" w:rsidP="003D1256">
            <w:pPr>
              <w:pStyle w:val="rvps2"/>
              <w:shd w:val="clear" w:color="auto" w:fill="FFFFFF"/>
              <w:spacing w:before="0" w:beforeAutospacing="0" w:after="0" w:afterAutospacing="0"/>
              <w:ind w:firstLine="450"/>
              <w:jc w:val="both"/>
            </w:pPr>
            <w:bookmarkStart w:id="6" w:name="n223"/>
            <w:bookmarkStart w:id="7" w:name="n57"/>
            <w:bookmarkEnd w:id="6"/>
            <w:bookmarkEnd w:id="7"/>
          </w:p>
          <w:p w14:paraId="0AF4662F" w14:textId="6F5407D6" w:rsidR="00007BBD" w:rsidRPr="003F68CE" w:rsidRDefault="00007BBD" w:rsidP="003D1256">
            <w:pPr>
              <w:pStyle w:val="rvps2"/>
              <w:shd w:val="clear" w:color="auto" w:fill="FFFFFF"/>
              <w:spacing w:before="0" w:beforeAutospacing="0" w:after="0" w:afterAutospacing="0"/>
              <w:ind w:firstLine="450"/>
              <w:jc w:val="both"/>
            </w:pPr>
            <w:r w:rsidRPr="003F68CE">
              <w:t>8. Тариф на відбір природного газу розраховується за формулою</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544"/>
              <w:gridCol w:w="583"/>
              <w:gridCol w:w="183"/>
              <w:gridCol w:w="5511"/>
              <w:gridCol w:w="439"/>
            </w:tblGrid>
            <w:tr w:rsidR="003F68CE" w:rsidRPr="003F68CE" w14:paraId="3B631C8F" w14:textId="77777777" w:rsidTr="003F68CE">
              <w:tc>
                <w:tcPr>
                  <w:tcW w:w="6651" w:type="dxa"/>
                  <w:gridSpan w:val="4"/>
                  <w:tcBorders>
                    <w:top w:val="nil"/>
                    <w:left w:val="nil"/>
                    <w:bottom w:val="nil"/>
                    <w:right w:val="nil"/>
                  </w:tcBorders>
                  <w:hideMark/>
                </w:tcPr>
                <w:p w14:paraId="5D00BD7D" w14:textId="26979545" w:rsidR="00007BBD" w:rsidRPr="003F68CE" w:rsidRDefault="00007BBD" w:rsidP="003D1256">
                  <w:pPr>
                    <w:pStyle w:val="rvps12"/>
                    <w:spacing w:before="0" w:beforeAutospacing="0" w:after="0" w:afterAutospacing="0"/>
                    <w:jc w:val="center"/>
                  </w:pPr>
                  <w:bookmarkStart w:id="8" w:name="n299"/>
                  <w:bookmarkEnd w:id="8"/>
                  <w:r w:rsidRPr="003F68CE">
                    <w:rPr>
                      <w:noProof/>
                    </w:rPr>
                    <w:drawing>
                      <wp:inline distT="0" distB="0" distL="0" distR="0" wp14:anchorId="6ABF97A2" wp14:editId="6F33858E">
                        <wp:extent cx="3700145" cy="605790"/>
                        <wp:effectExtent l="0" t="0" r="0" b="3810"/>
                        <wp:docPr id="6" name="Рисунок 6" descr="https://zakon.rada.gov.ua/laws/file/imgs/100/p458906n299-6.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100/p458906n299-6.gif">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00145" cy="605790"/>
                                </a:xfrm>
                                <a:prstGeom prst="rect">
                                  <a:avLst/>
                                </a:prstGeom>
                                <a:noFill/>
                                <a:ln>
                                  <a:noFill/>
                                </a:ln>
                              </pic:spPr>
                            </pic:pic>
                          </a:graphicData>
                        </a:graphic>
                      </wp:inline>
                    </w:drawing>
                  </w:r>
                </w:p>
              </w:tc>
              <w:tc>
                <w:tcPr>
                  <w:tcW w:w="428" w:type="dxa"/>
                  <w:tcBorders>
                    <w:top w:val="nil"/>
                    <w:left w:val="nil"/>
                    <w:bottom w:val="nil"/>
                    <w:right w:val="nil"/>
                  </w:tcBorders>
                  <w:hideMark/>
                </w:tcPr>
                <w:p w14:paraId="007248E5" w14:textId="77777777" w:rsidR="00007BBD" w:rsidRPr="003F68CE" w:rsidRDefault="00007BBD" w:rsidP="003D1256">
                  <w:pPr>
                    <w:pStyle w:val="rvps11"/>
                    <w:spacing w:before="0" w:beforeAutospacing="0" w:after="0" w:afterAutospacing="0"/>
                    <w:jc w:val="right"/>
                  </w:pPr>
                  <w:r w:rsidRPr="003F68CE">
                    <w:t>(7)</w:t>
                  </w:r>
                </w:p>
              </w:tc>
            </w:tr>
            <w:tr w:rsidR="003F68CE" w:rsidRPr="003F68CE" w14:paraId="1D57AB32" w14:textId="77777777" w:rsidTr="003F68CE">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531" w:type="dxa"/>
                  <w:hideMark/>
                </w:tcPr>
                <w:p w14:paraId="3C1EFB1C" w14:textId="77777777" w:rsidR="00007BBD" w:rsidRPr="003F68CE" w:rsidRDefault="00007BBD" w:rsidP="003D1256">
                  <w:pPr>
                    <w:pStyle w:val="rvps11"/>
                    <w:spacing w:before="0" w:beforeAutospacing="0" w:after="0" w:afterAutospacing="0"/>
                    <w:jc w:val="right"/>
                  </w:pPr>
                  <w:bookmarkStart w:id="9" w:name="n300"/>
                  <w:bookmarkStart w:id="10" w:name="n230"/>
                  <w:bookmarkEnd w:id="9"/>
                  <w:bookmarkEnd w:id="10"/>
                  <w:r w:rsidRPr="003F68CE">
                    <w:t>де:</w:t>
                  </w:r>
                </w:p>
              </w:tc>
              <w:tc>
                <w:tcPr>
                  <w:tcW w:w="568" w:type="dxa"/>
                  <w:hideMark/>
                </w:tcPr>
                <w:p w14:paraId="0B942390" w14:textId="77777777" w:rsidR="00007BBD" w:rsidRPr="003F68CE" w:rsidRDefault="00007BBD" w:rsidP="003D1256">
                  <w:pPr>
                    <w:pStyle w:val="rvps12"/>
                    <w:spacing w:before="0" w:beforeAutospacing="0" w:after="0" w:afterAutospacing="0"/>
                    <w:jc w:val="center"/>
                  </w:pPr>
                  <w:r w:rsidRPr="003F68CE">
                    <w:t>Т</w:t>
                  </w:r>
                  <w:r w:rsidRPr="003F68CE">
                    <w:rPr>
                      <w:rStyle w:val="rvts40"/>
                      <w:b/>
                      <w:bCs/>
                      <w:sz w:val="16"/>
                      <w:szCs w:val="16"/>
                      <w:vertAlign w:val="subscript"/>
                    </w:rPr>
                    <w:t>відб</w:t>
                  </w:r>
                </w:p>
              </w:tc>
              <w:tc>
                <w:tcPr>
                  <w:tcW w:w="178" w:type="dxa"/>
                  <w:hideMark/>
                </w:tcPr>
                <w:p w14:paraId="4D24FC3D" w14:textId="77777777" w:rsidR="00007BBD" w:rsidRPr="003F68CE" w:rsidRDefault="00007BBD" w:rsidP="003D1256">
                  <w:pPr>
                    <w:pStyle w:val="rvps12"/>
                    <w:spacing w:before="0" w:beforeAutospacing="0" w:after="0" w:afterAutospacing="0"/>
                    <w:jc w:val="center"/>
                  </w:pPr>
                  <w:r w:rsidRPr="003F68CE">
                    <w:t>-</w:t>
                  </w:r>
                </w:p>
              </w:tc>
              <w:tc>
                <w:tcPr>
                  <w:tcW w:w="5802" w:type="dxa"/>
                  <w:gridSpan w:val="2"/>
                  <w:hideMark/>
                </w:tcPr>
                <w:p w14:paraId="1EEDA174" w14:textId="77777777" w:rsidR="00007BBD" w:rsidRPr="003F68CE" w:rsidRDefault="00007BBD" w:rsidP="003D1256">
                  <w:pPr>
                    <w:pStyle w:val="rvps14"/>
                    <w:spacing w:before="0" w:beforeAutospacing="0" w:after="0" w:afterAutospacing="0"/>
                  </w:pPr>
                  <w:r w:rsidRPr="003F68CE">
                    <w:t>тариф на відбір природного газу, грн за 1000 м</w:t>
                  </w:r>
                  <w:r w:rsidRPr="003F68CE">
                    <w:rPr>
                      <w:rStyle w:val="rvts37"/>
                      <w:b/>
                      <w:bCs/>
                      <w:sz w:val="2"/>
                      <w:szCs w:val="2"/>
                      <w:vertAlign w:val="superscript"/>
                    </w:rPr>
                    <w:t>-</w:t>
                  </w:r>
                  <w:r w:rsidRPr="003F68CE">
                    <w:rPr>
                      <w:rStyle w:val="rvts37"/>
                      <w:b/>
                      <w:bCs/>
                      <w:sz w:val="16"/>
                      <w:szCs w:val="16"/>
                      <w:vertAlign w:val="superscript"/>
                    </w:rPr>
                    <w:t>3</w:t>
                  </w:r>
                  <w:r w:rsidRPr="003F68CE">
                    <w:t> на добу;</w:t>
                  </w:r>
                </w:p>
              </w:tc>
            </w:tr>
            <w:tr w:rsidR="003F68CE" w:rsidRPr="00387749" w14:paraId="5F847297" w14:textId="77777777" w:rsidTr="003F68CE">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531" w:type="dxa"/>
                  <w:hideMark/>
                </w:tcPr>
                <w:p w14:paraId="474F5EA7" w14:textId="77777777" w:rsidR="00007BBD" w:rsidRPr="003F68CE" w:rsidRDefault="00007BBD" w:rsidP="003D1256">
                  <w:pPr>
                    <w:spacing w:after="0" w:line="240" w:lineRule="auto"/>
                  </w:pPr>
                </w:p>
              </w:tc>
              <w:tc>
                <w:tcPr>
                  <w:tcW w:w="568" w:type="dxa"/>
                  <w:hideMark/>
                </w:tcPr>
                <w:p w14:paraId="4AEEFD11" w14:textId="77777777" w:rsidR="00007BBD" w:rsidRPr="003F68CE" w:rsidRDefault="00007BBD" w:rsidP="003D1256">
                  <w:pPr>
                    <w:pStyle w:val="rvps12"/>
                    <w:spacing w:before="0" w:beforeAutospacing="0" w:after="0" w:afterAutospacing="0"/>
                    <w:jc w:val="center"/>
                  </w:pPr>
                  <w:r w:rsidRPr="003F68CE">
                    <w:t>В</w:t>
                  </w:r>
                  <w:r w:rsidRPr="003F68CE">
                    <w:rPr>
                      <w:rStyle w:val="rvts40"/>
                      <w:b/>
                      <w:bCs/>
                      <w:sz w:val="16"/>
                      <w:szCs w:val="16"/>
                      <w:vertAlign w:val="subscript"/>
                    </w:rPr>
                    <w:t>відб</w:t>
                  </w:r>
                </w:p>
              </w:tc>
              <w:tc>
                <w:tcPr>
                  <w:tcW w:w="178" w:type="dxa"/>
                  <w:hideMark/>
                </w:tcPr>
                <w:p w14:paraId="4D6F4B31" w14:textId="77777777" w:rsidR="00007BBD" w:rsidRPr="003F68CE" w:rsidRDefault="00007BBD" w:rsidP="003D1256">
                  <w:pPr>
                    <w:pStyle w:val="rvps12"/>
                    <w:spacing w:before="0" w:beforeAutospacing="0" w:after="0" w:afterAutospacing="0"/>
                    <w:jc w:val="center"/>
                  </w:pPr>
                  <w:r w:rsidRPr="003F68CE">
                    <w:t>-</w:t>
                  </w:r>
                </w:p>
              </w:tc>
              <w:tc>
                <w:tcPr>
                  <w:tcW w:w="5802" w:type="dxa"/>
                  <w:gridSpan w:val="2"/>
                  <w:hideMark/>
                </w:tcPr>
                <w:p w14:paraId="41A484B9" w14:textId="77777777" w:rsidR="00007BBD" w:rsidRPr="003F68CE" w:rsidRDefault="00007BBD" w:rsidP="003D1256">
                  <w:pPr>
                    <w:pStyle w:val="rvps14"/>
                    <w:spacing w:before="0" w:beforeAutospacing="0" w:after="0" w:afterAutospacing="0"/>
                  </w:pPr>
                  <w:r w:rsidRPr="003F68CE">
                    <w:t>плановані витрати оператора газосховища на відбір природного газу, які визначаються згідно з розподілом витрат, пов'язаних з наданням послуг зберігання (закачування, відбору) природного газу в/з ПСГ відповідно до </w:t>
                  </w:r>
                  <w:hyperlink r:id="rId22" w:anchor="n204" w:history="1">
                    <w:r w:rsidRPr="003F68CE">
                      <w:rPr>
                        <w:rStyle w:val="a6"/>
                        <w:color w:val="auto"/>
                      </w:rPr>
                      <w:t>додатка 1</w:t>
                    </w:r>
                  </w:hyperlink>
                  <w:r w:rsidRPr="003F68CE">
                    <w:t> до цієї Методики, тис. грн;</w:t>
                  </w:r>
                </w:p>
              </w:tc>
            </w:tr>
            <w:tr w:rsidR="003F68CE" w:rsidRPr="003F68CE" w14:paraId="7BC48D61" w14:textId="77777777" w:rsidTr="003F68CE">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531" w:type="dxa"/>
                  <w:hideMark/>
                </w:tcPr>
                <w:p w14:paraId="17C7B77B" w14:textId="77777777" w:rsidR="00007BBD" w:rsidRPr="003F68CE" w:rsidRDefault="00007BBD" w:rsidP="003D1256">
                  <w:pPr>
                    <w:spacing w:after="0" w:line="240" w:lineRule="auto"/>
                    <w:rPr>
                      <w:lang w:val="uk-UA"/>
                    </w:rPr>
                  </w:pPr>
                </w:p>
              </w:tc>
              <w:tc>
                <w:tcPr>
                  <w:tcW w:w="568" w:type="dxa"/>
                  <w:hideMark/>
                </w:tcPr>
                <w:p w14:paraId="63D6B7C2" w14:textId="77777777" w:rsidR="00007BBD" w:rsidRPr="003F68CE" w:rsidRDefault="00007BBD" w:rsidP="003D1256">
                  <w:pPr>
                    <w:pStyle w:val="rvps12"/>
                    <w:spacing w:before="0" w:beforeAutospacing="0" w:after="0" w:afterAutospacing="0"/>
                    <w:jc w:val="center"/>
                  </w:pPr>
                  <w:r w:rsidRPr="003F68CE">
                    <w:t>Р</w:t>
                  </w:r>
                </w:p>
              </w:tc>
              <w:tc>
                <w:tcPr>
                  <w:tcW w:w="178" w:type="dxa"/>
                  <w:hideMark/>
                </w:tcPr>
                <w:p w14:paraId="3F5471A8" w14:textId="77777777" w:rsidR="00007BBD" w:rsidRPr="003F68CE" w:rsidRDefault="00007BBD" w:rsidP="003D1256">
                  <w:pPr>
                    <w:pStyle w:val="rvps12"/>
                    <w:spacing w:before="0" w:beforeAutospacing="0" w:after="0" w:afterAutospacing="0"/>
                    <w:jc w:val="center"/>
                  </w:pPr>
                  <w:r w:rsidRPr="003F68CE">
                    <w:t>-</w:t>
                  </w:r>
                </w:p>
              </w:tc>
              <w:tc>
                <w:tcPr>
                  <w:tcW w:w="5802" w:type="dxa"/>
                  <w:gridSpan w:val="2"/>
                  <w:hideMark/>
                </w:tcPr>
                <w:p w14:paraId="25990E41" w14:textId="77777777" w:rsidR="00007BBD" w:rsidRPr="003F68CE" w:rsidRDefault="00007BBD" w:rsidP="003D1256">
                  <w:pPr>
                    <w:pStyle w:val="rvps14"/>
                    <w:spacing w:before="0" w:beforeAutospacing="0" w:after="0" w:afterAutospacing="0"/>
                  </w:pPr>
                  <w:r w:rsidRPr="003F68CE">
                    <w:t>планована рентабельність оператора газосховищ, розраховується за формулою (4), %;</w:t>
                  </w:r>
                </w:p>
              </w:tc>
            </w:tr>
            <w:tr w:rsidR="003F68CE" w:rsidRPr="003F68CE" w14:paraId="364A7DD8" w14:textId="77777777" w:rsidTr="003F68CE">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720"/>
              </w:trPr>
              <w:tc>
                <w:tcPr>
                  <w:tcW w:w="531" w:type="dxa"/>
                  <w:hideMark/>
                </w:tcPr>
                <w:p w14:paraId="3E70C42A" w14:textId="77777777" w:rsidR="00007BBD" w:rsidRPr="003F68CE" w:rsidRDefault="00007BBD" w:rsidP="003D1256">
                  <w:pPr>
                    <w:spacing w:after="0" w:line="240" w:lineRule="auto"/>
                  </w:pPr>
                </w:p>
              </w:tc>
              <w:tc>
                <w:tcPr>
                  <w:tcW w:w="568" w:type="dxa"/>
                  <w:hideMark/>
                </w:tcPr>
                <w:p w14:paraId="072257E7" w14:textId="77777777" w:rsidR="00007BBD" w:rsidRPr="003F68CE" w:rsidRDefault="00007BBD" w:rsidP="003D1256">
                  <w:pPr>
                    <w:pStyle w:val="rvps12"/>
                    <w:spacing w:before="0" w:beforeAutospacing="0" w:after="0" w:afterAutospacing="0"/>
                    <w:jc w:val="center"/>
                  </w:pPr>
                  <w:r w:rsidRPr="003F68CE">
                    <w:rPr>
                      <w:rStyle w:val="rvts11"/>
                      <w:i/>
                      <w:iCs/>
                    </w:rPr>
                    <w:t>К</w:t>
                  </w:r>
                </w:p>
              </w:tc>
              <w:tc>
                <w:tcPr>
                  <w:tcW w:w="178" w:type="dxa"/>
                  <w:hideMark/>
                </w:tcPr>
                <w:p w14:paraId="4B92E7D3" w14:textId="77777777" w:rsidR="00007BBD" w:rsidRPr="003F68CE" w:rsidRDefault="00007BBD" w:rsidP="003D1256">
                  <w:pPr>
                    <w:pStyle w:val="rvps12"/>
                    <w:spacing w:before="0" w:beforeAutospacing="0" w:after="0" w:afterAutospacing="0"/>
                    <w:jc w:val="center"/>
                  </w:pPr>
                  <w:r w:rsidRPr="003F68CE">
                    <w:t>-</w:t>
                  </w:r>
                </w:p>
              </w:tc>
              <w:tc>
                <w:tcPr>
                  <w:tcW w:w="5802" w:type="dxa"/>
                  <w:gridSpan w:val="2"/>
                  <w:hideMark/>
                </w:tcPr>
                <w:p w14:paraId="3EBBE604" w14:textId="77777777" w:rsidR="00E813D2" w:rsidRDefault="00007BBD" w:rsidP="003D1256">
                  <w:pPr>
                    <w:pStyle w:val="rvps14"/>
                    <w:spacing w:before="0" w:beforeAutospacing="0" w:after="0" w:afterAutospacing="0"/>
                  </w:pPr>
                  <w:r w:rsidRPr="003F68CE">
                    <w:t>коефіцієнт коригування планованої тарифної виручки, що розраховується за формулою 5, %;</w:t>
                  </w:r>
                </w:p>
                <w:p w14:paraId="7F6E6DED" w14:textId="77777777" w:rsidR="003D1256" w:rsidRDefault="003D1256" w:rsidP="003D1256">
                  <w:pPr>
                    <w:pStyle w:val="rvps14"/>
                    <w:spacing w:before="0" w:beforeAutospacing="0" w:after="0" w:afterAutospacing="0"/>
                  </w:pPr>
                </w:p>
                <w:p w14:paraId="5DD45840" w14:textId="4973ED96" w:rsidR="003D1256" w:rsidRPr="003F68CE" w:rsidRDefault="003D1256" w:rsidP="003D1256">
                  <w:pPr>
                    <w:pStyle w:val="rvps14"/>
                    <w:spacing w:before="0" w:beforeAutospacing="0" w:after="0" w:afterAutospacing="0"/>
                  </w:pPr>
                </w:p>
              </w:tc>
            </w:tr>
            <w:tr w:rsidR="003F68CE" w:rsidRPr="003F68CE" w14:paraId="7F882E92" w14:textId="77777777" w:rsidTr="003F68CE">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553"/>
              </w:trPr>
              <w:tc>
                <w:tcPr>
                  <w:tcW w:w="531" w:type="dxa"/>
                </w:tcPr>
                <w:p w14:paraId="58232CD1" w14:textId="77777777" w:rsidR="00E813D2" w:rsidRPr="003F68CE" w:rsidRDefault="00E813D2" w:rsidP="003D1256">
                  <w:pPr>
                    <w:spacing w:after="0" w:line="240" w:lineRule="auto"/>
                  </w:pPr>
                </w:p>
              </w:tc>
              <w:tc>
                <w:tcPr>
                  <w:tcW w:w="568" w:type="dxa"/>
                </w:tcPr>
                <w:p w14:paraId="587B2657" w14:textId="77777777" w:rsidR="00E813D2" w:rsidRPr="003F68CE" w:rsidRDefault="00E813D2" w:rsidP="003D1256">
                  <w:pPr>
                    <w:pStyle w:val="rvps12"/>
                    <w:spacing w:before="0" w:beforeAutospacing="0" w:after="0" w:afterAutospacing="0"/>
                    <w:jc w:val="center"/>
                    <w:rPr>
                      <w:rStyle w:val="rvts11"/>
                      <w:i/>
                      <w:iCs/>
                    </w:rPr>
                  </w:pPr>
                </w:p>
              </w:tc>
              <w:tc>
                <w:tcPr>
                  <w:tcW w:w="178" w:type="dxa"/>
                </w:tcPr>
                <w:p w14:paraId="077ABE56" w14:textId="77777777" w:rsidR="00E813D2" w:rsidRPr="003F68CE" w:rsidRDefault="00E813D2" w:rsidP="003D1256">
                  <w:pPr>
                    <w:pStyle w:val="rvps12"/>
                    <w:spacing w:before="0" w:beforeAutospacing="0" w:after="0" w:afterAutospacing="0"/>
                    <w:jc w:val="center"/>
                  </w:pPr>
                </w:p>
              </w:tc>
              <w:tc>
                <w:tcPr>
                  <w:tcW w:w="5802" w:type="dxa"/>
                  <w:gridSpan w:val="2"/>
                </w:tcPr>
                <w:p w14:paraId="0AE49DD8" w14:textId="39739291" w:rsidR="00E813D2" w:rsidRPr="003F68CE" w:rsidRDefault="00C43A9B" w:rsidP="003D1256">
                  <w:pPr>
                    <w:pStyle w:val="rvps14"/>
                    <w:spacing w:before="0" w:beforeAutospacing="0" w:after="0" w:afterAutospacing="0"/>
                    <w:rPr>
                      <w:b/>
                    </w:rPr>
                  </w:pPr>
                  <w:r>
                    <w:rPr>
                      <w:b/>
                    </w:rPr>
                    <w:t>в</w:t>
                  </w:r>
                  <w:r w:rsidR="00E813D2" w:rsidRPr="003F68CE">
                    <w:rPr>
                      <w:b/>
                    </w:rPr>
                    <w:t>ідсутнє значення</w:t>
                  </w:r>
                </w:p>
              </w:tc>
            </w:tr>
            <w:tr w:rsidR="003F68CE" w:rsidRPr="003F68CE" w14:paraId="36EF00FE" w14:textId="77777777" w:rsidTr="003F68CE">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531" w:type="dxa"/>
                  <w:hideMark/>
                </w:tcPr>
                <w:p w14:paraId="4B430937" w14:textId="77777777" w:rsidR="00007BBD" w:rsidRPr="003F68CE" w:rsidRDefault="00007BBD" w:rsidP="003D1256">
                  <w:pPr>
                    <w:spacing w:after="0" w:line="240" w:lineRule="auto"/>
                  </w:pPr>
                </w:p>
              </w:tc>
              <w:tc>
                <w:tcPr>
                  <w:tcW w:w="568" w:type="dxa"/>
                  <w:hideMark/>
                </w:tcPr>
                <w:p w14:paraId="65C564AF" w14:textId="77777777" w:rsidR="00007BBD" w:rsidRPr="003F68CE" w:rsidRDefault="00007BBD" w:rsidP="003D1256">
                  <w:pPr>
                    <w:pStyle w:val="rvps12"/>
                    <w:spacing w:before="0" w:beforeAutospacing="0" w:after="0" w:afterAutospacing="0"/>
                    <w:jc w:val="center"/>
                  </w:pPr>
                  <w:r w:rsidRPr="003F68CE">
                    <w:t>W</w:t>
                  </w:r>
                  <w:r w:rsidRPr="003F68CE">
                    <w:rPr>
                      <w:rStyle w:val="rvts40"/>
                      <w:b/>
                      <w:bCs/>
                      <w:sz w:val="16"/>
                      <w:szCs w:val="16"/>
                      <w:vertAlign w:val="subscript"/>
                    </w:rPr>
                    <w:t>відб</w:t>
                  </w:r>
                </w:p>
              </w:tc>
              <w:tc>
                <w:tcPr>
                  <w:tcW w:w="178" w:type="dxa"/>
                  <w:hideMark/>
                </w:tcPr>
                <w:p w14:paraId="60B48861" w14:textId="77777777" w:rsidR="00007BBD" w:rsidRPr="003F68CE" w:rsidRDefault="00007BBD" w:rsidP="003D1256">
                  <w:pPr>
                    <w:pStyle w:val="rvps12"/>
                    <w:spacing w:before="0" w:beforeAutospacing="0" w:after="0" w:afterAutospacing="0"/>
                    <w:jc w:val="center"/>
                  </w:pPr>
                  <w:r w:rsidRPr="003F68CE">
                    <w:t>-</w:t>
                  </w:r>
                </w:p>
              </w:tc>
              <w:tc>
                <w:tcPr>
                  <w:tcW w:w="5802" w:type="dxa"/>
                  <w:gridSpan w:val="2"/>
                  <w:hideMark/>
                </w:tcPr>
                <w:p w14:paraId="08E0E648" w14:textId="77777777" w:rsidR="00007BBD" w:rsidRPr="003F68CE" w:rsidRDefault="00007BBD" w:rsidP="003D1256">
                  <w:pPr>
                    <w:pStyle w:val="rvps14"/>
                    <w:spacing w:before="0" w:beforeAutospacing="0" w:after="0" w:afterAutospacing="0"/>
                  </w:pPr>
                  <w:r w:rsidRPr="003F68CE">
                    <w:t>планована річна потужність відбору природного газу із ПСГ на планований період, млн м</w:t>
                  </w:r>
                  <w:r w:rsidRPr="003F68CE">
                    <w:rPr>
                      <w:rStyle w:val="rvts37"/>
                      <w:b/>
                      <w:bCs/>
                      <w:sz w:val="2"/>
                      <w:szCs w:val="2"/>
                      <w:vertAlign w:val="superscript"/>
                    </w:rPr>
                    <w:t>-</w:t>
                  </w:r>
                  <w:r w:rsidRPr="003F68CE">
                    <w:rPr>
                      <w:rStyle w:val="rvts37"/>
                      <w:b/>
                      <w:bCs/>
                      <w:sz w:val="16"/>
                      <w:szCs w:val="16"/>
                      <w:vertAlign w:val="superscript"/>
                    </w:rPr>
                    <w:t>3</w:t>
                  </w:r>
                  <w:r w:rsidRPr="003F68CE">
                    <w:t> на рік.</w:t>
                  </w:r>
                </w:p>
              </w:tc>
            </w:tr>
          </w:tbl>
          <w:p w14:paraId="149D8210" w14:textId="4947DCC0" w:rsidR="00007BBD" w:rsidRPr="003F68CE" w:rsidRDefault="00007BBD" w:rsidP="003D1256">
            <w:pPr>
              <w:pStyle w:val="a4"/>
              <w:spacing w:before="0" w:beforeAutospacing="0" w:after="0" w:afterAutospacing="0"/>
              <w:jc w:val="both"/>
              <w:rPr>
                <w:lang w:val="ru-RU"/>
              </w:rPr>
            </w:pPr>
          </w:p>
        </w:tc>
        <w:tc>
          <w:tcPr>
            <w:tcW w:w="7903" w:type="dxa"/>
          </w:tcPr>
          <w:p w14:paraId="79936904" w14:textId="1DB287D9" w:rsidR="006B0689" w:rsidRDefault="006B0689" w:rsidP="003D1256">
            <w:pPr>
              <w:shd w:val="clear" w:color="auto" w:fill="FFFFFF"/>
              <w:spacing w:after="0" w:line="240" w:lineRule="auto"/>
              <w:jc w:val="both"/>
              <w:rPr>
                <w:rFonts w:ascii="Times New Roman" w:eastAsia="Times New Roman" w:hAnsi="Times New Roman" w:cs="Times New Roman"/>
                <w:sz w:val="24"/>
                <w:szCs w:val="24"/>
                <w:lang w:val="uk-UA" w:eastAsia="uk-UA"/>
              </w:rPr>
            </w:pPr>
            <w:bookmarkStart w:id="11" w:name="_Hlk146013520"/>
            <w:r w:rsidRPr="003F68CE">
              <w:rPr>
                <w:rFonts w:ascii="Times New Roman" w:eastAsia="Times New Roman" w:hAnsi="Times New Roman" w:cs="Times New Roman"/>
                <w:sz w:val="24"/>
                <w:szCs w:val="24"/>
                <w:lang w:val="uk-UA" w:eastAsia="uk-UA"/>
              </w:rPr>
              <w:lastRenderedPageBreak/>
              <w:t xml:space="preserve">1. Загальна планована тарифна виручка розраховується на основі повної планованої собівартості, планованого прибутку, </w:t>
            </w:r>
            <w:r w:rsidRPr="003F68CE">
              <w:rPr>
                <w:rFonts w:ascii="Times New Roman" w:eastAsia="Times New Roman" w:hAnsi="Times New Roman" w:cs="Times New Roman"/>
                <w:b/>
                <w:sz w:val="24"/>
                <w:szCs w:val="24"/>
                <w:lang w:val="uk-UA" w:eastAsia="uk-UA"/>
              </w:rPr>
              <w:t>капітальних інвестицій</w:t>
            </w:r>
            <w:r w:rsidRPr="003F68CE">
              <w:rPr>
                <w:rFonts w:ascii="Times New Roman" w:eastAsia="Times New Roman" w:hAnsi="Times New Roman" w:cs="Times New Roman"/>
                <w:sz w:val="24"/>
                <w:szCs w:val="24"/>
                <w:lang w:val="uk-UA" w:eastAsia="uk-UA"/>
              </w:rPr>
              <w:t xml:space="preserve"> та коригування планованої тарифної виручки за формулою</w:t>
            </w:r>
          </w:p>
          <w:p w14:paraId="65124B9F" w14:textId="77777777" w:rsidR="003D1256" w:rsidRPr="003F68CE" w:rsidRDefault="003D1256" w:rsidP="003D1256">
            <w:pPr>
              <w:shd w:val="clear" w:color="auto" w:fill="FFFFFF"/>
              <w:spacing w:after="0" w:line="240" w:lineRule="auto"/>
              <w:jc w:val="both"/>
              <w:rPr>
                <w:rFonts w:ascii="Times New Roman" w:eastAsia="Times New Roman" w:hAnsi="Times New Roman" w:cs="Times New Roman"/>
                <w:sz w:val="24"/>
                <w:szCs w:val="24"/>
                <w:lang w:val="uk-UA" w:eastAsia="uk-UA"/>
              </w:rPr>
            </w:pPr>
          </w:p>
          <w:p w14:paraId="2730AA0D" w14:textId="017C6235" w:rsidR="007E47BB" w:rsidRPr="003F68CE" w:rsidRDefault="00321477" w:rsidP="003D1256">
            <w:pPr>
              <w:pStyle w:val="a4"/>
              <w:spacing w:before="0" w:beforeAutospacing="0" w:after="0" w:afterAutospacing="0"/>
              <w:jc w:val="center"/>
            </w:pPr>
            <m:oMath>
              <m:sSubSup>
                <m:sSubSupPr>
                  <m:ctrlPr>
                    <w:rPr>
                      <w:rFonts w:ascii="Cambria Math" w:hAnsi="Cambria Math"/>
                      <w:i/>
                      <w:sz w:val="28"/>
                      <w:szCs w:val="28"/>
                    </w:rPr>
                  </m:ctrlPr>
                </m:sSubSupPr>
                <m:e>
                  <m:r>
                    <w:rPr>
                      <w:rFonts w:ascii="Cambria Math" w:hAnsi="Cambria Math"/>
                      <w:sz w:val="28"/>
                      <w:szCs w:val="28"/>
                    </w:rPr>
                    <m:t>ТВ</m:t>
                  </m:r>
                </m:e>
                <m:sub>
                  <m:r>
                    <w:rPr>
                      <w:rFonts w:ascii="Cambria Math" w:hAnsi="Cambria Math"/>
                      <w:sz w:val="28"/>
                      <w:szCs w:val="28"/>
                    </w:rPr>
                    <m:t>заг</m:t>
                  </m:r>
                </m:sub>
                <m:sup>
                  <m:r>
                    <w:rPr>
                      <w:rFonts w:ascii="Cambria Math" w:hAnsi="Cambria Math"/>
                      <w:sz w:val="28"/>
                      <w:szCs w:val="28"/>
                    </w:rPr>
                    <m:t>план</m:t>
                  </m:r>
                </m:sup>
              </m:sSubSup>
              <m:r>
                <w:rPr>
                  <w:rFonts w:ascii="Cambria Math" w:hAnsi="Cambria Math"/>
                  <w:sz w:val="28"/>
                  <w:szCs w:val="28"/>
                </w:rPr>
                <m:t>=ППС+П+КІ+</m:t>
              </m:r>
              <m:r>
                <m:rPr>
                  <m:sty m:val="bi"/>
                </m:rPr>
                <w:rPr>
                  <w:rFonts w:ascii="Cambria Math" w:hAnsi="Cambria Math"/>
                  <w:sz w:val="28"/>
                  <w:szCs w:val="28"/>
                </w:rPr>
                <m:t>КТВ</m:t>
              </m:r>
            </m:oMath>
            <w:r w:rsidR="001E1892" w:rsidRPr="003F68CE">
              <w:rPr>
                <w:b/>
                <w:sz w:val="28"/>
                <w:szCs w:val="28"/>
              </w:rPr>
              <w:t xml:space="preserve">    </w:t>
            </w:r>
            <w:r w:rsidR="001E1892" w:rsidRPr="003F68CE">
              <w:rPr>
                <w:sz w:val="28"/>
                <w:szCs w:val="28"/>
              </w:rPr>
              <w:t>(тис.грн)</w:t>
            </w:r>
            <w:r w:rsidR="006F04F3" w:rsidRPr="003F68CE">
              <w:rPr>
                <w:sz w:val="28"/>
                <w:szCs w:val="28"/>
              </w:rPr>
              <w:t>,</w:t>
            </w:r>
            <w:r w:rsidR="001F28E3">
              <w:rPr>
                <w:sz w:val="28"/>
                <w:szCs w:val="28"/>
              </w:rPr>
              <w:t xml:space="preserve">    </w:t>
            </w:r>
            <w:r w:rsidR="001F28E3" w:rsidRPr="001F28E3">
              <w:rPr>
                <w:sz w:val="28"/>
                <w:szCs w:val="28"/>
                <w:vertAlign w:val="superscript"/>
              </w:rPr>
              <w:t>(1)</w:t>
            </w:r>
          </w:p>
          <w:p w14:paraId="10F88845" w14:textId="77777777" w:rsidR="006B0689" w:rsidRPr="003F68CE" w:rsidRDefault="006B0689" w:rsidP="003D1256">
            <w:pPr>
              <w:pStyle w:val="a4"/>
              <w:spacing w:before="0" w:beforeAutospacing="0" w:after="0" w:afterAutospacing="0"/>
              <w:jc w:val="both"/>
            </w:pPr>
          </w:p>
          <w:tbl>
            <w:tblPr>
              <w:tblW w:w="5000" w:type="pct"/>
              <w:tblCellMar>
                <w:left w:w="0" w:type="dxa"/>
                <w:right w:w="0" w:type="dxa"/>
              </w:tblCellMar>
              <w:tblLook w:val="04A0" w:firstRow="1" w:lastRow="0" w:firstColumn="1" w:lastColumn="0" w:noHBand="0" w:noVBand="1"/>
            </w:tblPr>
            <w:tblGrid>
              <w:gridCol w:w="743"/>
              <w:gridCol w:w="1175"/>
              <w:gridCol w:w="308"/>
              <w:gridCol w:w="5462"/>
            </w:tblGrid>
            <w:tr w:rsidR="00143080" w:rsidRPr="003F68CE" w14:paraId="507BBC2D" w14:textId="77777777" w:rsidTr="008E2210">
              <w:tc>
                <w:tcPr>
                  <w:tcW w:w="684" w:type="dxa"/>
                  <w:hideMark/>
                </w:tcPr>
                <w:p w14:paraId="299086D9" w14:textId="77777777" w:rsidR="006B0689" w:rsidRPr="003F68CE" w:rsidRDefault="006B0689" w:rsidP="003D1256">
                  <w:pPr>
                    <w:spacing w:after="0" w:line="240" w:lineRule="auto"/>
                    <w:ind w:firstLine="450"/>
                    <w:jc w:val="both"/>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де</w:t>
                  </w:r>
                </w:p>
              </w:tc>
              <w:tc>
                <w:tcPr>
                  <w:tcW w:w="1081" w:type="dxa"/>
                  <w:hideMark/>
                </w:tcPr>
                <w:p w14:paraId="28920D1F" w14:textId="77777777" w:rsidR="006B0689" w:rsidRPr="003F68CE" w:rsidRDefault="006B0689" w:rsidP="003D1256">
                  <w:pPr>
                    <w:spacing w:after="0" w:line="240" w:lineRule="auto"/>
                    <w:jc w:val="center"/>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noProof/>
                      <w:sz w:val="24"/>
                      <w:szCs w:val="24"/>
                      <w:lang w:eastAsia="ru-RU"/>
                    </w:rPr>
                    <w:drawing>
                      <wp:inline distT="0" distB="0" distL="0" distR="0" wp14:anchorId="194CF914" wp14:editId="38FC21D3">
                        <wp:extent cx="428625" cy="257175"/>
                        <wp:effectExtent l="0" t="0" r="9525" b="9525"/>
                        <wp:docPr id="5" name="Рисунок 5" descr="https://zakon.rada.gov.ua/laws/file/imgs/100/p458906n42v1-1.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100/p458906n42v1-1.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257175"/>
                                </a:xfrm>
                                <a:prstGeom prst="rect">
                                  <a:avLst/>
                                </a:prstGeom>
                                <a:noFill/>
                                <a:ln>
                                  <a:noFill/>
                                </a:ln>
                              </pic:spPr>
                            </pic:pic>
                          </a:graphicData>
                        </a:graphic>
                      </wp:inline>
                    </w:drawing>
                  </w:r>
                </w:p>
              </w:tc>
              <w:tc>
                <w:tcPr>
                  <w:tcW w:w="283" w:type="dxa"/>
                  <w:hideMark/>
                </w:tcPr>
                <w:p w14:paraId="060E3362" w14:textId="77777777" w:rsidR="006B0689" w:rsidRPr="003F68CE" w:rsidRDefault="006B0689" w:rsidP="003D1256">
                  <w:pPr>
                    <w:spacing w:after="0" w:line="240" w:lineRule="auto"/>
                    <w:jc w:val="center"/>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w:t>
                  </w:r>
                </w:p>
              </w:tc>
              <w:tc>
                <w:tcPr>
                  <w:tcW w:w="5026" w:type="dxa"/>
                  <w:hideMark/>
                </w:tcPr>
                <w:p w14:paraId="69D5F743" w14:textId="77777777" w:rsidR="006B0689" w:rsidRPr="003F68CE" w:rsidRDefault="006B0689" w:rsidP="003D1256">
                  <w:pPr>
                    <w:spacing w:after="0" w:line="240" w:lineRule="auto"/>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загальна планована тарифна виручка оператора газосховища від надання послуг зберігання (закачування, відбору) природного газу в/з ПСГ, тис. грн;</w:t>
                  </w:r>
                </w:p>
              </w:tc>
            </w:tr>
            <w:tr w:rsidR="00143080" w:rsidRPr="003F68CE" w14:paraId="7A8F3F61" w14:textId="77777777" w:rsidTr="008E2210">
              <w:tc>
                <w:tcPr>
                  <w:tcW w:w="684" w:type="dxa"/>
                  <w:hideMark/>
                </w:tcPr>
                <w:p w14:paraId="35EEE756" w14:textId="77777777" w:rsidR="006B0689" w:rsidRPr="003F68CE" w:rsidRDefault="006B0689" w:rsidP="003D1256">
                  <w:pPr>
                    <w:spacing w:after="0" w:line="240" w:lineRule="auto"/>
                    <w:rPr>
                      <w:rFonts w:ascii="Times New Roman" w:eastAsia="Times New Roman" w:hAnsi="Times New Roman" w:cs="Times New Roman"/>
                      <w:sz w:val="24"/>
                      <w:szCs w:val="24"/>
                      <w:lang w:val="uk-UA" w:eastAsia="uk-UA"/>
                    </w:rPr>
                  </w:pPr>
                </w:p>
              </w:tc>
              <w:tc>
                <w:tcPr>
                  <w:tcW w:w="1081" w:type="dxa"/>
                  <w:hideMark/>
                </w:tcPr>
                <w:p w14:paraId="292D91AE" w14:textId="77777777" w:rsidR="006B0689" w:rsidRPr="003F68CE" w:rsidRDefault="006B0689" w:rsidP="003D1256">
                  <w:pPr>
                    <w:spacing w:after="0" w:line="240" w:lineRule="auto"/>
                    <w:jc w:val="center"/>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bCs/>
                      <w:sz w:val="24"/>
                      <w:szCs w:val="24"/>
                      <w:lang w:val="uk-UA" w:eastAsia="uk-UA"/>
                    </w:rPr>
                    <w:t>ППС</w:t>
                  </w:r>
                </w:p>
              </w:tc>
              <w:tc>
                <w:tcPr>
                  <w:tcW w:w="283" w:type="dxa"/>
                  <w:hideMark/>
                </w:tcPr>
                <w:p w14:paraId="543A85F8" w14:textId="77777777" w:rsidR="006B0689" w:rsidRPr="003F68CE" w:rsidRDefault="006B0689" w:rsidP="003D1256">
                  <w:pPr>
                    <w:spacing w:after="0" w:line="240" w:lineRule="auto"/>
                    <w:jc w:val="center"/>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w:t>
                  </w:r>
                </w:p>
              </w:tc>
              <w:tc>
                <w:tcPr>
                  <w:tcW w:w="5026" w:type="dxa"/>
                  <w:hideMark/>
                </w:tcPr>
                <w:p w14:paraId="6432590D" w14:textId="77777777" w:rsidR="006B0689" w:rsidRPr="003F68CE" w:rsidRDefault="006B0689" w:rsidP="003D1256">
                  <w:pPr>
                    <w:spacing w:after="0" w:line="240" w:lineRule="auto"/>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повна планована собівартість надання послуг зберігання (закачування, відбору) природного газу в/з ПСГ, що визначається відповідно до </w:t>
                  </w:r>
                  <w:hyperlink r:id="rId23" w:anchor="n72" w:history="1">
                    <w:r w:rsidRPr="003F68CE">
                      <w:rPr>
                        <w:rFonts w:ascii="Times New Roman" w:eastAsia="Times New Roman" w:hAnsi="Times New Roman" w:cs="Times New Roman"/>
                        <w:sz w:val="24"/>
                        <w:szCs w:val="24"/>
                        <w:u w:val="single"/>
                        <w:lang w:val="uk-UA" w:eastAsia="uk-UA"/>
                      </w:rPr>
                      <w:t>розділу III</w:t>
                    </w:r>
                  </w:hyperlink>
                  <w:r w:rsidRPr="003F68CE">
                    <w:rPr>
                      <w:rFonts w:ascii="Times New Roman" w:eastAsia="Times New Roman" w:hAnsi="Times New Roman" w:cs="Times New Roman"/>
                      <w:sz w:val="24"/>
                      <w:szCs w:val="24"/>
                      <w:lang w:val="uk-UA" w:eastAsia="uk-UA"/>
                    </w:rPr>
                    <w:t> цієї Методики, тис. грн;</w:t>
                  </w:r>
                </w:p>
              </w:tc>
            </w:tr>
            <w:tr w:rsidR="00143080" w:rsidRPr="003F68CE" w14:paraId="5F5FCC14" w14:textId="77777777" w:rsidTr="008E2210">
              <w:trPr>
                <w:trHeight w:val="1064"/>
              </w:trPr>
              <w:tc>
                <w:tcPr>
                  <w:tcW w:w="684" w:type="dxa"/>
                  <w:hideMark/>
                </w:tcPr>
                <w:p w14:paraId="647F6F83" w14:textId="77777777" w:rsidR="006B0689" w:rsidRPr="003F68CE" w:rsidRDefault="006B0689" w:rsidP="003D1256">
                  <w:pPr>
                    <w:spacing w:after="0" w:line="240" w:lineRule="auto"/>
                    <w:rPr>
                      <w:rFonts w:ascii="Times New Roman" w:eastAsia="Times New Roman" w:hAnsi="Times New Roman" w:cs="Times New Roman"/>
                      <w:sz w:val="24"/>
                      <w:szCs w:val="24"/>
                      <w:lang w:val="uk-UA" w:eastAsia="uk-UA"/>
                    </w:rPr>
                  </w:pPr>
                </w:p>
              </w:tc>
              <w:tc>
                <w:tcPr>
                  <w:tcW w:w="1081" w:type="dxa"/>
                  <w:hideMark/>
                </w:tcPr>
                <w:p w14:paraId="07E5D76D" w14:textId="77777777" w:rsidR="006B0689" w:rsidRPr="003F68CE" w:rsidRDefault="006B0689" w:rsidP="003D1256">
                  <w:pPr>
                    <w:spacing w:after="0" w:line="240" w:lineRule="auto"/>
                    <w:jc w:val="center"/>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bCs/>
                      <w:sz w:val="24"/>
                      <w:szCs w:val="24"/>
                      <w:lang w:val="uk-UA" w:eastAsia="uk-UA"/>
                    </w:rPr>
                    <w:t>П</w:t>
                  </w:r>
                </w:p>
              </w:tc>
              <w:tc>
                <w:tcPr>
                  <w:tcW w:w="283" w:type="dxa"/>
                  <w:hideMark/>
                </w:tcPr>
                <w:p w14:paraId="1786141E" w14:textId="77777777" w:rsidR="006B0689" w:rsidRPr="003F68CE" w:rsidRDefault="006B0689" w:rsidP="003D1256">
                  <w:pPr>
                    <w:spacing w:after="0" w:line="240" w:lineRule="auto"/>
                    <w:jc w:val="center"/>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w:t>
                  </w:r>
                </w:p>
              </w:tc>
              <w:tc>
                <w:tcPr>
                  <w:tcW w:w="5026" w:type="dxa"/>
                  <w:hideMark/>
                </w:tcPr>
                <w:p w14:paraId="0DBE7A20" w14:textId="77777777" w:rsidR="006B0689" w:rsidRPr="003F68CE" w:rsidRDefault="006B0689" w:rsidP="003D1256">
                  <w:pPr>
                    <w:spacing w:after="0" w:line="240" w:lineRule="auto"/>
                    <w:rPr>
                      <w:rFonts w:ascii="Times New Roman" w:eastAsia="Times New Roman" w:hAnsi="Times New Roman" w:cs="Times New Roman"/>
                      <w:sz w:val="24"/>
                      <w:szCs w:val="24"/>
                      <w:highlight w:val="yellow"/>
                      <w:lang w:val="uk-UA" w:eastAsia="uk-UA"/>
                    </w:rPr>
                  </w:pPr>
                  <w:r w:rsidRPr="003F68CE">
                    <w:rPr>
                      <w:rFonts w:ascii="Times New Roman" w:eastAsia="Times New Roman" w:hAnsi="Times New Roman" w:cs="Times New Roman"/>
                      <w:sz w:val="24"/>
                      <w:szCs w:val="24"/>
                      <w:lang w:val="uk-UA" w:eastAsia="uk-UA"/>
                    </w:rPr>
                    <w:t>планований прибуток оператора газосховища, що визначається відповідно до </w:t>
                  </w:r>
                  <w:hyperlink r:id="rId24" w:anchor="n181" w:history="1">
                    <w:r w:rsidRPr="003F68CE">
                      <w:rPr>
                        <w:rFonts w:ascii="Times New Roman" w:eastAsia="Times New Roman" w:hAnsi="Times New Roman" w:cs="Times New Roman"/>
                        <w:sz w:val="24"/>
                        <w:szCs w:val="24"/>
                        <w:u w:val="single"/>
                        <w:lang w:val="uk-UA" w:eastAsia="uk-UA"/>
                      </w:rPr>
                      <w:t>розділу IV</w:t>
                    </w:r>
                  </w:hyperlink>
                  <w:r w:rsidRPr="003F68CE">
                    <w:rPr>
                      <w:rFonts w:ascii="Times New Roman" w:eastAsia="Times New Roman" w:hAnsi="Times New Roman" w:cs="Times New Roman"/>
                      <w:sz w:val="24"/>
                      <w:szCs w:val="24"/>
                      <w:lang w:val="uk-UA" w:eastAsia="uk-UA"/>
                    </w:rPr>
                    <w:t> цієї Методики, тис. грн.</w:t>
                  </w:r>
                </w:p>
              </w:tc>
            </w:tr>
            <w:tr w:rsidR="00143080" w:rsidRPr="00387749" w14:paraId="2A14F320" w14:textId="77777777" w:rsidTr="008E2210">
              <w:trPr>
                <w:trHeight w:val="927"/>
              </w:trPr>
              <w:tc>
                <w:tcPr>
                  <w:tcW w:w="684" w:type="dxa"/>
                </w:tcPr>
                <w:p w14:paraId="79250CC7" w14:textId="77777777" w:rsidR="006B0689" w:rsidRPr="003F68CE" w:rsidRDefault="006B0689" w:rsidP="003D1256">
                  <w:pPr>
                    <w:spacing w:after="0" w:line="240" w:lineRule="auto"/>
                    <w:rPr>
                      <w:rFonts w:ascii="Times New Roman" w:eastAsia="Times New Roman" w:hAnsi="Times New Roman" w:cs="Times New Roman"/>
                      <w:sz w:val="24"/>
                      <w:szCs w:val="24"/>
                      <w:lang w:val="uk-UA" w:eastAsia="uk-UA"/>
                    </w:rPr>
                  </w:pPr>
                </w:p>
              </w:tc>
              <w:tc>
                <w:tcPr>
                  <w:tcW w:w="1081" w:type="dxa"/>
                </w:tcPr>
                <w:p w14:paraId="1D68359E" w14:textId="77777777" w:rsidR="006B0689" w:rsidRPr="003F68CE" w:rsidRDefault="006B0689" w:rsidP="003D1256">
                  <w:pPr>
                    <w:spacing w:after="0" w:line="240" w:lineRule="auto"/>
                    <w:jc w:val="center"/>
                    <w:rPr>
                      <w:rFonts w:ascii="Times New Roman" w:eastAsia="Times New Roman" w:hAnsi="Times New Roman" w:cs="Times New Roman"/>
                      <w:b/>
                      <w:bCs/>
                      <w:sz w:val="24"/>
                      <w:szCs w:val="24"/>
                      <w:lang w:val="uk-UA" w:eastAsia="uk-UA"/>
                    </w:rPr>
                  </w:pPr>
                  <w:r w:rsidRPr="003F68CE">
                    <w:rPr>
                      <w:rFonts w:ascii="Times New Roman" w:eastAsia="Times New Roman" w:hAnsi="Times New Roman" w:cs="Times New Roman"/>
                      <w:b/>
                      <w:bCs/>
                      <w:sz w:val="24"/>
                      <w:szCs w:val="24"/>
                      <w:lang w:val="uk-UA" w:eastAsia="uk-UA"/>
                    </w:rPr>
                    <w:t>КІ</w:t>
                  </w:r>
                </w:p>
              </w:tc>
              <w:tc>
                <w:tcPr>
                  <w:tcW w:w="283" w:type="dxa"/>
                </w:tcPr>
                <w:p w14:paraId="41DDA3AC" w14:textId="77777777" w:rsidR="006B0689" w:rsidRPr="003F68CE" w:rsidRDefault="00735F55" w:rsidP="003D1256">
                  <w:pPr>
                    <w:spacing w:after="0" w:line="240" w:lineRule="auto"/>
                    <w:jc w:val="center"/>
                    <w:rPr>
                      <w:rFonts w:ascii="Times New Roman" w:eastAsia="Times New Roman" w:hAnsi="Times New Roman" w:cs="Times New Roman"/>
                      <w:b/>
                      <w:sz w:val="24"/>
                      <w:szCs w:val="24"/>
                      <w:lang w:val="uk-UA" w:eastAsia="uk-UA"/>
                    </w:rPr>
                  </w:pPr>
                  <w:r w:rsidRPr="003F68CE">
                    <w:rPr>
                      <w:rFonts w:ascii="Times New Roman" w:eastAsia="Times New Roman" w:hAnsi="Times New Roman" w:cs="Times New Roman"/>
                      <w:b/>
                      <w:sz w:val="24"/>
                      <w:szCs w:val="24"/>
                      <w:lang w:val="uk-UA" w:eastAsia="uk-UA"/>
                    </w:rPr>
                    <w:t>-</w:t>
                  </w:r>
                </w:p>
              </w:tc>
              <w:tc>
                <w:tcPr>
                  <w:tcW w:w="5026" w:type="dxa"/>
                </w:tcPr>
                <w:p w14:paraId="6EDCDCF1" w14:textId="3FA3FA3A" w:rsidR="003D1256" w:rsidRPr="003F68CE" w:rsidRDefault="00F35F42" w:rsidP="003D1256">
                  <w:pPr>
                    <w:spacing w:after="0" w:line="240" w:lineRule="auto"/>
                    <w:rPr>
                      <w:rFonts w:ascii="Times New Roman" w:eastAsia="Times New Roman" w:hAnsi="Times New Roman" w:cs="Times New Roman"/>
                      <w:b/>
                      <w:sz w:val="24"/>
                      <w:szCs w:val="24"/>
                      <w:highlight w:val="yellow"/>
                      <w:lang w:val="uk-UA" w:eastAsia="uk-UA"/>
                    </w:rPr>
                  </w:pPr>
                  <w:r w:rsidRPr="003F68CE">
                    <w:rPr>
                      <w:rFonts w:ascii="Times New Roman" w:eastAsia="Times New Roman" w:hAnsi="Times New Roman" w:cs="Times New Roman"/>
                      <w:b/>
                      <w:sz w:val="24"/>
                      <w:szCs w:val="24"/>
                      <w:lang w:val="uk-UA" w:eastAsia="uk-UA"/>
                    </w:rPr>
                    <w:t>к</w:t>
                  </w:r>
                  <w:r w:rsidR="00F25976" w:rsidRPr="003F68CE">
                    <w:rPr>
                      <w:rFonts w:ascii="Times New Roman" w:eastAsia="Times New Roman" w:hAnsi="Times New Roman" w:cs="Times New Roman"/>
                      <w:b/>
                      <w:sz w:val="24"/>
                      <w:szCs w:val="24"/>
                      <w:lang w:val="uk-UA" w:eastAsia="uk-UA"/>
                    </w:rPr>
                    <w:t>апітальні інвестиції оператора газосховища, що визначаються відповідно до розділу V цієї Методики, тис. грн.</w:t>
                  </w:r>
                </w:p>
              </w:tc>
            </w:tr>
            <w:tr w:rsidR="00143080" w:rsidRPr="00387749" w14:paraId="07E36E85" w14:textId="77777777" w:rsidTr="008E2210">
              <w:tc>
                <w:tcPr>
                  <w:tcW w:w="684" w:type="dxa"/>
                  <w:hideMark/>
                </w:tcPr>
                <w:p w14:paraId="00BFE9EC" w14:textId="77777777" w:rsidR="006B0689" w:rsidRPr="003F68CE" w:rsidRDefault="006B0689" w:rsidP="003D1256">
                  <w:pPr>
                    <w:spacing w:after="0" w:line="240" w:lineRule="auto"/>
                    <w:rPr>
                      <w:rFonts w:ascii="Times New Roman" w:eastAsia="Times New Roman" w:hAnsi="Times New Roman" w:cs="Times New Roman"/>
                      <w:sz w:val="24"/>
                      <w:szCs w:val="24"/>
                      <w:lang w:val="uk-UA" w:eastAsia="uk-UA"/>
                    </w:rPr>
                  </w:pPr>
                </w:p>
              </w:tc>
              <w:tc>
                <w:tcPr>
                  <w:tcW w:w="1081" w:type="dxa"/>
                  <w:hideMark/>
                </w:tcPr>
                <w:p w14:paraId="5D7DA74C" w14:textId="77777777" w:rsidR="006B0689" w:rsidRPr="003F68CE" w:rsidRDefault="006B0689" w:rsidP="003D1256">
                  <w:pPr>
                    <w:spacing w:after="0" w:line="240" w:lineRule="auto"/>
                    <w:jc w:val="center"/>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КТВ</w:t>
                  </w:r>
                </w:p>
              </w:tc>
              <w:tc>
                <w:tcPr>
                  <w:tcW w:w="283" w:type="dxa"/>
                  <w:hideMark/>
                </w:tcPr>
                <w:p w14:paraId="38880107" w14:textId="77777777" w:rsidR="006B0689" w:rsidRPr="003F68CE" w:rsidRDefault="006B0689" w:rsidP="003D1256">
                  <w:pPr>
                    <w:spacing w:after="0" w:line="240" w:lineRule="auto"/>
                    <w:jc w:val="center"/>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w:t>
                  </w:r>
                </w:p>
              </w:tc>
              <w:tc>
                <w:tcPr>
                  <w:tcW w:w="5026" w:type="dxa"/>
                  <w:hideMark/>
                </w:tcPr>
                <w:p w14:paraId="549C367E" w14:textId="77777777" w:rsidR="006B0689" w:rsidRPr="003F68CE" w:rsidRDefault="006B0689" w:rsidP="003D1256">
                  <w:pPr>
                    <w:spacing w:after="0" w:line="240" w:lineRule="auto"/>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коригування планованої тарифної виручки оператора газосховищ, що визначається відповідно до </w:t>
                  </w:r>
                  <w:hyperlink r:id="rId25" w:anchor="n337" w:history="1">
                    <w:r w:rsidRPr="003F68CE">
                      <w:rPr>
                        <w:rFonts w:ascii="Times New Roman" w:eastAsia="Times New Roman" w:hAnsi="Times New Roman" w:cs="Times New Roman"/>
                        <w:sz w:val="24"/>
                        <w:szCs w:val="24"/>
                        <w:u w:val="single"/>
                        <w:lang w:val="uk-UA" w:eastAsia="uk-UA"/>
                      </w:rPr>
                      <w:t>розділу V</w:t>
                    </w:r>
                  </w:hyperlink>
                  <w:r w:rsidR="000758D4" w:rsidRPr="003F68CE">
                    <w:rPr>
                      <w:rFonts w:ascii="Times New Roman" w:eastAsia="Times New Roman" w:hAnsi="Times New Roman" w:cs="Times New Roman"/>
                      <w:sz w:val="24"/>
                      <w:szCs w:val="24"/>
                      <w:u w:val="single"/>
                      <w:lang w:val="uk-UA" w:eastAsia="uk-UA"/>
                    </w:rPr>
                    <w:t>І</w:t>
                  </w:r>
                  <w:r w:rsidRPr="003F68CE">
                    <w:rPr>
                      <w:rFonts w:ascii="Times New Roman" w:eastAsia="Times New Roman" w:hAnsi="Times New Roman" w:cs="Times New Roman"/>
                      <w:sz w:val="24"/>
                      <w:szCs w:val="24"/>
                      <w:lang w:val="uk-UA" w:eastAsia="uk-UA"/>
                    </w:rPr>
                    <w:t> цієї Методики, тис. грн.</w:t>
                  </w:r>
                </w:p>
              </w:tc>
            </w:tr>
          </w:tbl>
          <w:p w14:paraId="04B9E048" w14:textId="160CD88E" w:rsidR="00292143" w:rsidRDefault="00292143" w:rsidP="003D1256">
            <w:pPr>
              <w:pStyle w:val="rvps2"/>
              <w:shd w:val="clear" w:color="auto" w:fill="FFFFFF"/>
              <w:spacing w:before="0" w:beforeAutospacing="0" w:after="0" w:afterAutospacing="0"/>
              <w:ind w:firstLine="450"/>
              <w:jc w:val="both"/>
            </w:pPr>
            <w:bookmarkStart w:id="12" w:name="_Hlk146013940"/>
            <w:bookmarkEnd w:id="11"/>
            <w:r w:rsidRPr="003F68CE">
              <w:t>4. Тариф на зберігання природного газу розраховується за формулою</w:t>
            </w:r>
          </w:p>
          <w:p w14:paraId="05DC795C" w14:textId="77777777" w:rsidR="003D1256" w:rsidRPr="003F68CE" w:rsidRDefault="003D1256" w:rsidP="003D1256">
            <w:pPr>
              <w:pStyle w:val="rvps2"/>
              <w:shd w:val="clear" w:color="auto" w:fill="FFFFFF"/>
              <w:spacing w:before="0" w:beforeAutospacing="0" w:after="0" w:afterAutospacing="0"/>
              <w:ind w:firstLine="450"/>
              <w:jc w:val="both"/>
            </w:pPr>
          </w:p>
          <w:tbl>
            <w:tblPr>
              <w:tblW w:w="7687" w:type="dxa"/>
              <w:tblInd w:w="1" w:type="dxa"/>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585"/>
              <w:gridCol w:w="740"/>
              <w:gridCol w:w="253"/>
              <w:gridCol w:w="5535"/>
              <w:gridCol w:w="574"/>
            </w:tblGrid>
            <w:tr w:rsidR="003D1256" w:rsidRPr="003F68CE" w14:paraId="4F21BB53" w14:textId="77777777" w:rsidTr="003D1256">
              <w:tc>
                <w:tcPr>
                  <w:tcW w:w="7113" w:type="dxa"/>
                  <w:gridSpan w:val="4"/>
                  <w:tcBorders>
                    <w:top w:val="nil"/>
                    <w:left w:val="nil"/>
                    <w:bottom w:val="nil"/>
                    <w:right w:val="nil"/>
                  </w:tcBorders>
                  <w:hideMark/>
                </w:tcPr>
                <w:p w14:paraId="02665408" w14:textId="18824E69" w:rsidR="00292143" w:rsidRPr="003D1256" w:rsidRDefault="00321477" w:rsidP="003D1256">
                  <w:pPr>
                    <w:pStyle w:val="rvps12"/>
                    <w:spacing w:before="0" w:beforeAutospacing="0" w:after="0" w:afterAutospacing="0"/>
                    <w:jc w:val="center"/>
                    <w:rPr>
                      <w:noProof/>
                      <w:sz w:val="28"/>
                      <w:szCs w:val="28"/>
                    </w:rPr>
                  </w:pPr>
                  <m:oMath>
                    <m:sSub>
                      <m:sSubPr>
                        <m:ctrlPr>
                          <w:rPr>
                            <w:rFonts w:ascii="Cambria Math" w:hAnsi="Cambria Math"/>
                            <w:i/>
                            <w:sz w:val="28"/>
                            <w:szCs w:val="28"/>
                          </w:rPr>
                        </m:ctrlPr>
                      </m:sSubPr>
                      <m:e>
                        <m:r>
                          <w:rPr>
                            <w:rFonts w:ascii="Cambria Math" w:hAnsi="Cambria Math"/>
                            <w:sz w:val="28"/>
                            <w:szCs w:val="28"/>
                          </w:rPr>
                          <m:t>Т</m:t>
                        </m:r>
                      </m:e>
                      <m:sub>
                        <m:r>
                          <w:rPr>
                            <w:rFonts w:ascii="Cambria Math" w:hAnsi="Cambria Math"/>
                            <w:sz w:val="28"/>
                            <w:szCs w:val="28"/>
                          </w:rPr>
                          <m:t>зб</m:t>
                        </m:r>
                      </m:sub>
                    </m:sSub>
                    <m:r>
                      <w:rPr>
                        <w:rFonts w:ascii="Cambria Math" w:hAnsi="Cambria Math"/>
                        <w:sz w:val="28"/>
                        <w:szCs w:val="28"/>
                      </w:rPr>
                      <m:t xml:space="preserve">= </m:t>
                    </m:r>
                    <m:d>
                      <m:dPr>
                        <m:ctrlPr>
                          <w:rPr>
                            <w:rFonts w:ascii="Cambria Math" w:hAnsi="Cambria Math"/>
                            <w:i/>
                            <w:sz w:val="28"/>
                            <w:szCs w:val="28"/>
                          </w:rPr>
                        </m:ctrlPr>
                      </m:dPr>
                      <m:e>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В</m:t>
                                </m:r>
                              </m:e>
                              <m:sub>
                                <m:r>
                                  <w:rPr>
                                    <w:rFonts w:ascii="Cambria Math" w:hAnsi="Cambria Math"/>
                                    <w:sz w:val="28"/>
                                    <w:szCs w:val="28"/>
                                  </w:rPr>
                                  <m:t>зб</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 xml:space="preserve">1+ </m:t>
                                </m:r>
                                <m:f>
                                  <m:fPr>
                                    <m:ctrlPr>
                                      <w:rPr>
                                        <w:rFonts w:ascii="Cambria Math" w:hAnsi="Cambria Math"/>
                                        <w:i/>
                                        <w:sz w:val="28"/>
                                        <w:szCs w:val="28"/>
                                      </w:rPr>
                                    </m:ctrlPr>
                                  </m:fPr>
                                  <m:num>
                                    <m:r>
                                      <w:rPr>
                                        <w:rFonts w:ascii="Cambria Math" w:hAnsi="Cambria Math"/>
                                        <w:sz w:val="28"/>
                                        <w:szCs w:val="28"/>
                                      </w:rPr>
                                      <m:t>Р</m:t>
                                    </m:r>
                                  </m:num>
                                  <m:den>
                                    <m:r>
                                      <w:rPr>
                                        <w:rFonts w:ascii="Cambria Math" w:hAnsi="Cambria Math"/>
                                        <w:sz w:val="28"/>
                                        <w:szCs w:val="28"/>
                                      </w:rPr>
                                      <m:t>100</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К</m:t>
                                    </m:r>
                                  </m:num>
                                  <m:den>
                                    <m:r>
                                      <w:rPr>
                                        <w:rFonts w:ascii="Cambria Math" w:hAnsi="Cambria Math"/>
                                        <w:sz w:val="28"/>
                                        <w:szCs w:val="28"/>
                                      </w:rPr>
                                      <m:t>100</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ККІ</m:t>
                                    </m:r>
                                  </m:num>
                                  <m:den>
                                    <m:r>
                                      <w:rPr>
                                        <w:rFonts w:ascii="Cambria Math" w:hAnsi="Cambria Math"/>
                                        <w:sz w:val="28"/>
                                        <w:szCs w:val="28"/>
                                      </w:rPr>
                                      <m:t>100</m:t>
                                    </m:r>
                                  </m:den>
                                </m:f>
                              </m:e>
                            </m:d>
                          </m:num>
                          <m:den>
                            <m:sSub>
                              <m:sSubPr>
                                <m:ctrlPr>
                                  <w:rPr>
                                    <w:rFonts w:ascii="Cambria Math" w:hAnsi="Cambria Math"/>
                                    <w:i/>
                                    <w:sz w:val="28"/>
                                    <w:szCs w:val="28"/>
                                  </w:rPr>
                                </m:ctrlPr>
                              </m:sSubPr>
                              <m:e>
                                <m:r>
                                  <w:rPr>
                                    <w:rFonts w:ascii="Cambria Math" w:hAnsi="Cambria Math"/>
                                    <w:sz w:val="28"/>
                                    <w:szCs w:val="28"/>
                                  </w:rPr>
                                  <m:t>W</m:t>
                                </m:r>
                              </m:e>
                              <m:sub>
                                <m:r>
                                  <w:rPr>
                                    <w:rFonts w:ascii="Cambria Math" w:hAnsi="Cambria Math"/>
                                    <w:sz w:val="28"/>
                                    <w:szCs w:val="28"/>
                                  </w:rPr>
                                  <m:t>зб</m:t>
                                </m:r>
                              </m:sub>
                            </m:sSub>
                          </m:den>
                        </m:f>
                      </m:e>
                    </m:d>
                    <m:r>
                      <w:rPr>
                        <w:rFonts w:ascii="Cambria Math" w:hAnsi="Cambria Math"/>
                        <w:sz w:val="28"/>
                        <w:szCs w:val="28"/>
                      </w:rPr>
                      <m:t>÷365</m:t>
                    </m:r>
                  </m:oMath>
                  <w:r w:rsidR="008D46AE" w:rsidRPr="003D1256">
                    <w:rPr>
                      <w:noProof/>
                      <w:sz w:val="28"/>
                      <w:szCs w:val="28"/>
                    </w:rPr>
                    <w:t xml:space="preserve"> (грн на 1000 м</w:t>
                  </w:r>
                  <w:r w:rsidR="008D46AE" w:rsidRPr="003D1256">
                    <w:rPr>
                      <w:noProof/>
                      <w:sz w:val="28"/>
                      <w:szCs w:val="28"/>
                      <w:vertAlign w:val="superscript"/>
                    </w:rPr>
                    <w:t>3</w:t>
                  </w:r>
                  <w:r w:rsidR="008D46AE" w:rsidRPr="003D1256">
                    <w:rPr>
                      <w:noProof/>
                      <w:sz w:val="28"/>
                      <w:szCs w:val="28"/>
                    </w:rPr>
                    <w:t xml:space="preserve"> на добу)</w:t>
                  </w:r>
                </w:p>
                <w:p w14:paraId="69DDE86B" w14:textId="4E1B24F9" w:rsidR="00007BBD" w:rsidRPr="003D1256" w:rsidRDefault="00007BBD" w:rsidP="003D1256">
                  <w:pPr>
                    <w:pStyle w:val="rvps12"/>
                    <w:spacing w:before="0" w:beforeAutospacing="0" w:after="0" w:afterAutospacing="0"/>
                    <w:jc w:val="center"/>
                    <w:rPr>
                      <w:sz w:val="28"/>
                      <w:szCs w:val="28"/>
                    </w:rPr>
                  </w:pPr>
                </w:p>
              </w:tc>
              <w:tc>
                <w:tcPr>
                  <w:tcW w:w="574" w:type="dxa"/>
                  <w:tcBorders>
                    <w:top w:val="nil"/>
                    <w:left w:val="nil"/>
                    <w:bottom w:val="nil"/>
                    <w:right w:val="nil"/>
                  </w:tcBorders>
                  <w:hideMark/>
                </w:tcPr>
                <w:p w14:paraId="012A4EE8" w14:textId="77777777" w:rsidR="00292143" w:rsidRPr="003D1256" w:rsidRDefault="00292143" w:rsidP="003D1256">
                  <w:pPr>
                    <w:pStyle w:val="rvps11"/>
                    <w:spacing w:before="0" w:beforeAutospacing="0" w:after="0" w:afterAutospacing="0"/>
                    <w:jc w:val="right"/>
                    <w:rPr>
                      <w:sz w:val="28"/>
                      <w:szCs w:val="28"/>
                    </w:rPr>
                  </w:pPr>
                  <w:r w:rsidRPr="003D1256">
                    <w:rPr>
                      <w:sz w:val="28"/>
                      <w:szCs w:val="28"/>
                    </w:rPr>
                    <w:t>(3)</w:t>
                  </w:r>
                </w:p>
              </w:tc>
            </w:tr>
            <w:tr w:rsidR="003D1256" w:rsidRPr="003F68CE" w14:paraId="2E8D677B" w14:textId="77777777" w:rsidTr="003D1256">
              <w:tc>
                <w:tcPr>
                  <w:tcW w:w="7113" w:type="dxa"/>
                  <w:gridSpan w:val="4"/>
                  <w:tcBorders>
                    <w:top w:val="nil"/>
                    <w:left w:val="nil"/>
                    <w:bottom w:val="nil"/>
                    <w:right w:val="nil"/>
                  </w:tcBorders>
                </w:tcPr>
                <w:p w14:paraId="35875063" w14:textId="77777777" w:rsidR="003D1256" w:rsidRPr="003D1256" w:rsidRDefault="003D1256" w:rsidP="003D1256">
                  <w:pPr>
                    <w:pStyle w:val="rvps12"/>
                    <w:spacing w:before="0" w:beforeAutospacing="0" w:after="0" w:afterAutospacing="0"/>
                    <w:jc w:val="center"/>
                    <w:rPr>
                      <w:sz w:val="28"/>
                      <w:szCs w:val="28"/>
                    </w:rPr>
                  </w:pPr>
                </w:p>
              </w:tc>
              <w:tc>
                <w:tcPr>
                  <w:tcW w:w="574" w:type="dxa"/>
                  <w:tcBorders>
                    <w:top w:val="nil"/>
                    <w:left w:val="nil"/>
                    <w:bottom w:val="nil"/>
                    <w:right w:val="nil"/>
                  </w:tcBorders>
                </w:tcPr>
                <w:p w14:paraId="2323C6C6" w14:textId="77777777" w:rsidR="003D1256" w:rsidRPr="003D1256" w:rsidRDefault="003D1256" w:rsidP="003D1256">
                  <w:pPr>
                    <w:pStyle w:val="rvps11"/>
                    <w:spacing w:before="0" w:beforeAutospacing="0" w:after="0" w:afterAutospacing="0"/>
                    <w:jc w:val="right"/>
                    <w:rPr>
                      <w:sz w:val="28"/>
                      <w:szCs w:val="28"/>
                    </w:rPr>
                  </w:pPr>
                </w:p>
              </w:tc>
            </w:tr>
            <w:tr w:rsidR="00143080" w:rsidRPr="003F68CE" w14:paraId="0B47D1A8" w14:textId="77777777" w:rsidTr="003D1256">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585" w:type="dxa"/>
                  <w:hideMark/>
                </w:tcPr>
                <w:p w14:paraId="425B9E8E" w14:textId="77777777" w:rsidR="00292143" w:rsidRPr="003D1256" w:rsidRDefault="00292143" w:rsidP="003D1256">
                  <w:pPr>
                    <w:pStyle w:val="rvps11"/>
                    <w:spacing w:before="0" w:beforeAutospacing="0" w:after="0" w:afterAutospacing="0"/>
                    <w:jc w:val="right"/>
                  </w:pPr>
                  <w:r w:rsidRPr="003D1256">
                    <w:t>де:</w:t>
                  </w:r>
                </w:p>
              </w:tc>
              <w:tc>
                <w:tcPr>
                  <w:tcW w:w="740" w:type="dxa"/>
                  <w:hideMark/>
                </w:tcPr>
                <w:p w14:paraId="4FDE8AB9" w14:textId="77777777" w:rsidR="00292143" w:rsidRPr="003D1256" w:rsidRDefault="00292143" w:rsidP="003D1256">
                  <w:pPr>
                    <w:pStyle w:val="rvps12"/>
                    <w:spacing w:before="0" w:beforeAutospacing="0" w:after="0" w:afterAutospacing="0"/>
                    <w:jc w:val="center"/>
                  </w:pPr>
                  <w:r w:rsidRPr="003D1256">
                    <w:t>Тзб</w:t>
                  </w:r>
                </w:p>
              </w:tc>
              <w:tc>
                <w:tcPr>
                  <w:tcW w:w="253" w:type="dxa"/>
                  <w:hideMark/>
                </w:tcPr>
                <w:p w14:paraId="277CAC95" w14:textId="77777777" w:rsidR="00292143" w:rsidRPr="003D1256" w:rsidRDefault="00292143" w:rsidP="003D1256">
                  <w:pPr>
                    <w:pStyle w:val="rvps12"/>
                    <w:spacing w:before="0" w:beforeAutospacing="0" w:after="0" w:afterAutospacing="0"/>
                    <w:jc w:val="center"/>
                  </w:pPr>
                  <w:r w:rsidRPr="003D1256">
                    <w:t>-</w:t>
                  </w:r>
                </w:p>
              </w:tc>
              <w:tc>
                <w:tcPr>
                  <w:tcW w:w="6109" w:type="dxa"/>
                  <w:gridSpan w:val="2"/>
                  <w:hideMark/>
                </w:tcPr>
                <w:p w14:paraId="74F58DA4" w14:textId="77777777" w:rsidR="00292143" w:rsidRPr="003D1256" w:rsidRDefault="00292143" w:rsidP="003D1256">
                  <w:pPr>
                    <w:pStyle w:val="rvps14"/>
                    <w:spacing w:before="0" w:beforeAutospacing="0" w:after="0" w:afterAutospacing="0"/>
                  </w:pPr>
                  <w:r w:rsidRPr="003D1256">
                    <w:t>тариф на зберігання природного газу, грн за 1000 м-3 на добу;</w:t>
                  </w:r>
                </w:p>
              </w:tc>
            </w:tr>
            <w:tr w:rsidR="00143080" w:rsidRPr="00387749" w14:paraId="631E6714" w14:textId="77777777" w:rsidTr="003D1256">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585" w:type="dxa"/>
                  <w:hideMark/>
                </w:tcPr>
                <w:p w14:paraId="5D42BDEC" w14:textId="77777777" w:rsidR="00292143" w:rsidRPr="003F68CE" w:rsidRDefault="00292143" w:rsidP="003D1256">
                  <w:pPr>
                    <w:spacing w:after="0" w:line="240" w:lineRule="auto"/>
                  </w:pPr>
                </w:p>
              </w:tc>
              <w:tc>
                <w:tcPr>
                  <w:tcW w:w="740" w:type="dxa"/>
                  <w:hideMark/>
                </w:tcPr>
                <w:p w14:paraId="647CE0CC" w14:textId="77777777" w:rsidR="00292143" w:rsidRPr="003F68CE" w:rsidRDefault="00292143" w:rsidP="003D1256">
                  <w:pPr>
                    <w:pStyle w:val="rvps12"/>
                    <w:spacing w:before="0" w:beforeAutospacing="0" w:after="0" w:afterAutospacing="0"/>
                    <w:jc w:val="center"/>
                  </w:pPr>
                  <w:r w:rsidRPr="003F68CE">
                    <w:t>В</w:t>
                  </w:r>
                  <w:r w:rsidRPr="003F68CE">
                    <w:rPr>
                      <w:rStyle w:val="rvts40"/>
                      <w:b/>
                      <w:bCs/>
                      <w:sz w:val="16"/>
                      <w:szCs w:val="16"/>
                      <w:vertAlign w:val="subscript"/>
                    </w:rPr>
                    <w:t>зб</w:t>
                  </w:r>
                </w:p>
              </w:tc>
              <w:tc>
                <w:tcPr>
                  <w:tcW w:w="253" w:type="dxa"/>
                  <w:hideMark/>
                </w:tcPr>
                <w:p w14:paraId="25C8D8B0" w14:textId="77777777" w:rsidR="00292143" w:rsidRPr="003F68CE" w:rsidRDefault="00292143" w:rsidP="003D1256">
                  <w:pPr>
                    <w:pStyle w:val="rvps12"/>
                    <w:spacing w:before="0" w:beforeAutospacing="0" w:after="0" w:afterAutospacing="0"/>
                    <w:jc w:val="center"/>
                  </w:pPr>
                  <w:r w:rsidRPr="003F68CE">
                    <w:t>-</w:t>
                  </w:r>
                </w:p>
              </w:tc>
              <w:tc>
                <w:tcPr>
                  <w:tcW w:w="6109" w:type="dxa"/>
                  <w:gridSpan w:val="2"/>
                  <w:hideMark/>
                </w:tcPr>
                <w:p w14:paraId="653C0D7B" w14:textId="77777777" w:rsidR="00292143" w:rsidRDefault="00292143" w:rsidP="003D1256">
                  <w:pPr>
                    <w:pStyle w:val="rvps14"/>
                    <w:spacing w:before="0" w:beforeAutospacing="0" w:after="0" w:afterAutospacing="0"/>
                  </w:pPr>
                  <w:r w:rsidRPr="003F68CE">
                    <w:t>плановані витрати оператора газосховища на зберігання природного газу, які визначаються згідно з розподілом витрат, пов'язаних з наданням послуг зберігання (закачування, відбору) природного газу в/з ПСГ, відповідно до </w:t>
                  </w:r>
                  <w:hyperlink r:id="rId26" w:anchor="n204" w:history="1">
                    <w:r w:rsidRPr="003F68CE">
                      <w:rPr>
                        <w:rStyle w:val="a6"/>
                        <w:color w:val="auto"/>
                      </w:rPr>
                      <w:t>додатка 1</w:t>
                    </w:r>
                  </w:hyperlink>
                  <w:r w:rsidRPr="003F68CE">
                    <w:t> до цієї Методики, тис. грн;</w:t>
                  </w:r>
                </w:p>
                <w:p w14:paraId="252DA4F7" w14:textId="01C7B374" w:rsidR="003D1256" w:rsidRPr="003F68CE" w:rsidRDefault="003D1256" w:rsidP="003D1256">
                  <w:pPr>
                    <w:pStyle w:val="rvps14"/>
                    <w:spacing w:before="0" w:beforeAutospacing="0" w:after="0" w:afterAutospacing="0"/>
                  </w:pPr>
                </w:p>
              </w:tc>
            </w:tr>
            <w:tr w:rsidR="00143080" w:rsidRPr="003F68CE" w14:paraId="7EE8FB25" w14:textId="77777777" w:rsidTr="003D1256">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585" w:type="dxa"/>
                  <w:hideMark/>
                </w:tcPr>
                <w:p w14:paraId="3419A711" w14:textId="77777777" w:rsidR="00292143" w:rsidRPr="003F68CE" w:rsidRDefault="00292143" w:rsidP="003D1256">
                  <w:pPr>
                    <w:spacing w:after="0" w:line="240" w:lineRule="auto"/>
                    <w:rPr>
                      <w:lang w:val="uk-UA"/>
                    </w:rPr>
                  </w:pPr>
                </w:p>
              </w:tc>
              <w:tc>
                <w:tcPr>
                  <w:tcW w:w="740" w:type="dxa"/>
                  <w:hideMark/>
                </w:tcPr>
                <w:p w14:paraId="572AFD3C" w14:textId="77777777" w:rsidR="00292143" w:rsidRPr="003F68CE" w:rsidRDefault="00292143" w:rsidP="003D1256">
                  <w:pPr>
                    <w:pStyle w:val="rvps12"/>
                    <w:spacing w:before="0" w:beforeAutospacing="0" w:after="0" w:afterAutospacing="0"/>
                    <w:jc w:val="center"/>
                  </w:pPr>
                  <w:r w:rsidRPr="003F68CE">
                    <w:t>Р</w:t>
                  </w:r>
                </w:p>
              </w:tc>
              <w:tc>
                <w:tcPr>
                  <w:tcW w:w="253" w:type="dxa"/>
                  <w:hideMark/>
                </w:tcPr>
                <w:p w14:paraId="2741BA45" w14:textId="77777777" w:rsidR="00292143" w:rsidRPr="003F68CE" w:rsidRDefault="00292143" w:rsidP="003D1256">
                  <w:pPr>
                    <w:pStyle w:val="rvps12"/>
                    <w:spacing w:before="0" w:beforeAutospacing="0" w:after="0" w:afterAutospacing="0"/>
                    <w:jc w:val="center"/>
                  </w:pPr>
                  <w:r w:rsidRPr="003F68CE">
                    <w:t>-</w:t>
                  </w:r>
                </w:p>
              </w:tc>
              <w:tc>
                <w:tcPr>
                  <w:tcW w:w="6109" w:type="dxa"/>
                  <w:gridSpan w:val="2"/>
                  <w:hideMark/>
                </w:tcPr>
                <w:p w14:paraId="1F93A9E2" w14:textId="77777777" w:rsidR="00292143" w:rsidRPr="003F68CE" w:rsidRDefault="00292143" w:rsidP="003D1256">
                  <w:pPr>
                    <w:pStyle w:val="rvps14"/>
                    <w:spacing w:before="0" w:beforeAutospacing="0" w:after="0" w:afterAutospacing="0"/>
                  </w:pPr>
                  <w:r w:rsidRPr="003F68CE">
                    <w:t>планована рентабельність оператора газосховищ, розраховується за формулою (4), %;</w:t>
                  </w:r>
                </w:p>
              </w:tc>
            </w:tr>
            <w:tr w:rsidR="00143080" w:rsidRPr="003F68CE" w14:paraId="605F2D84" w14:textId="77777777" w:rsidTr="003D1256">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840"/>
              </w:trPr>
              <w:tc>
                <w:tcPr>
                  <w:tcW w:w="585" w:type="dxa"/>
                  <w:vMerge w:val="restart"/>
                  <w:hideMark/>
                </w:tcPr>
                <w:p w14:paraId="4AF7B58C" w14:textId="77777777" w:rsidR="00292143" w:rsidRPr="003F68CE" w:rsidRDefault="00292143" w:rsidP="003D1256">
                  <w:pPr>
                    <w:spacing w:after="0" w:line="240" w:lineRule="auto"/>
                  </w:pPr>
                </w:p>
              </w:tc>
              <w:tc>
                <w:tcPr>
                  <w:tcW w:w="740" w:type="dxa"/>
                  <w:hideMark/>
                </w:tcPr>
                <w:p w14:paraId="1BFCA67C" w14:textId="77777777" w:rsidR="00292143" w:rsidRPr="003F68CE" w:rsidRDefault="00292143" w:rsidP="003D1256">
                  <w:pPr>
                    <w:pStyle w:val="rvps12"/>
                    <w:spacing w:before="0" w:beforeAutospacing="0" w:after="0" w:afterAutospacing="0"/>
                    <w:jc w:val="center"/>
                  </w:pPr>
                  <w:r w:rsidRPr="003F68CE">
                    <w:rPr>
                      <w:rStyle w:val="rvts11"/>
                      <w:i/>
                      <w:iCs/>
                    </w:rPr>
                    <w:t>К</w:t>
                  </w:r>
                </w:p>
              </w:tc>
              <w:tc>
                <w:tcPr>
                  <w:tcW w:w="253" w:type="dxa"/>
                  <w:hideMark/>
                </w:tcPr>
                <w:p w14:paraId="468BA8BB" w14:textId="77777777" w:rsidR="00292143" w:rsidRPr="003F68CE" w:rsidRDefault="00292143" w:rsidP="003D1256">
                  <w:pPr>
                    <w:pStyle w:val="rvps12"/>
                    <w:spacing w:before="0" w:beforeAutospacing="0" w:after="0" w:afterAutospacing="0"/>
                    <w:jc w:val="center"/>
                  </w:pPr>
                  <w:r w:rsidRPr="003F68CE">
                    <w:t>-</w:t>
                  </w:r>
                </w:p>
              </w:tc>
              <w:tc>
                <w:tcPr>
                  <w:tcW w:w="6109" w:type="dxa"/>
                  <w:gridSpan w:val="2"/>
                  <w:hideMark/>
                </w:tcPr>
                <w:p w14:paraId="58D9F83A" w14:textId="77777777" w:rsidR="00292143" w:rsidRDefault="00292143" w:rsidP="003D1256">
                  <w:pPr>
                    <w:pStyle w:val="rvps14"/>
                    <w:spacing w:before="0" w:beforeAutospacing="0" w:after="0" w:afterAutospacing="0"/>
                  </w:pPr>
                  <w:r w:rsidRPr="003F68CE">
                    <w:t>коефіцієнт коригування планованої тарифної виручки, що розраховується за формулою 5, %;</w:t>
                  </w:r>
                </w:p>
                <w:p w14:paraId="76D4E4EC" w14:textId="131CF46F" w:rsidR="003D1256" w:rsidRPr="003F68CE" w:rsidRDefault="003D1256" w:rsidP="003D1256">
                  <w:pPr>
                    <w:pStyle w:val="rvps14"/>
                    <w:spacing w:before="0" w:beforeAutospacing="0" w:after="0" w:afterAutospacing="0"/>
                  </w:pPr>
                </w:p>
              </w:tc>
            </w:tr>
            <w:tr w:rsidR="00143080" w:rsidRPr="003F68CE" w14:paraId="2C767D35" w14:textId="77777777" w:rsidTr="003D1256">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trHeight w:val="870"/>
              </w:trPr>
              <w:tc>
                <w:tcPr>
                  <w:tcW w:w="585" w:type="dxa"/>
                  <w:vMerge/>
                </w:tcPr>
                <w:p w14:paraId="57AC6814" w14:textId="77777777" w:rsidR="00292143" w:rsidRPr="003F68CE" w:rsidRDefault="00292143" w:rsidP="003D1256">
                  <w:pPr>
                    <w:spacing w:after="0" w:line="240" w:lineRule="auto"/>
                  </w:pPr>
                </w:p>
              </w:tc>
              <w:tc>
                <w:tcPr>
                  <w:tcW w:w="740" w:type="dxa"/>
                </w:tcPr>
                <w:p w14:paraId="0C21A887" w14:textId="65249ADA" w:rsidR="00292143" w:rsidRPr="003F68CE" w:rsidRDefault="00292143" w:rsidP="003D1256">
                  <w:pPr>
                    <w:pStyle w:val="rvps12"/>
                    <w:spacing w:before="0" w:beforeAutospacing="0" w:after="0" w:afterAutospacing="0"/>
                    <w:jc w:val="center"/>
                    <w:rPr>
                      <w:rStyle w:val="rvts11"/>
                      <w:b/>
                      <w:i/>
                      <w:iCs/>
                    </w:rPr>
                  </w:pPr>
                  <w:r w:rsidRPr="003F68CE">
                    <w:rPr>
                      <w:rStyle w:val="rvts11"/>
                      <w:b/>
                      <w:i/>
                      <w:iCs/>
                    </w:rPr>
                    <w:t>ККІ</w:t>
                  </w:r>
                </w:p>
              </w:tc>
              <w:tc>
                <w:tcPr>
                  <w:tcW w:w="253" w:type="dxa"/>
                </w:tcPr>
                <w:p w14:paraId="024AEDAE" w14:textId="77777777" w:rsidR="00292143" w:rsidRPr="003F68CE" w:rsidRDefault="00292143" w:rsidP="003D1256">
                  <w:pPr>
                    <w:pStyle w:val="rvps12"/>
                    <w:spacing w:before="0" w:beforeAutospacing="0" w:after="0" w:afterAutospacing="0"/>
                    <w:jc w:val="center"/>
                    <w:rPr>
                      <w:b/>
                    </w:rPr>
                  </w:pPr>
                </w:p>
              </w:tc>
              <w:tc>
                <w:tcPr>
                  <w:tcW w:w="6109" w:type="dxa"/>
                  <w:gridSpan w:val="2"/>
                </w:tcPr>
                <w:p w14:paraId="0F8CED41" w14:textId="1F2AC41E" w:rsidR="00292143" w:rsidRPr="003F68CE" w:rsidRDefault="00292143" w:rsidP="003D1256">
                  <w:pPr>
                    <w:pStyle w:val="rvps14"/>
                    <w:spacing w:before="0" w:beforeAutospacing="0" w:after="0" w:afterAutospacing="0"/>
                    <w:rPr>
                      <w:b/>
                    </w:rPr>
                  </w:pPr>
                  <w:r w:rsidRPr="003F68CE">
                    <w:rPr>
                      <w:b/>
                    </w:rPr>
                    <w:t xml:space="preserve">коефіцієнт капітальних інвестицій, що розраховується за формулою </w:t>
                  </w:r>
                  <w:r w:rsidR="00E813D2" w:rsidRPr="003F68CE">
                    <w:rPr>
                      <w:b/>
                    </w:rPr>
                    <w:t>(</w:t>
                  </w:r>
                  <w:r w:rsidRPr="003F68CE">
                    <w:rPr>
                      <w:b/>
                    </w:rPr>
                    <w:t>6</w:t>
                  </w:r>
                  <w:r w:rsidR="00E813D2" w:rsidRPr="003F68CE">
                    <w:rPr>
                      <w:b/>
                    </w:rPr>
                    <w:t>)</w:t>
                  </w:r>
                  <w:r w:rsidRPr="003F68CE">
                    <w:rPr>
                      <w:b/>
                    </w:rPr>
                    <w:t>, %</w:t>
                  </w:r>
                </w:p>
              </w:tc>
            </w:tr>
            <w:tr w:rsidR="00143080" w:rsidRPr="003F68CE" w14:paraId="3D8B7BA1" w14:textId="77777777" w:rsidTr="003D1256">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c>
                <w:tcPr>
                  <w:tcW w:w="585" w:type="dxa"/>
                  <w:hideMark/>
                </w:tcPr>
                <w:p w14:paraId="3D463953" w14:textId="77777777" w:rsidR="00292143" w:rsidRPr="003F68CE" w:rsidRDefault="00292143" w:rsidP="003D1256">
                  <w:pPr>
                    <w:spacing w:after="0" w:line="240" w:lineRule="auto"/>
                    <w:rPr>
                      <w:lang w:val="uk-UA"/>
                    </w:rPr>
                  </w:pPr>
                </w:p>
              </w:tc>
              <w:tc>
                <w:tcPr>
                  <w:tcW w:w="740" w:type="dxa"/>
                  <w:hideMark/>
                </w:tcPr>
                <w:p w14:paraId="4A1200DD" w14:textId="77777777" w:rsidR="00292143" w:rsidRPr="003F68CE" w:rsidRDefault="00292143" w:rsidP="003D1256">
                  <w:pPr>
                    <w:pStyle w:val="rvps12"/>
                    <w:spacing w:before="0" w:beforeAutospacing="0" w:after="0" w:afterAutospacing="0"/>
                    <w:jc w:val="center"/>
                  </w:pPr>
                  <w:r w:rsidRPr="003F68CE">
                    <w:rPr>
                      <w:rStyle w:val="rvts11"/>
                      <w:i/>
                      <w:iCs/>
                    </w:rPr>
                    <w:t>W</w:t>
                  </w:r>
                  <w:r w:rsidRPr="003F68CE">
                    <w:rPr>
                      <w:rStyle w:val="rvts40"/>
                      <w:b/>
                      <w:bCs/>
                      <w:sz w:val="16"/>
                      <w:szCs w:val="16"/>
                      <w:vertAlign w:val="subscript"/>
                    </w:rPr>
                    <w:t>зб</w:t>
                  </w:r>
                </w:p>
              </w:tc>
              <w:tc>
                <w:tcPr>
                  <w:tcW w:w="253" w:type="dxa"/>
                  <w:hideMark/>
                </w:tcPr>
                <w:p w14:paraId="2FB804B7" w14:textId="77777777" w:rsidR="00292143" w:rsidRPr="003F68CE" w:rsidRDefault="00292143" w:rsidP="003D1256">
                  <w:pPr>
                    <w:pStyle w:val="rvps12"/>
                    <w:spacing w:before="0" w:beforeAutospacing="0" w:after="0" w:afterAutospacing="0"/>
                    <w:jc w:val="center"/>
                  </w:pPr>
                  <w:r w:rsidRPr="003F68CE">
                    <w:t>-</w:t>
                  </w:r>
                </w:p>
              </w:tc>
              <w:tc>
                <w:tcPr>
                  <w:tcW w:w="6109" w:type="dxa"/>
                  <w:gridSpan w:val="2"/>
                  <w:hideMark/>
                </w:tcPr>
                <w:p w14:paraId="41999F92" w14:textId="77777777" w:rsidR="00292143" w:rsidRPr="003F68CE" w:rsidRDefault="00292143" w:rsidP="003D1256">
                  <w:pPr>
                    <w:pStyle w:val="rvps14"/>
                    <w:spacing w:before="0" w:beforeAutospacing="0" w:after="0" w:afterAutospacing="0"/>
                  </w:pPr>
                  <w:r w:rsidRPr="003F68CE">
                    <w:t>планований середній за рік робочий обсяг зберігання природного газу протягом планованого періоду, млн м</w:t>
                  </w:r>
                  <w:r w:rsidRPr="003F68CE">
                    <w:rPr>
                      <w:rStyle w:val="rvts37"/>
                      <w:b/>
                      <w:bCs/>
                      <w:sz w:val="2"/>
                      <w:szCs w:val="2"/>
                      <w:vertAlign w:val="superscript"/>
                    </w:rPr>
                    <w:t>-</w:t>
                  </w:r>
                  <w:r w:rsidRPr="003F68CE">
                    <w:rPr>
                      <w:rStyle w:val="rvts37"/>
                      <w:b/>
                      <w:bCs/>
                      <w:sz w:val="16"/>
                      <w:szCs w:val="16"/>
                      <w:vertAlign w:val="superscript"/>
                    </w:rPr>
                    <w:t>3</w:t>
                  </w:r>
                  <w:r w:rsidRPr="003F68CE">
                    <w:t> на рік.</w:t>
                  </w:r>
                </w:p>
              </w:tc>
            </w:tr>
          </w:tbl>
          <w:bookmarkEnd w:id="12"/>
          <w:p w14:paraId="3C9FBFC7" w14:textId="41BC2945" w:rsidR="00D8463F" w:rsidRPr="003F68CE" w:rsidRDefault="00EF492A" w:rsidP="003D1256">
            <w:pPr>
              <w:shd w:val="clear" w:color="auto" w:fill="FFFFFF"/>
              <w:spacing w:after="0" w:line="240" w:lineRule="auto"/>
              <w:jc w:val="both"/>
              <w:rPr>
                <w:rFonts w:ascii="Times New Roman" w:eastAsia="Times New Roman" w:hAnsi="Times New Roman" w:cs="Times New Roman"/>
                <w:sz w:val="24"/>
                <w:szCs w:val="24"/>
                <w:shd w:val="clear" w:color="auto" w:fill="FFFFFF"/>
                <w:lang w:val="uk-UA" w:eastAsia="uk-UA"/>
              </w:rPr>
            </w:pPr>
            <w:r w:rsidRPr="003F68CE">
              <w:rPr>
                <w:rFonts w:ascii="Times New Roman" w:eastAsia="Times New Roman" w:hAnsi="Times New Roman" w:cs="Times New Roman"/>
                <w:sz w:val="24"/>
                <w:szCs w:val="24"/>
                <w:lang w:val="uk-UA" w:eastAsia="uk-UA"/>
              </w:rPr>
              <w:t xml:space="preserve"> </w:t>
            </w:r>
            <w:r w:rsidR="00D8463F" w:rsidRPr="003F68CE">
              <w:rPr>
                <w:rFonts w:ascii="Times New Roman" w:eastAsia="Times New Roman" w:hAnsi="Times New Roman" w:cs="Times New Roman"/>
                <w:sz w:val="24"/>
                <w:szCs w:val="24"/>
                <w:shd w:val="clear" w:color="auto" w:fill="FFFFFF"/>
                <w:lang w:val="uk-UA" w:eastAsia="uk-UA"/>
              </w:rPr>
              <w:t>6.</w:t>
            </w:r>
            <w:r w:rsidR="00D8463F" w:rsidRPr="003F68CE">
              <w:rPr>
                <w:shd w:val="clear" w:color="auto" w:fill="FFFFFF"/>
              </w:rPr>
              <w:t xml:space="preserve"> </w:t>
            </w:r>
            <w:r w:rsidR="00D8463F" w:rsidRPr="003F68CE">
              <w:rPr>
                <w:rFonts w:ascii="Times New Roman" w:eastAsia="Times New Roman" w:hAnsi="Times New Roman" w:cs="Times New Roman"/>
                <w:sz w:val="24"/>
                <w:szCs w:val="24"/>
                <w:shd w:val="clear" w:color="auto" w:fill="FFFFFF"/>
                <w:lang w:val="uk-UA" w:eastAsia="uk-UA"/>
              </w:rPr>
              <w:t>Коефіцієнт коригування планованої тарифної виручки розраховується за формулою</w:t>
            </w:r>
          </w:p>
          <w:p w14:paraId="5B4C3FC7" w14:textId="77777777" w:rsidR="00D8463F" w:rsidRPr="003F68CE" w:rsidRDefault="00D8463F" w:rsidP="003D1256">
            <w:pPr>
              <w:pStyle w:val="a4"/>
              <w:spacing w:before="0" w:beforeAutospacing="0" w:after="0" w:afterAutospacing="0"/>
              <w:jc w:val="both"/>
            </w:pP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881"/>
              <w:gridCol w:w="318"/>
              <w:gridCol w:w="6489"/>
            </w:tblGrid>
            <w:tr w:rsidR="00143080" w:rsidRPr="00387749" w14:paraId="7005A5BB" w14:textId="77777777" w:rsidTr="00D8463F">
              <w:tc>
                <w:tcPr>
                  <w:tcW w:w="1260" w:type="dxa"/>
                  <w:tcBorders>
                    <w:top w:val="nil"/>
                    <w:left w:val="nil"/>
                    <w:bottom w:val="nil"/>
                    <w:right w:val="nil"/>
                  </w:tcBorders>
                  <w:shd w:val="clear" w:color="auto" w:fill="FFFFFF"/>
                  <w:hideMark/>
                </w:tcPr>
                <w:p w14:paraId="63B5D34D" w14:textId="77777777" w:rsidR="00D8463F" w:rsidRPr="003F68CE" w:rsidRDefault="00D8463F" w:rsidP="003D1256">
                  <w:pPr>
                    <w:pStyle w:val="rvps12"/>
                    <w:spacing w:before="0" w:beforeAutospacing="0" w:after="0" w:afterAutospacing="0"/>
                    <w:jc w:val="center"/>
                  </w:pPr>
                  <w:r w:rsidRPr="003F68CE">
                    <w:rPr>
                      <w:rStyle w:val="rvts11"/>
                      <w:i/>
                      <w:iCs/>
                    </w:rPr>
                    <w:t>КТВ</w:t>
                  </w:r>
                </w:p>
              </w:tc>
              <w:tc>
                <w:tcPr>
                  <w:tcW w:w="510" w:type="dxa"/>
                  <w:tcBorders>
                    <w:top w:val="nil"/>
                    <w:left w:val="nil"/>
                    <w:bottom w:val="nil"/>
                    <w:right w:val="nil"/>
                  </w:tcBorders>
                  <w:shd w:val="clear" w:color="auto" w:fill="FFFFFF"/>
                  <w:hideMark/>
                </w:tcPr>
                <w:p w14:paraId="51782689" w14:textId="77777777" w:rsidR="00D8463F" w:rsidRPr="003F68CE" w:rsidRDefault="00D8463F" w:rsidP="003D1256">
                  <w:pPr>
                    <w:pStyle w:val="rvps12"/>
                    <w:spacing w:before="0" w:beforeAutospacing="0" w:after="0" w:afterAutospacing="0"/>
                    <w:jc w:val="center"/>
                  </w:pPr>
                  <w:r w:rsidRPr="003F68CE">
                    <w:t>-</w:t>
                  </w:r>
                </w:p>
              </w:tc>
              <w:tc>
                <w:tcPr>
                  <w:tcW w:w="11220" w:type="dxa"/>
                  <w:tcBorders>
                    <w:top w:val="nil"/>
                    <w:left w:val="nil"/>
                    <w:bottom w:val="nil"/>
                    <w:right w:val="nil"/>
                  </w:tcBorders>
                  <w:shd w:val="clear" w:color="auto" w:fill="FFFFFF"/>
                  <w:hideMark/>
                </w:tcPr>
                <w:p w14:paraId="008ADAC3" w14:textId="77777777" w:rsidR="00D8463F" w:rsidRDefault="00D8463F" w:rsidP="003D1256">
                  <w:pPr>
                    <w:pStyle w:val="rvps14"/>
                    <w:spacing w:before="0" w:beforeAutospacing="0" w:after="0" w:afterAutospacing="0"/>
                  </w:pPr>
                  <w:r w:rsidRPr="003F68CE">
                    <w:t>коригування планованої тарифної виручки оператора газосховищ, що визначається відповідно до </w:t>
                  </w:r>
                  <w:hyperlink r:id="rId27" w:anchor="n337" w:history="1">
                    <w:r w:rsidRPr="003F68CE">
                      <w:rPr>
                        <w:rStyle w:val="a6"/>
                        <w:b/>
                        <w:color w:val="auto"/>
                        <w:u w:val="none"/>
                      </w:rPr>
                      <w:t>розділу V</w:t>
                    </w:r>
                  </w:hyperlink>
                  <w:r w:rsidRPr="003F68CE">
                    <w:rPr>
                      <w:b/>
                      <w:lang w:val="en-US"/>
                    </w:rPr>
                    <w:t>I</w:t>
                  </w:r>
                  <w:r w:rsidRPr="003F68CE">
                    <w:t> цієї Методики, тис. грн</w:t>
                  </w:r>
                </w:p>
                <w:p w14:paraId="096B2F63" w14:textId="203DDE6E" w:rsidR="003D1256" w:rsidRPr="003F68CE" w:rsidRDefault="003D1256" w:rsidP="003D1256">
                  <w:pPr>
                    <w:pStyle w:val="rvps14"/>
                    <w:spacing w:before="0" w:beforeAutospacing="0" w:after="0" w:afterAutospacing="0"/>
                  </w:pPr>
                </w:p>
              </w:tc>
            </w:tr>
          </w:tbl>
          <w:p w14:paraId="4209A0C7" w14:textId="77777777" w:rsidR="00176D3E" w:rsidRPr="003F68CE" w:rsidRDefault="008D14CE" w:rsidP="003D1256">
            <w:pPr>
              <w:pStyle w:val="a4"/>
              <w:spacing w:before="0" w:beforeAutospacing="0" w:after="0" w:afterAutospacing="0"/>
              <w:jc w:val="both"/>
              <w:rPr>
                <w:b/>
              </w:rPr>
            </w:pPr>
            <w:bookmarkStart w:id="13" w:name="_Hlk146014354"/>
            <w:r w:rsidRPr="003F68CE">
              <w:rPr>
                <w:b/>
              </w:rPr>
              <w:t xml:space="preserve">7. </w:t>
            </w:r>
            <w:r w:rsidR="00176D3E" w:rsidRPr="003F68CE">
              <w:rPr>
                <w:b/>
              </w:rPr>
              <w:t>Планований к</w:t>
            </w:r>
            <w:r w:rsidRPr="003F68CE">
              <w:rPr>
                <w:b/>
              </w:rPr>
              <w:t>оефіц</w:t>
            </w:r>
            <w:r w:rsidR="00176D3E" w:rsidRPr="003F68CE">
              <w:rPr>
                <w:b/>
              </w:rPr>
              <w:t>ієнт капітальних інвестицій оператора газосховища розраховується за такою формою</w:t>
            </w:r>
          </w:p>
          <w:p w14:paraId="237889A6" w14:textId="77777777" w:rsidR="00176D3E" w:rsidRPr="003F68CE" w:rsidRDefault="00176D3E" w:rsidP="003D1256">
            <w:pPr>
              <w:pStyle w:val="a4"/>
              <w:spacing w:before="0" w:beforeAutospacing="0" w:after="0" w:afterAutospacing="0"/>
              <w:jc w:val="both"/>
              <w:rPr>
                <w:b/>
              </w:rPr>
            </w:pPr>
          </w:p>
          <w:p w14:paraId="2950E851" w14:textId="13DE336B" w:rsidR="00D8463F" w:rsidRPr="003F68CE" w:rsidRDefault="00176D3E" w:rsidP="003D1256">
            <w:pPr>
              <w:pStyle w:val="a4"/>
              <w:spacing w:before="0" w:beforeAutospacing="0" w:after="0" w:afterAutospacing="0"/>
              <w:jc w:val="both"/>
              <w:rPr>
                <w:b/>
              </w:rPr>
            </w:pPr>
            <w:r w:rsidRPr="003F68CE">
              <w:rPr>
                <w:b/>
              </w:rPr>
              <w:t xml:space="preserve">             </w:t>
            </w:r>
            <m:oMath>
              <m:r>
                <m:rPr>
                  <m:sty m:val="bi"/>
                </m:rPr>
                <w:rPr>
                  <w:rFonts w:ascii="Cambria Math" w:hAnsi="Cambria Math"/>
                </w:rPr>
                <m:t xml:space="preserve">ККІ= </m:t>
              </m:r>
              <m:f>
                <m:fPr>
                  <m:ctrlPr>
                    <w:rPr>
                      <w:rFonts w:ascii="Cambria Math" w:hAnsi="Cambria Math"/>
                      <w:b/>
                      <w:i/>
                    </w:rPr>
                  </m:ctrlPr>
                </m:fPr>
                <m:num>
                  <m:r>
                    <m:rPr>
                      <m:sty m:val="bi"/>
                    </m:rPr>
                    <w:rPr>
                      <w:rFonts w:ascii="Cambria Math" w:hAnsi="Cambria Math"/>
                    </w:rPr>
                    <m:t>КІ</m:t>
                  </m:r>
                </m:num>
                <m:den>
                  <m:r>
                    <m:rPr>
                      <m:sty m:val="bi"/>
                    </m:rPr>
                    <w:rPr>
                      <w:rFonts w:ascii="Cambria Math" w:hAnsi="Cambria Math"/>
                    </w:rPr>
                    <m:t xml:space="preserve">ппс </m:t>
                  </m:r>
                </m:den>
              </m:f>
              <m:r>
                <m:rPr>
                  <m:sty m:val="bi"/>
                </m:rPr>
                <w:rPr>
                  <w:rFonts w:ascii="Cambria Math" w:hAnsi="Cambria Math"/>
                </w:rPr>
                <m:t xml:space="preserve"> ×100 (%),</m:t>
              </m:r>
            </m:oMath>
            <w:r w:rsidRPr="003F68CE">
              <w:rPr>
                <w:b/>
              </w:rPr>
              <w:t xml:space="preserve">                                      (6)</w:t>
            </w:r>
          </w:p>
          <w:p w14:paraId="479D5A98" w14:textId="77777777" w:rsidR="00176D3E" w:rsidRPr="003F68CE" w:rsidRDefault="00176D3E" w:rsidP="003D1256">
            <w:pPr>
              <w:pStyle w:val="a4"/>
              <w:spacing w:before="0" w:beforeAutospacing="0" w:after="0" w:afterAutospacing="0"/>
              <w:jc w:val="both"/>
              <w:rPr>
                <w:b/>
              </w:rPr>
            </w:pPr>
          </w:p>
          <w:p w14:paraId="68AFFF9A" w14:textId="77777777" w:rsidR="00176D3E" w:rsidRPr="003F68CE" w:rsidRDefault="00176D3E" w:rsidP="003D1256">
            <w:pPr>
              <w:pStyle w:val="a4"/>
              <w:spacing w:before="0" w:beforeAutospacing="0" w:after="0" w:afterAutospacing="0"/>
              <w:jc w:val="both"/>
              <w:rPr>
                <w:b/>
              </w:rPr>
            </w:pP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96"/>
              <w:gridCol w:w="878"/>
              <w:gridCol w:w="291"/>
              <w:gridCol w:w="5923"/>
            </w:tblGrid>
            <w:tr w:rsidR="00143080" w:rsidRPr="00387749" w14:paraId="7544BCBE" w14:textId="77777777" w:rsidTr="00176D3E">
              <w:tc>
                <w:tcPr>
                  <w:tcW w:w="1005" w:type="dxa"/>
                  <w:tcBorders>
                    <w:top w:val="nil"/>
                    <w:left w:val="nil"/>
                    <w:bottom w:val="nil"/>
                    <w:right w:val="nil"/>
                  </w:tcBorders>
                  <w:shd w:val="clear" w:color="auto" w:fill="FFFFFF"/>
                  <w:hideMark/>
                </w:tcPr>
                <w:p w14:paraId="21C939C2" w14:textId="7003E753" w:rsidR="00176D3E" w:rsidRPr="003F68CE" w:rsidRDefault="00176D3E" w:rsidP="003D1256">
                  <w:pPr>
                    <w:pStyle w:val="rvps12"/>
                    <w:spacing w:before="0" w:beforeAutospacing="0" w:after="0" w:afterAutospacing="0"/>
                    <w:jc w:val="center"/>
                    <w:rPr>
                      <w:b/>
                    </w:rPr>
                  </w:pPr>
                  <w:r w:rsidRPr="003F68CE">
                    <w:rPr>
                      <w:b/>
                    </w:rPr>
                    <w:t>де</w:t>
                  </w:r>
                </w:p>
              </w:tc>
              <w:tc>
                <w:tcPr>
                  <w:tcW w:w="1260" w:type="dxa"/>
                  <w:tcBorders>
                    <w:top w:val="nil"/>
                    <w:left w:val="nil"/>
                    <w:bottom w:val="nil"/>
                    <w:right w:val="nil"/>
                  </w:tcBorders>
                  <w:shd w:val="clear" w:color="auto" w:fill="FFFFFF"/>
                  <w:hideMark/>
                </w:tcPr>
                <w:p w14:paraId="3FB98A9D" w14:textId="6425E88F" w:rsidR="00176D3E" w:rsidRPr="003F68CE" w:rsidRDefault="00176D3E" w:rsidP="003D1256">
                  <w:pPr>
                    <w:pStyle w:val="rvps12"/>
                    <w:spacing w:before="0" w:beforeAutospacing="0" w:after="0" w:afterAutospacing="0"/>
                    <w:jc w:val="center"/>
                    <w:rPr>
                      <w:b/>
                    </w:rPr>
                  </w:pPr>
                  <w:r w:rsidRPr="003F68CE">
                    <w:rPr>
                      <w:rStyle w:val="rvts11"/>
                      <w:b/>
                      <w:i/>
                      <w:iCs/>
                    </w:rPr>
                    <w:t>К</w:t>
                  </w:r>
                  <w:r w:rsidR="00DB1DAB" w:rsidRPr="003F68CE">
                    <w:rPr>
                      <w:rStyle w:val="rvts11"/>
                      <w:b/>
                      <w:i/>
                      <w:iCs/>
                    </w:rPr>
                    <w:t>І</w:t>
                  </w:r>
                </w:p>
              </w:tc>
              <w:tc>
                <w:tcPr>
                  <w:tcW w:w="510" w:type="dxa"/>
                  <w:tcBorders>
                    <w:top w:val="nil"/>
                    <w:left w:val="nil"/>
                    <w:bottom w:val="nil"/>
                    <w:right w:val="nil"/>
                  </w:tcBorders>
                  <w:shd w:val="clear" w:color="auto" w:fill="FFFFFF"/>
                  <w:hideMark/>
                </w:tcPr>
                <w:p w14:paraId="4C077948" w14:textId="77777777" w:rsidR="00176D3E" w:rsidRPr="003F68CE" w:rsidRDefault="00176D3E" w:rsidP="003D1256">
                  <w:pPr>
                    <w:pStyle w:val="rvps12"/>
                    <w:spacing w:before="0" w:beforeAutospacing="0" w:after="0" w:afterAutospacing="0"/>
                    <w:jc w:val="center"/>
                    <w:rPr>
                      <w:b/>
                    </w:rPr>
                  </w:pPr>
                  <w:r w:rsidRPr="003F68CE">
                    <w:rPr>
                      <w:b/>
                    </w:rPr>
                    <w:t>-</w:t>
                  </w:r>
                </w:p>
              </w:tc>
              <w:tc>
                <w:tcPr>
                  <w:tcW w:w="11220" w:type="dxa"/>
                  <w:tcBorders>
                    <w:top w:val="nil"/>
                    <w:left w:val="nil"/>
                    <w:bottom w:val="nil"/>
                    <w:right w:val="nil"/>
                  </w:tcBorders>
                  <w:shd w:val="clear" w:color="auto" w:fill="FFFFFF"/>
                  <w:hideMark/>
                </w:tcPr>
                <w:p w14:paraId="55C4AD99" w14:textId="285FA16D" w:rsidR="00176D3E" w:rsidRPr="003F68CE" w:rsidRDefault="00176D3E" w:rsidP="003D1256">
                  <w:pPr>
                    <w:pStyle w:val="rvps14"/>
                    <w:spacing w:before="0" w:beforeAutospacing="0" w:after="0" w:afterAutospacing="0"/>
                    <w:rPr>
                      <w:b/>
                    </w:rPr>
                  </w:pPr>
                  <w:r w:rsidRPr="003F68CE">
                    <w:rPr>
                      <w:b/>
                    </w:rPr>
                    <w:t>Капітальні інвестиції оператора газосховищ, що визначається відповідно до </w:t>
                  </w:r>
                  <w:hyperlink r:id="rId28" w:anchor="n337" w:history="1">
                    <w:r w:rsidRPr="003F68CE">
                      <w:rPr>
                        <w:rStyle w:val="a6"/>
                        <w:b/>
                        <w:color w:val="auto"/>
                        <w:u w:val="none"/>
                      </w:rPr>
                      <w:t>розділу V</w:t>
                    </w:r>
                  </w:hyperlink>
                  <w:r w:rsidRPr="003F68CE">
                    <w:rPr>
                      <w:b/>
                    </w:rPr>
                    <w:t> цієї Методики, тис. грн;</w:t>
                  </w:r>
                </w:p>
              </w:tc>
            </w:tr>
            <w:tr w:rsidR="00143080" w:rsidRPr="003F68CE" w14:paraId="301A93A0" w14:textId="77777777" w:rsidTr="00176D3E">
              <w:tc>
                <w:tcPr>
                  <w:tcW w:w="1005" w:type="dxa"/>
                  <w:tcBorders>
                    <w:top w:val="nil"/>
                    <w:left w:val="nil"/>
                    <w:bottom w:val="nil"/>
                    <w:right w:val="nil"/>
                  </w:tcBorders>
                  <w:shd w:val="clear" w:color="auto" w:fill="FFFFFF"/>
                  <w:hideMark/>
                </w:tcPr>
                <w:p w14:paraId="6909B005" w14:textId="77777777" w:rsidR="00176D3E" w:rsidRPr="003F68CE" w:rsidRDefault="00176D3E" w:rsidP="003D1256">
                  <w:pPr>
                    <w:pStyle w:val="rvps12"/>
                    <w:spacing w:before="0" w:beforeAutospacing="0" w:after="0" w:afterAutospacing="0"/>
                    <w:jc w:val="center"/>
                    <w:rPr>
                      <w:b/>
                    </w:rPr>
                  </w:pPr>
                </w:p>
              </w:tc>
              <w:tc>
                <w:tcPr>
                  <w:tcW w:w="1260" w:type="dxa"/>
                  <w:tcBorders>
                    <w:top w:val="nil"/>
                    <w:left w:val="nil"/>
                    <w:bottom w:val="nil"/>
                    <w:right w:val="nil"/>
                  </w:tcBorders>
                  <w:shd w:val="clear" w:color="auto" w:fill="FFFFFF"/>
                  <w:hideMark/>
                </w:tcPr>
                <w:p w14:paraId="33B29858" w14:textId="77777777" w:rsidR="00176D3E" w:rsidRPr="003F68CE" w:rsidRDefault="00176D3E" w:rsidP="003D1256">
                  <w:pPr>
                    <w:pStyle w:val="rvps12"/>
                    <w:spacing w:before="0" w:beforeAutospacing="0" w:after="0" w:afterAutospacing="0"/>
                    <w:jc w:val="center"/>
                    <w:rPr>
                      <w:b/>
                    </w:rPr>
                  </w:pPr>
                  <w:r w:rsidRPr="003F68CE">
                    <w:rPr>
                      <w:rStyle w:val="rvts11"/>
                      <w:b/>
                      <w:i/>
                      <w:iCs/>
                    </w:rPr>
                    <w:t>ППС</w:t>
                  </w:r>
                </w:p>
              </w:tc>
              <w:tc>
                <w:tcPr>
                  <w:tcW w:w="510" w:type="dxa"/>
                  <w:tcBorders>
                    <w:top w:val="nil"/>
                    <w:left w:val="nil"/>
                    <w:bottom w:val="nil"/>
                    <w:right w:val="nil"/>
                  </w:tcBorders>
                  <w:shd w:val="clear" w:color="auto" w:fill="FFFFFF"/>
                  <w:hideMark/>
                </w:tcPr>
                <w:p w14:paraId="658B2A5A" w14:textId="77777777" w:rsidR="00176D3E" w:rsidRPr="003F68CE" w:rsidRDefault="00176D3E" w:rsidP="003D1256">
                  <w:pPr>
                    <w:pStyle w:val="rvps12"/>
                    <w:spacing w:before="0" w:beforeAutospacing="0" w:after="0" w:afterAutospacing="0"/>
                    <w:jc w:val="center"/>
                    <w:rPr>
                      <w:b/>
                    </w:rPr>
                  </w:pPr>
                  <w:r w:rsidRPr="003F68CE">
                    <w:rPr>
                      <w:b/>
                    </w:rPr>
                    <w:t>-</w:t>
                  </w:r>
                </w:p>
              </w:tc>
              <w:tc>
                <w:tcPr>
                  <w:tcW w:w="11220" w:type="dxa"/>
                  <w:tcBorders>
                    <w:top w:val="nil"/>
                    <w:left w:val="nil"/>
                    <w:bottom w:val="nil"/>
                    <w:right w:val="nil"/>
                  </w:tcBorders>
                  <w:shd w:val="clear" w:color="auto" w:fill="FFFFFF"/>
                  <w:hideMark/>
                </w:tcPr>
                <w:p w14:paraId="2BE0268C" w14:textId="77777777" w:rsidR="00176D3E" w:rsidRDefault="00176D3E" w:rsidP="003D1256">
                  <w:pPr>
                    <w:pStyle w:val="rvps14"/>
                    <w:spacing w:before="0" w:beforeAutospacing="0" w:after="0" w:afterAutospacing="0"/>
                    <w:rPr>
                      <w:b/>
                    </w:rPr>
                  </w:pPr>
                  <w:r w:rsidRPr="003F68CE">
                    <w:rPr>
                      <w:b/>
                    </w:rPr>
                    <w:t>повна планована собівартість надання послуг зберігання (закачування, відбору) природного газу в/з ПСГ, що визначається відповідно до </w:t>
                  </w:r>
                  <w:hyperlink r:id="rId29" w:anchor="n72" w:history="1">
                    <w:r w:rsidRPr="003F68CE">
                      <w:rPr>
                        <w:rStyle w:val="a6"/>
                        <w:b/>
                        <w:color w:val="auto"/>
                        <w:u w:val="none"/>
                      </w:rPr>
                      <w:t>розділу III</w:t>
                    </w:r>
                  </w:hyperlink>
                  <w:r w:rsidRPr="003F68CE">
                    <w:rPr>
                      <w:b/>
                    </w:rPr>
                    <w:t> цієї Методики, тис. грн.</w:t>
                  </w:r>
                </w:p>
                <w:p w14:paraId="26E4BC5A" w14:textId="651D30A5" w:rsidR="003D1256" w:rsidRPr="003F68CE" w:rsidRDefault="003D1256" w:rsidP="003D1256">
                  <w:pPr>
                    <w:pStyle w:val="rvps14"/>
                    <w:spacing w:before="0" w:beforeAutospacing="0" w:after="0" w:afterAutospacing="0"/>
                    <w:rPr>
                      <w:b/>
                    </w:rPr>
                  </w:pPr>
                </w:p>
              </w:tc>
            </w:tr>
          </w:tbl>
          <w:bookmarkEnd w:id="13"/>
          <w:p w14:paraId="4F625C5D" w14:textId="576DB8D8" w:rsidR="00176D3E" w:rsidRDefault="00E51B5E" w:rsidP="003D1256">
            <w:pPr>
              <w:pStyle w:val="a4"/>
              <w:spacing w:before="0" w:beforeAutospacing="0" w:after="0" w:afterAutospacing="0"/>
              <w:jc w:val="both"/>
              <w:rPr>
                <w:shd w:val="clear" w:color="auto" w:fill="FFFFFF"/>
              </w:rPr>
            </w:pPr>
            <w:r w:rsidRPr="003F68CE">
              <w:rPr>
                <w:b/>
                <w:shd w:val="clear" w:color="auto" w:fill="FFFFFF"/>
              </w:rPr>
              <w:t>8</w:t>
            </w:r>
            <w:r w:rsidRPr="003F68CE">
              <w:rPr>
                <w:shd w:val="clear" w:color="auto" w:fill="FFFFFF"/>
              </w:rPr>
              <w:t xml:space="preserve">. </w:t>
            </w:r>
            <w:bookmarkStart w:id="14" w:name="_Hlk146014748"/>
            <w:r w:rsidRPr="003F68CE">
              <w:rPr>
                <w:shd w:val="clear" w:color="auto" w:fill="FFFFFF"/>
              </w:rPr>
              <w:t>Тариф на закачування природного газу розраховується за формулою</w:t>
            </w:r>
          </w:p>
          <w:p w14:paraId="32296D00" w14:textId="7B12672A" w:rsidR="00176D3E" w:rsidRPr="003F68CE" w:rsidRDefault="00176D3E" w:rsidP="003D1256">
            <w:pPr>
              <w:pStyle w:val="a4"/>
              <w:spacing w:before="0" w:beforeAutospacing="0" w:after="0" w:afterAutospacing="0"/>
              <w:jc w:val="both"/>
            </w:pPr>
          </w:p>
          <w:p w14:paraId="1B155334" w14:textId="70CA4497" w:rsidR="00440304" w:rsidRPr="003F68CE" w:rsidRDefault="00321477" w:rsidP="003D1256">
            <w:pPr>
              <w:pStyle w:val="a4"/>
              <w:spacing w:before="0" w:beforeAutospacing="0" w:after="0" w:afterAutospacing="0"/>
              <w:jc w:val="both"/>
            </w:pPr>
            <m:oMath>
              <m:sSub>
                <m:sSubPr>
                  <m:ctrlPr>
                    <w:rPr>
                      <w:rFonts w:ascii="Cambria Math" w:hAnsi="Cambria Math"/>
                      <w:i/>
                    </w:rPr>
                  </m:ctrlPr>
                </m:sSubPr>
                <m:e>
                  <m:r>
                    <w:rPr>
                      <w:rFonts w:ascii="Cambria Math" w:hAnsi="Cambria Math"/>
                    </w:rPr>
                    <m:t xml:space="preserve">                  Т</m:t>
                  </m:r>
                </m:e>
                <m:sub>
                  <m:r>
                    <w:rPr>
                      <w:rFonts w:ascii="Cambria Math" w:hAnsi="Cambria Math"/>
                    </w:rPr>
                    <m:t>зак</m:t>
                  </m:r>
                </m:sub>
              </m:sSub>
              <m:r>
                <w:rPr>
                  <w:rFonts w:ascii="Cambria Math" w:hAnsi="Cambria Math"/>
                </w:rPr>
                <m:t xml:space="preserve">= </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В</m:t>
                          </m:r>
                        </m:e>
                        <m:sub>
                          <m:r>
                            <w:rPr>
                              <w:rFonts w:ascii="Cambria Math" w:hAnsi="Cambria Math"/>
                            </w:rPr>
                            <m:t>зак</m:t>
                          </m:r>
                        </m:sub>
                      </m:sSub>
                      <m:r>
                        <w:rPr>
                          <w:rFonts w:ascii="Cambria Math" w:hAnsi="Cambria Math"/>
                        </w:rPr>
                        <m:t>×</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Р</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К</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ККІ</m:t>
                              </m:r>
                            </m:num>
                            <m:den>
                              <m:r>
                                <w:rPr>
                                  <w:rFonts w:ascii="Cambria Math" w:hAnsi="Cambria Math"/>
                                </w:rPr>
                                <m:t>100</m:t>
                              </m:r>
                            </m:den>
                          </m:f>
                        </m:e>
                      </m:d>
                    </m:num>
                    <m:den>
                      <m:sSub>
                        <m:sSubPr>
                          <m:ctrlPr>
                            <w:rPr>
                              <w:rFonts w:ascii="Cambria Math" w:hAnsi="Cambria Math"/>
                              <w:i/>
                            </w:rPr>
                          </m:ctrlPr>
                        </m:sSubPr>
                        <m:e>
                          <m:r>
                            <w:rPr>
                              <w:rFonts w:ascii="Cambria Math" w:hAnsi="Cambria Math"/>
                            </w:rPr>
                            <m:t>W</m:t>
                          </m:r>
                        </m:e>
                        <m:sub>
                          <m:r>
                            <w:rPr>
                              <w:rFonts w:ascii="Cambria Math" w:hAnsi="Cambria Math"/>
                            </w:rPr>
                            <m:t>зак</m:t>
                          </m:r>
                        </m:sub>
                      </m:sSub>
                    </m:den>
                  </m:f>
                </m:e>
              </m:d>
            </m:oMath>
            <w:r w:rsidR="00EC1C29" w:rsidRPr="003F68CE">
              <w:t xml:space="preserve"> (грн за 1000 </w:t>
            </w:r>
            <w:r w:rsidR="00EC1C29" w:rsidRPr="003F68CE">
              <w:rPr>
                <w:noProof/>
              </w:rPr>
              <w:t>м</w:t>
            </w:r>
            <w:r w:rsidR="00EC1C29" w:rsidRPr="003F68CE">
              <w:rPr>
                <w:noProof/>
                <w:vertAlign w:val="superscript"/>
              </w:rPr>
              <w:t>3</w:t>
            </w:r>
            <w:r w:rsidR="00EC1C29" w:rsidRPr="003F68CE">
              <w:t xml:space="preserve"> на добу)</w:t>
            </w:r>
            <w:r w:rsidR="003F68CE">
              <w:t xml:space="preserve">        </w:t>
            </w:r>
            <w:r w:rsidR="003F68CE" w:rsidRPr="003F68CE">
              <w:rPr>
                <w:b/>
              </w:rPr>
              <w:t>(7)</w:t>
            </w:r>
          </w:p>
          <w:p w14:paraId="547D6E48" w14:textId="6AFC9C17" w:rsidR="00007BBD" w:rsidRPr="003F68CE" w:rsidRDefault="00007BBD" w:rsidP="003D1256">
            <w:pPr>
              <w:pStyle w:val="a4"/>
              <w:spacing w:before="0" w:beforeAutospacing="0" w:after="0" w:afterAutospacing="0"/>
              <w:jc w:val="both"/>
            </w:pPr>
          </w:p>
          <w:tbl>
            <w:tblPr>
              <w:tblW w:w="5000" w:type="pct"/>
              <w:tblCellMar>
                <w:left w:w="0" w:type="dxa"/>
                <w:right w:w="0" w:type="dxa"/>
              </w:tblCellMar>
              <w:tblLook w:val="04A0" w:firstRow="1" w:lastRow="0" w:firstColumn="1" w:lastColumn="0" w:noHBand="0" w:noVBand="1"/>
            </w:tblPr>
            <w:tblGrid>
              <w:gridCol w:w="543"/>
              <w:gridCol w:w="722"/>
              <w:gridCol w:w="226"/>
              <w:gridCol w:w="6197"/>
            </w:tblGrid>
            <w:tr w:rsidR="00143080" w:rsidRPr="003F68CE" w14:paraId="17EB5C6B" w14:textId="77777777" w:rsidTr="003F68CE">
              <w:tc>
                <w:tcPr>
                  <w:tcW w:w="500" w:type="dxa"/>
                  <w:hideMark/>
                </w:tcPr>
                <w:p w14:paraId="43CF4E2D" w14:textId="77777777" w:rsidR="00007BBD" w:rsidRPr="003F68CE" w:rsidRDefault="00007BBD" w:rsidP="003D1256">
                  <w:pPr>
                    <w:pStyle w:val="rvps11"/>
                    <w:spacing w:before="0" w:beforeAutospacing="0" w:after="0" w:afterAutospacing="0"/>
                    <w:jc w:val="right"/>
                  </w:pPr>
                  <w:r w:rsidRPr="003F68CE">
                    <w:t>де:</w:t>
                  </w:r>
                </w:p>
              </w:tc>
              <w:tc>
                <w:tcPr>
                  <w:tcW w:w="664" w:type="dxa"/>
                  <w:hideMark/>
                </w:tcPr>
                <w:p w14:paraId="02F6FB14" w14:textId="77777777" w:rsidR="00007BBD" w:rsidRPr="003F68CE" w:rsidRDefault="00007BBD" w:rsidP="003D1256">
                  <w:pPr>
                    <w:pStyle w:val="rvps12"/>
                    <w:spacing w:before="0" w:beforeAutospacing="0" w:after="0" w:afterAutospacing="0"/>
                    <w:jc w:val="center"/>
                  </w:pPr>
                  <w:r w:rsidRPr="003F68CE">
                    <w:t>Т</w:t>
                  </w:r>
                  <w:r w:rsidRPr="003F68CE">
                    <w:rPr>
                      <w:rStyle w:val="rvts40"/>
                      <w:b/>
                      <w:bCs/>
                      <w:sz w:val="16"/>
                      <w:szCs w:val="16"/>
                      <w:vertAlign w:val="subscript"/>
                    </w:rPr>
                    <w:t>зак</w:t>
                  </w:r>
                </w:p>
              </w:tc>
              <w:tc>
                <w:tcPr>
                  <w:tcW w:w="208" w:type="dxa"/>
                  <w:hideMark/>
                </w:tcPr>
                <w:p w14:paraId="580AE2DD" w14:textId="77777777" w:rsidR="00007BBD" w:rsidRPr="003F68CE" w:rsidRDefault="00007BBD" w:rsidP="003D1256">
                  <w:pPr>
                    <w:pStyle w:val="rvps12"/>
                    <w:spacing w:before="0" w:beforeAutospacing="0" w:after="0" w:afterAutospacing="0"/>
                    <w:jc w:val="center"/>
                  </w:pPr>
                  <w:r w:rsidRPr="003F68CE">
                    <w:t>-</w:t>
                  </w:r>
                </w:p>
              </w:tc>
              <w:tc>
                <w:tcPr>
                  <w:tcW w:w="5702" w:type="dxa"/>
                  <w:hideMark/>
                </w:tcPr>
                <w:p w14:paraId="34AE25C2" w14:textId="77777777" w:rsidR="00007BBD" w:rsidRPr="003F68CE" w:rsidRDefault="00007BBD" w:rsidP="003D1256">
                  <w:pPr>
                    <w:pStyle w:val="rvps14"/>
                    <w:spacing w:before="0" w:beforeAutospacing="0" w:after="0" w:afterAutospacing="0"/>
                  </w:pPr>
                  <w:r w:rsidRPr="003F68CE">
                    <w:t>тариф на закачування природного газу, грн за 1000 м</w:t>
                  </w:r>
                  <w:r w:rsidRPr="003F68CE">
                    <w:rPr>
                      <w:rStyle w:val="rvts37"/>
                      <w:b/>
                      <w:bCs/>
                      <w:sz w:val="2"/>
                      <w:szCs w:val="2"/>
                      <w:vertAlign w:val="superscript"/>
                    </w:rPr>
                    <w:t>-</w:t>
                  </w:r>
                  <w:r w:rsidRPr="003F68CE">
                    <w:rPr>
                      <w:rStyle w:val="rvts37"/>
                      <w:b/>
                      <w:bCs/>
                      <w:sz w:val="16"/>
                      <w:szCs w:val="16"/>
                      <w:vertAlign w:val="superscript"/>
                    </w:rPr>
                    <w:t>3</w:t>
                  </w:r>
                  <w:r w:rsidRPr="003F68CE">
                    <w:t> на добу;</w:t>
                  </w:r>
                </w:p>
              </w:tc>
            </w:tr>
            <w:tr w:rsidR="00143080" w:rsidRPr="00387749" w14:paraId="740BB21D" w14:textId="77777777" w:rsidTr="003F68CE">
              <w:tc>
                <w:tcPr>
                  <w:tcW w:w="500" w:type="dxa"/>
                  <w:hideMark/>
                </w:tcPr>
                <w:p w14:paraId="3B453FA6" w14:textId="77777777" w:rsidR="00007BBD" w:rsidRPr="003F68CE" w:rsidRDefault="00007BBD" w:rsidP="003D1256">
                  <w:pPr>
                    <w:spacing w:after="0" w:line="240" w:lineRule="auto"/>
                  </w:pPr>
                </w:p>
              </w:tc>
              <w:tc>
                <w:tcPr>
                  <w:tcW w:w="664" w:type="dxa"/>
                  <w:hideMark/>
                </w:tcPr>
                <w:p w14:paraId="6AA7A7C8" w14:textId="77777777" w:rsidR="00007BBD" w:rsidRPr="003F68CE" w:rsidRDefault="00007BBD" w:rsidP="003D1256">
                  <w:pPr>
                    <w:pStyle w:val="rvps12"/>
                    <w:spacing w:before="0" w:beforeAutospacing="0" w:after="0" w:afterAutospacing="0"/>
                    <w:jc w:val="center"/>
                  </w:pPr>
                  <w:r w:rsidRPr="003F68CE">
                    <w:t>В</w:t>
                  </w:r>
                  <w:r w:rsidRPr="003F68CE">
                    <w:rPr>
                      <w:rStyle w:val="rvts40"/>
                      <w:b/>
                      <w:bCs/>
                      <w:sz w:val="16"/>
                      <w:szCs w:val="16"/>
                      <w:vertAlign w:val="subscript"/>
                    </w:rPr>
                    <w:t>зак</w:t>
                  </w:r>
                </w:p>
              </w:tc>
              <w:tc>
                <w:tcPr>
                  <w:tcW w:w="208" w:type="dxa"/>
                  <w:hideMark/>
                </w:tcPr>
                <w:p w14:paraId="3CDC93C0" w14:textId="77777777" w:rsidR="00007BBD" w:rsidRPr="003F68CE" w:rsidRDefault="00007BBD" w:rsidP="003D1256">
                  <w:pPr>
                    <w:pStyle w:val="rvps12"/>
                    <w:spacing w:before="0" w:beforeAutospacing="0" w:after="0" w:afterAutospacing="0"/>
                    <w:jc w:val="center"/>
                  </w:pPr>
                  <w:r w:rsidRPr="003F68CE">
                    <w:t>-</w:t>
                  </w:r>
                </w:p>
              </w:tc>
              <w:tc>
                <w:tcPr>
                  <w:tcW w:w="5702" w:type="dxa"/>
                  <w:hideMark/>
                </w:tcPr>
                <w:p w14:paraId="751CFC65" w14:textId="77777777" w:rsidR="00007BBD" w:rsidRPr="003F68CE" w:rsidRDefault="00007BBD" w:rsidP="003D1256">
                  <w:pPr>
                    <w:pStyle w:val="rvps14"/>
                    <w:spacing w:before="0" w:beforeAutospacing="0" w:after="0" w:afterAutospacing="0"/>
                  </w:pPr>
                  <w:r w:rsidRPr="003F68CE">
                    <w:t>плановані витрати оператора газосховища на закачування природного газу, які визначаються згідно з розподілом витрат, пов'язаних з наданням послуг зберігання (закачування, відбору) природного газу в/з ПСГ, відповідно до </w:t>
                  </w:r>
                  <w:hyperlink r:id="rId30" w:anchor="n204" w:history="1">
                    <w:r w:rsidRPr="003F68CE">
                      <w:rPr>
                        <w:rStyle w:val="a6"/>
                        <w:color w:val="auto"/>
                      </w:rPr>
                      <w:t>додатка 1</w:t>
                    </w:r>
                  </w:hyperlink>
                  <w:r w:rsidRPr="003F68CE">
                    <w:t> до цієї Методики, тис. грн;</w:t>
                  </w:r>
                </w:p>
              </w:tc>
            </w:tr>
            <w:tr w:rsidR="003F68CE" w:rsidRPr="00387749" w14:paraId="0ED478CB" w14:textId="77777777" w:rsidTr="003F68CE">
              <w:tc>
                <w:tcPr>
                  <w:tcW w:w="7074" w:type="dxa"/>
                  <w:gridSpan w:val="4"/>
                  <w:hideMark/>
                </w:tcPr>
                <w:p w14:paraId="7FBCF373" w14:textId="77777777" w:rsidR="00007BBD" w:rsidRPr="003F68CE" w:rsidRDefault="00007BBD" w:rsidP="003D1256">
                  <w:pPr>
                    <w:pStyle w:val="rvps2"/>
                    <w:spacing w:before="0" w:beforeAutospacing="0" w:after="0" w:afterAutospacing="0"/>
                    <w:jc w:val="both"/>
                  </w:pPr>
                </w:p>
              </w:tc>
            </w:tr>
            <w:tr w:rsidR="00143080" w:rsidRPr="003F68CE" w14:paraId="7A30D777" w14:textId="77777777" w:rsidTr="003F68CE">
              <w:tc>
                <w:tcPr>
                  <w:tcW w:w="500" w:type="dxa"/>
                  <w:hideMark/>
                </w:tcPr>
                <w:p w14:paraId="082ABA86" w14:textId="77777777" w:rsidR="00007BBD" w:rsidRPr="003F68CE" w:rsidRDefault="00007BBD" w:rsidP="003D1256">
                  <w:pPr>
                    <w:spacing w:after="0" w:line="240" w:lineRule="auto"/>
                    <w:rPr>
                      <w:lang w:val="uk-UA"/>
                    </w:rPr>
                  </w:pPr>
                </w:p>
              </w:tc>
              <w:tc>
                <w:tcPr>
                  <w:tcW w:w="664" w:type="dxa"/>
                  <w:hideMark/>
                </w:tcPr>
                <w:p w14:paraId="6A4251B0" w14:textId="77777777" w:rsidR="00007BBD" w:rsidRPr="003F68CE" w:rsidRDefault="00007BBD" w:rsidP="003D1256">
                  <w:pPr>
                    <w:pStyle w:val="rvps12"/>
                    <w:spacing w:before="0" w:beforeAutospacing="0" w:after="0" w:afterAutospacing="0"/>
                    <w:jc w:val="center"/>
                  </w:pPr>
                  <w:r w:rsidRPr="003F68CE">
                    <w:t>Р</w:t>
                  </w:r>
                </w:p>
              </w:tc>
              <w:tc>
                <w:tcPr>
                  <w:tcW w:w="208" w:type="dxa"/>
                  <w:hideMark/>
                </w:tcPr>
                <w:p w14:paraId="0D44B0D2" w14:textId="77777777" w:rsidR="00007BBD" w:rsidRPr="003F68CE" w:rsidRDefault="00007BBD" w:rsidP="003D1256">
                  <w:pPr>
                    <w:pStyle w:val="rvps12"/>
                    <w:spacing w:before="0" w:beforeAutospacing="0" w:after="0" w:afterAutospacing="0"/>
                    <w:jc w:val="center"/>
                  </w:pPr>
                  <w:r w:rsidRPr="003F68CE">
                    <w:t>-</w:t>
                  </w:r>
                </w:p>
              </w:tc>
              <w:tc>
                <w:tcPr>
                  <w:tcW w:w="5702" w:type="dxa"/>
                  <w:hideMark/>
                </w:tcPr>
                <w:p w14:paraId="1F4020A3" w14:textId="77777777" w:rsidR="00007BBD" w:rsidRPr="003F68CE" w:rsidRDefault="00007BBD" w:rsidP="003D1256">
                  <w:pPr>
                    <w:pStyle w:val="rvps14"/>
                    <w:spacing w:before="0" w:beforeAutospacing="0" w:after="0" w:afterAutospacing="0"/>
                  </w:pPr>
                  <w:r w:rsidRPr="003F68CE">
                    <w:t>планована рентабельність оператора газосховищ, розраховується за формулою (4), %;</w:t>
                  </w:r>
                </w:p>
              </w:tc>
            </w:tr>
            <w:tr w:rsidR="00143080" w:rsidRPr="003F68CE" w14:paraId="335C2893" w14:textId="77777777" w:rsidTr="003F68CE">
              <w:trPr>
                <w:trHeight w:val="971"/>
              </w:trPr>
              <w:tc>
                <w:tcPr>
                  <w:tcW w:w="500" w:type="dxa"/>
                  <w:hideMark/>
                </w:tcPr>
                <w:p w14:paraId="3EC6F0A8" w14:textId="77777777" w:rsidR="00007BBD" w:rsidRPr="003F68CE" w:rsidRDefault="00007BBD" w:rsidP="003D1256">
                  <w:pPr>
                    <w:spacing w:after="0" w:line="240" w:lineRule="auto"/>
                  </w:pPr>
                </w:p>
              </w:tc>
              <w:tc>
                <w:tcPr>
                  <w:tcW w:w="664" w:type="dxa"/>
                  <w:hideMark/>
                </w:tcPr>
                <w:p w14:paraId="710B43C1" w14:textId="77777777" w:rsidR="00007BBD" w:rsidRPr="003F68CE" w:rsidRDefault="00007BBD" w:rsidP="003D1256">
                  <w:pPr>
                    <w:pStyle w:val="rvps12"/>
                    <w:spacing w:before="0" w:beforeAutospacing="0" w:after="0" w:afterAutospacing="0"/>
                    <w:jc w:val="center"/>
                  </w:pPr>
                  <w:r w:rsidRPr="003F68CE">
                    <w:rPr>
                      <w:rStyle w:val="rvts11"/>
                      <w:i/>
                      <w:iCs/>
                    </w:rPr>
                    <w:t>К</w:t>
                  </w:r>
                </w:p>
              </w:tc>
              <w:tc>
                <w:tcPr>
                  <w:tcW w:w="208" w:type="dxa"/>
                  <w:hideMark/>
                </w:tcPr>
                <w:p w14:paraId="58334470" w14:textId="77777777" w:rsidR="00007BBD" w:rsidRPr="003F68CE" w:rsidRDefault="00007BBD" w:rsidP="003D1256">
                  <w:pPr>
                    <w:pStyle w:val="rvps12"/>
                    <w:spacing w:before="0" w:beforeAutospacing="0" w:after="0" w:afterAutospacing="0"/>
                    <w:jc w:val="center"/>
                  </w:pPr>
                  <w:r w:rsidRPr="003F68CE">
                    <w:t>-</w:t>
                  </w:r>
                </w:p>
              </w:tc>
              <w:tc>
                <w:tcPr>
                  <w:tcW w:w="5702" w:type="dxa"/>
                  <w:hideMark/>
                </w:tcPr>
                <w:p w14:paraId="41D56A4F" w14:textId="469222F6" w:rsidR="003D1256" w:rsidRPr="003F68CE" w:rsidRDefault="00007BBD" w:rsidP="003D1256">
                  <w:pPr>
                    <w:pStyle w:val="rvps14"/>
                    <w:spacing w:before="0" w:beforeAutospacing="0" w:after="0" w:afterAutospacing="0"/>
                  </w:pPr>
                  <w:r w:rsidRPr="003F68CE">
                    <w:t xml:space="preserve">коефіцієнт коригування планованої тарифної виручки, що розраховується за формулою </w:t>
                  </w:r>
                  <w:r w:rsidR="00E813D2" w:rsidRPr="003F68CE">
                    <w:t>(</w:t>
                  </w:r>
                  <w:r w:rsidRPr="003F68CE">
                    <w:t>5</w:t>
                  </w:r>
                  <w:r w:rsidR="00E813D2" w:rsidRPr="003F68CE">
                    <w:t>)</w:t>
                  </w:r>
                  <w:r w:rsidRPr="003F68CE">
                    <w:t>, %;</w:t>
                  </w:r>
                </w:p>
              </w:tc>
            </w:tr>
            <w:tr w:rsidR="00143080" w:rsidRPr="003F68CE" w14:paraId="4CC6A15E" w14:textId="77777777" w:rsidTr="003F68CE">
              <w:trPr>
                <w:trHeight w:val="737"/>
              </w:trPr>
              <w:tc>
                <w:tcPr>
                  <w:tcW w:w="500" w:type="dxa"/>
                </w:tcPr>
                <w:p w14:paraId="4A6CD2E6" w14:textId="77777777" w:rsidR="00007BBD" w:rsidRPr="003F68CE" w:rsidRDefault="00007BBD" w:rsidP="003D1256">
                  <w:pPr>
                    <w:spacing w:after="0" w:line="240" w:lineRule="auto"/>
                  </w:pPr>
                </w:p>
              </w:tc>
              <w:tc>
                <w:tcPr>
                  <w:tcW w:w="664" w:type="dxa"/>
                </w:tcPr>
                <w:p w14:paraId="4BE3AEE0" w14:textId="2AC04383" w:rsidR="00007BBD" w:rsidRPr="003F68CE" w:rsidRDefault="00007BBD" w:rsidP="003D1256">
                  <w:pPr>
                    <w:pStyle w:val="rvps12"/>
                    <w:spacing w:before="0" w:beforeAutospacing="0" w:after="0" w:afterAutospacing="0"/>
                    <w:jc w:val="center"/>
                    <w:rPr>
                      <w:rStyle w:val="rvts11"/>
                      <w:i/>
                      <w:iCs/>
                    </w:rPr>
                  </w:pPr>
                  <w:r w:rsidRPr="003F68CE">
                    <w:rPr>
                      <w:rStyle w:val="rvts11"/>
                      <w:i/>
                      <w:iCs/>
                    </w:rPr>
                    <w:t>ККІ</w:t>
                  </w:r>
                </w:p>
              </w:tc>
              <w:tc>
                <w:tcPr>
                  <w:tcW w:w="208" w:type="dxa"/>
                </w:tcPr>
                <w:p w14:paraId="78B8A1BC" w14:textId="2CEABAAE" w:rsidR="00007BBD" w:rsidRPr="003F68CE" w:rsidRDefault="00007BBD" w:rsidP="003D1256">
                  <w:pPr>
                    <w:pStyle w:val="rvps12"/>
                    <w:spacing w:before="0" w:beforeAutospacing="0" w:after="0" w:afterAutospacing="0"/>
                    <w:jc w:val="center"/>
                  </w:pPr>
                  <w:r w:rsidRPr="003F68CE">
                    <w:t>-</w:t>
                  </w:r>
                </w:p>
              </w:tc>
              <w:tc>
                <w:tcPr>
                  <w:tcW w:w="5702" w:type="dxa"/>
                </w:tcPr>
                <w:p w14:paraId="5E21ABBF" w14:textId="1064B7FF" w:rsidR="00007BBD" w:rsidRPr="003F68CE" w:rsidRDefault="00007BBD" w:rsidP="003D1256">
                  <w:pPr>
                    <w:pStyle w:val="rvps14"/>
                    <w:spacing w:before="0" w:beforeAutospacing="0" w:after="0" w:afterAutospacing="0"/>
                  </w:pPr>
                  <w:r w:rsidRPr="003F68CE">
                    <w:rPr>
                      <w:b/>
                    </w:rPr>
                    <w:t>коефіцієнт капітальних інвестицій, що розраховується за формулою (6), %</w:t>
                  </w:r>
                </w:p>
              </w:tc>
            </w:tr>
            <w:tr w:rsidR="00143080" w:rsidRPr="003F68CE" w14:paraId="63F411F4" w14:textId="77777777" w:rsidTr="003F68CE">
              <w:tc>
                <w:tcPr>
                  <w:tcW w:w="500" w:type="dxa"/>
                  <w:hideMark/>
                </w:tcPr>
                <w:p w14:paraId="478E5D54" w14:textId="77777777" w:rsidR="00007BBD" w:rsidRPr="003F68CE" w:rsidRDefault="00007BBD" w:rsidP="003D1256">
                  <w:pPr>
                    <w:spacing w:after="0" w:line="240" w:lineRule="auto"/>
                  </w:pPr>
                </w:p>
              </w:tc>
              <w:tc>
                <w:tcPr>
                  <w:tcW w:w="664" w:type="dxa"/>
                  <w:hideMark/>
                </w:tcPr>
                <w:p w14:paraId="3B9F3349" w14:textId="77777777" w:rsidR="00007BBD" w:rsidRPr="003F68CE" w:rsidRDefault="00007BBD" w:rsidP="003D1256">
                  <w:pPr>
                    <w:pStyle w:val="rvps12"/>
                    <w:spacing w:before="0" w:beforeAutospacing="0" w:after="0" w:afterAutospacing="0"/>
                    <w:jc w:val="center"/>
                  </w:pPr>
                  <w:r w:rsidRPr="003F68CE">
                    <w:t>W</w:t>
                  </w:r>
                  <w:r w:rsidRPr="003F68CE">
                    <w:rPr>
                      <w:rStyle w:val="rvts40"/>
                      <w:b/>
                      <w:bCs/>
                      <w:sz w:val="16"/>
                      <w:szCs w:val="16"/>
                      <w:vertAlign w:val="subscript"/>
                    </w:rPr>
                    <w:t>зак</w:t>
                  </w:r>
                </w:p>
              </w:tc>
              <w:tc>
                <w:tcPr>
                  <w:tcW w:w="208" w:type="dxa"/>
                  <w:hideMark/>
                </w:tcPr>
                <w:p w14:paraId="657F5434" w14:textId="77777777" w:rsidR="00007BBD" w:rsidRPr="003F68CE" w:rsidRDefault="00007BBD" w:rsidP="003D1256">
                  <w:pPr>
                    <w:pStyle w:val="rvps12"/>
                    <w:spacing w:before="0" w:beforeAutospacing="0" w:after="0" w:afterAutospacing="0"/>
                    <w:jc w:val="center"/>
                  </w:pPr>
                  <w:r w:rsidRPr="003F68CE">
                    <w:t>-</w:t>
                  </w:r>
                </w:p>
              </w:tc>
              <w:tc>
                <w:tcPr>
                  <w:tcW w:w="5702" w:type="dxa"/>
                  <w:hideMark/>
                </w:tcPr>
                <w:p w14:paraId="455A1A2C" w14:textId="11CF99C1" w:rsidR="003D1256" w:rsidRDefault="00007BBD" w:rsidP="003D1256">
                  <w:pPr>
                    <w:pStyle w:val="rvps14"/>
                    <w:spacing w:before="0" w:beforeAutospacing="0" w:after="0" w:afterAutospacing="0"/>
                  </w:pPr>
                  <w:r w:rsidRPr="003F68CE">
                    <w:t>планована річна потужність закачування природного газу в ПСГ, на планований період, млн м</w:t>
                  </w:r>
                  <w:r w:rsidRPr="003F68CE">
                    <w:rPr>
                      <w:rStyle w:val="rvts37"/>
                      <w:b/>
                      <w:bCs/>
                      <w:sz w:val="2"/>
                      <w:szCs w:val="2"/>
                      <w:vertAlign w:val="superscript"/>
                    </w:rPr>
                    <w:t>-</w:t>
                  </w:r>
                  <w:r w:rsidRPr="003F68CE">
                    <w:rPr>
                      <w:rStyle w:val="rvts37"/>
                      <w:b/>
                      <w:bCs/>
                      <w:sz w:val="16"/>
                      <w:szCs w:val="16"/>
                      <w:vertAlign w:val="superscript"/>
                    </w:rPr>
                    <w:t>3</w:t>
                  </w:r>
                  <w:r w:rsidRPr="003F68CE">
                    <w:t> на рік.</w:t>
                  </w:r>
                </w:p>
                <w:p w14:paraId="60CE432D" w14:textId="3D14A1DC" w:rsidR="003D1256" w:rsidRPr="003F68CE" w:rsidRDefault="003D1256" w:rsidP="003D1256">
                  <w:pPr>
                    <w:pStyle w:val="rvps14"/>
                    <w:spacing w:before="0" w:beforeAutospacing="0" w:after="0" w:afterAutospacing="0"/>
                  </w:pPr>
                </w:p>
              </w:tc>
            </w:tr>
          </w:tbl>
          <w:p w14:paraId="3D5533BC" w14:textId="533777FB" w:rsidR="00007BBD" w:rsidRPr="003F68CE" w:rsidRDefault="00007BBD" w:rsidP="003D1256">
            <w:pPr>
              <w:pStyle w:val="a4"/>
              <w:spacing w:before="0" w:beforeAutospacing="0" w:after="0" w:afterAutospacing="0"/>
              <w:jc w:val="both"/>
            </w:pPr>
            <w:bookmarkStart w:id="15" w:name="_Hlk146014788"/>
            <w:bookmarkEnd w:id="14"/>
            <w:r w:rsidRPr="003F68CE">
              <w:rPr>
                <w:b/>
              </w:rPr>
              <w:t>9</w:t>
            </w:r>
            <w:r w:rsidRPr="003F68CE">
              <w:t>. Тариф на відбір природного газу розраховується за формулою</w:t>
            </w:r>
          </w:p>
          <w:p w14:paraId="7C2C358D" w14:textId="7804B332" w:rsidR="00007BBD" w:rsidRPr="003F68CE" w:rsidRDefault="00E813D2" w:rsidP="003D1256">
            <w:pPr>
              <w:pStyle w:val="a4"/>
              <w:spacing w:before="0" w:beforeAutospacing="0" w:after="0" w:afterAutospacing="0"/>
              <w:jc w:val="both"/>
              <w:rPr>
                <w:b/>
              </w:rPr>
            </w:pPr>
            <w:r w:rsidRPr="003F68CE">
              <w:rPr>
                <w:b/>
              </w:rPr>
              <w:t xml:space="preserve">                                                                                               </w:t>
            </w:r>
            <w:r w:rsidR="003D1256">
              <w:rPr>
                <w:b/>
              </w:rPr>
              <w:t xml:space="preserve">          </w:t>
            </w:r>
            <w:r w:rsidRPr="003F68CE">
              <w:rPr>
                <w:b/>
              </w:rPr>
              <w:t xml:space="preserve">        </w:t>
            </w:r>
            <w:r w:rsidR="00007BBD" w:rsidRPr="003F68CE">
              <w:rPr>
                <w:b/>
              </w:rPr>
              <w:t>(8)</w:t>
            </w:r>
          </w:p>
          <w:p w14:paraId="1000B8FD" w14:textId="45D741D9" w:rsidR="00D67268" w:rsidRPr="003F68CE" w:rsidRDefault="00321477" w:rsidP="003D1256">
            <w:pPr>
              <w:pStyle w:val="a4"/>
              <w:spacing w:before="0" w:beforeAutospacing="0" w:after="0" w:afterAutospacing="0"/>
              <w:jc w:val="both"/>
            </w:pPr>
            <m:oMath>
              <m:sSub>
                <m:sSubPr>
                  <m:ctrlPr>
                    <w:rPr>
                      <w:rFonts w:ascii="Cambria Math" w:hAnsi="Cambria Math"/>
                      <w:i/>
                    </w:rPr>
                  </m:ctrlPr>
                </m:sSubPr>
                <m:e>
                  <m:r>
                    <w:rPr>
                      <w:rFonts w:ascii="Cambria Math" w:hAnsi="Cambria Math"/>
                    </w:rPr>
                    <m:t xml:space="preserve">                   Т</m:t>
                  </m:r>
                </m:e>
                <m:sub>
                  <m:r>
                    <w:rPr>
                      <w:rFonts w:ascii="Cambria Math" w:hAnsi="Cambria Math"/>
                    </w:rPr>
                    <m:t>відб</m:t>
                  </m:r>
                </m:sub>
              </m:sSub>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В</m:t>
                          </m:r>
                        </m:e>
                        <m:sub>
                          <m:r>
                            <w:rPr>
                              <w:rFonts w:ascii="Cambria Math" w:hAnsi="Cambria Math"/>
                            </w:rPr>
                            <m:t>відб</m:t>
                          </m:r>
                        </m:sub>
                      </m:sSub>
                      <m:r>
                        <w:rPr>
                          <w:rFonts w:ascii="Cambria Math" w:hAnsi="Cambria Math"/>
                        </w:rPr>
                        <m:t>×</m:t>
                      </m:r>
                      <m:d>
                        <m:dPr>
                          <m:ctrlPr>
                            <w:rPr>
                              <w:rFonts w:ascii="Cambria Math" w:hAnsi="Cambria Math"/>
                              <w:i/>
                            </w:rPr>
                          </m:ctrlPr>
                        </m:dPr>
                        <m:e>
                          <m:r>
                            <w:rPr>
                              <w:rFonts w:ascii="Cambria Math" w:hAnsi="Cambria Math"/>
                            </w:rPr>
                            <m:t>1+</m:t>
                          </m:r>
                          <m:f>
                            <m:fPr>
                              <m:ctrlPr>
                                <w:rPr>
                                  <w:rFonts w:ascii="Cambria Math" w:hAnsi="Cambria Math"/>
                                  <w:i/>
                                </w:rPr>
                              </m:ctrlPr>
                            </m:fPr>
                            <m:num>
                              <m:r>
                                <w:rPr>
                                  <w:rFonts w:ascii="Cambria Math" w:hAnsi="Cambria Math"/>
                                </w:rPr>
                                <m:t>Р</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К</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ККІ</m:t>
                              </m:r>
                            </m:num>
                            <m:den>
                              <m:r>
                                <w:rPr>
                                  <w:rFonts w:ascii="Cambria Math" w:hAnsi="Cambria Math"/>
                                </w:rPr>
                                <m:t>100</m:t>
                              </m:r>
                            </m:den>
                          </m:f>
                        </m:e>
                      </m:d>
                    </m:num>
                    <m:den>
                      <m:sSub>
                        <m:sSubPr>
                          <m:ctrlPr>
                            <w:rPr>
                              <w:rFonts w:ascii="Cambria Math" w:hAnsi="Cambria Math"/>
                              <w:i/>
                            </w:rPr>
                          </m:ctrlPr>
                        </m:sSubPr>
                        <m:e>
                          <m:r>
                            <w:rPr>
                              <w:rFonts w:ascii="Cambria Math" w:hAnsi="Cambria Math"/>
                            </w:rPr>
                            <m:t>W</m:t>
                          </m:r>
                        </m:e>
                        <m:sub>
                          <m:r>
                            <w:rPr>
                              <w:rFonts w:ascii="Cambria Math" w:hAnsi="Cambria Math"/>
                            </w:rPr>
                            <m:t>відб</m:t>
                          </m:r>
                        </m:sub>
                      </m:sSub>
                    </m:den>
                  </m:f>
                </m:e>
              </m:d>
            </m:oMath>
            <w:r w:rsidR="00D67268" w:rsidRPr="003F68CE">
              <w:t xml:space="preserve">(грн за 1000 </w:t>
            </w:r>
            <w:r w:rsidR="00D67268" w:rsidRPr="003F68CE">
              <w:rPr>
                <w:noProof/>
              </w:rPr>
              <w:t>м</w:t>
            </w:r>
            <w:r w:rsidR="00D67268" w:rsidRPr="003F68CE">
              <w:rPr>
                <w:noProof/>
                <w:vertAlign w:val="superscript"/>
              </w:rPr>
              <w:t>3</w:t>
            </w:r>
            <w:r w:rsidR="00D67268" w:rsidRPr="003F68CE">
              <w:t xml:space="preserve"> на добу)</w:t>
            </w:r>
          </w:p>
          <w:p w14:paraId="4983DA22" w14:textId="36DC7232" w:rsidR="00E813D2" w:rsidRDefault="00E813D2" w:rsidP="003D1256">
            <w:pPr>
              <w:pStyle w:val="a4"/>
              <w:spacing w:before="0" w:beforeAutospacing="0" w:after="0" w:afterAutospacing="0"/>
              <w:jc w:val="both"/>
            </w:pPr>
          </w:p>
          <w:tbl>
            <w:tblPr>
              <w:tblW w:w="5000" w:type="pct"/>
              <w:tblCellMar>
                <w:left w:w="0" w:type="dxa"/>
                <w:right w:w="0" w:type="dxa"/>
              </w:tblCellMar>
              <w:tblLook w:val="04A0" w:firstRow="1" w:lastRow="0" w:firstColumn="1" w:lastColumn="0" w:noHBand="0" w:noVBand="1"/>
            </w:tblPr>
            <w:tblGrid>
              <w:gridCol w:w="578"/>
              <w:gridCol w:w="617"/>
              <w:gridCol w:w="193"/>
              <w:gridCol w:w="6300"/>
            </w:tblGrid>
            <w:tr w:rsidR="00143080" w:rsidRPr="003F68CE" w14:paraId="017C0F0B" w14:textId="77777777" w:rsidTr="003D1256">
              <w:tc>
                <w:tcPr>
                  <w:tcW w:w="578" w:type="dxa"/>
                  <w:hideMark/>
                </w:tcPr>
                <w:p w14:paraId="2A2B38ED" w14:textId="77777777" w:rsidR="00007BBD" w:rsidRPr="003F68CE" w:rsidRDefault="00007BBD" w:rsidP="003D1256">
                  <w:pPr>
                    <w:pStyle w:val="rvps11"/>
                    <w:spacing w:before="0" w:beforeAutospacing="0" w:after="0" w:afterAutospacing="0"/>
                    <w:jc w:val="right"/>
                  </w:pPr>
                  <w:r w:rsidRPr="003F68CE">
                    <w:t>де:</w:t>
                  </w:r>
                </w:p>
              </w:tc>
              <w:tc>
                <w:tcPr>
                  <w:tcW w:w="617" w:type="dxa"/>
                  <w:hideMark/>
                </w:tcPr>
                <w:p w14:paraId="5733B809" w14:textId="77777777" w:rsidR="00007BBD" w:rsidRPr="003F68CE" w:rsidRDefault="00007BBD" w:rsidP="003D1256">
                  <w:pPr>
                    <w:pStyle w:val="rvps12"/>
                    <w:spacing w:before="0" w:beforeAutospacing="0" w:after="0" w:afterAutospacing="0"/>
                    <w:jc w:val="center"/>
                  </w:pPr>
                  <w:r w:rsidRPr="003F68CE">
                    <w:t>Т</w:t>
                  </w:r>
                  <w:r w:rsidRPr="003F68CE">
                    <w:rPr>
                      <w:rStyle w:val="rvts40"/>
                      <w:b/>
                      <w:bCs/>
                      <w:sz w:val="16"/>
                      <w:szCs w:val="16"/>
                      <w:vertAlign w:val="subscript"/>
                    </w:rPr>
                    <w:t>відб</w:t>
                  </w:r>
                </w:p>
              </w:tc>
              <w:tc>
                <w:tcPr>
                  <w:tcW w:w="193" w:type="dxa"/>
                  <w:hideMark/>
                </w:tcPr>
                <w:p w14:paraId="7628063C" w14:textId="77777777" w:rsidR="00007BBD" w:rsidRPr="003F68CE" w:rsidRDefault="00007BBD" w:rsidP="003D1256">
                  <w:pPr>
                    <w:pStyle w:val="rvps12"/>
                    <w:spacing w:before="0" w:beforeAutospacing="0" w:after="0" w:afterAutospacing="0"/>
                    <w:jc w:val="center"/>
                  </w:pPr>
                  <w:r w:rsidRPr="003F68CE">
                    <w:t>-</w:t>
                  </w:r>
                </w:p>
              </w:tc>
              <w:tc>
                <w:tcPr>
                  <w:tcW w:w="6300" w:type="dxa"/>
                  <w:hideMark/>
                </w:tcPr>
                <w:p w14:paraId="78842B3F" w14:textId="77777777" w:rsidR="00007BBD" w:rsidRPr="003F68CE" w:rsidRDefault="00007BBD" w:rsidP="003D1256">
                  <w:pPr>
                    <w:pStyle w:val="rvps14"/>
                    <w:spacing w:before="0" w:beforeAutospacing="0" w:after="0" w:afterAutospacing="0"/>
                  </w:pPr>
                  <w:r w:rsidRPr="003F68CE">
                    <w:t>тариф на відбір природного газу, грн за 1000 м</w:t>
                  </w:r>
                  <w:r w:rsidRPr="003F68CE">
                    <w:rPr>
                      <w:rStyle w:val="rvts37"/>
                      <w:b/>
                      <w:bCs/>
                      <w:sz w:val="2"/>
                      <w:szCs w:val="2"/>
                      <w:vertAlign w:val="superscript"/>
                    </w:rPr>
                    <w:t>-</w:t>
                  </w:r>
                  <w:r w:rsidRPr="003F68CE">
                    <w:rPr>
                      <w:rStyle w:val="rvts37"/>
                      <w:b/>
                      <w:bCs/>
                      <w:sz w:val="16"/>
                      <w:szCs w:val="16"/>
                      <w:vertAlign w:val="superscript"/>
                    </w:rPr>
                    <w:t>3</w:t>
                  </w:r>
                  <w:r w:rsidRPr="003F68CE">
                    <w:t> на добу;</w:t>
                  </w:r>
                </w:p>
              </w:tc>
            </w:tr>
            <w:tr w:rsidR="00143080" w:rsidRPr="00387749" w14:paraId="4FEB6B28" w14:textId="77777777" w:rsidTr="003D1256">
              <w:tc>
                <w:tcPr>
                  <w:tcW w:w="578" w:type="dxa"/>
                  <w:hideMark/>
                </w:tcPr>
                <w:p w14:paraId="0F59D5EB" w14:textId="77777777" w:rsidR="00007BBD" w:rsidRPr="003F68CE" w:rsidRDefault="00007BBD" w:rsidP="003D1256">
                  <w:pPr>
                    <w:spacing w:after="0" w:line="240" w:lineRule="auto"/>
                  </w:pPr>
                </w:p>
              </w:tc>
              <w:tc>
                <w:tcPr>
                  <w:tcW w:w="617" w:type="dxa"/>
                  <w:hideMark/>
                </w:tcPr>
                <w:p w14:paraId="04703F57" w14:textId="77777777" w:rsidR="00007BBD" w:rsidRPr="003F68CE" w:rsidRDefault="00007BBD" w:rsidP="003D1256">
                  <w:pPr>
                    <w:pStyle w:val="rvps12"/>
                    <w:spacing w:before="0" w:beforeAutospacing="0" w:after="0" w:afterAutospacing="0"/>
                    <w:jc w:val="center"/>
                  </w:pPr>
                  <w:r w:rsidRPr="003F68CE">
                    <w:t>В</w:t>
                  </w:r>
                  <w:r w:rsidRPr="003F68CE">
                    <w:rPr>
                      <w:rStyle w:val="rvts40"/>
                      <w:b/>
                      <w:bCs/>
                      <w:sz w:val="16"/>
                      <w:szCs w:val="16"/>
                      <w:vertAlign w:val="subscript"/>
                    </w:rPr>
                    <w:t>відб</w:t>
                  </w:r>
                </w:p>
              </w:tc>
              <w:tc>
                <w:tcPr>
                  <w:tcW w:w="193" w:type="dxa"/>
                  <w:hideMark/>
                </w:tcPr>
                <w:p w14:paraId="613A969A" w14:textId="77777777" w:rsidR="00007BBD" w:rsidRPr="003F68CE" w:rsidRDefault="00007BBD" w:rsidP="003D1256">
                  <w:pPr>
                    <w:pStyle w:val="rvps12"/>
                    <w:spacing w:before="0" w:beforeAutospacing="0" w:after="0" w:afterAutospacing="0"/>
                    <w:jc w:val="center"/>
                  </w:pPr>
                  <w:r w:rsidRPr="003F68CE">
                    <w:t>-</w:t>
                  </w:r>
                </w:p>
              </w:tc>
              <w:tc>
                <w:tcPr>
                  <w:tcW w:w="6300" w:type="dxa"/>
                  <w:hideMark/>
                </w:tcPr>
                <w:p w14:paraId="0B02AB16" w14:textId="77777777" w:rsidR="00007BBD" w:rsidRDefault="00007BBD" w:rsidP="003D1256">
                  <w:pPr>
                    <w:pStyle w:val="rvps14"/>
                    <w:spacing w:before="0" w:beforeAutospacing="0" w:after="0" w:afterAutospacing="0"/>
                  </w:pPr>
                  <w:r w:rsidRPr="003F68CE">
                    <w:t>плановані витрати оператора газосховища на відбір природного газу, які визначаються згідно з розподілом витрат, пов'язаних з наданням послуг зберігання (закачування, відбору) природного газу в/з ПСГ відповідно до </w:t>
                  </w:r>
                  <w:hyperlink r:id="rId31" w:anchor="n204" w:history="1">
                    <w:r w:rsidRPr="003F68CE">
                      <w:rPr>
                        <w:rStyle w:val="a6"/>
                        <w:color w:val="auto"/>
                      </w:rPr>
                      <w:t>додатка 1</w:t>
                    </w:r>
                  </w:hyperlink>
                  <w:r w:rsidRPr="003F68CE">
                    <w:t> до цієї Методики, тис. грн;</w:t>
                  </w:r>
                </w:p>
                <w:p w14:paraId="1FB077AA" w14:textId="00745C39" w:rsidR="003D1256" w:rsidRPr="003F68CE" w:rsidRDefault="003D1256" w:rsidP="003D1256">
                  <w:pPr>
                    <w:pStyle w:val="rvps14"/>
                    <w:spacing w:before="0" w:beforeAutospacing="0" w:after="0" w:afterAutospacing="0"/>
                  </w:pPr>
                </w:p>
              </w:tc>
            </w:tr>
            <w:tr w:rsidR="00143080" w:rsidRPr="003F68CE" w14:paraId="36CD9654" w14:textId="77777777" w:rsidTr="003D1256">
              <w:tc>
                <w:tcPr>
                  <w:tcW w:w="578" w:type="dxa"/>
                  <w:hideMark/>
                </w:tcPr>
                <w:p w14:paraId="09495CAF" w14:textId="77777777" w:rsidR="00007BBD" w:rsidRPr="003F68CE" w:rsidRDefault="00007BBD" w:rsidP="003D1256">
                  <w:pPr>
                    <w:spacing w:after="0" w:line="240" w:lineRule="auto"/>
                    <w:rPr>
                      <w:lang w:val="uk-UA"/>
                    </w:rPr>
                  </w:pPr>
                </w:p>
              </w:tc>
              <w:tc>
                <w:tcPr>
                  <w:tcW w:w="617" w:type="dxa"/>
                  <w:hideMark/>
                </w:tcPr>
                <w:p w14:paraId="5E755B12" w14:textId="77777777" w:rsidR="00007BBD" w:rsidRPr="003F68CE" w:rsidRDefault="00007BBD" w:rsidP="003D1256">
                  <w:pPr>
                    <w:pStyle w:val="rvps12"/>
                    <w:spacing w:before="0" w:beforeAutospacing="0" w:after="0" w:afterAutospacing="0"/>
                    <w:jc w:val="center"/>
                  </w:pPr>
                  <w:r w:rsidRPr="003F68CE">
                    <w:t>Р</w:t>
                  </w:r>
                </w:p>
              </w:tc>
              <w:tc>
                <w:tcPr>
                  <w:tcW w:w="193" w:type="dxa"/>
                  <w:hideMark/>
                </w:tcPr>
                <w:p w14:paraId="5733B5E7" w14:textId="77777777" w:rsidR="00007BBD" w:rsidRPr="003F68CE" w:rsidRDefault="00007BBD" w:rsidP="003D1256">
                  <w:pPr>
                    <w:pStyle w:val="rvps12"/>
                    <w:spacing w:before="0" w:beforeAutospacing="0" w:after="0" w:afterAutospacing="0"/>
                    <w:jc w:val="center"/>
                  </w:pPr>
                  <w:r w:rsidRPr="003F68CE">
                    <w:t>-</w:t>
                  </w:r>
                </w:p>
              </w:tc>
              <w:tc>
                <w:tcPr>
                  <w:tcW w:w="6300" w:type="dxa"/>
                  <w:hideMark/>
                </w:tcPr>
                <w:p w14:paraId="75D63C20" w14:textId="77777777" w:rsidR="00007BBD" w:rsidRPr="003F68CE" w:rsidRDefault="00007BBD" w:rsidP="003D1256">
                  <w:pPr>
                    <w:pStyle w:val="rvps14"/>
                    <w:spacing w:before="0" w:beforeAutospacing="0" w:after="0" w:afterAutospacing="0"/>
                  </w:pPr>
                  <w:r w:rsidRPr="003F68CE">
                    <w:t>планована рентабельність оператора газосховищ, розраховується за формулою (4), %;</w:t>
                  </w:r>
                </w:p>
              </w:tc>
            </w:tr>
            <w:tr w:rsidR="00143080" w:rsidRPr="003F68CE" w14:paraId="79EFB161" w14:textId="77777777" w:rsidTr="003D1256">
              <w:trPr>
                <w:trHeight w:val="720"/>
              </w:trPr>
              <w:tc>
                <w:tcPr>
                  <w:tcW w:w="578" w:type="dxa"/>
                  <w:hideMark/>
                </w:tcPr>
                <w:p w14:paraId="080CF45A" w14:textId="77777777" w:rsidR="00007BBD" w:rsidRPr="003F68CE" w:rsidRDefault="00007BBD" w:rsidP="003D1256">
                  <w:pPr>
                    <w:spacing w:after="0" w:line="240" w:lineRule="auto"/>
                  </w:pPr>
                </w:p>
              </w:tc>
              <w:tc>
                <w:tcPr>
                  <w:tcW w:w="617" w:type="dxa"/>
                  <w:hideMark/>
                </w:tcPr>
                <w:p w14:paraId="7406E062" w14:textId="77777777" w:rsidR="00007BBD" w:rsidRPr="003F68CE" w:rsidRDefault="00007BBD" w:rsidP="003D1256">
                  <w:pPr>
                    <w:pStyle w:val="rvps12"/>
                    <w:spacing w:before="0" w:beforeAutospacing="0" w:after="0" w:afterAutospacing="0"/>
                    <w:jc w:val="center"/>
                  </w:pPr>
                  <w:r w:rsidRPr="003F68CE">
                    <w:rPr>
                      <w:rStyle w:val="rvts11"/>
                      <w:i/>
                      <w:iCs/>
                    </w:rPr>
                    <w:t>К</w:t>
                  </w:r>
                </w:p>
              </w:tc>
              <w:tc>
                <w:tcPr>
                  <w:tcW w:w="193" w:type="dxa"/>
                  <w:hideMark/>
                </w:tcPr>
                <w:p w14:paraId="46DAF893" w14:textId="77777777" w:rsidR="00007BBD" w:rsidRPr="003F68CE" w:rsidRDefault="00007BBD" w:rsidP="003D1256">
                  <w:pPr>
                    <w:pStyle w:val="rvps12"/>
                    <w:spacing w:before="0" w:beforeAutospacing="0" w:after="0" w:afterAutospacing="0"/>
                    <w:jc w:val="center"/>
                  </w:pPr>
                  <w:r w:rsidRPr="003F68CE">
                    <w:t>-</w:t>
                  </w:r>
                </w:p>
              </w:tc>
              <w:tc>
                <w:tcPr>
                  <w:tcW w:w="6300" w:type="dxa"/>
                  <w:hideMark/>
                </w:tcPr>
                <w:p w14:paraId="597F0BAC" w14:textId="1D8C0413" w:rsidR="00E813D2" w:rsidRPr="003F68CE" w:rsidRDefault="00007BBD" w:rsidP="003D1256">
                  <w:pPr>
                    <w:pStyle w:val="rvps14"/>
                    <w:spacing w:before="0" w:beforeAutospacing="0" w:after="0" w:afterAutospacing="0"/>
                  </w:pPr>
                  <w:r w:rsidRPr="003F68CE">
                    <w:t>коефіцієнт коригування планованої тарифної виручки, що розраховується за формулою 5, %;</w:t>
                  </w:r>
                </w:p>
              </w:tc>
            </w:tr>
            <w:tr w:rsidR="00143080" w:rsidRPr="003F68CE" w14:paraId="3C87F7B2" w14:textId="77777777" w:rsidTr="003D1256">
              <w:trPr>
                <w:trHeight w:val="553"/>
              </w:trPr>
              <w:tc>
                <w:tcPr>
                  <w:tcW w:w="578" w:type="dxa"/>
                </w:tcPr>
                <w:p w14:paraId="149515A7" w14:textId="77777777" w:rsidR="00E813D2" w:rsidRPr="003F68CE" w:rsidRDefault="00E813D2" w:rsidP="003D1256">
                  <w:pPr>
                    <w:spacing w:after="0" w:line="240" w:lineRule="auto"/>
                  </w:pPr>
                </w:p>
              </w:tc>
              <w:tc>
                <w:tcPr>
                  <w:tcW w:w="617" w:type="dxa"/>
                </w:tcPr>
                <w:p w14:paraId="366C7166" w14:textId="051FB4C7" w:rsidR="00E813D2" w:rsidRPr="003F68CE" w:rsidRDefault="00E813D2" w:rsidP="003D1256">
                  <w:pPr>
                    <w:pStyle w:val="rvps12"/>
                    <w:spacing w:before="0" w:beforeAutospacing="0" w:after="0" w:afterAutospacing="0"/>
                    <w:jc w:val="center"/>
                    <w:rPr>
                      <w:rStyle w:val="rvts11"/>
                      <w:i/>
                      <w:iCs/>
                    </w:rPr>
                  </w:pPr>
                  <w:r w:rsidRPr="003F68CE">
                    <w:rPr>
                      <w:rStyle w:val="rvts11"/>
                      <w:i/>
                      <w:iCs/>
                    </w:rPr>
                    <w:t>ККІ</w:t>
                  </w:r>
                </w:p>
              </w:tc>
              <w:tc>
                <w:tcPr>
                  <w:tcW w:w="193" w:type="dxa"/>
                </w:tcPr>
                <w:p w14:paraId="794725B3" w14:textId="2C66F8AF" w:rsidR="00E813D2" w:rsidRPr="003F68CE" w:rsidRDefault="00E813D2" w:rsidP="003D1256">
                  <w:pPr>
                    <w:pStyle w:val="rvps12"/>
                    <w:spacing w:before="0" w:beforeAutospacing="0" w:after="0" w:afterAutospacing="0"/>
                    <w:jc w:val="center"/>
                  </w:pPr>
                  <w:r w:rsidRPr="003F68CE">
                    <w:t>-</w:t>
                  </w:r>
                </w:p>
              </w:tc>
              <w:tc>
                <w:tcPr>
                  <w:tcW w:w="6300" w:type="dxa"/>
                </w:tcPr>
                <w:p w14:paraId="17DE74E4" w14:textId="77777777" w:rsidR="00E813D2" w:rsidRDefault="00E813D2" w:rsidP="003D1256">
                  <w:pPr>
                    <w:pStyle w:val="rvps14"/>
                    <w:spacing w:before="0" w:beforeAutospacing="0" w:after="0" w:afterAutospacing="0"/>
                    <w:rPr>
                      <w:b/>
                    </w:rPr>
                  </w:pPr>
                  <w:r w:rsidRPr="003F68CE">
                    <w:rPr>
                      <w:b/>
                    </w:rPr>
                    <w:t>коефіцієнт капітальних інвестицій, що розраховується за формулою (6), %</w:t>
                  </w:r>
                </w:p>
                <w:p w14:paraId="397E4774" w14:textId="4A7C2684" w:rsidR="003D1256" w:rsidRPr="003F68CE" w:rsidRDefault="003D1256" w:rsidP="003D1256">
                  <w:pPr>
                    <w:pStyle w:val="rvps14"/>
                    <w:spacing w:before="0" w:beforeAutospacing="0" w:after="0" w:afterAutospacing="0"/>
                  </w:pPr>
                </w:p>
              </w:tc>
            </w:tr>
            <w:tr w:rsidR="00143080" w:rsidRPr="003F68CE" w14:paraId="3A0BC0F5" w14:textId="77777777" w:rsidTr="003D1256">
              <w:tc>
                <w:tcPr>
                  <w:tcW w:w="578" w:type="dxa"/>
                  <w:hideMark/>
                </w:tcPr>
                <w:p w14:paraId="3C979109" w14:textId="77777777" w:rsidR="00E813D2" w:rsidRPr="003F68CE" w:rsidRDefault="00E813D2" w:rsidP="003D1256">
                  <w:pPr>
                    <w:spacing w:after="0" w:line="240" w:lineRule="auto"/>
                  </w:pPr>
                </w:p>
              </w:tc>
              <w:tc>
                <w:tcPr>
                  <w:tcW w:w="617" w:type="dxa"/>
                  <w:hideMark/>
                </w:tcPr>
                <w:p w14:paraId="1DA3D027" w14:textId="77777777" w:rsidR="00E813D2" w:rsidRPr="003F68CE" w:rsidRDefault="00E813D2" w:rsidP="003D1256">
                  <w:pPr>
                    <w:pStyle w:val="rvps12"/>
                    <w:spacing w:before="0" w:beforeAutospacing="0" w:after="0" w:afterAutospacing="0"/>
                    <w:jc w:val="center"/>
                  </w:pPr>
                  <w:r w:rsidRPr="003F68CE">
                    <w:t>W</w:t>
                  </w:r>
                  <w:r w:rsidRPr="003F68CE">
                    <w:rPr>
                      <w:rStyle w:val="rvts40"/>
                      <w:b/>
                      <w:bCs/>
                      <w:sz w:val="16"/>
                      <w:szCs w:val="16"/>
                      <w:vertAlign w:val="subscript"/>
                    </w:rPr>
                    <w:t>відб</w:t>
                  </w:r>
                </w:p>
              </w:tc>
              <w:tc>
                <w:tcPr>
                  <w:tcW w:w="193" w:type="dxa"/>
                  <w:hideMark/>
                </w:tcPr>
                <w:p w14:paraId="30751F64" w14:textId="77777777" w:rsidR="00E813D2" w:rsidRPr="003F68CE" w:rsidRDefault="00E813D2" w:rsidP="003D1256">
                  <w:pPr>
                    <w:pStyle w:val="rvps12"/>
                    <w:spacing w:before="0" w:beforeAutospacing="0" w:after="0" w:afterAutospacing="0"/>
                    <w:jc w:val="center"/>
                  </w:pPr>
                  <w:r w:rsidRPr="003F68CE">
                    <w:t>-</w:t>
                  </w:r>
                </w:p>
              </w:tc>
              <w:tc>
                <w:tcPr>
                  <w:tcW w:w="6300" w:type="dxa"/>
                  <w:hideMark/>
                </w:tcPr>
                <w:p w14:paraId="18421426" w14:textId="77777777" w:rsidR="00E813D2" w:rsidRPr="003F68CE" w:rsidRDefault="00E813D2" w:rsidP="003D1256">
                  <w:pPr>
                    <w:pStyle w:val="rvps14"/>
                    <w:spacing w:before="0" w:beforeAutospacing="0" w:after="0" w:afterAutospacing="0"/>
                  </w:pPr>
                  <w:r w:rsidRPr="003F68CE">
                    <w:t>планована річна потужність відбору природного газу із ПСГ на планований період, млн м</w:t>
                  </w:r>
                  <w:r w:rsidRPr="003F68CE">
                    <w:rPr>
                      <w:rStyle w:val="rvts37"/>
                      <w:b/>
                      <w:bCs/>
                      <w:sz w:val="2"/>
                      <w:szCs w:val="2"/>
                      <w:vertAlign w:val="superscript"/>
                    </w:rPr>
                    <w:t>-</w:t>
                  </w:r>
                  <w:r w:rsidRPr="003F68CE">
                    <w:rPr>
                      <w:rStyle w:val="rvts37"/>
                      <w:b/>
                      <w:bCs/>
                      <w:sz w:val="16"/>
                      <w:szCs w:val="16"/>
                      <w:vertAlign w:val="superscript"/>
                    </w:rPr>
                    <w:t>3</w:t>
                  </w:r>
                  <w:r w:rsidRPr="003F68CE">
                    <w:t> на рік.</w:t>
                  </w:r>
                </w:p>
              </w:tc>
            </w:tr>
            <w:bookmarkEnd w:id="15"/>
          </w:tbl>
          <w:p w14:paraId="01B1DBA1" w14:textId="470F6DAA" w:rsidR="00007BBD" w:rsidRPr="003F68CE" w:rsidRDefault="00007BBD" w:rsidP="003D1256">
            <w:pPr>
              <w:pStyle w:val="a4"/>
              <w:spacing w:before="0" w:beforeAutospacing="0" w:after="0" w:afterAutospacing="0"/>
              <w:jc w:val="both"/>
              <w:rPr>
                <w:lang w:val="ru-RU"/>
              </w:rPr>
            </w:pPr>
          </w:p>
        </w:tc>
      </w:tr>
      <w:tr w:rsidR="003F68CE" w:rsidRPr="003F68CE" w14:paraId="6A5EBF94" w14:textId="77777777" w:rsidTr="003D1256">
        <w:tc>
          <w:tcPr>
            <w:tcW w:w="14879" w:type="dxa"/>
            <w:gridSpan w:val="2"/>
          </w:tcPr>
          <w:p w14:paraId="78943FC1" w14:textId="77777777" w:rsidR="00806E1E" w:rsidRPr="003F68CE" w:rsidRDefault="00806E1E" w:rsidP="003D1256">
            <w:pPr>
              <w:pStyle w:val="3"/>
              <w:spacing w:before="0" w:beforeAutospacing="0" w:after="0" w:afterAutospacing="0"/>
              <w:jc w:val="center"/>
              <w:outlineLvl w:val="2"/>
            </w:pPr>
            <w:r w:rsidRPr="003F68CE">
              <w:lastRenderedPageBreak/>
              <w:t>IV. Прибуток</w:t>
            </w:r>
          </w:p>
        </w:tc>
      </w:tr>
      <w:tr w:rsidR="00143080" w:rsidRPr="00387749" w14:paraId="182E88FD" w14:textId="77777777" w:rsidTr="003D1256">
        <w:tc>
          <w:tcPr>
            <w:tcW w:w="6976" w:type="dxa"/>
          </w:tcPr>
          <w:p w14:paraId="4FE88355" w14:textId="77777777" w:rsidR="00B32DED" w:rsidRPr="003F68CE" w:rsidRDefault="00B32DED" w:rsidP="003D1256">
            <w:pPr>
              <w:shd w:val="clear" w:color="auto" w:fill="FFFFFF"/>
              <w:spacing w:after="0" w:line="240" w:lineRule="auto"/>
              <w:jc w:val="both"/>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1. При розрахунку тарифів до складу планованої тарифної виручки включається планований прибуток суб’єкта господарювання, що здійснює діяльність з надання послуг зберігання (закачування, відбору) природного газу в/з ПСГ, який визначається з урахуванням необхідності:</w:t>
            </w:r>
          </w:p>
          <w:p w14:paraId="2603234E" w14:textId="4776C320" w:rsidR="00B32DED" w:rsidRDefault="00B32DED" w:rsidP="003D1256">
            <w:pPr>
              <w:shd w:val="clear" w:color="auto" w:fill="FFFFFF"/>
              <w:spacing w:after="0" w:line="240" w:lineRule="auto"/>
              <w:jc w:val="both"/>
              <w:rPr>
                <w:rFonts w:ascii="Times New Roman" w:eastAsia="Times New Roman" w:hAnsi="Times New Roman" w:cs="Times New Roman"/>
                <w:sz w:val="24"/>
                <w:szCs w:val="24"/>
                <w:lang w:val="uk-UA" w:eastAsia="uk-UA"/>
              </w:rPr>
            </w:pPr>
            <w:bookmarkStart w:id="16" w:name="n183"/>
            <w:bookmarkEnd w:id="16"/>
            <w:r w:rsidRPr="003F68CE">
              <w:rPr>
                <w:rFonts w:ascii="Times New Roman" w:eastAsia="Times New Roman" w:hAnsi="Times New Roman" w:cs="Times New Roman"/>
                <w:sz w:val="24"/>
                <w:szCs w:val="24"/>
                <w:lang w:val="uk-UA" w:eastAsia="uk-UA"/>
              </w:rPr>
              <w:t>здійснення інвестицій, пов’язаних з ліцензованою діяльністю із зберігання  природного газу в ПСГ;</w:t>
            </w:r>
          </w:p>
          <w:p w14:paraId="32287A84" w14:textId="77777777" w:rsidR="0086455A" w:rsidRPr="003F68CE" w:rsidRDefault="0086455A" w:rsidP="003D1256">
            <w:pPr>
              <w:shd w:val="clear" w:color="auto" w:fill="FFFFFF"/>
              <w:spacing w:after="0" w:line="240" w:lineRule="auto"/>
              <w:jc w:val="both"/>
              <w:rPr>
                <w:rFonts w:ascii="Times New Roman" w:eastAsia="Times New Roman" w:hAnsi="Times New Roman" w:cs="Times New Roman"/>
                <w:sz w:val="24"/>
                <w:szCs w:val="24"/>
                <w:lang w:val="uk-UA" w:eastAsia="uk-UA"/>
              </w:rPr>
            </w:pPr>
          </w:p>
          <w:p w14:paraId="616E2F7D" w14:textId="55F0F644" w:rsidR="00B32DED" w:rsidRDefault="00B32DED" w:rsidP="003D1256">
            <w:pPr>
              <w:shd w:val="clear" w:color="auto" w:fill="FFFFFF"/>
              <w:spacing w:after="0" w:line="240" w:lineRule="auto"/>
              <w:jc w:val="both"/>
              <w:rPr>
                <w:rFonts w:ascii="Times New Roman" w:eastAsia="Times New Roman" w:hAnsi="Times New Roman" w:cs="Times New Roman"/>
                <w:sz w:val="24"/>
                <w:szCs w:val="24"/>
                <w:lang w:val="uk-UA" w:eastAsia="uk-UA"/>
              </w:rPr>
            </w:pPr>
            <w:bookmarkStart w:id="17" w:name="n184"/>
            <w:bookmarkEnd w:id="17"/>
            <w:r w:rsidRPr="003F68CE">
              <w:rPr>
                <w:rFonts w:ascii="Times New Roman" w:eastAsia="Times New Roman" w:hAnsi="Times New Roman" w:cs="Times New Roman"/>
                <w:sz w:val="24"/>
                <w:szCs w:val="24"/>
                <w:lang w:val="uk-UA" w:eastAsia="uk-UA"/>
              </w:rPr>
              <w:t>погашення основної суми погоджених відповідно до чинного законодавства кредитів та/або запозичень, залучених для виконання інвестиційної програми, та/або суми інвестицій за рахунок власного капіталу в необоротні матеріальні та нематеріальні активи;</w:t>
            </w:r>
          </w:p>
          <w:p w14:paraId="18246027" w14:textId="77777777" w:rsidR="0086455A" w:rsidRPr="003F68CE" w:rsidRDefault="0086455A" w:rsidP="003D1256">
            <w:pPr>
              <w:shd w:val="clear" w:color="auto" w:fill="FFFFFF"/>
              <w:spacing w:after="0" w:line="240" w:lineRule="auto"/>
              <w:jc w:val="both"/>
              <w:rPr>
                <w:rFonts w:ascii="Times New Roman" w:eastAsia="Times New Roman" w:hAnsi="Times New Roman" w:cs="Times New Roman"/>
                <w:sz w:val="24"/>
                <w:szCs w:val="24"/>
                <w:lang w:val="uk-UA" w:eastAsia="uk-UA"/>
              </w:rPr>
            </w:pPr>
          </w:p>
          <w:p w14:paraId="5B20CB8A" w14:textId="77777777" w:rsidR="008A2058" w:rsidRPr="003F68CE" w:rsidRDefault="00B32DED" w:rsidP="003D1256">
            <w:pPr>
              <w:shd w:val="clear" w:color="auto" w:fill="FFFFFF"/>
              <w:spacing w:after="0" w:line="240" w:lineRule="auto"/>
              <w:jc w:val="both"/>
              <w:rPr>
                <w:rFonts w:ascii="Times New Roman" w:eastAsia="Times New Roman" w:hAnsi="Times New Roman" w:cs="Times New Roman"/>
                <w:sz w:val="24"/>
                <w:szCs w:val="24"/>
                <w:lang w:val="uk-UA" w:eastAsia="uk-UA"/>
              </w:rPr>
            </w:pPr>
            <w:bookmarkStart w:id="18" w:name="n185"/>
            <w:bookmarkEnd w:id="18"/>
            <w:r w:rsidRPr="003F68CE">
              <w:rPr>
                <w:rFonts w:ascii="Times New Roman" w:eastAsia="Times New Roman" w:hAnsi="Times New Roman" w:cs="Times New Roman"/>
                <w:sz w:val="24"/>
                <w:szCs w:val="24"/>
                <w:lang w:val="uk-UA" w:eastAsia="uk-UA"/>
              </w:rPr>
              <w:t>спрямування відповідно до </w:t>
            </w:r>
            <w:hyperlink r:id="rId32" w:tgtFrame="_blank" w:history="1">
              <w:r w:rsidRPr="003F68CE">
                <w:rPr>
                  <w:rFonts w:ascii="Times New Roman" w:eastAsia="Times New Roman" w:hAnsi="Times New Roman" w:cs="Times New Roman"/>
                  <w:sz w:val="24"/>
                  <w:szCs w:val="24"/>
                  <w:lang w:val="uk-UA" w:eastAsia="uk-UA"/>
                </w:rPr>
                <w:t>Закону України</w:t>
              </w:r>
            </w:hyperlink>
            <w:r w:rsidRPr="003F68CE">
              <w:rPr>
                <w:rFonts w:ascii="Times New Roman" w:eastAsia="Times New Roman" w:hAnsi="Times New Roman" w:cs="Times New Roman"/>
                <w:sz w:val="24"/>
                <w:szCs w:val="24"/>
                <w:lang w:val="uk-UA" w:eastAsia="uk-UA"/>
              </w:rPr>
              <w:t> «Про управління об'єктами державної власності» частини чистого прибутку на виплату дивідендів;</w:t>
            </w:r>
            <w:bookmarkStart w:id="19" w:name="n333"/>
            <w:bookmarkEnd w:id="19"/>
          </w:p>
          <w:p w14:paraId="5F6A145A" w14:textId="4C58ECD4" w:rsidR="008A2058" w:rsidRDefault="00B32DED" w:rsidP="003D1256">
            <w:pPr>
              <w:shd w:val="clear" w:color="auto" w:fill="FFFFFF"/>
              <w:spacing w:after="0" w:line="240" w:lineRule="auto"/>
              <w:jc w:val="both"/>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забезпечення нерозподіленого прибутку за рахунок планованого прибутку в обсязі, що не перевищує 5 % від повної планованої собівартості, без урахування амортизаційних відрахувань;</w:t>
            </w:r>
          </w:p>
          <w:p w14:paraId="0A826559" w14:textId="77777777" w:rsidR="0086455A" w:rsidRPr="003F68CE" w:rsidRDefault="0086455A" w:rsidP="003D1256">
            <w:pPr>
              <w:shd w:val="clear" w:color="auto" w:fill="FFFFFF"/>
              <w:spacing w:after="0" w:line="240" w:lineRule="auto"/>
              <w:jc w:val="both"/>
              <w:rPr>
                <w:rFonts w:ascii="Times New Roman" w:eastAsia="Times New Roman" w:hAnsi="Times New Roman" w:cs="Times New Roman"/>
                <w:sz w:val="24"/>
                <w:szCs w:val="24"/>
                <w:lang w:val="uk-UA" w:eastAsia="uk-UA"/>
              </w:rPr>
            </w:pPr>
          </w:p>
          <w:p w14:paraId="039BA9C0" w14:textId="77777777" w:rsidR="00B32DED" w:rsidRPr="003F68CE" w:rsidRDefault="00B32DED" w:rsidP="003D1256">
            <w:pPr>
              <w:shd w:val="clear" w:color="auto" w:fill="FFFFFF"/>
              <w:spacing w:after="0" w:line="240" w:lineRule="auto"/>
              <w:jc w:val="both"/>
              <w:rPr>
                <w:rFonts w:ascii="Times New Roman" w:eastAsia="Times New Roman" w:hAnsi="Times New Roman" w:cs="Times New Roman"/>
                <w:sz w:val="24"/>
                <w:szCs w:val="24"/>
                <w:lang w:val="uk-UA" w:eastAsia="uk-UA"/>
              </w:rPr>
            </w:pPr>
            <w:bookmarkStart w:id="20" w:name="n334"/>
            <w:bookmarkStart w:id="21" w:name="n187"/>
            <w:bookmarkEnd w:id="20"/>
            <w:bookmarkEnd w:id="21"/>
            <w:r w:rsidRPr="003F68CE">
              <w:rPr>
                <w:rFonts w:ascii="Times New Roman" w:eastAsia="Times New Roman" w:hAnsi="Times New Roman" w:cs="Times New Roman"/>
                <w:sz w:val="24"/>
                <w:szCs w:val="24"/>
                <w:lang w:val="uk-UA" w:eastAsia="uk-UA"/>
              </w:rPr>
              <w:t>сплати податків та зборів.</w:t>
            </w:r>
          </w:p>
          <w:p w14:paraId="05CBD131" w14:textId="77777777" w:rsidR="00B32DED" w:rsidRPr="003F68CE" w:rsidRDefault="00B32DED" w:rsidP="003D1256">
            <w:pPr>
              <w:shd w:val="clear" w:color="auto" w:fill="FFFFFF"/>
              <w:spacing w:after="0" w:line="240" w:lineRule="auto"/>
              <w:jc w:val="both"/>
              <w:rPr>
                <w:lang w:val="uk-UA"/>
              </w:rPr>
            </w:pPr>
            <w:bookmarkStart w:id="22" w:name="n188"/>
            <w:bookmarkEnd w:id="22"/>
            <w:r w:rsidRPr="003F68CE">
              <w:rPr>
                <w:rFonts w:ascii="Times New Roman" w:eastAsia="Times New Roman" w:hAnsi="Times New Roman" w:cs="Times New Roman"/>
                <w:sz w:val="24"/>
                <w:szCs w:val="24"/>
                <w:lang w:val="uk-UA" w:eastAsia="uk-UA"/>
              </w:rPr>
              <w:t>2. Планування складової частини прибутку, що передбачається для здійснення необхідних інвестицій, проводиться відповідно до інвестиційної програми ліцензіата.</w:t>
            </w:r>
          </w:p>
        </w:tc>
        <w:tc>
          <w:tcPr>
            <w:tcW w:w="7903" w:type="dxa"/>
          </w:tcPr>
          <w:p w14:paraId="7724FF3E" w14:textId="4C3707A0" w:rsidR="00B32DED" w:rsidRDefault="00B32DED" w:rsidP="003D1256">
            <w:pPr>
              <w:shd w:val="clear" w:color="auto" w:fill="FFFFFF"/>
              <w:spacing w:after="0" w:line="240" w:lineRule="auto"/>
              <w:jc w:val="both"/>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1. При розрахунку тарифів до складу планованої тарифної виручки включається планований прибуток суб’єкта господарювання, що здійснює діяльність з надання послуг зберігання (закачування, відбору) природного газу в/з ПСГ, який визначається з урахуванням необхідності:</w:t>
            </w:r>
          </w:p>
          <w:p w14:paraId="762C52D3" w14:textId="77777777" w:rsidR="003D1256" w:rsidRDefault="003D1256" w:rsidP="003D1256">
            <w:pPr>
              <w:shd w:val="clear" w:color="auto" w:fill="FFFFFF"/>
              <w:spacing w:after="0" w:line="240" w:lineRule="auto"/>
              <w:jc w:val="both"/>
              <w:rPr>
                <w:rFonts w:ascii="Times New Roman" w:eastAsia="Times New Roman" w:hAnsi="Times New Roman" w:cs="Times New Roman"/>
                <w:sz w:val="24"/>
                <w:szCs w:val="24"/>
                <w:lang w:val="uk-UA" w:eastAsia="uk-UA"/>
              </w:rPr>
            </w:pPr>
          </w:p>
          <w:p w14:paraId="6160E170" w14:textId="46897CA7" w:rsidR="00B32DED" w:rsidRDefault="00B32DED" w:rsidP="003D1256">
            <w:pPr>
              <w:shd w:val="clear" w:color="auto" w:fill="FFFFFF"/>
              <w:spacing w:after="0" w:line="240" w:lineRule="auto"/>
              <w:jc w:val="both"/>
              <w:rPr>
                <w:rFonts w:ascii="Times New Roman" w:eastAsia="Times New Roman" w:hAnsi="Times New Roman" w:cs="Times New Roman"/>
                <w:strike/>
                <w:sz w:val="24"/>
                <w:szCs w:val="24"/>
                <w:lang w:val="uk-UA" w:eastAsia="uk-UA"/>
              </w:rPr>
            </w:pPr>
            <w:r w:rsidRPr="003F68CE">
              <w:rPr>
                <w:rFonts w:ascii="Times New Roman" w:eastAsia="Times New Roman" w:hAnsi="Times New Roman" w:cs="Times New Roman"/>
                <w:strike/>
                <w:sz w:val="24"/>
                <w:szCs w:val="24"/>
                <w:lang w:val="uk-UA" w:eastAsia="uk-UA"/>
              </w:rPr>
              <w:t>здійснення інвестицій, пов’язаних з ліцензованою діяльністю із зберігання  природного газу в ПСГ;</w:t>
            </w:r>
          </w:p>
          <w:p w14:paraId="237FED42" w14:textId="77777777" w:rsidR="0086455A" w:rsidRPr="003F68CE" w:rsidRDefault="0086455A" w:rsidP="003D1256">
            <w:pPr>
              <w:shd w:val="clear" w:color="auto" w:fill="FFFFFF"/>
              <w:spacing w:after="0" w:line="240" w:lineRule="auto"/>
              <w:jc w:val="both"/>
              <w:rPr>
                <w:rFonts w:ascii="Times New Roman" w:eastAsia="Times New Roman" w:hAnsi="Times New Roman" w:cs="Times New Roman"/>
                <w:strike/>
                <w:sz w:val="24"/>
                <w:szCs w:val="24"/>
                <w:lang w:val="uk-UA" w:eastAsia="uk-UA"/>
              </w:rPr>
            </w:pPr>
          </w:p>
          <w:p w14:paraId="5CB55F86" w14:textId="7DBDC79A" w:rsidR="00B32DED" w:rsidRDefault="00B32DED" w:rsidP="003D1256">
            <w:pPr>
              <w:shd w:val="clear" w:color="auto" w:fill="FFFFFF"/>
              <w:spacing w:after="0" w:line="240" w:lineRule="auto"/>
              <w:jc w:val="both"/>
              <w:rPr>
                <w:rFonts w:ascii="Times New Roman" w:eastAsia="Times New Roman" w:hAnsi="Times New Roman" w:cs="Times New Roman"/>
                <w:strike/>
                <w:sz w:val="24"/>
                <w:szCs w:val="24"/>
                <w:lang w:val="uk-UA" w:eastAsia="uk-UA"/>
              </w:rPr>
            </w:pPr>
            <w:r w:rsidRPr="003F68CE">
              <w:rPr>
                <w:rFonts w:ascii="Times New Roman" w:eastAsia="Times New Roman" w:hAnsi="Times New Roman" w:cs="Times New Roman"/>
                <w:strike/>
                <w:sz w:val="24"/>
                <w:szCs w:val="24"/>
                <w:lang w:val="uk-UA" w:eastAsia="uk-UA"/>
              </w:rPr>
              <w:t>погашення основної суми погоджених відповідно до чинного законодавства кредитів та/або запозичень, залучених для виконання інвестиційної програми, та/або суми інвестицій за рахунок власного капіталу в необоротні матеріальні та нематеріальні активи;</w:t>
            </w:r>
          </w:p>
          <w:p w14:paraId="749F5BD9" w14:textId="77777777" w:rsidR="0086455A" w:rsidRPr="003F68CE" w:rsidRDefault="0086455A" w:rsidP="003D1256">
            <w:pPr>
              <w:shd w:val="clear" w:color="auto" w:fill="FFFFFF"/>
              <w:spacing w:after="0" w:line="240" w:lineRule="auto"/>
              <w:jc w:val="both"/>
              <w:rPr>
                <w:rFonts w:ascii="Times New Roman" w:eastAsia="Times New Roman" w:hAnsi="Times New Roman" w:cs="Times New Roman"/>
                <w:strike/>
                <w:sz w:val="24"/>
                <w:szCs w:val="24"/>
                <w:lang w:val="uk-UA" w:eastAsia="uk-UA"/>
              </w:rPr>
            </w:pPr>
          </w:p>
          <w:p w14:paraId="351E8FB7" w14:textId="77777777" w:rsidR="008A2058" w:rsidRPr="003F68CE" w:rsidRDefault="00B32DED" w:rsidP="003D1256">
            <w:pPr>
              <w:shd w:val="clear" w:color="auto" w:fill="FFFFFF"/>
              <w:spacing w:after="0" w:line="240" w:lineRule="auto"/>
              <w:jc w:val="both"/>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спрямування відповідно до </w:t>
            </w:r>
            <w:hyperlink r:id="rId33" w:tgtFrame="_blank" w:history="1">
              <w:r w:rsidRPr="003F68CE">
                <w:rPr>
                  <w:rFonts w:ascii="Times New Roman" w:eastAsia="Times New Roman" w:hAnsi="Times New Roman" w:cs="Times New Roman"/>
                  <w:sz w:val="24"/>
                  <w:szCs w:val="24"/>
                  <w:u w:val="single"/>
                  <w:lang w:val="uk-UA" w:eastAsia="uk-UA"/>
                </w:rPr>
                <w:t>Закону України</w:t>
              </w:r>
            </w:hyperlink>
            <w:r w:rsidRPr="003F68CE">
              <w:rPr>
                <w:rFonts w:ascii="Times New Roman" w:eastAsia="Times New Roman" w:hAnsi="Times New Roman" w:cs="Times New Roman"/>
                <w:sz w:val="24"/>
                <w:szCs w:val="24"/>
                <w:lang w:val="uk-UA" w:eastAsia="uk-UA"/>
              </w:rPr>
              <w:t> «Про управління об'єктами державної власності» частини чистого прибутку на виплату дивідендів;</w:t>
            </w:r>
          </w:p>
          <w:p w14:paraId="707C38DE" w14:textId="458E3BBC" w:rsidR="00B32DED" w:rsidRPr="003F68CE" w:rsidRDefault="00B32DED" w:rsidP="003D1256">
            <w:pPr>
              <w:shd w:val="clear" w:color="auto" w:fill="FFFFFF"/>
              <w:spacing w:after="0" w:line="240" w:lineRule="auto"/>
              <w:jc w:val="both"/>
              <w:rPr>
                <w:rFonts w:ascii="Times New Roman" w:eastAsia="Times New Roman" w:hAnsi="Times New Roman" w:cs="Times New Roman"/>
                <w:sz w:val="24"/>
                <w:szCs w:val="24"/>
                <w:lang w:val="uk-UA" w:eastAsia="uk-UA"/>
              </w:rPr>
            </w:pPr>
            <w:r w:rsidRPr="00B0104F">
              <w:rPr>
                <w:rFonts w:ascii="Times New Roman" w:eastAsia="Times New Roman" w:hAnsi="Times New Roman" w:cs="Times New Roman"/>
                <w:sz w:val="24"/>
                <w:szCs w:val="24"/>
                <w:lang w:val="uk-UA" w:eastAsia="uk-UA"/>
              </w:rPr>
              <w:t>забезпечення нерозподіленого прибутку</w:t>
            </w:r>
            <w:r w:rsidR="004B014A" w:rsidRPr="00B0104F">
              <w:rPr>
                <w:rFonts w:ascii="Times New Roman" w:eastAsia="Times New Roman" w:hAnsi="Times New Roman" w:cs="Times New Roman"/>
                <w:sz w:val="24"/>
                <w:szCs w:val="24"/>
                <w:lang w:val="uk-UA" w:eastAsia="uk-UA"/>
              </w:rPr>
              <w:t xml:space="preserve"> </w:t>
            </w:r>
            <w:r w:rsidRPr="00B0104F">
              <w:rPr>
                <w:rFonts w:ascii="Times New Roman" w:eastAsia="Times New Roman" w:hAnsi="Times New Roman" w:cs="Times New Roman"/>
                <w:sz w:val="24"/>
                <w:szCs w:val="24"/>
                <w:lang w:val="uk-UA" w:eastAsia="uk-UA"/>
              </w:rPr>
              <w:t>за рахунок планованого прибутку</w:t>
            </w:r>
            <w:r w:rsidR="00350FC8" w:rsidRPr="00B0104F">
              <w:rPr>
                <w:rFonts w:ascii="Times New Roman" w:eastAsia="Times New Roman" w:hAnsi="Times New Roman" w:cs="Times New Roman"/>
                <w:b/>
                <w:sz w:val="24"/>
                <w:szCs w:val="24"/>
                <w:lang w:val="uk-UA" w:eastAsia="uk-UA"/>
              </w:rPr>
              <w:t>, з урахуванням вимог чинного законодавства щодо податку на прибуток,</w:t>
            </w:r>
            <w:r w:rsidRPr="00B0104F">
              <w:rPr>
                <w:rFonts w:ascii="Times New Roman" w:eastAsia="Times New Roman" w:hAnsi="Times New Roman" w:cs="Times New Roman"/>
                <w:sz w:val="24"/>
                <w:szCs w:val="24"/>
                <w:lang w:val="uk-UA" w:eastAsia="uk-UA"/>
              </w:rPr>
              <w:t xml:space="preserve"> в обсязі, що не перевищує 5 % від повної планованої собівартості, без урахування амортизаційних відрахувань;</w:t>
            </w:r>
          </w:p>
          <w:p w14:paraId="689E913C" w14:textId="77777777" w:rsidR="00B32DED" w:rsidRPr="003F68CE" w:rsidRDefault="00B32DED" w:rsidP="003D1256">
            <w:pPr>
              <w:shd w:val="clear" w:color="auto" w:fill="FFFFFF"/>
              <w:spacing w:after="0" w:line="240" w:lineRule="auto"/>
              <w:jc w:val="both"/>
              <w:rPr>
                <w:rFonts w:ascii="Times New Roman" w:eastAsia="Times New Roman" w:hAnsi="Times New Roman" w:cs="Times New Roman"/>
                <w:strike/>
                <w:sz w:val="24"/>
                <w:szCs w:val="24"/>
                <w:lang w:val="uk-UA" w:eastAsia="uk-UA"/>
              </w:rPr>
            </w:pPr>
            <w:r w:rsidRPr="003F68CE">
              <w:rPr>
                <w:rFonts w:ascii="Times New Roman" w:eastAsia="Times New Roman" w:hAnsi="Times New Roman" w:cs="Times New Roman"/>
                <w:strike/>
                <w:sz w:val="24"/>
                <w:szCs w:val="24"/>
                <w:lang w:val="uk-UA" w:eastAsia="uk-UA"/>
              </w:rPr>
              <w:t>сплати податків та зборів.</w:t>
            </w:r>
          </w:p>
          <w:p w14:paraId="26369CEA" w14:textId="77777777" w:rsidR="00B32DED" w:rsidRPr="003F68CE" w:rsidRDefault="00B32DED" w:rsidP="003D1256">
            <w:pPr>
              <w:shd w:val="clear" w:color="auto" w:fill="FFFFFF"/>
              <w:spacing w:after="0" w:line="240" w:lineRule="auto"/>
              <w:jc w:val="both"/>
              <w:rPr>
                <w:strike/>
                <w:lang w:val="uk-UA"/>
              </w:rPr>
            </w:pPr>
            <w:r w:rsidRPr="003F68CE">
              <w:rPr>
                <w:rFonts w:ascii="Times New Roman" w:eastAsia="Times New Roman" w:hAnsi="Times New Roman" w:cs="Times New Roman"/>
                <w:strike/>
                <w:sz w:val="24"/>
                <w:szCs w:val="24"/>
                <w:lang w:val="uk-UA" w:eastAsia="uk-UA"/>
              </w:rPr>
              <w:t>2. Планування складової частини прибутку, що передбачається для здійснення необхідних інвестицій, проводиться відповідно до інвестиційної програми ліцензіата.</w:t>
            </w:r>
          </w:p>
        </w:tc>
      </w:tr>
      <w:tr w:rsidR="00143080" w:rsidRPr="003F68CE" w14:paraId="53A4C053" w14:textId="77777777" w:rsidTr="003D1256">
        <w:tc>
          <w:tcPr>
            <w:tcW w:w="6976" w:type="dxa"/>
          </w:tcPr>
          <w:p w14:paraId="4C4A0C6E" w14:textId="77777777" w:rsidR="00B32DED" w:rsidRPr="003F68CE" w:rsidRDefault="00B32DED" w:rsidP="003D1256">
            <w:pPr>
              <w:pStyle w:val="a4"/>
              <w:spacing w:before="0" w:beforeAutospacing="0" w:after="0" w:afterAutospacing="0"/>
              <w:jc w:val="center"/>
              <w:rPr>
                <w:b/>
              </w:rPr>
            </w:pPr>
            <w:r w:rsidRPr="003F68CE">
              <w:rPr>
                <w:b/>
              </w:rPr>
              <w:t>(розділ відсутній)</w:t>
            </w:r>
          </w:p>
        </w:tc>
        <w:tc>
          <w:tcPr>
            <w:tcW w:w="7903" w:type="dxa"/>
          </w:tcPr>
          <w:p w14:paraId="4FCBAC7B" w14:textId="77777777" w:rsidR="00B32DED" w:rsidRPr="003F68CE" w:rsidRDefault="00B32DED" w:rsidP="003D1256">
            <w:pPr>
              <w:pStyle w:val="3"/>
              <w:spacing w:before="0" w:beforeAutospacing="0" w:after="0" w:afterAutospacing="0"/>
              <w:jc w:val="center"/>
              <w:outlineLvl w:val="2"/>
            </w:pPr>
            <w:r w:rsidRPr="003F68CE">
              <w:t>V. Капітальні інвестиції</w:t>
            </w:r>
          </w:p>
        </w:tc>
      </w:tr>
      <w:tr w:rsidR="00143080" w:rsidRPr="003F68CE" w14:paraId="0F2B2AAC" w14:textId="77777777" w:rsidTr="003D1256">
        <w:tc>
          <w:tcPr>
            <w:tcW w:w="6976" w:type="dxa"/>
          </w:tcPr>
          <w:p w14:paraId="72732197" w14:textId="77777777" w:rsidR="00B32DED" w:rsidRPr="003F68CE" w:rsidRDefault="00B32DED" w:rsidP="003D1256">
            <w:pPr>
              <w:pStyle w:val="3"/>
              <w:spacing w:before="0" w:beforeAutospacing="0" w:after="0" w:afterAutospacing="0"/>
              <w:jc w:val="center"/>
              <w:outlineLvl w:val="2"/>
            </w:pPr>
          </w:p>
        </w:tc>
        <w:tc>
          <w:tcPr>
            <w:tcW w:w="7903" w:type="dxa"/>
          </w:tcPr>
          <w:p w14:paraId="45DC9E35" w14:textId="4DDA2075" w:rsidR="00B32DED" w:rsidRPr="003F68CE" w:rsidRDefault="00B32DED" w:rsidP="003D1256">
            <w:pPr>
              <w:shd w:val="clear" w:color="auto" w:fill="FFFFFF"/>
              <w:spacing w:after="0" w:line="240" w:lineRule="auto"/>
              <w:jc w:val="both"/>
              <w:rPr>
                <w:b/>
                <w:lang w:val="uk-UA"/>
              </w:rPr>
            </w:pPr>
            <w:bookmarkStart w:id="23" w:name="_Hlk146015307"/>
            <w:r w:rsidRPr="003F68CE">
              <w:rPr>
                <w:b/>
                <w:lang w:val="uk-UA"/>
              </w:rPr>
              <w:t>1</w:t>
            </w:r>
            <w:r w:rsidRPr="003F68CE">
              <w:rPr>
                <w:rFonts w:ascii="Times New Roman" w:eastAsia="Times New Roman" w:hAnsi="Times New Roman" w:cs="Times New Roman"/>
                <w:b/>
                <w:sz w:val="24"/>
                <w:szCs w:val="24"/>
                <w:lang w:val="uk-UA" w:eastAsia="uk-UA"/>
              </w:rPr>
              <w:t xml:space="preserve">. При розрахунку </w:t>
            </w:r>
            <w:r w:rsidR="003224CF" w:rsidRPr="003F68CE">
              <w:rPr>
                <w:rFonts w:ascii="Times New Roman" w:eastAsia="Times New Roman" w:hAnsi="Times New Roman" w:cs="Times New Roman"/>
                <w:b/>
                <w:sz w:val="24"/>
                <w:szCs w:val="24"/>
                <w:lang w:val="uk-UA" w:eastAsia="uk-UA"/>
              </w:rPr>
              <w:t>тарифів до складу планованої тарифної виручки включаються капітальні інвестиції суб’єкта господарювання, що здійснює діяльність з надання послуг зберігання (закачування, відбору) природного газу в/з ПСГ, я</w:t>
            </w:r>
            <w:r w:rsidR="001B70F3" w:rsidRPr="003F68CE">
              <w:rPr>
                <w:rFonts w:ascii="Times New Roman" w:eastAsia="Times New Roman" w:hAnsi="Times New Roman" w:cs="Times New Roman"/>
                <w:b/>
                <w:sz w:val="24"/>
                <w:szCs w:val="24"/>
                <w:lang w:val="uk-UA" w:eastAsia="uk-UA"/>
              </w:rPr>
              <w:t>кі</w:t>
            </w:r>
            <w:r w:rsidR="003224CF" w:rsidRPr="003F68CE">
              <w:rPr>
                <w:rFonts w:ascii="Times New Roman" w:eastAsia="Times New Roman" w:hAnsi="Times New Roman" w:cs="Times New Roman"/>
                <w:b/>
                <w:sz w:val="24"/>
                <w:szCs w:val="24"/>
                <w:lang w:val="uk-UA" w:eastAsia="uk-UA"/>
              </w:rPr>
              <w:t xml:space="preserve"> визнача</w:t>
            </w:r>
            <w:r w:rsidR="00AD0D17" w:rsidRPr="003F68CE">
              <w:rPr>
                <w:rFonts w:ascii="Times New Roman" w:eastAsia="Times New Roman" w:hAnsi="Times New Roman" w:cs="Times New Roman"/>
                <w:b/>
                <w:sz w:val="24"/>
                <w:szCs w:val="24"/>
                <w:lang w:val="uk-UA" w:eastAsia="uk-UA"/>
              </w:rPr>
              <w:t>ю</w:t>
            </w:r>
            <w:r w:rsidR="003224CF" w:rsidRPr="003F68CE">
              <w:rPr>
                <w:rFonts w:ascii="Times New Roman" w:eastAsia="Times New Roman" w:hAnsi="Times New Roman" w:cs="Times New Roman"/>
                <w:b/>
                <w:sz w:val="24"/>
                <w:szCs w:val="24"/>
                <w:lang w:val="uk-UA" w:eastAsia="uk-UA"/>
              </w:rPr>
              <w:t>ться з урахуванням необхідності:</w:t>
            </w:r>
          </w:p>
          <w:p w14:paraId="3BAE36F0" w14:textId="77777777" w:rsidR="00B32DED" w:rsidRPr="003F68CE" w:rsidRDefault="00B32DED" w:rsidP="003D1256">
            <w:pPr>
              <w:pStyle w:val="a4"/>
              <w:spacing w:before="0" w:beforeAutospacing="0" w:after="0" w:afterAutospacing="0"/>
              <w:jc w:val="both"/>
              <w:rPr>
                <w:b/>
              </w:rPr>
            </w:pPr>
            <w:r w:rsidRPr="003F68CE">
              <w:rPr>
                <w:b/>
              </w:rPr>
              <w:t xml:space="preserve">здійснення інвестицій, пов'язаних з ліцензованою діяльністю </w:t>
            </w:r>
            <w:r w:rsidR="003224CF" w:rsidRPr="003F68CE">
              <w:rPr>
                <w:b/>
              </w:rPr>
              <w:t>і</w:t>
            </w:r>
            <w:r w:rsidRPr="003F68CE">
              <w:rPr>
                <w:b/>
              </w:rPr>
              <w:t xml:space="preserve">з </w:t>
            </w:r>
            <w:r w:rsidR="003224CF" w:rsidRPr="003F68CE">
              <w:rPr>
                <w:b/>
              </w:rPr>
              <w:t>зберігання</w:t>
            </w:r>
            <w:r w:rsidR="002C61DD" w:rsidRPr="003F68CE">
              <w:rPr>
                <w:b/>
              </w:rPr>
              <w:t xml:space="preserve"> (закачування, відбору)</w:t>
            </w:r>
            <w:r w:rsidR="003224CF" w:rsidRPr="003F68CE">
              <w:rPr>
                <w:b/>
              </w:rPr>
              <w:t xml:space="preserve"> природного газу в ПСГ</w:t>
            </w:r>
            <w:r w:rsidRPr="003F68CE">
              <w:rPr>
                <w:b/>
              </w:rPr>
              <w:t>, а саме на капітальні інвестиції;</w:t>
            </w:r>
          </w:p>
          <w:p w14:paraId="257E6D4E" w14:textId="77777777" w:rsidR="00B32DED" w:rsidRPr="003F68CE" w:rsidRDefault="00B32DED" w:rsidP="003D1256">
            <w:pPr>
              <w:pStyle w:val="a4"/>
              <w:spacing w:before="0" w:beforeAutospacing="0" w:after="0" w:afterAutospacing="0"/>
              <w:jc w:val="both"/>
              <w:rPr>
                <w:b/>
              </w:rPr>
            </w:pPr>
          </w:p>
          <w:p w14:paraId="7E341430" w14:textId="77777777" w:rsidR="00B32DED" w:rsidRPr="003F68CE" w:rsidRDefault="00B32DED" w:rsidP="003D1256">
            <w:pPr>
              <w:pStyle w:val="a4"/>
              <w:spacing w:before="0" w:beforeAutospacing="0" w:after="0" w:afterAutospacing="0"/>
              <w:jc w:val="both"/>
              <w:rPr>
                <w:b/>
              </w:rPr>
            </w:pPr>
            <w:r w:rsidRPr="003F68CE">
              <w:rPr>
                <w:b/>
              </w:rPr>
              <w:t>погашення основної суми кредитів та/або запозичень, які залучені для виконання інвестиційної програми та які погоджені НКРЕКП.</w:t>
            </w:r>
          </w:p>
          <w:p w14:paraId="2EF760E3" w14:textId="77777777" w:rsidR="00B32DED" w:rsidRPr="003F68CE" w:rsidRDefault="00B32DED" w:rsidP="003D1256">
            <w:pPr>
              <w:pStyle w:val="a4"/>
              <w:spacing w:before="0" w:beforeAutospacing="0" w:after="0" w:afterAutospacing="0"/>
              <w:jc w:val="both"/>
              <w:rPr>
                <w:b/>
              </w:rPr>
            </w:pPr>
          </w:p>
          <w:p w14:paraId="634CAA39" w14:textId="77777777" w:rsidR="00B32DED" w:rsidRPr="003F68CE" w:rsidRDefault="00B32DED" w:rsidP="003D1256">
            <w:pPr>
              <w:pStyle w:val="a4"/>
              <w:spacing w:before="0" w:beforeAutospacing="0" w:after="0" w:afterAutospacing="0"/>
              <w:jc w:val="both"/>
            </w:pPr>
            <w:r w:rsidRPr="003F68CE">
              <w:rPr>
                <w:b/>
              </w:rPr>
              <w:t>2. Планування капітальних інвестицій проводиться відповідно до інвестиційної програми ліцензіата.</w:t>
            </w:r>
            <w:bookmarkEnd w:id="23"/>
          </w:p>
        </w:tc>
      </w:tr>
      <w:tr w:rsidR="00143080" w:rsidRPr="003F68CE" w14:paraId="62EB977C" w14:textId="77777777" w:rsidTr="003D1256">
        <w:tc>
          <w:tcPr>
            <w:tcW w:w="6976" w:type="dxa"/>
          </w:tcPr>
          <w:p w14:paraId="0610B36C" w14:textId="77777777" w:rsidR="00B32DED" w:rsidRPr="003F68CE" w:rsidRDefault="00B32DED" w:rsidP="003D1256">
            <w:pPr>
              <w:pStyle w:val="3"/>
              <w:spacing w:before="0" w:beforeAutospacing="0" w:after="0" w:afterAutospacing="0"/>
              <w:jc w:val="center"/>
              <w:outlineLvl w:val="2"/>
            </w:pPr>
            <w:r w:rsidRPr="003F68CE">
              <w:t>V. Коригування планованої тарифної виручки</w:t>
            </w:r>
          </w:p>
        </w:tc>
        <w:tc>
          <w:tcPr>
            <w:tcW w:w="7903" w:type="dxa"/>
          </w:tcPr>
          <w:p w14:paraId="49BFECC8" w14:textId="77777777" w:rsidR="00B32DED" w:rsidRPr="003F68CE" w:rsidRDefault="00B32DED" w:rsidP="003D1256">
            <w:pPr>
              <w:pStyle w:val="3"/>
              <w:spacing w:before="0" w:beforeAutospacing="0" w:after="0" w:afterAutospacing="0"/>
              <w:jc w:val="center"/>
              <w:outlineLvl w:val="2"/>
            </w:pPr>
            <w:r w:rsidRPr="003F68CE">
              <w:t>V</w:t>
            </w:r>
            <w:r w:rsidR="003224CF" w:rsidRPr="003F68CE">
              <w:t>I</w:t>
            </w:r>
            <w:r w:rsidRPr="003F68CE">
              <w:t>. Коригування планованої тарифної виручки</w:t>
            </w:r>
          </w:p>
        </w:tc>
      </w:tr>
      <w:tr w:rsidR="00143080" w:rsidRPr="003F68CE" w14:paraId="3E8CD46A" w14:textId="77777777" w:rsidTr="003D1256">
        <w:tc>
          <w:tcPr>
            <w:tcW w:w="6976" w:type="dxa"/>
          </w:tcPr>
          <w:p w14:paraId="031F604B" w14:textId="77777777" w:rsidR="00B32DED" w:rsidRPr="003F68CE" w:rsidRDefault="00B32DED" w:rsidP="003D1256">
            <w:pPr>
              <w:shd w:val="clear" w:color="auto" w:fill="FFFFFF"/>
              <w:spacing w:after="0" w:line="240" w:lineRule="auto"/>
              <w:ind w:left="450" w:right="450"/>
              <w:jc w:val="center"/>
              <w:rPr>
                <w:b/>
                <w:bCs/>
                <w:sz w:val="27"/>
                <w:szCs w:val="27"/>
                <w:lang w:val="uk-UA"/>
              </w:rPr>
            </w:pPr>
            <w:r w:rsidRPr="003F68CE">
              <w:rPr>
                <w:rFonts w:ascii="Times New Roman" w:eastAsia="Times New Roman" w:hAnsi="Times New Roman" w:cs="Times New Roman"/>
                <w:b/>
                <w:bCs/>
                <w:sz w:val="27"/>
                <w:szCs w:val="27"/>
                <w:lang w:val="uk-UA" w:eastAsia="uk-UA"/>
              </w:rPr>
              <w:t>VI. Стимулювання оператора газосховища до підвищення ефективності операційної діяльності</w:t>
            </w:r>
          </w:p>
        </w:tc>
        <w:tc>
          <w:tcPr>
            <w:tcW w:w="7903" w:type="dxa"/>
          </w:tcPr>
          <w:p w14:paraId="65BDD477" w14:textId="77777777" w:rsidR="00B32DED" w:rsidRPr="003F68CE" w:rsidRDefault="00B32DED" w:rsidP="003D1256">
            <w:pPr>
              <w:shd w:val="clear" w:color="auto" w:fill="FFFFFF"/>
              <w:spacing w:after="0" w:line="240" w:lineRule="auto"/>
              <w:ind w:left="450" w:right="450"/>
              <w:jc w:val="center"/>
              <w:rPr>
                <w:b/>
                <w:bCs/>
                <w:sz w:val="27"/>
                <w:szCs w:val="27"/>
                <w:lang w:val="uk-UA"/>
              </w:rPr>
            </w:pPr>
            <w:r w:rsidRPr="003F68CE">
              <w:rPr>
                <w:rFonts w:ascii="Times New Roman" w:eastAsia="Times New Roman" w:hAnsi="Times New Roman" w:cs="Times New Roman"/>
                <w:b/>
                <w:bCs/>
                <w:sz w:val="27"/>
                <w:szCs w:val="27"/>
                <w:lang w:val="uk-UA" w:eastAsia="uk-UA"/>
              </w:rPr>
              <w:t>V</w:t>
            </w:r>
            <w:r w:rsidR="003224CF" w:rsidRPr="003F68CE">
              <w:rPr>
                <w:rFonts w:ascii="Times New Roman" w:eastAsia="Times New Roman" w:hAnsi="Times New Roman" w:cs="Times New Roman"/>
                <w:b/>
                <w:bCs/>
                <w:sz w:val="27"/>
                <w:szCs w:val="27"/>
                <w:lang w:val="uk-UA" w:eastAsia="uk-UA"/>
              </w:rPr>
              <w:t>I</w:t>
            </w:r>
            <w:r w:rsidRPr="003F68CE">
              <w:rPr>
                <w:rFonts w:ascii="Times New Roman" w:eastAsia="Times New Roman" w:hAnsi="Times New Roman" w:cs="Times New Roman"/>
                <w:b/>
                <w:bCs/>
                <w:sz w:val="27"/>
                <w:szCs w:val="27"/>
                <w:lang w:val="uk-UA" w:eastAsia="uk-UA"/>
              </w:rPr>
              <w:t>I. Стимулювання оператора газосховища до підвищення ефективності операційної діяльності</w:t>
            </w:r>
          </w:p>
        </w:tc>
      </w:tr>
      <w:tr w:rsidR="00143080" w:rsidRPr="003F68CE" w14:paraId="64C1319D" w14:textId="77777777" w:rsidTr="003D1256">
        <w:tc>
          <w:tcPr>
            <w:tcW w:w="6976" w:type="dxa"/>
          </w:tcPr>
          <w:p w14:paraId="3BBDC8AA" w14:textId="77777777" w:rsidR="00613C5B" w:rsidRPr="003F68CE" w:rsidRDefault="00B32DED" w:rsidP="003D1256">
            <w:pPr>
              <w:pStyle w:val="3"/>
              <w:spacing w:before="0" w:beforeAutospacing="0" w:after="0" w:afterAutospacing="0"/>
              <w:jc w:val="center"/>
              <w:outlineLvl w:val="2"/>
              <w:rPr>
                <w:noProof/>
              </w:rPr>
            </w:pPr>
            <w:r w:rsidRPr="003F68CE">
              <w:rPr>
                <w:noProof/>
              </w:rPr>
              <w:t>VІI. Податки</w:t>
            </w:r>
          </w:p>
        </w:tc>
        <w:tc>
          <w:tcPr>
            <w:tcW w:w="7903" w:type="dxa"/>
          </w:tcPr>
          <w:p w14:paraId="7AC7F9A5" w14:textId="77777777" w:rsidR="00B32DED" w:rsidRPr="003F68CE" w:rsidRDefault="00B32DED" w:rsidP="003D1256">
            <w:pPr>
              <w:pStyle w:val="3"/>
              <w:spacing w:before="0" w:beforeAutospacing="0" w:after="0" w:afterAutospacing="0"/>
              <w:jc w:val="center"/>
              <w:outlineLvl w:val="2"/>
              <w:rPr>
                <w:noProof/>
              </w:rPr>
            </w:pPr>
            <w:r w:rsidRPr="003F68CE">
              <w:rPr>
                <w:noProof/>
              </w:rPr>
              <w:t>VІ</w:t>
            </w:r>
            <w:r w:rsidR="00CF2069" w:rsidRPr="003F68CE">
              <w:rPr>
                <w:noProof/>
              </w:rPr>
              <w:t>I</w:t>
            </w:r>
            <w:r w:rsidRPr="003F68CE">
              <w:rPr>
                <w:noProof/>
              </w:rPr>
              <w:t>I. Податки</w:t>
            </w:r>
          </w:p>
        </w:tc>
      </w:tr>
      <w:tr w:rsidR="00143080" w:rsidRPr="003F68CE" w14:paraId="3F1D6604" w14:textId="77777777" w:rsidTr="003D1256">
        <w:tc>
          <w:tcPr>
            <w:tcW w:w="6976" w:type="dxa"/>
          </w:tcPr>
          <w:p w14:paraId="62994BD8" w14:textId="77777777" w:rsidR="006057C3" w:rsidRPr="003F68CE" w:rsidRDefault="0072653E" w:rsidP="003D1256">
            <w:pPr>
              <w:pStyle w:val="3"/>
              <w:spacing w:before="0" w:beforeAutospacing="0" w:after="0" w:afterAutospacing="0"/>
              <w:jc w:val="both"/>
              <w:outlineLvl w:val="2"/>
              <w:rPr>
                <w:noProof/>
              </w:rPr>
            </w:pPr>
            <w:r w:rsidRPr="003F68CE">
              <w:rPr>
                <w:b w:val="0"/>
                <w:bCs w:val="0"/>
                <w:sz w:val="24"/>
                <w:szCs w:val="24"/>
              </w:rPr>
              <w:t>1. До складу тарифів на послуги зберігання (закачування, відбору) природного газу включаються всі податки та збори, передбачені Податковим кодексом України.</w:t>
            </w:r>
          </w:p>
        </w:tc>
        <w:tc>
          <w:tcPr>
            <w:tcW w:w="7903" w:type="dxa"/>
          </w:tcPr>
          <w:p w14:paraId="2DFF8851" w14:textId="77777777" w:rsidR="006057C3" w:rsidRPr="003F68CE" w:rsidRDefault="0072653E" w:rsidP="003D1256">
            <w:pPr>
              <w:pStyle w:val="3"/>
              <w:spacing w:before="0" w:beforeAutospacing="0" w:after="0" w:afterAutospacing="0"/>
              <w:jc w:val="both"/>
              <w:outlineLvl w:val="2"/>
              <w:rPr>
                <w:noProof/>
              </w:rPr>
            </w:pPr>
            <w:r w:rsidRPr="003F68CE">
              <w:rPr>
                <w:b w:val="0"/>
                <w:bCs w:val="0"/>
                <w:sz w:val="24"/>
                <w:szCs w:val="24"/>
              </w:rPr>
              <w:t xml:space="preserve">1. До складу тарифів на послуги зберігання (закачування, відбору) природного газу включаються </w:t>
            </w:r>
            <w:r w:rsidRPr="003F68CE">
              <w:rPr>
                <w:b w:val="0"/>
                <w:bCs w:val="0"/>
                <w:strike/>
                <w:sz w:val="24"/>
                <w:szCs w:val="24"/>
              </w:rPr>
              <w:t>всі</w:t>
            </w:r>
            <w:r w:rsidRPr="003F68CE">
              <w:rPr>
                <w:b w:val="0"/>
                <w:bCs w:val="0"/>
                <w:sz w:val="24"/>
                <w:szCs w:val="24"/>
              </w:rPr>
              <w:t xml:space="preserve"> податки</w:t>
            </w:r>
            <w:r w:rsidRPr="003F68CE">
              <w:rPr>
                <w:bCs w:val="0"/>
                <w:sz w:val="24"/>
                <w:szCs w:val="24"/>
              </w:rPr>
              <w:t>,</w:t>
            </w:r>
            <w:r w:rsidRPr="003F68CE">
              <w:rPr>
                <w:b w:val="0"/>
                <w:bCs w:val="0"/>
                <w:sz w:val="24"/>
                <w:szCs w:val="24"/>
              </w:rPr>
              <w:t xml:space="preserve"> </w:t>
            </w:r>
            <w:r w:rsidRPr="003F68CE">
              <w:rPr>
                <w:b w:val="0"/>
                <w:bCs w:val="0"/>
                <w:strike/>
                <w:sz w:val="24"/>
                <w:szCs w:val="24"/>
              </w:rPr>
              <w:t>та</w:t>
            </w:r>
            <w:r w:rsidRPr="003F68CE">
              <w:rPr>
                <w:b w:val="0"/>
                <w:bCs w:val="0"/>
                <w:sz w:val="24"/>
                <w:szCs w:val="24"/>
              </w:rPr>
              <w:t xml:space="preserve"> збори </w:t>
            </w:r>
            <w:r w:rsidRPr="003F68CE">
              <w:rPr>
                <w:bCs w:val="0"/>
                <w:sz w:val="24"/>
                <w:szCs w:val="24"/>
              </w:rPr>
              <w:t>та платежі</w:t>
            </w:r>
            <w:r w:rsidRPr="003F68CE">
              <w:rPr>
                <w:b w:val="0"/>
                <w:bCs w:val="0"/>
                <w:sz w:val="24"/>
                <w:szCs w:val="24"/>
              </w:rPr>
              <w:t>,  передбачені Податковим кодексом України.</w:t>
            </w:r>
          </w:p>
        </w:tc>
      </w:tr>
      <w:tr w:rsidR="00143080" w:rsidRPr="003F68CE" w14:paraId="50E477F5" w14:textId="77777777" w:rsidTr="003D1256">
        <w:trPr>
          <w:trHeight w:val="885"/>
        </w:trPr>
        <w:tc>
          <w:tcPr>
            <w:tcW w:w="6976" w:type="dxa"/>
          </w:tcPr>
          <w:p w14:paraId="65DF7214" w14:textId="77777777" w:rsidR="00B32DED" w:rsidRPr="003F68CE" w:rsidRDefault="00B32DED" w:rsidP="003D1256">
            <w:pPr>
              <w:pStyle w:val="3"/>
              <w:spacing w:before="0" w:beforeAutospacing="0" w:after="0" w:afterAutospacing="0"/>
              <w:jc w:val="center"/>
              <w:outlineLvl w:val="2"/>
              <w:rPr>
                <w:noProof/>
              </w:rPr>
            </w:pPr>
            <w:r w:rsidRPr="003F68CE">
              <w:rPr>
                <w:noProof/>
              </w:rPr>
              <w:t>VIII. Процедура встановлення та перегляду тарифів на послуги зберігання (закачування, відбору) природного газу</w:t>
            </w:r>
          </w:p>
        </w:tc>
        <w:tc>
          <w:tcPr>
            <w:tcW w:w="7903" w:type="dxa"/>
          </w:tcPr>
          <w:p w14:paraId="4828662C" w14:textId="77777777" w:rsidR="00B32DED" w:rsidRPr="003F68CE" w:rsidRDefault="00B32DED" w:rsidP="003D1256">
            <w:pPr>
              <w:pStyle w:val="a4"/>
              <w:spacing w:before="0" w:beforeAutospacing="0" w:after="0" w:afterAutospacing="0"/>
              <w:jc w:val="center"/>
              <w:rPr>
                <w:b/>
                <w:bCs/>
                <w:noProof/>
                <w:sz w:val="27"/>
                <w:szCs w:val="27"/>
              </w:rPr>
            </w:pPr>
            <w:r w:rsidRPr="003F68CE">
              <w:rPr>
                <w:b/>
                <w:bCs/>
                <w:noProof/>
                <w:sz w:val="27"/>
                <w:szCs w:val="27"/>
              </w:rPr>
              <w:t>I</w:t>
            </w:r>
            <w:r w:rsidR="003224CF" w:rsidRPr="003F68CE">
              <w:rPr>
                <w:b/>
                <w:bCs/>
                <w:noProof/>
                <w:sz w:val="27"/>
                <w:szCs w:val="27"/>
              </w:rPr>
              <w:t>Х</w:t>
            </w:r>
            <w:r w:rsidRPr="003F68CE">
              <w:rPr>
                <w:b/>
                <w:bCs/>
                <w:noProof/>
                <w:sz w:val="27"/>
                <w:szCs w:val="27"/>
              </w:rPr>
              <w:t>. Процедура встановлення та перегляду тарифів на послуги зберігання (закачування, відбору) природного газу</w:t>
            </w:r>
          </w:p>
        </w:tc>
      </w:tr>
      <w:tr w:rsidR="00143080" w:rsidRPr="00387749" w14:paraId="5821F412" w14:textId="77777777" w:rsidTr="003D1256">
        <w:trPr>
          <w:trHeight w:val="1140"/>
        </w:trPr>
        <w:tc>
          <w:tcPr>
            <w:tcW w:w="6976" w:type="dxa"/>
          </w:tcPr>
          <w:p w14:paraId="67DAC0E7" w14:textId="77777777" w:rsidR="00B32DED" w:rsidRPr="003F68CE" w:rsidRDefault="00B32DED" w:rsidP="003D1256">
            <w:pPr>
              <w:pStyle w:val="3"/>
              <w:spacing w:before="0" w:beforeAutospacing="0" w:after="0" w:afterAutospacing="0"/>
              <w:jc w:val="both"/>
              <w:outlineLvl w:val="2"/>
              <w:rPr>
                <w:b w:val="0"/>
                <w:bCs w:val="0"/>
                <w:sz w:val="24"/>
                <w:szCs w:val="24"/>
              </w:rPr>
            </w:pPr>
            <w:r w:rsidRPr="003F68CE">
              <w:rPr>
                <w:b w:val="0"/>
                <w:bCs w:val="0"/>
                <w:sz w:val="24"/>
                <w:szCs w:val="24"/>
              </w:rPr>
              <w:t>…..</w:t>
            </w:r>
          </w:p>
          <w:p w14:paraId="4E274206" w14:textId="77777777" w:rsidR="00B32DED" w:rsidRPr="003F68CE" w:rsidRDefault="00B32DED" w:rsidP="003D1256">
            <w:pPr>
              <w:pStyle w:val="3"/>
              <w:spacing w:before="0" w:beforeAutospacing="0" w:after="0" w:afterAutospacing="0"/>
              <w:jc w:val="both"/>
              <w:outlineLvl w:val="2"/>
              <w:rPr>
                <w:b w:val="0"/>
                <w:bCs w:val="0"/>
                <w:sz w:val="24"/>
                <w:szCs w:val="24"/>
              </w:rPr>
            </w:pPr>
            <w:r w:rsidRPr="003F68CE">
              <w:rPr>
                <w:b w:val="0"/>
                <w:bCs w:val="0"/>
                <w:sz w:val="24"/>
                <w:szCs w:val="24"/>
              </w:rPr>
              <w:t>6. Для встановлення тарифу на послуги зберігання (закачування, відбору) природного газу суб’єкт господарювання подає до НКРЕКП не пізніше ніж за 60 календарних днів до початку планованого періоду заяву про встановлення тарифу на послуги зберігання (закачування, відбору) природного газу (далі - заява) за формою, наведеною в додатку 2 до цієї Методики, до якої додаються:</w:t>
            </w:r>
          </w:p>
          <w:p w14:paraId="531CAD6E" w14:textId="77777777" w:rsidR="00B32DED" w:rsidRPr="003F68CE" w:rsidRDefault="00B32DED" w:rsidP="003D1256">
            <w:pPr>
              <w:pStyle w:val="3"/>
              <w:spacing w:before="0" w:beforeAutospacing="0" w:after="0" w:afterAutospacing="0"/>
              <w:jc w:val="both"/>
              <w:outlineLvl w:val="2"/>
              <w:rPr>
                <w:b w:val="0"/>
                <w:bCs w:val="0"/>
                <w:sz w:val="24"/>
                <w:szCs w:val="24"/>
              </w:rPr>
            </w:pPr>
            <w:r w:rsidRPr="003F68CE">
              <w:rPr>
                <w:b w:val="0"/>
                <w:bCs w:val="0"/>
                <w:sz w:val="24"/>
                <w:szCs w:val="24"/>
              </w:rPr>
              <w:t>….</w:t>
            </w:r>
          </w:p>
          <w:p w14:paraId="0E363938" w14:textId="77777777" w:rsidR="00B32DED" w:rsidRPr="003F68CE" w:rsidRDefault="00B32DED" w:rsidP="003D1256">
            <w:pPr>
              <w:pStyle w:val="3"/>
              <w:spacing w:before="0" w:beforeAutospacing="0" w:after="0" w:afterAutospacing="0"/>
              <w:jc w:val="both"/>
              <w:outlineLvl w:val="2"/>
              <w:rPr>
                <w:b w:val="0"/>
                <w:bCs w:val="0"/>
                <w:sz w:val="24"/>
                <w:szCs w:val="24"/>
              </w:rPr>
            </w:pPr>
            <w:r w:rsidRPr="003F68CE">
              <w:rPr>
                <w:b w:val="0"/>
                <w:bCs w:val="0"/>
                <w:sz w:val="24"/>
                <w:szCs w:val="24"/>
              </w:rPr>
              <w:t>12) розрахунок прибутку з урахуванням суми прибутку на виробничі інвестиції на планований період та динаміка відповідних показників за попередній, базовий та на планований періоди з відповідними обґрунтуваннями;</w:t>
            </w:r>
          </w:p>
          <w:p w14:paraId="513DCE2B" w14:textId="77777777" w:rsidR="00B32DED" w:rsidRPr="003F68CE" w:rsidRDefault="00B32DED" w:rsidP="003D1256">
            <w:pPr>
              <w:pStyle w:val="3"/>
              <w:spacing w:before="0" w:beforeAutospacing="0" w:after="0" w:afterAutospacing="0"/>
              <w:jc w:val="both"/>
              <w:outlineLvl w:val="2"/>
              <w:rPr>
                <w:b w:val="0"/>
                <w:bCs w:val="0"/>
                <w:sz w:val="24"/>
                <w:szCs w:val="24"/>
              </w:rPr>
            </w:pPr>
            <w:r w:rsidRPr="003F68CE">
              <w:rPr>
                <w:b w:val="0"/>
                <w:bCs w:val="0"/>
                <w:sz w:val="24"/>
                <w:szCs w:val="24"/>
              </w:rPr>
              <w:t>…</w:t>
            </w:r>
          </w:p>
          <w:p w14:paraId="4B1B23A2" w14:textId="77777777" w:rsidR="00B32DED" w:rsidRPr="003F68CE" w:rsidRDefault="00B32DED" w:rsidP="003D1256">
            <w:pPr>
              <w:pStyle w:val="3"/>
              <w:spacing w:before="0" w:beforeAutospacing="0" w:after="0" w:afterAutospacing="0"/>
              <w:jc w:val="both"/>
              <w:outlineLvl w:val="2"/>
              <w:rPr>
                <w:b w:val="0"/>
                <w:bCs w:val="0"/>
                <w:sz w:val="24"/>
                <w:szCs w:val="24"/>
              </w:rPr>
            </w:pPr>
            <w:r w:rsidRPr="003F68CE">
              <w:rPr>
                <w:b w:val="0"/>
                <w:bCs w:val="0"/>
                <w:sz w:val="24"/>
                <w:szCs w:val="24"/>
              </w:rPr>
              <w:t>11. Суб'єкт господарювання обґрунтовує кожну складову витрат господарської діяльності із зберігання (закачування, відбору) природного газу, пов'язаних з операційною діяльністю, фінансових витрат (крім фінансових витрат, які включені до собівартості кваліфікаційних активів відповідно до положень (стандартів) бухгалтерського обліку) та прибутку документами, визначеними </w:t>
            </w:r>
            <w:hyperlink r:id="rId34" w:anchor="n357" w:history="1">
              <w:r w:rsidRPr="003F68CE">
                <w:rPr>
                  <w:b w:val="0"/>
                  <w:bCs w:val="0"/>
                  <w:sz w:val="24"/>
                  <w:szCs w:val="24"/>
                </w:rPr>
                <w:t>пунктом 6</w:t>
              </w:r>
            </w:hyperlink>
            <w:r w:rsidRPr="003F68CE">
              <w:rPr>
                <w:b w:val="0"/>
                <w:bCs w:val="0"/>
                <w:sz w:val="24"/>
                <w:szCs w:val="24"/>
              </w:rPr>
              <w:t> цього розділу.</w:t>
            </w:r>
          </w:p>
          <w:p w14:paraId="6B32D9C9" w14:textId="77777777" w:rsidR="00B32DED" w:rsidRPr="003F68CE" w:rsidRDefault="00B32DED" w:rsidP="003D1256">
            <w:pPr>
              <w:pStyle w:val="3"/>
              <w:spacing w:before="0" w:beforeAutospacing="0" w:after="0" w:afterAutospacing="0"/>
              <w:jc w:val="both"/>
              <w:outlineLvl w:val="2"/>
              <w:rPr>
                <w:noProof/>
              </w:rPr>
            </w:pPr>
            <w:r w:rsidRPr="003F68CE">
              <w:rPr>
                <w:b w:val="0"/>
                <w:bCs w:val="0"/>
                <w:sz w:val="24"/>
                <w:szCs w:val="24"/>
              </w:rPr>
              <w:t>…</w:t>
            </w:r>
          </w:p>
        </w:tc>
        <w:tc>
          <w:tcPr>
            <w:tcW w:w="7903" w:type="dxa"/>
          </w:tcPr>
          <w:p w14:paraId="18D9EF5B" w14:textId="77777777" w:rsidR="0008583F" w:rsidRPr="003F68CE" w:rsidRDefault="0008583F" w:rsidP="003D1256">
            <w:pPr>
              <w:pStyle w:val="3"/>
              <w:spacing w:before="0" w:beforeAutospacing="0" w:after="0" w:afterAutospacing="0"/>
              <w:jc w:val="both"/>
              <w:outlineLvl w:val="2"/>
              <w:rPr>
                <w:b w:val="0"/>
                <w:bCs w:val="0"/>
                <w:sz w:val="24"/>
                <w:szCs w:val="24"/>
              </w:rPr>
            </w:pPr>
            <w:r w:rsidRPr="003F68CE">
              <w:rPr>
                <w:b w:val="0"/>
                <w:bCs w:val="0"/>
                <w:sz w:val="24"/>
                <w:szCs w:val="24"/>
              </w:rPr>
              <w:t>…..</w:t>
            </w:r>
          </w:p>
          <w:p w14:paraId="7BC028EE" w14:textId="77777777" w:rsidR="0008583F" w:rsidRPr="003F68CE" w:rsidRDefault="0008583F" w:rsidP="003D1256">
            <w:pPr>
              <w:pStyle w:val="3"/>
              <w:spacing w:before="0" w:beforeAutospacing="0" w:after="0" w:afterAutospacing="0"/>
              <w:jc w:val="both"/>
              <w:outlineLvl w:val="2"/>
              <w:rPr>
                <w:b w:val="0"/>
                <w:bCs w:val="0"/>
                <w:sz w:val="24"/>
                <w:szCs w:val="24"/>
              </w:rPr>
            </w:pPr>
            <w:r w:rsidRPr="003F68CE">
              <w:rPr>
                <w:b w:val="0"/>
                <w:bCs w:val="0"/>
                <w:sz w:val="24"/>
                <w:szCs w:val="24"/>
              </w:rPr>
              <w:t>6. Для встановлення тарифу на послуги зберігання (закачування, відбору) природного газу суб’єкт господарювання подає до НКРЕКП не пізніше ніж за 60 календарних днів до початку планованого періоду заяву про встановлення тарифу на послуги зберігання (закачування, відбору) природного газу (далі - заява) за формою, наведеною в додатку 2 до цієї Методики, до якої додаються:</w:t>
            </w:r>
          </w:p>
          <w:p w14:paraId="15EF3F7B" w14:textId="77777777" w:rsidR="0008583F" w:rsidRPr="003F68CE" w:rsidRDefault="0008583F" w:rsidP="003D1256">
            <w:pPr>
              <w:pStyle w:val="3"/>
              <w:spacing w:before="0" w:beforeAutospacing="0" w:after="0" w:afterAutospacing="0"/>
              <w:jc w:val="both"/>
              <w:outlineLvl w:val="2"/>
              <w:rPr>
                <w:b w:val="0"/>
                <w:bCs w:val="0"/>
                <w:sz w:val="24"/>
                <w:szCs w:val="24"/>
              </w:rPr>
            </w:pPr>
            <w:r w:rsidRPr="003F68CE">
              <w:rPr>
                <w:b w:val="0"/>
                <w:bCs w:val="0"/>
                <w:sz w:val="24"/>
                <w:szCs w:val="24"/>
              </w:rPr>
              <w:t>….</w:t>
            </w:r>
          </w:p>
          <w:p w14:paraId="1662FF78" w14:textId="77777777" w:rsidR="0008583F" w:rsidRPr="003F68CE" w:rsidRDefault="0008583F" w:rsidP="003D1256">
            <w:pPr>
              <w:pStyle w:val="3"/>
              <w:spacing w:before="0" w:beforeAutospacing="0" w:after="0" w:afterAutospacing="0"/>
              <w:jc w:val="both"/>
              <w:outlineLvl w:val="2"/>
              <w:rPr>
                <w:b w:val="0"/>
                <w:bCs w:val="0"/>
                <w:strike/>
                <w:sz w:val="24"/>
                <w:szCs w:val="24"/>
              </w:rPr>
            </w:pPr>
            <w:r w:rsidRPr="003F68CE">
              <w:rPr>
                <w:b w:val="0"/>
                <w:bCs w:val="0"/>
                <w:strike/>
                <w:sz w:val="24"/>
                <w:szCs w:val="24"/>
              </w:rPr>
              <w:t>12) розрахунок прибутку з урахуванням суми прибутку на виробничі інвестиції на планований період та динаміка відповідних показників за попередній, базовий та на планований періоди з відповідними обґрунтуваннями;</w:t>
            </w:r>
          </w:p>
          <w:p w14:paraId="6EEF5165" w14:textId="77777777" w:rsidR="0008583F" w:rsidRPr="003F68CE" w:rsidRDefault="0008583F" w:rsidP="003D1256">
            <w:pPr>
              <w:pStyle w:val="3"/>
              <w:spacing w:before="0" w:beforeAutospacing="0" w:after="0" w:afterAutospacing="0"/>
              <w:jc w:val="both"/>
              <w:outlineLvl w:val="2"/>
              <w:rPr>
                <w:b w:val="0"/>
                <w:bCs w:val="0"/>
                <w:sz w:val="24"/>
                <w:szCs w:val="24"/>
              </w:rPr>
            </w:pPr>
            <w:r w:rsidRPr="003F68CE">
              <w:rPr>
                <w:b w:val="0"/>
                <w:bCs w:val="0"/>
                <w:sz w:val="24"/>
                <w:szCs w:val="24"/>
              </w:rPr>
              <w:t>…</w:t>
            </w:r>
          </w:p>
          <w:p w14:paraId="6E126F5F" w14:textId="77777777" w:rsidR="0008583F" w:rsidRPr="003F68CE" w:rsidRDefault="0008583F" w:rsidP="003D1256">
            <w:pPr>
              <w:pStyle w:val="3"/>
              <w:spacing w:before="0" w:beforeAutospacing="0" w:after="0" w:afterAutospacing="0"/>
              <w:jc w:val="both"/>
              <w:outlineLvl w:val="2"/>
              <w:rPr>
                <w:b w:val="0"/>
                <w:bCs w:val="0"/>
                <w:sz w:val="24"/>
                <w:szCs w:val="24"/>
              </w:rPr>
            </w:pPr>
            <w:r w:rsidRPr="003F68CE">
              <w:rPr>
                <w:b w:val="0"/>
                <w:bCs w:val="0"/>
                <w:sz w:val="24"/>
                <w:szCs w:val="24"/>
              </w:rPr>
              <w:t>11. Суб'єкт господарювання обґрунтовує кожну складову витрат господарської діяльності із зберігання (закачування, відбору) природного газу, пов'язаних з операційною діяльністю, фінансових витрат (крім фінансових витрат, які включені до собівартості кваліфікаційних активів відповідно до положень (стандартів) бухгалтерського обліку)</w:t>
            </w:r>
            <w:r w:rsidR="00EF45DC" w:rsidRPr="003F68CE">
              <w:rPr>
                <w:b w:val="0"/>
                <w:bCs w:val="0"/>
                <w:sz w:val="24"/>
                <w:szCs w:val="24"/>
              </w:rPr>
              <w:t>,</w:t>
            </w:r>
            <w:r w:rsidRPr="003F68CE">
              <w:rPr>
                <w:b w:val="0"/>
                <w:bCs w:val="0"/>
                <w:sz w:val="24"/>
                <w:szCs w:val="24"/>
              </w:rPr>
              <w:t xml:space="preserve"> прибутку</w:t>
            </w:r>
            <w:r w:rsidR="00EF45DC" w:rsidRPr="003F68CE">
              <w:rPr>
                <w:b w:val="0"/>
                <w:bCs w:val="0"/>
                <w:sz w:val="24"/>
                <w:szCs w:val="24"/>
              </w:rPr>
              <w:t xml:space="preserve"> </w:t>
            </w:r>
            <w:r w:rsidR="00EF45DC" w:rsidRPr="003F68CE">
              <w:rPr>
                <w:bCs w:val="0"/>
                <w:sz w:val="24"/>
                <w:szCs w:val="24"/>
              </w:rPr>
              <w:t>та капітальних інвестицій</w:t>
            </w:r>
            <w:r w:rsidRPr="003F68CE">
              <w:rPr>
                <w:b w:val="0"/>
                <w:bCs w:val="0"/>
                <w:sz w:val="24"/>
                <w:szCs w:val="24"/>
              </w:rPr>
              <w:t xml:space="preserve"> документами, визначеними </w:t>
            </w:r>
            <w:hyperlink r:id="rId35" w:anchor="n357" w:history="1">
              <w:r w:rsidRPr="003F68CE">
                <w:rPr>
                  <w:b w:val="0"/>
                  <w:bCs w:val="0"/>
                  <w:sz w:val="24"/>
                  <w:szCs w:val="24"/>
                </w:rPr>
                <w:t>пунктом 6</w:t>
              </w:r>
            </w:hyperlink>
            <w:r w:rsidRPr="003F68CE">
              <w:rPr>
                <w:b w:val="0"/>
                <w:bCs w:val="0"/>
                <w:sz w:val="24"/>
                <w:szCs w:val="24"/>
              </w:rPr>
              <w:t> цього розділу.</w:t>
            </w:r>
          </w:p>
          <w:p w14:paraId="54478E11" w14:textId="77777777" w:rsidR="00B32DED" w:rsidRPr="003F68CE" w:rsidRDefault="00B32DED" w:rsidP="003D1256">
            <w:pPr>
              <w:pStyle w:val="a4"/>
              <w:spacing w:before="0" w:beforeAutospacing="0" w:after="0" w:afterAutospacing="0"/>
              <w:jc w:val="both"/>
              <w:rPr>
                <w:b/>
                <w:noProof/>
              </w:rPr>
            </w:pPr>
          </w:p>
        </w:tc>
      </w:tr>
      <w:tr w:rsidR="003F68CE" w:rsidRPr="003F68CE" w14:paraId="256D1230" w14:textId="77777777" w:rsidTr="003D1256">
        <w:tc>
          <w:tcPr>
            <w:tcW w:w="14879" w:type="dxa"/>
            <w:gridSpan w:val="2"/>
          </w:tcPr>
          <w:p w14:paraId="299D44D6" w14:textId="77777777" w:rsidR="00806E1E" w:rsidRPr="003F68CE" w:rsidRDefault="00806E1E" w:rsidP="003D1256">
            <w:pPr>
              <w:pStyle w:val="3"/>
              <w:spacing w:before="0" w:beforeAutospacing="0" w:after="0" w:afterAutospacing="0"/>
              <w:jc w:val="center"/>
              <w:outlineLvl w:val="2"/>
            </w:pPr>
            <w:r w:rsidRPr="003F68CE">
              <w:t>ПРИМІРНИЙ ПЕРЕЛІК ПИТАНЬ,</w:t>
            </w:r>
          </w:p>
          <w:p w14:paraId="1166879B" w14:textId="77777777" w:rsidR="00806E1E" w:rsidRPr="003F68CE" w:rsidRDefault="00806E1E" w:rsidP="003D1256">
            <w:pPr>
              <w:pStyle w:val="a4"/>
              <w:spacing w:before="0" w:beforeAutospacing="0" w:after="0" w:afterAutospacing="0"/>
              <w:jc w:val="center"/>
              <w:rPr>
                <w:b/>
                <w:bCs/>
                <w:sz w:val="27"/>
                <w:szCs w:val="27"/>
              </w:rPr>
            </w:pPr>
            <w:r w:rsidRPr="003F68CE">
              <w:rPr>
                <w:b/>
                <w:bCs/>
                <w:sz w:val="27"/>
                <w:szCs w:val="27"/>
              </w:rPr>
              <w:t>які висвітлюються в пояснювальній записці до розрахунку відповідних тарифів</w:t>
            </w:r>
          </w:p>
        </w:tc>
      </w:tr>
      <w:tr w:rsidR="00143080" w:rsidRPr="003F68CE" w14:paraId="2D88997B" w14:textId="77777777" w:rsidTr="003D1256">
        <w:tc>
          <w:tcPr>
            <w:tcW w:w="6976" w:type="dxa"/>
          </w:tcPr>
          <w:p w14:paraId="645F7CD9" w14:textId="77777777" w:rsidR="00BF0521" w:rsidRPr="003F68CE" w:rsidRDefault="00BF0521" w:rsidP="003D1256">
            <w:pPr>
              <w:pStyle w:val="3"/>
              <w:spacing w:before="0" w:beforeAutospacing="0" w:after="0" w:afterAutospacing="0"/>
              <w:jc w:val="both"/>
              <w:outlineLvl w:val="2"/>
              <w:rPr>
                <w:b w:val="0"/>
                <w:bCs w:val="0"/>
                <w:sz w:val="24"/>
                <w:szCs w:val="24"/>
              </w:rPr>
            </w:pPr>
            <w:r w:rsidRPr="003F68CE">
              <w:rPr>
                <w:b w:val="0"/>
                <w:bCs w:val="0"/>
                <w:sz w:val="24"/>
                <w:szCs w:val="24"/>
              </w:rPr>
              <w:t>….</w:t>
            </w:r>
          </w:p>
          <w:p w14:paraId="3E4580A0" w14:textId="77777777" w:rsidR="00BF0521" w:rsidRPr="003F68CE" w:rsidRDefault="00BF0521" w:rsidP="003D1256">
            <w:pPr>
              <w:pStyle w:val="3"/>
              <w:spacing w:before="0" w:beforeAutospacing="0" w:after="0" w:afterAutospacing="0"/>
              <w:jc w:val="both"/>
              <w:outlineLvl w:val="2"/>
              <w:rPr>
                <w:b w:val="0"/>
                <w:bCs w:val="0"/>
                <w:sz w:val="24"/>
                <w:szCs w:val="24"/>
              </w:rPr>
            </w:pPr>
            <w:r w:rsidRPr="003F68CE">
              <w:rPr>
                <w:b w:val="0"/>
                <w:bCs w:val="0"/>
                <w:sz w:val="24"/>
                <w:szCs w:val="24"/>
              </w:rPr>
              <w:t xml:space="preserve"> 2. Аналіз фінансово-господарської діяльності суб'єкта господарювання за базовий та попередній періоди за ліцензованим видом діяльності:</w:t>
            </w:r>
          </w:p>
          <w:p w14:paraId="0B645444" w14:textId="77777777" w:rsidR="00BF0521" w:rsidRPr="003F68CE" w:rsidRDefault="00BF0521" w:rsidP="003D1256">
            <w:pPr>
              <w:pStyle w:val="3"/>
              <w:spacing w:before="0" w:beforeAutospacing="0" w:after="0" w:afterAutospacing="0"/>
              <w:jc w:val="both"/>
              <w:outlineLvl w:val="2"/>
              <w:rPr>
                <w:b w:val="0"/>
                <w:bCs w:val="0"/>
                <w:sz w:val="24"/>
                <w:szCs w:val="24"/>
              </w:rPr>
            </w:pPr>
            <w:r w:rsidRPr="003F68CE">
              <w:rPr>
                <w:b w:val="0"/>
                <w:bCs w:val="0"/>
                <w:sz w:val="24"/>
                <w:szCs w:val="24"/>
              </w:rPr>
              <w:t>…</w:t>
            </w:r>
          </w:p>
          <w:p w14:paraId="23017BE3" w14:textId="77777777" w:rsidR="00BF0521" w:rsidRPr="003F68CE" w:rsidRDefault="00BF0521" w:rsidP="003D1256">
            <w:pPr>
              <w:pStyle w:val="3"/>
              <w:spacing w:before="0" w:beforeAutospacing="0" w:after="0" w:afterAutospacing="0"/>
              <w:jc w:val="both"/>
              <w:outlineLvl w:val="2"/>
              <w:rPr>
                <w:b w:val="0"/>
                <w:bCs w:val="0"/>
                <w:sz w:val="24"/>
                <w:szCs w:val="24"/>
              </w:rPr>
            </w:pPr>
            <w:r w:rsidRPr="003F68CE">
              <w:rPr>
                <w:b w:val="0"/>
                <w:bCs w:val="0"/>
                <w:sz w:val="24"/>
                <w:szCs w:val="24"/>
              </w:rPr>
              <w:t>2.2. Аналіз фактичних витрат за базовий період, доходів та прибутку відповідно до врахованих при розрахунку чинних тарифів та причини відхилень.</w:t>
            </w:r>
          </w:p>
          <w:p w14:paraId="0AFA7C60" w14:textId="77777777" w:rsidR="00BF0521" w:rsidRPr="003F68CE" w:rsidRDefault="00BF0521" w:rsidP="003D1256">
            <w:pPr>
              <w:pStyle w:val="3"/>
              <w:spacing w:before="0" w:beforeAutospacing="0" w:after="0" w:afterAutospacing="0"/>
              <w:jc w:val="both"/>
              <w:outlineLvl w:val="2"/>
              <w:rPr>
                <w:b w:val="0"/>
                <w:bCs w:val="0"/>
                <w:sz w:val="24"/>
                <w:szCs w:val="24"/>
              </w:rPr>
            </w:pPr>
            <w:r w:rsidRPr="003F68CE">
              <w:rPr>
                <w:b w:val="0"/>
                <w:bCs w:val="0"/>
                <w:sz w:val="24"/>
                <w:szCs w:val="24"/>
              </w:rPr>
              <w:t>…</w:t>
            </w:r>
          </w:p>
          <w:p w14:paraId="4682183C" w14:textId="77777777" w:rsidR="00BF0521" w:rsidRPr="003F68CE" w:rsidRDefault="00BF0521" w:rsidP="003D1256">
            <w:pPr>
              <w:shd w:val="clear" w:color="auto" w:fill="FFFFFF"/>
              <w:spacing w:after="0" w:line="240" w:lineRule="auto"/>
              <w:jc w:val="both"/>
              <w:rPr>
                <w:rFonts w:ascii="Times New Roman" w:eastAsia="Times New Roman" w:hAnsi="Times New Roman" w:cs="Times New Roman"/>
                <w:sz w:val="24"/>
                <w:szCs w:val="24"/>
                <w:lang w:val="uk-UA" w:eastAsia="uk-UA"/>
              </w:rPr>
            </w:pPr>
            <w:r w:rsidRPr="003F68CE">
              <w:rPr>
                <w:rFonts w:ascii="Times New Roman" w:eastAsia="Times New Roman" w:hAnsi="Times New Roman" w:cs="Times New Roman"/>
                <w:sz w:val="24"/>
                <w:szCs w:val="24"/>
                <w:lang w:val="uk-UA" w:eastAsia="uk-UA"/>
              </w:rPr>
              <w:t>6. Планований прибуток. Обґрунтувати рівень планованого прибутку із визначенням напрямів його використання:</w:t>
            </w:r>
          </w:p>
          <w:p w14:paraId="07E899D4" w14:textId="77777777" w:rsidR="00BF0521" w:rsidRPr="003F68CE" w:rsidRDefault="00BF0521" w:rsidP="003D1256">
            <w:pPr>
              <w:shd w:val="clear" w:color="auto" w:fill="FFFFFF"/>
              <w:spacing w:after="0" w:line="240" w:lineRule="auto"/>
              <w:jc w:val="both"/>
              <w:rPr>
                <w:rFonts w:ascii="Times New Roman" w:eastAsia="Times New Roman" w:hAnsi="Times New Roman" w:cs="Times New Roman"/>
                <w:sz w:val="24"/>
                <w:szCs w:val="24"/>
                <w:lang w:val="uk-UA" w:eastAsia="uk-UA"/>
              </w:rPr>
            </w:pPr>
            <w:bookmarkStart w:id="24" w:name="n445"/>
            <w:bookmarkEnd w:id="24"/>
            <w:r w:rsidRPr="003F68CE">
              <w:rPr>
                <w:rFonts w:ascii="Times New Roman" w:eastAsia="Times New Roman" w:hAnsi="Times New Roman" w:cs="Times New Roman"/>
                <w:sz w:val="24"/>
                <w:szCs w:val="24"/>
                <w:lang w:val="uk-UA" w:eastAsia="uk-UA"/>
              </w:rPr>
              <w:t>6.1. Сума коштів на виконання затвердженої інвестиційної програми.</w:t>
            </w:r>
          </w:p>
          <w:p w14:paraId="0162204D" w14:textId="77777777" w:rsidR="00BF0521" w:rsidRPr="003F68CE" w:rsidRDefault="00BF0521" w:rsidP="003D1256">
            <w:pPr>
              <w:shd w:val="clear" w:color="auto" w:fill="FFFFFF"/>
              <w:spacing w:after="0" w:line="240" w:lineRule="auto"/>
              <w:jc w:val="both"/>
              <w:rPr>
                <w:rFonts w:ascii="Times New Roman" w:eastAsia="Times New Roman" w:hAnsi="Times New Roman" w:cs="Times New Roman"/>
                <w:sz w:val="24"/>
                <w:szCs w:val="24"/>
                <w:lang w:val="uk-UA" w:eastAsia="uk-UA"/>
              </w:rPr>
            </w:pPr>
            <w:bookmarkStart w:id="25" w:name="n446"/>
            <w:bookmarkEnd w:id="25"/>
            <w:r w:rsidRPr="003F68CE">
              <w:rPr>
                <w:rFonts w:ascii="Times New Roman" w:eastAsia="Times New Roman" w:hAnsi="Times New Roman" w:cs="Times New Roman"/>
                <w:sz w:val="24"/>
                <w:szCs w:val="24"/>
                <w:lang w:val="uk-UA" w:eastAsia="uk-UA"/>
              </w:rPr>
              <w:t>6.2. Сума коштів на погашення основної суми кредитів та інших запозичень, що залучені для виконання інвестиційної програми.</w:t>
            </w:r>
          </w:p>
          <w:p w14:paraId="2C7DEBFC" w14:textId="77777777" w:rsidR="00BF0521" w:rsidRPr="003F68CE" w:rsidRDefault="00BF0521" w:rsidP="003D1256">
            <w:pPr>
              <w:shd w:val="clear" w:color="auto" w:fill="FFFFFF"/>
              <w:spacing w:after="0" w:line="240" w:lineRule="auto"/>
              <w:jc w:val="both"/>
              <w:rPr>
                <w:rFonts w:ascii="Times New Roman" w:eastAsia="Times New Roman" w:hAnsi="Times New Roman" w:cs="Times New Roman"/>
                <w:sz w:val="24"/>
                <w:szCs w:val="24"/>
                <w:lang w:val="uk-UA" w:eastAsia="uk-UA"/>
              </w:rPr>
            </w:pPr>
            <w:bookmarkStart w:id="26" w:name="n447"/>
            <w:bookmarkEnd w:id="26"/>
            <w:r w:rsidRPr="003F68CE">
              <w:rPr>
                <w:rFonts w:ascii="Times New Roman" w:eastAsia="Times New Roman" w:hAnsi="Times New Roman" w:cs="Times New Roman"/>
                <w:sz w:val="24"/>
                <w:szCs w:val="24"/>
                <w:lang w:val="uk-UA" w:eastAsia="uk-UA"/>
              </w:rPr>
              <w:t>6.3. Сума коштів для спрямування частини чистого прибутку на виплату дивідендів відповідно до Закону України «Про управління об'єктами державної власності».</w:t>
            </w:r>
          </w:p>
          <w:p w14:paraId="75D2FD5C" w14:textId="77777777" w:rsidR="00BF0521" w:rsidRPr="003F68CE" w:rsidRDefault="00BF0521" w:rsidP="003D1256">
            <w:pPr>
              <w:shd w:val="clear" w:color="auto" w:fill="FFFFFF"/>
              <w:spacing w:after="0" w:line="240" w:lineRule="auto"/>
              <w:jc w:val="both"/>
              <w:rPr>
                <w:rFonts w:ascii="Times New Roman" w:eastAsia="Times New Roman" w:hAnsi="Times New Roman" w:cs="Times New Roman"/>
                <w:sz w:val="24"/>
                <w:szCs w:val="24"/>
                <w:lang w:val="uk-UA" w:eastAsia="uk-UA"/>
              </w:rPr>
            </w:pPr>
            <w:bookmarkStart w:id="27" w:name="n448"/>
            <w:bookmarkEnd w:id="27"/>
            <w:r w:rsidRPr="003F68CE">
              <w:rPr>
                <w:rFonts w:ascii="Times New Roman" w:eastAsia="Times New Roman" w:hAnsi="Times New Roman" w:cs="Times New Roman"/>
                <w:sz w:val="24"/>
                <w:szCs w:val="24"/>
                <w:lang w:val="uk-UA" w:eastAsia="uk-UA"/>
              </w:rPr>
              <w:t>6.4. Сума податку на прибуток, розрахованого відповідно до Податкового кодексу України.</w:t>
            </w:r>
          </w:p>
          <w:p w14:paraId="3A4E9D75" w14:textId="77777777" w:rsidR="00BF0521" w:rsidRPr="003F68CE" w:rsidRDefault="00BF0521" w:rsidP="003D1256">
            <w:pPr>
              <w:shd w:val="clear" w:color="auto" w:fill="FFFFFF"/>
              <w:spacing w:after="0" w:line="240" w:lineRule="auto"/>
              <w:jc w:val="both"/>
              <w:rPr>
                <w:rFonts w:ascii="Times New Roman" w:eastAsia="Times New Roman" w:hAnsi="Times New Roman" w:cs="Times New Roman"/>
                <w:sz w:val="24"/>
                <w:szCs w:val="24"/>
                <w:lang w:val="uk-UA" w:eastAsia="uk-UA"/>
              </w:rPr>
            </w:pPr>
            <w:bookmarkStart w:id="28" w:name="n449"/>
            <w:bookmarkEnd w:id="28"/>
            <w:r w:rsidRPr="003F68CE">
              <w:rPr>
                <w:rFonts w:ascii="Times New Roman" w:eastAsia="Times New Roman" w:hAnsi="Times New Roman" w:cs="Times New Roman"/>
                <w:sz w:val="24"/>
                <w:szCs w:val="24"/>
                <w:lang w:val="uk-UA" w:eastAsia="uk-UA"/>
              </w:rPr>
              <w:t>6.5. Сума коштів для фінансування компенсації витрат (збитків), яких зазнав ліцензіат, та інших обґрунтованих потреб фінансово-господарської діяльності ліцензіата, які не були включені до складу витрат структури тарифу і щодо яких Податковим кодексом України прямо не встановлено обмежень у частині коригування фінансового результату до оподаткування на різниці, визначена відповідно до положень розділу III Податкового кодексу України.</w:t>
            </w:r>
          </w:p>
          <w:p w14:paraId="74FB6A71" w14:textId="77777777" w:rsidR="00BF0521" w:rsidRPr="003F68CE" w:rsidRDefault="00BF0521" w:rsidP="003D1256">
            <w:pPr>
              <w:shd w:val="clear" w:color="auto" w:fill="FFFFFF"/>
              <w:spacing w:after="0" w:line="240" w:lineRule="auto"/>
              <w:jc w:val="both"/>
              <w:rPr>
                <w:rFonts w:ascii="Times New Roman" w:eastAsia="Times New Roman" w:hAnsi="Times New Roman" w:cs="Times New Roman"/>
                <w:sz w:val="24"/>
                <w:szCs w:val="24"/>
                <w:lang w:val="uk-UA" w:eastAsia="uk-UA"/>
              </w:rPr>
            </w:pPr>
            <w:bookmarkStart w:id="29" w:name="n450"/>
            <w:bookmarkEnd w:id="29"/>
            <w:r w:rsidRPr="003F68CE">
              <w:rPr>
                <w:rFonts w:ascii="Times New Roman" w:eastAsia="Times New Roman" w:hAnsi="Times New Roman" w:cs="Times New Roman"/>
                <w:sz w:val="24"/>
                <w:szCs w:val="24"/>
                <w:lang w:val="uk-UA" w:eastAsia="uk-UA"/>
              </w:rPr>
              <w:t>6.6. Сума коштів на погашення основної суми кредитів та/або запозичень, які залучені для виконання інвестиційної програми та погоджені НКРЕКП, та/або суми інвестицій за рахунок власного капіталу в необоротні матеріальні та нематеріальні активи.</w:t>
            </w:r>
          </w:p>
          <w:p w14:paraId="6C2F6231" w14:textId="77777777" w:rsidR="00BF0521" w:rsidRPr="003F68CE" w:rsidRDefault="00BF0521" w:rsidP="003D1256">
            <w:pPr>
              <w:shd w:val="clear" w:color="auto" w:fill="FFFFFF"/>
              <w:spacing w:after="0" w:line="240" w:lineRule="auto"/>
              <w:jc w:val="both"/>
              <w:rPr>
                <w:rFonts w:ascii="Times New Roman" w:eastAsia="Times New Roman" w:hAnsi="Times New Roman" w:cs="Times New Roman"/>
                <w:b/>
                <w:sz w:val="24"/>
                <w:szCs w:val="24"/>
                <w:lang w:val="uk-UA" w:eastAsia="uk-UA"/>
              </w:rPr>
            </w:pPr>
            <w:r w:rsidRPr="003F68CE">
              <w:rPr>
                <w:rFonts w:ascii="Times New Roman" w:eastAsia="Times New Roman" w:hAnsi="Times New Roman" w:cs="Times New Roman"/>
                <w:b/>
                <w:sz w:val="24"/>
                <w:szCs w:val="24"/>
                <w:lang w:val="uk-UA" w:eastAsia="uk-UA"/>
              </w:rPr>
              <w:t>Норма відсутня</w:t>
            </w:r>
          </w:p>
          <w:p w14:paraId="70D6D66D" w14:textId="77777777" w:rsidR="00BF0521" w:rsidRPr="003F68CE" w:rsidRDefault="00BF0521" w:rsidP="003D1256">
            <w:pPr>
              <w:pStyle w:val="3"/>
              <w:spacing w:before="0" w:beforeAutospacing="0" w:after="0" w:afterAutospacing="0"/>
              <w:jc w:val="both"/>
              <w:outlineLvl w:val="2"/>
              <w:rPr>
                <w:b w:val="0"/>
                <w:bCs w:val="0"/>
                <w:sz w:val="24"/>
                <w:szCs w:val="24"/>
              </w:rPr>
            </w:pPr>
          </w:p>
        </w:tc>
        <w:tc>
          <w:tcPr>
            <w:tcW w:w="7903" w:type="dxa"/>
          </w:tcPr>
          <w:p w14:paraId="7CED11B3" w14:textId="77777777" w:rsidR="00BF0521" w:rsidRPr="003F68CE" w:rsidRDefault="00BF0521" w:rsidP="003D1256">
            <w:pPr>
              <w:pStyle w:val="3"/>
              <w:spacing w:before="0" w:beforeAutospacing="0" w:after="0" w:afterAutospacing="0"/>
              <w:jc w:val="both"/>
              <w:outlineLvl w:val="2"/>
              <w:rPr>
                <w:b w:val="0"/>
                <w:bCs w:val="0"/>
                <w:sz w:val="24"/>
                <w:szCs w:val="24"/>
              </w:rPr>
            </w:pPr>
            <w:r w:rsidRPr="003F68CE">
              <w:rPr>
                <w:b w:val="0"/>
                <w:bCs w:val="0"/>
                <w:sz w:val="24"/>
                <w:szCs w:val="24"/>
              </w:rPr>
              <w:t>….</w:t>
            </w:r>
          </w:p>
          <w:p w14:paraId="2DCCF4D8" w14:textId="77777777" w:rsidR="00BF0521" w:rsidRPr="003F68CE" w:rsidRDefault="00BF0521" w:rsidP="003D1256">
            <w:pPr>
              <w:pStyle w:val="3"/>
              <w:spacing w:before="0" w:beforeAutospacing="0" w:after="0" w:afterAutospacing="0"/>
              <w:jc w:val="both"/>
              <w:outlineLvl w:val="2"/>
              <w:rPr>
                <w:b w:val="0"/>
                <w:bCs w:val="0"/>
                <w:sz w:val="24"/>
                <w:szCs w:val="24"/>
              </w:rPr>
            </w:pPr>
            <w:r w:rsidRPr="003F68CE">
              <w:rPr>
                <w:b w:val="0"/>
                <w:bCs w:val="0"/>
                <w:sz w:val="24"/>
                <w:szCs w:val="24"/>
              </w:rPr>
              <w:t xml:space="preserve"> 2. Аналіз фінансово-господарської діяльності суб'єкта господарювання за базовий та попередній періоди за ліцензованим видом діяльності:</w:t>
            </w:r>
          </w:p>
          <w:p w14:paraId="2AD9BCD7" w14:textId="77777777" w:rsidR="00BF0521" w:rsidRPr="003F68CE" w:rsidRDefault="00BF0521" w:rsidP="003D1256">
            <w:pPr>
              <w:pStyle w:val="3"/>
              <w:spacing w:before="0" w:beforeAutospacing="0" w:after="0" w:afterAutospacing="0"/>
              <w:jc w:val="both"/>
              <w:outlineLvl w:val="2"/>
              <w:rPr>
                <w:b w:val="0"/>
                <w:bCs w:val="0"/>
                <w:sz w:val="24"/>
                <w:szCs w:val="24"/>
              </w:rPr>
            </w:pPr>
            <w:r w:rsidRPr="003F68CE">
              <w:rPr>
                <w:b w:val="0"/>
                <w:bCs w:val="0"/>
                <w:sz w:val="24"/>
                <w:szCs w:val="24"/>
              </w:rPr>
              <w:t>…</w:t>
            </w:r>
          </w:p>
          <w:p w14:paraId="7E2E4AAF" w14:textId="77777777" w:rsidR="00BF0521" w:rsidRPr="003F68CE" w:rsidRDefault="00BF0521" w:rsidP="003D1256">
            <w:pPr>
              <w:pStyle w:val="3"/>
              <w:spacing w:before="0" w:beforeAutospacing="0" w:after="0" w:afterAutospacing="0"/>
              <w:jc w:val="both"/>
              <w:outlineLvl w:val="2"/>
              <w:rPr>
                <w:b w:val="0"/>
                <w:bCs w:val="0"/>
                <w:sz w:val="24"/>
                <w:szCs w:val="24"/>
              </w:rPr>
            </w:pPr>
            <w:r w:rsidRPr="003F68CE">
              <w:rPr>
                <w:b w:val="0"/>
                <w:bCs w:val="0"/>
                <w:sz w:val="24"/>
                <w:szCs w:val="24"/>
              </w:rPr>
              <w:t>2.2. Аналіз фактичних витрат за базовий період, доходів та прибутку відповідно до врахованих при розрахунку чинних тарифів та причини відхилень.</w:t>
            </w:r>
          </w:p>
          <w:p w14:paraId="50F41FD2" w14:textId="20938C3E" w:rsidR="00BF0521" w:rsidRDefault="00BF0521" w:rsidP="003D1256">
            <w:pPr>
              <w:pStyle w:val="3"/>
              <w:spacing w:before="0" w:beforeAutospacing="0" w:after="0" w:afterAutospacing="0"/>
              <w:jc w:val="both"/>
              <w:outlineLvl w:val="2"/>
              <w:rPr>
                <w:b w:val="0"/>
                <w:bCs w:val="0"/>
                <w:sz w:val="24"/>
                <w:szCs w:val="24"/>
              </w:rPr>
            </w:pPr>
            <w:r w:rsidRPr="003F68CE">
              <w:rPr>
                <w:b w:val="0"/>
                <w:bCs w:val="0"/>
                <w:sz w:val="24"/>
                <w:szCs w:val="24"/>
              </w:rPr>
              <w:t>…</w:t>
            </w:r>
          </w:p>
          <w:p w14:paraId="5777FC77" w14:textId="77777777" w:rsidR="0086455A" w:rsidRPr="003F68CE" w:rsidRDefault="0086455A" w:rsidP="003D1256">
            <w:pPr>
              <w:pStyle w:val="3"/>
              <w:spacing w:before="0" w:beforeAutospacing="0" w:after="0" w:afterAutospacing="0"/>
              <w:jc w:val="both"/>
              <w:outlineLvl w:val="2"/>
              <w:rPr>
                <w:b w:val="0"/>
                <w:bCs w:val="0"/>
                <w:sz w:val="24"/>
                <w:szCs w:val="24"/>
              </w:rPr>
            </w:pPr>
          </w:p>
          <w:p w14:paraId="4075AC0E" w14:textId="77777777" w:rsidR="00BF0521" w:rsidRPr="003F68CE" w:rsidRDefault="00BF0521" w:rsidP="003D1256">
            <w:pPr>
              <w:shd w:val="clear" w:color="auto" w:fill="FFFFFF"/>
              <w:spacing w:after="0" w:line="240" w:lineRule="auto"/>
              <w:jc w:val="both"/>
              <w:rPr>
                <w:rFonts w:ascii="Times New Roman" w:eastAsia="Times New Roman" w:hAnsi="Times New Roman" w:cs="Times New Roman"/>
                <w:strike/>
                <w:sz w:val="24"/>
                <w:szCs w:val="24"/>
                <w:lang w:val="uk-UA" w:eastAsia="uk-UA"/>
              </w:rPr>
            </w:pPr>
            <w:r w:rsidRPr="003F68CE">
              <w:rPr>
                <w:rFonts w:ascii="Times New Roman" w:eastAsia="Times New Roman" w:hAnsi="Times New Roman" w:cs="Times New Roman"/>
                <w:sz w:val="24"/>
                <w:szCs w:val="24"/>
                <w:lang w:val="uk-UA" w:eastAsia="uk-UA"/>
              </w:rPr>
              <w:t xml:space="preserve">6. </w:t>
            </w:r>
            <w:bookmarkStart w:id="30" w:name="_Hlk146016195"/>
            <w:r w:rsidRPr="003F68CE">
              <w:rPr>
                <w:rFonts w:ascii="Times New Roman" w:eastAsia="Times New Roman" w:hAnsi="Times New Roman" w:cs="Times New Roman"/>
                <w:sz w:val="24"/>
                <w:szCs w:val="24"/>
                <w:lang w:val="uk-UA" w:eastAsia="uk-UA"/>
              </w:rPr>
              <w:t>Планований прибуток. Обґрунтувати рівень планованого прибутку</w:t>
            </w:r>
            <w:bookmarkEnd w:id="30"/>
            <w:r w:rsidRPr="003F68CE">
              <w:rPr>
                <w:rFonts w:ascii="Times New Roman" w:eastAsia="Times New Roman" w:hAnsi="Times New Roman" w:cs="Times New Roman"/>
                <w:sz w:val="24"/>
                <w:szCs w:val="24"/>
                <w:lang w:val="uk-UA" w:eastAsia="uk-UA"/>
              </w:rPr>
              <w:t xml:space="preserve">. </w:t>
            </w:r>
            <w:r w:rsidRPr="003F68CE">
              <w:rPr>
                <w:rFonts w:ascii="Times New Roman" w:eastAsia="Times New Roman" w:hAnsi="Times New Roman" w:cs="Times New Roman"/>
                <w:strike/>
                <w:sz w:val="24"/>
                <w:szCs w:val="24"/>
                <w:lang w:val="uk-UA" w:eastAsia="uk-UA"/>
              </w:rPr>
              <w:t>із визначенням напрямів його використання:</w:t>
            </w:r>
          </w:p>
          <w:p w14:paraId="7D567D15" w14:textId="77777777" w:rsidR="00BF0521" w:rsidRPr="003F68CE" w:rsidRDefault="00BF0521" w:rsidP="003D1256">
            <w:pPr>
              <w:shd w:val="clear" w:color="auto" w:fill="FFFFFF"/>
              <w:spacing w:after="0" w:line="240" w:lineRule="auto"/>
              <w:jc w:val="both"/>
              <w:rPr>
                <w:rFonts w:ascii="Times New Roman" w:eastAsia="Times New Roman" w:hAnsi="Times New Roman" w:cs="Times New Roman"/>
                <w:strike/>
                <w:sz w:val="24"/>
                <w:szCs w:val="24"/>
                <w:lang w:val="uk-UA" w:eastAsia="uk-UA"/>
              </w:rPr>
            </w:pPr>
            <w:r w:rsidRPr="003F68CE">
              <w:rPr>
                <w:rFonts w:ascii="Times New Roman" w:eastAsia="Times New Roman" w:hAnsi="Times New Roman" w:cs="Times New Roman"/>
                <w:strike/>
                <w:sz w:val="24"/>
                <w:szCs w:val="24"/>
                <w:lang w:val="uk-UA" w:eastAsia="uk-UA"/>
              </w:rPr>
              <w:t>6.1. Сума коштів на виконання затвердженої інвестиційної програми.</w:t>
            </w:r>
          </w:p>
          <w:p w14:paraId="7A099353" w14:textId="77777777" w:rsidR="00BF0521" w:rsidRPr="003F68CE" w:rsidRDefault="00BF0521" w:rsidP="003D1256">
            <w:pPr>
              <w:shd w:val="clear" w:color="auto" w:fill="FFFFFF"/>
              <w:spacing w:after="0" w:line="240" w:lineRule="auto"/>
              <w:jc w:val="both"/>
              <w:rPr>
                <w:rFonts w:ascii="Times New Roman" w:eastAsia="Times New Roman" w:hAnsi="Times New Roman" w:cs="Times New Roman"/>
                <w:strike/>
                <w:sz w:val="24"/>
                <w:szCs w:val="24"/>
                <w:lang w:val="uk-UA" w:eastAsia="uk-UA"/>
              </w:rPr>
            </w:pPr>
            <w:r w:rsidRPr="003F68CE">
              <w:rPr>
                <w:rFonts w:ascii="Times New Roman" w:eastAsia="Times New Roman" w:hAnsi="Times New Roman" w:cs="Times New Roman"/>
                <w:strike/>
                <w:sz w:val="24"/>
                <w:szCs w:val="24"/>
                <w:lang w:val="uk-UA" w:eastAsia="uk-UA"/>
              </w:rPr>
              <w:t>6.2. Сума коштів на погашення основної суми кредитів та інших запозичень, що залучені для виконання інвестиційної програми.</w:t>
            </w:r>
          </w:p>
          <w:p w14:paraId="5C65CB5D" w14:textId="77777777" w:rsidR="00BF0521" w:rsidRPr="003F68CE" w:rsidRDefault="00BF0521" w:rsidP="003D1256">
            <w:pPr>
              <w:shd w:val="clear" w:color="auto" w:fill="FFFFFF"/>
              <w:spacing w:after="0" w:line="240" w:lineRule="auto"/>
              <w:jc w:val="both"/>
              <w:rPr>
                <w:rFonts w:ascii="Times New Roman" w:eastAsia="Times New Roman" w:hAnsi="Times New Roman" w:cs="Times New Roman"/>
                <w:strike/>
                <w:sz w:val="24"/>
                <w:szCs w:val="24"/>
                <w:lang w:val="uk-UA" w:eastAsia="uk-UA"/>
              </w:rPr>
            </w:pPr>
            <w:r w:rsidRPr="003F68CE">
              <w:rPr>
                <w:rFonts w:ascii="Times New Roman" w:eastAsia="Times New Roman" w:hAnsi="Times New Roman" w:cs="Times New Roman"/>
                <w:strike/>
                <w:sz w:val="24"/>
                <w:szCs w:val="24"/>
                <w:lang w:val="uk-UA" w:eastAsia="uk-UA"/>
              </w:rPr>
              <w:t>6.3. Сума коштів для спрямування частини чистого прибутку на виплату дивідендів відповідно до Закону України «Про управління об'єктами державної власності».</w:t>
            </w:r>
          </w:p>
          <w:p w14:paraId="4837A47F" w14:textId="77777777" w:rsidR="00BF0521" w:rsidRPr="003F68CE" w:rsidRDefault="00BF0521" w:rsidP="003D1256">
            <w:pPr>
              <w:shd w:val="clear" w:color="auto" w:fill="FFFFFF"/>
              <w:spacing w:after="0" w:line="240" w:lineRule="auto"/>
              <w:jc w:val="both"/>
              <w:rPr>
                <w:rFonts w:ascii="Times New Roman" w:eastAsia="Times New Roman" w:hAnsi="Times New Roman" w:cs="Times New Roman"/>
                <w:strike/>
                <w:sz w:val="24"/>
                <w:szCs w:val="24"/>
                <w:lang w:val="uk-UA" w:eastAsia="uk-UA"/>
              </w:rPr>
            </w:pPr>
            <w:r w:rsidRPr="003F68CE">
              <w:rPr>
                <w:rFonts w:ascii="Times New Roman" w:eastAsia="Times New Roman" w:hAnsi="Times New Roman" w:cs="Times New Roman"/>
                <w:strike/>
                <w:sz w:val="24"/>
                <w:szCs w:val="24"/>
                <w:lang w:val="uk-UA" w:eastAsia="uk-UA"/>
              </w:rPr>
              <w:t>6.4. Сума податку на прибуток, розрахованого відповідно до Податкового кодексу України.</w:t>
            </w:r>
          </w:p>
          <w:p w14:paraId="19AE83B1" w14:textId="77777777" w:rsidR="00BF0521" w:rsidRPr="003F68CE" w:rsidRDefault="00BF0521" w:rsidP="003D1256">
            <w:pPr>
              <w:shd w:val="clear" w:color="auto" w:fill="FFFFFF"/>
              <w:spacing w:after="0" w:line="240" w:lineRule="auto"/>
              <w:jc w:val="both"/>
              <w:rPr>
                <w:rFonts w:ascii="Times New Roman" w:eastAsia="Times New Roman" w:hAnsi="Times New Roman" w:cs="Times New Roman"/>
                <w:strike/>
                <w:sz w:val="24"/>
                <w:szCs w:val="24"/>
                <w:lang w:val="uk-UA" w:eastAsia="uk-UA"/>
              </w:rPr>
            </w:pPr>
            <w:r w:rsidRPr="003F68CE">
              <w:rPr>
                <w:rFonts w:ascii="Times New Roman" w:eastAsia="Times New Roman" w:hAnsi="Times New Roman" w:cs="Times New Roman"/>
                <w:strike/>
                <w:sz w:val="24"/>
                <w:szCs w:val="24"/>
                <w:lang w:val="uk-UA" w:eastAsia="uk-UA"/>
              </w:rPr>
              <w:t>6.5. Сума коштів для фінансування компенсації витрат (збитків), яких зазнав ліцензіат, та інших обґрунтованих потреб фінансово-господарської діяльності ліцензіата, які не були включені до складу витрат структури тарифу і щодо яких Податковим кодексом України прямо не встановлено обмежень у частині коригування фінансового результату до оподаткування на різниці, визначена відповідно до положень розділу III Податкового кодексу України.</w:t>
            </w:r>
          </w:p>
          <w:p w14:paraId="56FED1D3" w14:textId="77777777" w:rsidR="00BF0521" w:rsidRPr="003F68CE" w:rsidRDefault="00BF0521" w:rsidP="003D1256">
            <w:pPr>
              <w:shd w:val="clear" w:color="auto" w:fill="FFFFFF"/>
              <w:spacing w:after="0" w:line="240" w:lineRule="auto"/>
              <w:jc w:val="both"/>
              <w:rPr>
                <w:rFonts w:ascii="Times New Roman" w:eastAsia="Times New Roman" w:hAnsi="Times New Roman" w:cs="Times New Roman"/>
                <w:strike/>
                <w:sz w:val="24"/>
                <w:szCs w:val="24"/>
                <w:lang w:val="uk-UA" w:eastAsia="uk-UA"/>
              </w:rPr>
            </w:pPr>
            <w:r w:rsidRPr="003F68CE">
              <w:rPr>
                <w:rFonts w:ascii="Times New Roman" w:eastAsia="Times New Roman" w:hAnsi="Times New Roman" w:cs="Times New Roman"/>
                <w:strike/>
                <w:sz w:val="24"/>
                <w:szCs w:val="24"/>
                <w:lang w:val="uk-UA" w:eastAsia="uk-UA"/>
              </w:rPr>
              <w:t>6.6. Сума коштів на погашення основної суми кредитів та/або запозичень, які залучені для виконання інвестиційної програми та погоджені НКРЕКП, та/або суми інвестицій за рахунок власного капіталу в необоротні матеріальні та нематеріальні активи.</w:t>
            </w:r>
          </w:p>
          <w:p w14:paraId="08C47228" w14:textId="77777777" w:rsidR="00BF0521" w:rsidRPr="003F68CE" w:rsidRDefault="00BF0521" w:rsidP="003D1256">
            <w:pPr>
              <w:pStyle w:val="a4"/>
              <w:spacing w:before="0" w:beforeAutospacing="0" w:after="0" w:afterAutospacing="0"/>
              <w:jc w:val="both"/>
              <w:rPr>
                <w:b/>
              </w:rPr>
            </w:pPr>
            <w:r w:rsidRPr="003F68CE">
              <w:rPr>
                <w:b/>
              </w:rPr>
              <w:t xml:space="preserve">7. </w:t>
            </w:r>
            <w:bookmarkStart w:id="31" w:name="_Hlk146016215"/>
            <w:r w:rsidRPr="003F68CE">
              <w:rPr>
                <w:b/>
              </w:rPr>
              <w:t>Капітальні інвестиції. Обґрунтувати рівень капітальних інвестиції із визначенням напрямів їх використання:</w:t>
            </w:r>
          </w:p>
          <w:p w14:paraId="735C2E96" w14:textId="77777777" w:rsidR="00BF0521" w:rsidRPr="003F68CE" w:rsidRDefault="00BF0521" w:rsidP="003D1256">
            <w:pPr>
              <w:pStyle w:val="a4"/>
              <w:spacing w:before="0" w:beforeAutospacing="0" w:after="0" w:afterAutospacing="0"/>
              <w:jc w:val="both"/>
              <w:rPr>
                <w:b/>
              </w:rPr>
            </w:pPr>
            <w:r w:rsidRPr="003F68CE">
              <w:rPr>
                <w:b/>
              </w:rPr>
              <w:t>1) сума коштів на виконання інвестиційної програми;</w:t>
            </w:r>
          </w:p>
          <w:p w14:paraId="32742A54" w14:textId="77777777" w:rsidR="00BF0521" w:rsidRPr="003F68CE" w:rsidRDefault="00BF0521" w:rsidP="003D1256">
            <w:pPr>
              <w:shd w:val="clear" w:color="auto" w:fill="FFFFFF"/>
              <w:spacing w:after="0" w:line="240" w:lineRule="auto"/>
              <w:jc w:val="both"/>
              <w:rPr>
                <w:b/>
                <w:bCs/>
                <w:sz w:val="24"/>
                <w:szCs w:val="24"/>
                <w:lang w:val="uk-UA"/>
              </w:rPr>
            </w:pPr>
            <w:r w:rsidRPr="003F68CE">
              <w:rPr>
                <w:rFonts w:ascii="Times New Roman" w:eastAsia="Times New Roman" w:hAnsi="Times New Roman" w:cs="Times New Roman"/>
                <w:b/>
                <w:sz w:val="24"/>
                <w:szCs w:val="24"/>
                <w:lang w:val="uk-UA" w:eastAsia="uk-UA"/>
              </w:rPr>
              <w:t>2) сума коштів на погашення основної суми кредитів та/або запозичень, які залучені для виконання інвестиційної програми та які погоджені НКРЕКП</w:t>
            </w:r>
            <w:bookmarkEnd w:id="31"/>
            <w:r w:rsidRPr="003F68CE">
              <w:rPr>
                <w:rFonts w:ascii="Times New Roman" w:eastAsia="Times New Roman" w:hAnsi="Times New Roman" w:cs="Times New Roman"/>
                <w:b/>
                <w:sz w:val="24"/>
                <w:szCs w:val="24"/>
                <w:lang w:val="uk-UA" w:eastAsia="uk-UA"/>
              </w:rPr>
              <w:t>.</w:t>
            </w:r>
          </w:p>
        </w:tc>
      </w:tr>
      <w:tr w:rsidR="00143080" w:rsidRPr="003F68CE" w14:paraId="751D74CE" w14:textId="77777777" w:rsidTr="003D1256">
        <w:tc>
          <w:tcPr>
            <w:tcW w:w="6976" w:type="dxa"/>
          </w:tcPr>
          <w:p w14:paraId="64A7ADBB" w14:textId="6FF78A7C" w:rsidR="00387749" w:rsidRPr="003F68CE" w:rsidRDefault="00143080" w:rsidP="003D1256">
            <w:pPr>
              <w:pStyle w:val="3"/>
              <w:spacing w:before="0" w:beforeAutospacing="0" w:after="0" w:afterAutospacing="0"/>
              <w:jc w:val="both"/>
              <w:outlineLvl w:val="2"/>
              <w:rPr>
                <w:b w:val="0"/>
                <w:bCs w:val="0"/>
                <w:sz w:val="24"/>
                <w:szCs w:val="24"/>
              </w:rPr>
            </w:pPr>
            <w:r w:rsidRPr="00143080">
              <w:rPr>
                <w:b w:val="0"/>
                <w:bCs w:val="0"/>
                <w:noProof/>
                <w:sz w:val="24"/>
                <w:szCs w:val="24"/>
              </w:rPr>
              <w:drawing>
                <wp:inline distT="0" distB="0" distL="0" distR="0" wp14:anchorId="0E6B9D71" wp14:editId="401C8672">
                  <wp:extent cx="4124325" cy="665797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124325" cy="6657975"/>
                          </a:xfrm>
                          <a:prstGeom prst="rect">
                            <a:avLst/>
                          </a:prstGeom>
                          <a:noFill/>
                          <a:ln>
                            <a:noFill/>
                          </a:ln>
                        </pic:spPr>
                      </pic:pic>
                    </a:graphicData>
                  </a:graphic>
                </wp:inline>
              </w:drawing>
            </w:r>
          </w:p>
        </w:tc>
        <w:tc>
          <w:tcPr>
            <w:tcW w:w="7903" w:type="dxa"/>
          </w:tcPr>
          <w:p w14:paraId="0FC0DE51" w14:textId="078A9E2A" w:rsidR="00387749" w:rsidRPr="003F68CE" w:rsidRDefault="00387749" w:rsidP="003D1256">
            <w:pPr>
              <w:pStyle w:val="3"/>
              <w:spacing w:before="0" w:beforeAutospacing="0" w:after="0" w:afterAutospacing="0"/>
              <w:jc w:val="both"/>
              <w:outlineLvl w:val="2"/>
              <w:rPr>
                <w:b w:val="0"/>
                <w:bCs w:val="0"/>
                <w:sz w:val="24"/>
                <w:szCs w:val="24"/>
              </w:rPr>
            </w:pPr>
            <w:r w:rsidRPr="00387749">
              <w:rPr>
                <w:b w:val="0"/>
                <w:bCs w:val="0"/>
                <w:noProof/>
                <w:sz w:val="24"/>
                <w:szCs w:val="24"/>
              </w:rPr>
              <w:drawing>
                <wp:inline distT="0" distB="0" distL="0" distR="0" wp14:anchorId="08D1CADD" wp14:editId="01A2CD65">
                  <wp:extent cx="4410075" cy="66008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410075" cy="6600825"/>
                          </a:xfrm>
                          <a:prstGeom prst="rect">
                            <a:avLst/>
                          </a:prstGeom>
                          <a:noFill/>
                          <a:ln>
                            <a:noFill/>
                          </a:ln>
                        </pic:spPr>
                      </pic:pic>
                    </a:graphicData>
                  </a:graphic>
                </wp:inline>
              </w:drawing>
            </w:r>
          </w:p>
        </w:tc>
      </w:tr>
      <w:tr w:rsidR="00143080" w:rsidRPr="003F68CE" w14:paraId="52947C0C" w14:textId="77777777" w:rsidTr="003D1256">
        <w:tc>
          <w:tcPr>
            <w:tcW w:w="6976" w:type="dxa"/>
          </w:tcPr>
          <w:p w14:paraId="439B4CF7" w14:textId="4E53BF6D" w:rsidR="00387749" w:rsidRPr="003F68CE" w:rsidRDefault="00143080" w:rsidP="003D1256">
            <w:pPr>
              <w:pStyle w:val="3"/>
              <w:spacing w:before="0" w:beforeAutospacing="0" w:after="0" w:afterAutospacing="0"/>
              <w:jc w:val="both"/>
              <w:outlineLvl w:val="2"/>
              <w:rPr>
                <w:b w:val="0"/>
                <w:bCs w:val="0"/>
                <w:sz w:val="24"/>
                <w:szCs w:val="24"/>
              </w:rPr>
            </w:pPr>
            <w:r w:rsidRPr="00143080">
              <w:rPr>
                <w:b w:val="0"/>
                <w:bCs w:val="0"/>
                <w:noProof/>
                <w:sz w:val="24"/>
                <w:szCs w:val="24"/>
              </w:rPr>
              <w:drawing>
                <wp:inline distT="0" distB="0" distL="0" distR="0" wp14:anchorId="0D27C5AC" wp14:editId="5776B354">
                  <wp:extent cx="4244893" cy="6910293"/>
                  <wp:effectExtent l="0" t="0" r="3810" b="508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269837" cy="6950900"/>
                          </a:xfrm>
                          <a:prstGeom prst="rect">
                            <a:avLst/>
                          </a:prstGeom>
                          <a:noFill/>
                          <a:ln>
                            <a:noFill/>
                          </a:ln>
                        </pic:spPr>
                      </pic:pic>
                    </a:graphicData>
                  </a:graphic>
                </wp:inline>
              </w:drawing>
            </w:r>
          </w:p>
        </w:tc>
        <w:tc>
          <w:tcPr>
            <w:tcW w:w="7903" w:type="dxa"/>
          </w:tcPr>
          <w:p w14:paraId="37E47620" w14:textId="28E7A70D" w:rsidR="00387749" w:rsidRPr="00387749" w:rsidRDefault="00387749" w:rsidP="003D1256">
            <w:pPr>
              <w:pStyle w:val="3"/>
              <w:spacing w:before="0" w:beforeAutospacing="0" w:after="0" w:afterAutospacing="0"/>
              <w:jc w:val="both"/>
              <w:outlineLvl w:val="2"/>
              <w:rPr>
                <w:b w:val="0"/>
                <w:bCs w:val="0"/>
                <w:noProof/>
                <w:sz w:val="24"/>
                <w:szCs w:val="24"/>
              </w:rPr>
            </w:pPr>
            <w:r w:rsidRPr="00387749">
              <w:rPr>
                <w:b w:val="0"/>
                <w:bCs w:val="0"/>
                <w:noProof/>
                <w:sz w:val="24"/>
                <w:szCs w:val="24"/>
              </w:rPr>
              <w:drawing>
                <wp:inline distT="0" distB="0" distL="0" distR="0" wp14:anchorId="0EA53A53" wp14:editId="165901BE">
                  <wp:extent cx="4779624" cy="6910070"/>
                  <wp:effectExtent l="0" t="0" r="254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800361" cy="6940050"/>
                          </a:xfrm>
                          <a:prstGeom prst="rect">
                            <a:avLst/>
                          </a:prstGeom>
                          <a:noFill/>
                          <a:ln>
                            <a:noFill/>
                          </a:ln>
                        </pic:spPr>
                      </pic:pic>
                    </a:graphicData>
                  </a:graphic>
                </wp:inline>
              </w:drawing>
            </w:r>
          </w:p>
        </w:tc>
      </w:tr>
    </w:tbl>
    <w:p w14:paraId="0F4BEF48" w14:textId="77777777" w:rsidR="007E47BB" w:rsidRPr="003F68CE" w:rsidRDefault="007E47BB" w:rsidP="0086455A">
      <w:pPr>
        <w:spacing w:after="0" w:line="240" w:lineRule="auto"/>
        <w:jc w:val="both"/>
        <w:rPr>
          <w:b/>
          <w:lang w:val="uk-UA"/>
        </w:rPr>
      </w:pPr>
    </w:p>
    <w:sectPr w:rsidR="007E47BB" w:rsidRPr="003F68CE" w:rsidSect="005E73E8">
      <w:pgSz w:w="16838" w:h="11906" w:orient="landscape"/>
      <w:pgMar w:top="568" w:right="1103"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B0269"/>
    <w:multiLevelType w:val="hybridMultilevel"/>
    <w:tmpl w:val="E9A2A7C2"/>
    <w:lvl w:ilvl="0" w:tplc="D8EA2886">
      <w:start w:val="1"/>
      <w:numFmt w:val="decimal"/>
      <w:lvlText w:val="10.%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2DF9788F"/>
    <w:multiLevelType w:val="hybridMultilevel"/>
    <w:tmpl w:val="7D7A51DE"/>
    <w:lvl w:ilvl="0" w:tplc="95A8E786">
      <w:start w:val="1"/>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3DF22F0A"/>
    <w:multiLevelType w:val="hybridMultilevel"/>
    <w:tmpl w:val="990CD2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658F797E"/>
    <w:multiLevelType w:val="hybridMultilevel"/>
    <w:tmpl w:val="C666C51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9310F07"/>
    <w:multiLevelType w:val="hybridMultilevel"/>
    <w:tmpl w:val="4FEEE1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99A"/>
    <w:rsid w:val="00007048"/>
    <w:rsid w:val="00007BBD"/>
    <w:rsid w:val="000619EB"/>
    <w:rsid w:val="000655D7"/>
    <w:rsid w:val="00072BBB"/>
    <w:rsid w:val="000758D4"/>
    <w:rsid w:val="00080C55"/>
    <w:rsid w:val="00084EA0"/>
    <w:rsid w:val="0008583F"/>
    <w:rsid w:val="000C43F0"/>
    <w:rsid w:val="000E2D6E"/>
    <w:rsid w:val="000F1228"/>
    <w:rsid w:val="000F6C6A"/>
    <w:rsid w:val="001029DC"/>
    <w:rsid w:val="00117684"/>
    <w:rsid w:val="00143080"/>
    <w:rsid w:val="0014406E"/>
    <w:rsid w:val="00144CDF"/>
    <w:rsid w:val="00152EF0"/>
    <w:rsid w:val="001562B4"/>
    <w:rsid w:val="00176D3E"/>
    <w:rsid w:val="001B0E01"/>
    <w:rsid w:val="001B4EB7"/>
    <w:rsid w:val="001B70F3"/>
    <w:rsid w:val="001D71AF"/>
    <w:rsid w:val="001D7431"/>
    <w:rsid w:val="001E1892"/>
    <w:rsid w:val="001E77F5"/>
    <w:rsid w:val="001E7BDD"/>
    <w:rsid w:val="001F28E3"/>
    <w:rsid w:val="00201D8E"/>
    <w:rsid w:val="002106A2"/>
    <w:rsid w:val="00256500"/>
    <w:rsid w:val="002601DF"/>
    <w:rsid w:val="00292143"/>
    <w:rsid w:val="002C61DD"/>
    <w:rsid w:val="00317B33"/>
    <w:rsid w:val="00321477"/>
    <w:rsid w:val="003224CF"/>
    <w:rsid w:val="00345F6F"/>
    <w:rsid w:val="00350FC8"/>
    <w:rsid w:val="00362659"/>
    <w:rsid w:val="003737EF"/>
    <w:rsid w:val="00375C7C"/>
    <w:rsid w:val="0038199A"/>
    <w:rsid w:val="00387749"/>
    <w:rsid w:val="003D1256"/>
    <w:rsid w:val="003E65CB"/>
    <w:rsid w:val="003F68CE"/>
    <w:rsid w:val="004224A0"/>
    <w:rsid w:val="00440304"/>
    <w:rsid w:val="004414F5"/>
    <w:rsid w:val="00450866"/>
    <w:rsid w:val="00486CA4"/>
    <w:rsid w:val="004A31E8"/>
    <w:rsid w:val="004B014A"/>
    <w:rsid w:val="004B57E5"/>
    <w:rsid w:val="004C2300"/>
    <w:rsid w:val="004D406F"/>
    <w:rsid w:val="004F2D47"/>
    <w:rsid w:val="00510F09"/>
    <w:rsid w:val="00554FE8"/>
    <w:rsid w:val="005A5715"/>
    <w:rsid w:val="005C5DBF"/>
    <w:rsid w:val="005D3D26"/>
    <w:rsid w:val="005E73E8"/>
    <w:rsid w:val="005F5810"/>
    <w:rsid w:val="006057C3"/>
    <w:rsid w:val="00613C5B"/>
    <w:rsid w:val="006216A1"/>
    <w:rsid w:val="00642E40"/>
    <w:rsid w:val="006824F0"/>
    <w:rsid w:val="006B0689"/>
    <w:rsid w:val="006B08FC"/>
    <w:rsid w:val="006F04F3"/>
    <w:rsid w:val="0072653E"/>
    <w:rsid w:val="00735F55"/>
    <w:rsid w:val="007560AD"/>
    <w:rsid w:val="007621B2"/>
    <w:rsid w:val="0076285C"/>
    <w:rsid w:val="0076304C"/>
    <w:rsid w:val="00776520"/>
    <w:rsid w:val="00782C0B"/>
    <w:rsid w:val="007E0391"/>
    <w:rsid w:val="007E47BB"/>
    <w:rsid w:val="007F0BB3"/>
    <w:rsid w:val="00806E1E"/>
    <w:rsid w:val="00807083"/>
    <w:rsid w:val="00813523"/>
    <w:rsid w:val="00820228"/>
    <w:rsid w:val="00833E50"/>
    <w:rsid w:val="00852AA0"/>
    <w:rsid w:val="0086455A"/>
    <w:rsid w:val="00894743"/>
    <w:rsid w:val="00897F6E"/>
    <w:rsid w:val="008A2058"/>
    <w:rsid w:val="008A48AD"/>
    <w:rsid w:val="008C04DA"/>
    <w:rsid w:val="008D14CE"/>
    <w:rsid w:val="008D3D6A"/>
    <w:rsid w:val="008D46AE"/>
    <w:rsid w:val="008D554C"/>
    <w:rsid w:val="008E2210"/>
    <w:rsid w:val="00911ED7"/>
    <w:rsid w:val="0091476E"/>
    <w:rsid w:val="00915A7B"/>
    <w:rsid w:val="00925A62"/>
    <w:rsid w:val="009412D9"/>
    <w:rsid w:val="00962E2A"/>
    <w:rsid w:val="00963870"/>
    <w:rsid w:val="009710C9"/>
    <w:rsid w:val="009A7681"/>
    <w:rsid w:val="009B5203"/>
    <w:rsid w:val="009C29DA"/>
    <w:rsid w:val="00A07BE4"/>
    <w:rsid w:val="00A16AA2"/>
    <w:rsid w:val="00A40DD6"/>
    <w:rsid w:val="00A84475"/>
    <w:rsid w:val="00AA357C"/>
    <w:rsid w:val="00AB64AB"/>
    <w:rsid w:val="00AB7D16"/>
    <w:rsid w:val="00AD0D17"/>
    <w:rsid w:val="00AF02ED"/>
    <w:rsid w:val="00B0104F"/>
    <w:rsid w:val="00B25EC3"/>
    <w:rsid w:val="00B32DED"/>
    <w:rsid w:val="00B616DF"/>
    <w:rsid w:val="00B82A37"/>
    <w:rsid w:val="00B8307F"/>
    <w:rsid w:val="00BA4B2A"/>
    <w:rsid w:val="00BE6730"/>
    <w:rsid w:val="00BF0521"/>
    <w:rsid w:val="00C023B8"/>
    <w:rsid w:val="00C03B53"/>
    <w:rsid w:val="00C044F2"/>
    <w:rsid w:val="00C41EFE"/>
    <w:rsid w:val="00C43A9B"/>
    <w:rsid w:val="00C5038B"/>
    <w:rsid w:val="00C52BFC"/>
    <w:rsid w:val="00C55AE3"/>
    <w:rsid w:val="00C80C45"/>
    <w:rsid w:val="00C85762"/>
    <w:rsid w:val="00C916DE"/>
    <w:rsid w:val="00CB55CF"/>
    <w:rsid w:val="00CC3294"/>
    <w:rsid w:val="00CE0D56"/>
    <w:rsid w:val="00CF2069"/>
    <w:rsid w:val="00D10A79"/>
    <w:rsid w:val="00D118E9"/>
    <w:rsid w:val="00D13FAB"/>
    <w:rsid w:val="00D54D45"/>
    <w:rsid w:val="00D66017"/>
    <w:rsid w:val="00D66AA6"/>
    <w:rsid w:val="00D67268"/>
    <w:rsid w:val="00D81469"/>
    <w:rsid w:val="00D8463F"/>
    <w:rsid w:val="00D93DE5"/>
    <w:rsid w:val="00D96FE9"/>
    <w:rsid w:val="00DB1DAB"/>
    <w:rsid w:val="00DB5C20"/>
    <w:rsid w:val="00DC7E59"/>
    <w:rsid w:val="00E0385A"/>
    <w:rsid w:val="00E202D6"/>
    <w:rsid w:val="00E21438"/>
    <w:rsid w:val="00E51B5E"/>
    <w:rsid w:val="00E803CD"/>
    <w:rsid w:val="00E813D2"/>
    <w:rsid w:val="00EB679A"/>
    <w:rsid w:val="00EC1C29"/>
    <w:rsid w:val="00EF45DC"/>
    <w:rsid w:val="00EF492A"/>
    <w:rsid w:val="00EF501F"/>
    <w:rsid w:val="00F04CB7"/>
    <w:rsid w:val="00F07759"/>
    <w:rsid w:val="00F11A42"/>
    <w:rsid w:val="00F201B5"/>
    <w:rsid w:val="00F25976"/>
    <w:rsid w:val="00F35F42"/>
    <w:rsid w:val="00FB10B0"/>
    <w:rsid w:val="00FD54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49264"/>
  <w15:chartTrackingRefBased/>
  <w15:docId w15:val="{0AE46050-5488-4991-B541-0919225A4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73E8"/>
    <w:pPr>
      <w:spacing w:after="200" w:line="276" w:lineRule="auto"/>
    </w:pPr>
    <w:rPr>
      <w:lang w:val="ru-RU"/>
    </w:rPr>
  </w:style>
  <w:style w:type="paragraph" w:styleId="3">
    <w:name w:val="heading 3"/>
    <w:basedOn w:val="a"/>
    <w:link w:val="30"/>
    <w:uiPriority w:val="9"/>
    <w:qFormat/>
    <w:rsid w:val="003737EF"/>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3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3737EF"/>
    <w:rPr>
      <w:rFonts w:ascii="Times New Roman" w:eastAsia="Times New Roman" w:hAnsi="Times New Roman" w:cs="Times New Roman"/>
      <w:b/>
      <w:bCs/>
      <w:sz w:val="27"/>
      <w:szCs w:val="27"/>
      <w:lang w:eastAsia="uk-UA"/>
    </w:rPr>
  </w:style>
  <w:style w:type="paragraph" w:styleId="a4">
    <w:name w:val="Normal (Web)"/>
    <w:basedOn w:val="a"/>
    <w:uiPriority w:val="99"/>
    <w:unhideWhenUsed/>
    <w:rsid w:val="003737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3737EF"/>
    <w:pPr>
      <w:spacing w:after="0" w:line="240" w:lineRule="auto"/>
      <w:ind w:left="720"/>
      <w:contextualSpacing/>
    </w:pPr>
    <w:rPr>
      <w:rFonts w:ascii="Calibri" w:eastAsia="Calibri" w:hAnsi="Calibri" w:cs="Times New Roman"/>
      <w:sz w:val="24"/>
      <w:szCs w:val="24"/>
      <w:lang w:val="en-US"/>
    </w:rPr>
  </w:style>
  <w:style w:type="paragraph" w:customStyle="1" w:styleId="rvps2">
    <w:name w:val="rvps2"/>
    <w:basedOn w:val="a"/>
    <w:rsid w:val="006B068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2">
    <w:name w:val="rvps12"/>
    <w:basedOn w:val="a"/>
    <w:rsid w:val="006B068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6">
    <w:name w:val="Hyperlink"/>
    <w:basedOn w:val="a0"/>
    <w:uiPriority w:val="99"/>
    <w:semiHidden/>
    <w:unhideWhenUsed/>
    <w:rsid w:val="006B0689"/>
    <w:rPr>
      <w:color w:val="0000FF"/>
      <w:u w:val="single"/>
    </w:rPr>
  </w:style>
  <w:style w:type="paragraph" w:customStyle="1" w:styleId="rvps14">
    <w:name w:val="rvps14"/>
    <w:basedOn w:val="a"/>
    <w:rsid w:val="006B068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6B0689"/>
  </w:style>
  <w:style w:type="character" w:styleId="a7">
    <w:name w:val="annotation reference"/>
    <w:basedOn w:val="a0"/>
    <w:uiPriority w:val="99"/>
    <w:semiHidden/>
    <w:unhideWhenUsed/>
    <w:rsid w:val="00833E50"/>
    <w:rPr>
      <w:sz w:val="16"/>
      <w:szCs w:val="16"/>
    </w:rPr>
  </w:style>
  <w:style w:type="paragraph" w:styleId="a8">
    <w:name w:val="annotation text"/>
    <w:basedOn w:val="a"/>
    <w:link w:val="a9"/>
    <w:uiPriority w:val="99"/>
    <w:semiHidden/>
    <w:unhideWhenUsed/>
    <w:rsid w:val="00833E50"/>
    <w:pPr>
      <w:spacing w:line="240" w:lineRule="auto"/>
    </w:pPr>
    <w:rPr>
      <w:sz w:val="20"/>
      <w:szCs w:val="20"/>
    </w:rPr>
  </w:style>
  <w:style w:type="character" w:customStyle="1" w:styleId="a9">
    <w:name w:val="Текст примітки Знак"/>
    <w:basedOn w:val="a0"/>
    <w:link w:val="a8"/>
    <w:uiPriority w:val="99"/>
    <w:semiHidden/>
    <w:rsid w:val="00833E50"/>
    <w:rPr>
      <w:sz w:val="20"/>
      <w:szCs w:val="20"/>
      <w:lang w:val="ru-RU"/>
    </w:rPr>
  </w:style>
  <w:style w:type="paragraph" w:styleId="aa">
    <w:name w:val="annotation subject"/>
    <w:basedOn w:val="a8"/>
    <w:next w:val="a8"/>
    <w:link w:val="ab"/>
    <w:uiPriority w:val="99"/>
    <w:semiHidden/>
    <w:unhideWhenUsed/>
    <w:rsid w:val="00833E50"/>
    <w:rPr>
      <w:b/>
      <w:bCs/>
    </w:rPr>
  </w:style>
  <w:style w:type="character" w:customStyle="1" w:styleId="ab">
    <w:name w:val="Тема примітки Знак"/>
    <w:basedOn w:val="a9"/>
    <w:link w:val="aa"/>
    <w:uiPriority w:val="99"/>
    <w:semiHidden/>
    <w:rsid w:val="00833E50"/>
    <w:rPr>
      <w:b/>
      <w:bCs/>
      <w:sz w:val="20"/>
      <w:szCs w:val="20"/>
      <w:lang w:val="ru-RU"/>
    </w:rPr>
  </w:style>
  <w:style w:type="paragraph" w:styleId="ac">
    <w:name w:val="Balloon Text"/>
    <w:basedOn w:val="a"/>
    <w:link w:val="ad"/>
    <w:uiPriority w:val="99"/>
    <w:semiHidden/>
    <w:unhideWhenUsed/>
    <w:rsid w:val="00833E50"/>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833E50"/>
    <w:rPr>
      <w:rFonts w:ascii="Segoe UI" w:hAnsi="Segoe UI" w:cs="Segoe UI"/>
      <w:sz w:val="18"/>
      <w:szCs w:val="18"/>
      <w:lang w:val="ru-RU"/>
    </w:rPr>
  </w:style>
  <w:style w:type="character" w:styleId="ae">
    <w:name w:val="Placeholder Text"/>
    <w:basedOn w:val="a0"/>
    <w:uiPriority w:val="99"/>
    <w:semiHidden/>
    <w:rsid w:val="009A7681"/>
    <w:rPr>
      <w:color w:val="808080"/>
    </w:rPr>
  </w:style>
  <w:style w:type="character" w:customStyle="1" w:styleId="rvts11">
    <w:name w:val="rvts11"/>
    <w:basedOn w:val="a0"/>
    <w:rsid w:val="00D8463F"/>
  </w:style>
  <w:style w:type="paragraph" w:customStyle="1" w:styleId="rvps11">
    <w:name w:val="rvps11"/>
    <w:basedOn w:val="a"/>
    <w:rsid w:val="0029214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292143"/>
  </w:style>
  <w:style w:type="character" w:customStyle="1" w:styleId="rvts40">
    <w:name w:val="rvts40"/>
    <w:basedOn w:val="a0"/>
    <w:rsid w:val="00292143"/>
  </w:style>
  <w:style w:type="character" w:customStyle="1" w:styleId="rvts37">
    <w:name w:val="rvts37"/>
    <w:basedOn w:val="a0"/>
    <w:rsid w:val="002921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602088">
      <w:bodyDiv w:val="1"/>
      <w:marLeft w:val="0"/>
      <w:marRight w:val="0"/>
      <w:marTop w:val="0"/>
      <w:marBottom w:val="0"/>
      <w:divBdr>
        <w:top w:val="none" w:sz="0" w:space="0" w:color="auto"/>
        <w:left w:val="none" w:sz="0" w:space="0" w:color="auto"/>
        <w:bottom w:val="none" w:sz="0" w:space="0" w:color="auto"/>
        <w:right w:val="none" w:sz="0" w:space="0" w:color="auto"/>
      </w:divBdr>
    </w:div>
    <w:div w:id="107361511">
      <w:bodyDiv w:val="1"/>
      <w:marLeft w:val="0"/>
      <w:marRight w:val="0"/>
      <w:marTop w:val="0"/>
      <w:marBottom w:val="0"/>
      <w:divBdr>
        <w:top w:val="none" w:sz="0" w:space="0" w:color="auto"/>
        <w:left w:val="none" w:sz="0" w:space="0" w:color="auto"/>
        <w:bottom w:val="none" w:sz="0" w:space="0" w:color="auto"/>
        <w:right w:val="none" w:sz="0" w:space="0" w:color="auto"/>
      </w:divBdr>
    </w:div>
    <w:div w:id="193811755">
      <w:bodyDiv w:val="1"/>
      <w:marLeft w:val="0"/>
      <w:marRight w:val="0"/>
      <w:marTop w:val="0"/>
      <w:marBottom w:val="0"/>
      <w:divBdr>
        <w:top w:val="none" w:sz="0" w:space="0" w:color="auto"/>
        <w:left w:val="none" w:sz="0" w:space="0" w:color="auto"/>
        <w:bottom w:val="none" w:sz="0" w:space="0" w:color="auto"/>
        <w:right w:val="none" w:sz="0" w:space="0" w:color="auto"/>
      </w:divBdr>
    </w:div>
    <w:div w:id="1081488881">
      <w:bodyDiv w:val="1"/>
      <w:marLeft w:val="0"/>
      <w:marRight w:val="0"/>
      <w:marTop w:val="0"/>
      <w:marBottom w:val="0"/>
      <w:divBdr>
        <w:top w:val="none" w:sz="0" w:space="0" w:color="auto"/>
        <w:left w:val="none" w:sz="0" w:space="0" w:color="auto"/>
        <w:bottom w:val="none" w:sz="0" w:space="0" w:color="auto"/>
        <w:right w:val="none" w:sz="0" w:space="0" w:color="auto"/>
      </w:divBdr>
    </w:div>
    <w:div w:id="1170876992">
      <w:bodyDiv w:val="1"/>
      <w:marLeft w:val="0"/>
      <w:marRight w:val="0"/>
      <w:marTop w:val="0"/>
      <w:marBottom w:val="0"/>
      <w:divBdr>
        <w:top w:val="none" w:sz="0" w:space="0" w:color="auto"/>
        <w:left w:val="none" w:sz="0" w:space="0" w:color="auto"/>
        <w:bottom w:val="none" w:sz="0" w:space="0" w:color="auto"/>
        <w:right w:val="none" w:sz="0" w:space="0" w:color="auto"/>
      </w:divBdr>
    </w:div>
    <w:div w:id="1240360497">
      <w:bodyDiv w:val="1"/>
      <w:marLeft w:val="0"/>
      <w:marRight w:val="0"/>
      <w:marTop w:val="0"/>
      <w:marBottom w:val="0"/>
      <w:divBdr>
        <w:top w:val="none" w:sz="0" w:space="0" w:color="auto"/>
        <w:left w:val="none" w:sz="0" w:space="0" w:color="auto"/>
        <w:bottom w:val="none" w:sz="0" w:space="0" w:color="auto"/>
        <w:right w:val="none" w:sz="0" w:space="0" w:color="auto"/>
      </w:divBdr>
      <w:divsChild>
        <w:div w:id="1308823989">
          <w:marLeft w:val="0"/>
          <w:marRight w:val="0"/>
          <w:marTop w:val="0"/>
          <w:marBottom w:val="150"/>
          <w:divBdr>
            <w:top w:val="none" w:sz="0" w:space="0" w:color="auto"/>
            <w:left w:val="none" w:sz="0" w:space="0" w:color="auto"/>
            <w:bottom w:val="none" w:sz="0" w:space="0" w:color="auto"/>
            <w:right w:val="none" w:sz="0" w:space="0" w:color="auto"/>
          </w:divBdr>
        </w:div>
      </w:divsChild>
    </w:div>
    <w:div w:id="1451434051">
      <w:bodyDiv w:val="1"/>
      <w:marLeft w:val="0"/>
      <w:marRight w:val="0"/>
      <w:marTop w:val="0"/>
      <w:marBottom w:val="0"/>
      <w:divBdr>
        <w:top w:val="none" w:sz="0" w:space="0" w:color="auto"/>
        <w:left w:val="none" w:sz="0" w:space="0" w:color="auto"/>
        <w:bottom w:val="none" w:sz="0" w:space="0" w:color="auto"/>
        <w:right w:val="none" w:sz="0" w:space="0" w:color="auto"/>
      </w:divBdr>
      <w:divsChild>
        <w:div w:id="2105956285">
          <w:marLeft w:val="0"/>
          <w:marRight w:val="0"/>
          <w:marTop w:val="0"/>
          <w:marBottom w:val="150"/>
          <w:divBdr>
            <w:top w:val="none" w:sz="0" w:space="0" w:color="auto"/>
            <w:left w:val="none" w:sz="0" w:space="0" w:color="auto"/>
            <w:bottom w:val="none" w:sz="0" w:space="0" w:color="auto"/>
            <w:right w:val="none" w:sz="0" w:space="0" w:color="auto"/>
          </w:divBdr>
        </w:div>
        <w:div w:id="513348530">
          <w:marLeft w:val="0"/>
          <w:marRight w:val="0"/>
          <w:marTop w:val="0"/>
          <w:marBottom w:val="150"/>
          <w:divBdr>
            <w:top w:val="none" w:sz="0" w:space="0" w:color="auto"/>
            <w:left w:val="none" w:sz="0" w:space="0" w:color="auto"/>
            <w:bottom w:val="none" w:sz="0" w:space="0" w:color="auto"/>
            <w:right w:val="none" w:sz="0" w:space="0" w:color="auto"/>
          </w:divBdr>
        </w:div>
        <w:div w:id="1838109847">
          <w:marLeft w:val="0"/>
          <w:marRight w:val="0"/>
          <w:marTop w:val="0"/>
          <w:marBottom w:val="150"/>
          <w:divBdr>
            <w:top w:val="none" w:sz="0" w:space="0" w:color="auto"/>
            <w:left w:val="none" w:sz="0" w:space="0" w:color="auto"/>
            <w:bottom w:val="none" w:sz="0" w:space="0" w:color="auto"/>
            <w:right w:val="none" w:sz="0" w:space="0" w:color="auto"/>
          </w:divBdr>
        </w:div>
      </w:divsChild>
    </w:div>
    <w:div w:id="1673486997">
      <w:bodyDiv w:val="1"/>
      <w:marLeft w:val="0"/>
      <w:marRight w:val="0"/>
      <w:marTop w:val="0"/>
      <w:marBottom w:val="0"/>
      <w:divBdr>
        <w:top w:val="none" w:sz="0" w:space="0" w:color="auto"/>
        <w:left w:val="none" w:sz="0" w:space="0" w:color="auto"/>
        <w:bottom w:val="none" w:sz="0" w:space="0" w:color="auto"/>
        <w:right w:val="none" w:sz="0" w:space="0" w:color="auto"/>
      </w:divBdr>
    </w:div>
    <w:div w:id="1967081992">
      <w:bodyDiv w:val="1"/>
      <w:marLeft w:val="0"/>
      <w:marRight w:val="0"/>
      <w:marTop w:val="0"/>
      <w:marBottom w:val="0"/>
      <w:divBdr>
        <w:top w:val="none" w:sz="0" w:space="0" w:color="auto"/>
        <w:left w:val="none" w:sz="0" w:space="0" w:color="auto"/>
        <w:bottom w:val="none" w:sz="0" w:space="0" w:color="auto"/>
        <w:right w:val="none" w:sz="0" w:space="0" w:color="auto"/>
      </w:divBdr>
      <w:divsChild>
        <w:div w:id="1472938959">
          <w:marLeft w:val="0"/>
          <w:marRight w:val="0"/>
          <w:marTop w:val="0"/>
          <w:marBottom w:val="150"/>
          <w:divBdr>
            <w:top w:val="none" w:sz="0" w:space="0" w:color="auto"/>
            <w:left w:val="none" w:sz="0" w:space="0" w:color="auto"/>
            <w:bottom w:val="none" w:sz="0" w:space="0" w:color="auto"/>
            <w:right w:val="none" w:sz="0" w:space="0" w:color="auto"/>
          </w:divBdr>
        </w:div>
        <w:div w:id="1743408009">
          <w:marLeft w:val="0"/>
          <w:marRight w:val="0"/>
          <w:marTop w:val="0"/>
          <w:marBottom w:val="150"/>
          <w:divBdr>
            <w:top w:val="none" w:sz="0" w:space="0" w:color="auto"/>
            <w:left w:val="none" w:sz="0" w:space="0" w:color="auto"/>
            <w:bottom w:val="none" w:sz="0" w:space="0" w:color="auto"/>
            <w:right w:val="none" w:sz="0" w:space="0" w:color="auto"/>
          </w:divBdr>
        </w:div>
      </w:divsChild>
    </w:div>
    <w:div w:id="2016954891">
      <w:bodyDiv w:val="1"/>
      <w:marLeft w:val="0"/>
      <w:marRight w:val="0"/>
      <w:marTop w:val="0"/>
      <w:marBottom w:val="0"/>
      <w:divBdr>
        <w:top w:val="none" w:sz="0" w:space="0" w:color="auto"/>
        <w:left w:val="none" w:sz="0" w:space="0" w:color="auto"/>
        <w:bottom w:val="none" w:sz="0" w:space="0" w:color="auto"/>
        <w:right w:val="none" w:sz="0" w:space="0" w:color="auto"/>
      </w:divBdr>
    </w:div>
    <w:div w:id="2111587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file/imgs/100/p458906n279-2.bmp" TargetMode="External"/><Relationship Id="rId18" Type="http://schemas.openxmlformats.org/officeDocument/2006/relationships/image" Target="media/image4.gif"/><Relationship Id="rId26" Type="http://schemas.openxmlformats.org/officeDocument/2006/relationships/hyperlink" Target="https://zakon.rada.gov.ua/laws/show/z1035-16" TargetMode="External"/><Relationship Id="rId39" Type="http://schemas.openxmlformats.org/officeDocument/2006/relationships/image" Target="media/image9.emf"/><Relationship Id="rId21" Type="http://schemas.openxmlformats.org/officeDocument/2006/relationships/image" Target="media/image5.gif"/><Relationship Id="rId34" Type="http://schemas.openxmlformats.org/officeDocument/2006/relationships/hyperlink" Target="https://zakon.rada.gov.ua/laws/show/z1035-16" TargetMode="External"/><Relationship Id="rId7" Type="http://schemas.openxmlformats.org/officeDocument/2006/relationships/image" Target="media/image1.gif"/><Relationship Id="rId2" Type="http://schemas.openxmlformats.org/officeDocument/2006/relationships/numbering" Target="numbering.xml"/><Relationship Id="rId16" Type="http://schemas.openxmlformats.org/officeDocument/2006/relationships/hyperlink" Target="https://zakon.rada.gov.ua/laws/show/z1035-16" TargetMode="External"/><Relationship Id="rId20" Type="http://schemas.openxmlformats.org/officeDocument/2006/relationships/hyperlink" Target="https://zakon.rada.gov.ua/laws/file/imgs/100/p458906n299-6.bmp" TargetMode="External"/><Relationship Id="rId29" Type="http://schemas.openxmlformats.org/officeDocument/2006/relationships/hyperlink" Target="https://zakon.rada.gov.ua/laws/show/z1035-16"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zakon.rada.gov.ua/laws/file/imgs/100/p458906n272.bmp" TargetMode="External"/><Relationship Id="rId11" Type="http://schemas.openxmlformats.org/officeDocument/2006/relationships/hyperlink" Target="https://zakon.rada.gov.ua/laws/show/z1035-16/print" TargetMode="External"/><Relationship Id="rId24" Type="http://schemas.openxmlformats.org/officeDocument/2006/relationships/hyperlink" Target="https://zakon.rada.gov.ua/laws/show/z1035-16" TargetMode="External"/><Relationship Id="rId32" Type="http://schemas.openxmlformats.org/officeDocument/2006/relationships/hyperlink" Target="https://zakon.rada.gov.ua/laws/show/185-16" TargetMode="External"/><Relationship Id="rId37" Type="http://schemas.openxmlformats.org/officeDocument/2006/relationships/image" Target="media/image7.emf"/><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akon.rada.gov.ua/laws/show/z1035-16" TargetMode="External"/><Relationship Id="rId23" Type="http://schemas.openxmlformats.org/officeDocument/2006/relationships/hyperlink" Target="https://zakon.rada.gov.ua/laws/show/z1035-16" TargetMode="External"/><Relationship Id="rId28" Type="http://schemas.openxmlformats.org/officeDocument/2006/relationships/hyperlink" Target="https://zakon.rada.gov.ua/laws/show/z1035-16" TargetMode="External"/><Relationship Id="rId36" Type="http://schemas.openxmlformats.org/officeDocument/2006/relationships/image" Target="media/image6.emf"/><Relationship Id="rId10" Type="http://schemas.openxmlformats.org/officeDocument/2006/relationships/hyperlink" Target="https://zakon.rada.gov.ua/laws/show/z1035-16/print" TargetMode="External"/><Relationship Id="rId19" Type="http://schemas.openxmlformats.org/officeDocument/2006/relationships/hyperlink" Target="https://zakon.rada.gov.ua/laws/show/z1035-16" TargetMode="External"/><Relationship Id="rId31" Type="http://schemas.openxmlformats.org/officeDocument/2006/relationships/hyperlink" Target="https://zakon.rada.gov.ua/laws/show/z1035-16"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3.gif"/><Relationship Id="rId22" Type="http://schemas.openxmlformats.org/officeDocument/2006/relationships/hyperlink" Target="https://zakon.rada.gov.ua/laws/show/z1035-16" TargetMode="External"/><Relationship Id="rId27" Type="http://schemas.openxmlformats.org/officeDocument/2006/relationships/hyperlink" Target="https://zakon.rada.gov.ua/laws/show/z1035-16" TargetMode="External"/><Relationship Id="rId30" Type="http://schemas.openxmlformats.org/officeDocument/2006/relationships/hyperlink" Target="https://zakon.rada.gov.ua/laws/show/z1035-16" TargetMode="External"/><Relationship Id="rId35" Type="http://schemas.openxmlformats.org/officeDocument/2006/relationships/hyperlink" Target="https://zakon.rada.gov.ua/laws/show/z1035-16" TargetMode="External"/><Relationship Id="rId8" Type="http://schemas.openxmlformats.org/officeDocument/2006/relationships/hyperlink" Target="https://zakon.rada.gov.ua/laws/file/imgs/100/p458906n42v1-1.emf" TargetMode="External"/><Relationship Id="rId3" Type="http://schemas.openxmlformats.org/officeDocument/2006/relationships/styles" Target="styles.xml"/><Relationship Id="rId12" Type="http://schemas.openxmlformats.org/officeDocument/2006/relationships/hyperlink" Target="https://zakon.rada.gov.ua/laws/show/z1035-16/print" TargetMode="External"/><Relationship Id="rId17" Type="http://schemas.openxmlformats.org/officeDocument/2006/relationships/hyperlink" Target="https://zakon.rada.gov.ua/laws/file/imgs/100/p458906n294-5.bmp" TargetMode="External"/><Relationship Id="rId25" Type="http://schemas.openxmlformats.org/officeDocument/2006/relationships/hyperlink" Target="https://zakon.rada.gov.ua/laws/show/z1035-16" TargetMode="External"/><Relationship Id="rId33" Type="http://schemas.openxmlformats.org/officeDocument/2006/relationships/hyperlink" Target="https://zakon.rada.gov.ua/laws/show/185-16" TargetMode="External"/><Relationship Id="rId38" Type="http://schemas.openxmlformats.org/officeDocument/2006/relationships/image" Target="media/image8.em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76ABB-33CA-464E-B5FD-AA41E5FE6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13781</Words>
  <Characters>7856</Characters>
  <Application>Microsoft Office Word</Application>
  <DocSecurity>4</DocSecurity>
  <Lines>65</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21594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Кулажина</dc:creator>
  <cp:keywords/>
  <dc:description/>
  <cp:lastModifiedBy>Катерина Концур</cp:lastModifiedBy>
  <cp:revision>2</cp:revision>
  <cp:lastPrinted>2023-07-25T10:48:00Z</cp:lastPrinted>
  <dcterms:created xsi:type="dcterms:W3CDTF">2023-09-26T06:48:00Z</dcterms:created>
  <dcterms:modified xsi:type="dcterms:W3CDTF">2023-09-26T06:48:00Z</dcterms:modified>
</cp:coreProperties>
</file>