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FCEF" w14:textId="77777777" w:rsidR="00363DC0" w:rsidRDefault="00363DC0" w:rsidP="00D91C74">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 xml:space="preserve">АНАЛІЗ ВПЛИВУ </w:t>
      </w:r>
    </w:p>
    <w:p w14:paraId="09550151" w14:textId="77777777" w:rsidR="00363DC0" w:rsidRDefault="00DC1500" w:rsidP="00D91C74">
      <w:pPr>
        <w:spacing w:after="0"/>
        <w:jc w:val="center"/>
        <w:rPr>
          <w:rFonts w:ascii="Times New Roman" w:hAnsi="Times New Roman" w:cs="Times New Roman"/>
          <w:b/>
          <w:sz w:val="28"/>
          <w:szCs w:val="28"/>
        </w:rPr>
      </w:pPr>
      <w:proofErr w:type="spellStart"/>
      <w:r w:rsidRPr="00943DFD">
        <w:rPr>
          <w:rFonts w:ascii="Times New Roman" w:hAnsi="Times New Roman" w:cs="Times New Roman"/>
          <w:b/>
          <w:sz w:val="28"/>
          <w:szCs w:val="28"/>
        </w:rPr>
        <w:t>про</w:t>
      </w:r>
      <w:r w:rsidR="004E2EFB" w:rsidRPr="00943DFD">
        <w:rPr>
          <w:rFonts w:ascii="Times New Roman" w:hAnsi="Times New Roman" w:cs="Times New Roman"/>
          <w:b/>
          <w:sz w:val="28"/>
          <w:szCs w:val="28"/>
        </w:rPr>
        <w:t>є</w:t>
      </w:r>
      <w:r w:rsidRPr="00943DFD">
        <w:rPr>
          <w:rFonts w:ascii="Times New Roman" w:hAnsi="Times New Roman" w:cs="Times New Roman"/>
          <w:b/>
          <w:sz w:val="28"/>
          <w:szCs w:val="28"/>
        </w:rPr>
        <w:t>кту</w:t>
      </w:r>
      <w:proofErr w:type="spellEnd"/>
      <w:r w:rsidRPr="00943DFD">
        <w:rPr>
          <w:rFonts w:ascii="Times New Roman" w:hAnsi="Times New Roman" w:cs="Times New Roman"/>
          <w:b/>
          <w:sz w:val="28"/>
          <w:szCs w:val="28"/>
        </w:rPr>
        <w:t xml:space="preserve"> постанови НКРЕКП </w:t>
      </w:r>
      <w:r w:rsidR="00FC7B8A" w:rsidRPr="00FC7B8A">
        <w:rPr>
          <w:rFonts w:ascii="Times New Roman" w:hAnsi="Times New Roman" w:cs="Times New Roman"/>
          <w:b/>
          <w:sz w:val="28"/>
          <w:szCs w:val="28"/>
        </w:rPr>
        <w:t>«Про затвердження Змін до деяких постанов НКРЕ та НКРЕКП»</w:t>
      </w:r>
      <w:r w:rsidR="00D165E3" w:rsidRPr="00D165E3">
        <w:rPr>
          <w:rFonts w:ascii="Times New Roman" w:hAnsi="Times New Roman" w:cs="Times New Roman"/>
          <w:b/>
          <w:sz w:val="28"/>
          <w:szCs w:val="28"/>
        </w:rPr>
        <w:t xml:space="preserve">, </w:t>
      </w:r>
    </w:p>
    <w:p w14:paraId="1D204584" w14:textId="77777777" w:rsidR="00DC1500" w:rsidRPr="008F5F46" w:rsidRDefault="00D165E3" w:rsidP="00D91C74">
      <w:pPr>
        <w:spacing w:after="0"/>
        <w:jc w:val="center"/>
        <w:rPr>
          <w:rFonts w:ascii="Times New Roman" w:hAnsi="Times New Roman" w:cs="Times New Roman"/>
          <w:b/>
          <w:sz w:val="28"/>
          <w:szCs w:val="28"/>
        </w:rPr>
      </w:pPr>
      <w:r w:rsidRPr="00D165E3">
        <w:rPr>
          <w:rFonts w:ascii="Times New Roman" w:hAnsi="Times New Roman" w:cs="Times New Roman"/>
          <w:b/>
          <w:sz w:val="28"/>
          <w:szCs w:val="28"/>
        </w:rPr>
        <w:t xml:space="preserve">що має ознаки регуляторного </w:t>
      </w:r>
      <w:proofErr w:type="spellStart"/>
      <w:r w:rsidRPr="00D165E3">
        <w:rPr>
          <w:rFonts w:ascii="Times New Roman" w:hAnsi="Times New Roman" w:cs="Times New Roman"/>
          <w:b/>
          <w:sz w:val="28"/>
          <w:szCs w:val="28"/>
        </w:rPr>
        <w:t>акта</w:t>
      </w:r>
      <w:proofErr w:type="spellEnd"/>
    </w:p>
    <w:p w14:paraId="7A178F30" w14:textId="77777777" w:rsidR="008F5F46" w:rsidRPr="00D165E3" w:rsidRDefault="008F5F46" w:rsidP="00A33081">
      <w:pPr>
        <w:spacing w:after="0" w:line="240" w:lineRule="auto"/>
        <w:jc w:val="center"/>
        <w:rPr>
          <w:rFonts w:ascii="Times New Roman" w:hAnsi="Times New Roman" w:cs="Times New Roman"/>
          <w:b/>
          <w:sz w:val="28"/>
          <w:szCs w:val="28"/>
        </w:rPr>
      </w:pPr>
    </w:p>
    <w:p w14:paraId="74DD28DF" w14:textId="77777777" w:rsidR="00DC1500" w:rsidRPr="00943DFD" w:rsidRDefault="00DC1500" w:rsidP="00A33081">
      <w:pPr>
        <w:spacing w:after="0" w:line="240" w:lineRule="auto"/>
        <w:jc w:val="center"/>
        <w:rPr>
          <w:rFonts w:ascii="Times New Roman" w:hAnsi="Times New Roman" w:cs="Times New Roman"/>
          <w:b/>
          <w:bCs/>
          <w:sz w:val="28"/>
          <w:szCs w:val="28"/>
        </w:rPr>
      </w:pPr>
      <w:r w:rsidRPr="00943DFD">
        <w:rPr>
          <w:rFonts w:ascii="Times New Roman" w:hAnsi="Times New Roman" w:cs="Times New Roman"/>
          <w:b/>
          <w:bCs/>
          <w:sz w:val="28"/>
          <w:szCs w:val="28"/>
        </w:rPr>
        <w:t>I. Визначення проблеми</w:t>
      </w:r>
    </w:p>
    <w:p w14:paraId="6375E1FB" w14:textId="77777777" w:rsidR="00DC1500" w:rsidRPr="00943DFD" w:rsidRDefault="00DC1500" w:rsidP="00B719CF">
      <w:pPr>
        <w:spacing w:after="0" w:line="240" w:lineRule="auto"/>
        <w:ind w:firstLine="567"/>
        <w:jc w:val="center"/>
        <w:rPr>
          <w:rFonts w:ascii="Times New Roman" w:hAnsi="Times New Roman" w:cs="Times New Roman"/>
          <w:b/>
          <w:bCs/>
          <w:sz w:val="28"/>
          <w:szCs w:val="28"/>
        </w:rPr>
      </w:pPr>
    </w:p>
    <w:p w14:paraId="3C6B3479" w14:textId="3CCB0C31"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У зв’язку із особливим періодом діяльності ОСР, пов’язаним з дією в Україні воєнного стану відповідно до Указу Президента України від 24.02.2022 № 64/2022, до НКРЕКП надходять звернення учасників ринку щодо необхідності внесення змін до окремих положень нормативно-прав</w:t>
      </w:r>
      <w:r w:rsidR="005A3439">
        <w:rPr>
          <w:rFonts w:ascii="Times New Roman" w:hAnsi="Times New Roman" w:cs="Times New Roman"/>
          <w:bCs/>
          <w:sz w:val="28"/>
          <w:szCs w:val="28"/>
        </w:rPr>
        <w:t>ових</w:t>
      </w:r>
      <w:r w:rsidRPr="005A31FB">
        <w:rPr>
          <w:rFonts w:ascii="Times New Roman" w:hAnsi="Times New Roman" w:cs="Times New Roman"/>
          <w:bCs/>
          <w:sz w:val="28"/>
          <w:szCs w:val="28"/>
        </w:rPr>
        <w:t xml:space="preserve"> </w:t>
      </w:r>
      <w:r w:rsidR="005A3439">
        <w:rPr>
          <w:rFonts w:ascii="Times New Roman" w:hAnsi="Times New Roman" w:cs="Times New Roman"/>
          <w:bCs/>
          <w:sz w:val="28"/>
          <w:szCs w:val="28"/>
        </w:rPr>
        <w:t>актів</w:t>
      </w:r>
      <w:r w:rsidR="005A3439" w:rsidRPr="005A31FB">
        <w:rPr>
          <w:rFonts w:ascii="Times New Roman" w:hAnsi="Times New Roman" w:cs="Times New Roman"/>
          <w:bCs/>
          <w:sz w:val="28"/>
          <w:szCs w:val="28"/>
        </w:rPr>
        <w:t xml:space="preserve"> </w:t>
      </w:r>
      <w:r w:rsidRPr="005A31FB">
        <w:rPr>
          <w:rFonts w:ascii="Times New Roman" w:hAnsi="Times New Roman" w:cs="Times New Roman"/>
          <w:bCs/>
          <w:sz w:val="28"/>
          <w:szCs w:val="28"/>
        </w:rPr>
        <w:t>НКРЕКП з питання встановлення тарифів на послуги з розподілу електричної енергії та застосування стимулюючого регулювання.</w:t>
      </w:r>
    </w:p>
    <w:p w14:paraId="77C8DB13" w14:textId="25AFA8CA"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 xml:space="preserve">Для винайдення шляхів врегулювання проблемних питань діяльності операторів систем розподілу в умовах воєнного </w:t>
      </w:r>
      <w:r w:rsidR="00C027F8">
        <w:rPr>
          <w:rFonts w:ascii="Times New Roman" w:hAnsi="Times New Roman" w:cs="Times New Roman"/>
          <w:bCs/>
          <w:sz w:val="28"/>
          <w:szCs w:val="28"/>
        </w:rPr>
        <w:t>стану</w:t>
      </w:r>
      <w:r w:rsidR="00C027F8" w:rsidRPr="005A31FB">
        <w:rPr>
          <w:rFonts w:ascii="Times New Roman" w:hAnsi="Times New Roman" w:cs="Times New Roman"/>
          <w:bCs/>
          <w:sz w:val="28"/>
          <w:szCs w:val="28"/>
        </w:rPr>
        <w:t xml:space="preserve"> </w:t>
      </w:r>
      <w:r w:rsidRPr="005A31FB">
        <w:rPr>
          <w:rFonts w:ascii="Times New Roman" w:hAnsi="Times New Roman" w:cs="Times New Roman"/>
          <w:bCs/>
          <w:sz w:val="28"/>
          <w:szCs w:val="28"/>
        </w:rPr>
        <w:t>було залучен</w:t>
      </w:r>
      <w:r w:rsidR="007A3418">
        <w:rPr>
          <w:rFonts w:ascii="Times New Roman" w:hAnsi="Times New Roman" w:cs="Times New Roman"/>
          <w:bCs/>
          <w:sz w:val="28"/>
          <w:szCs w:val="28"/>
        </w:rPr>
        <w:t>о</w:t>
      </w:r>
      <w:r w:rsidRPr="005A31FB">
        <w:rPr>
          <w:rFonts w:ascii="Times New Roman" w:hAnsi="Times New Roman" w:cs="Times New Roman"/>
          <w:bCs/>
          <w:sz w:val="28"/>
          <w:szCs w:val="28"/>
        </w:rPr>
        <w:t xml:space="preserve"> заінтересованих представників та опрацьовано питання щодо можливості виконання взятих операторами систем розподілу зобов’язань та показників.</w:t>
      </w:r>
    </w:p>
    <w:p w14:paraId="1F4CB96B" w14:textId="5FCB9520" w:rsidR="00D66C83" w:rsidRDefault="005A31FB" w:rsidP="00D66C83">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На сьогодні є необхідність актуаліз</w:t>
      </w:r>
      <w:r w:rsidR="00836AB9">
        <w:rPr>
          <w:rFonts w:ascii="Times New Roman" w:hAnsi="Times New Roman" w:cs="Times New Roman"/>
          <w:bCs/>
          <w:sz w:val="28"/>
          <w:szCs w:val="28"/>
        </w:rPr>
        <w:t>увати</w:t>
      </w:r>
      <w:r w:rsidRPr="005A31FB">
        <w:rPr>
          <w:rFonts w:ascii="Times New Roman" w:hAnsi="Times New Roman" w:cs="Times New Roman"/>
          <w:bCs/>
          <w:sz w:val="28"/>
          <w:szCs w:val="28"/>
        </w:rPr>
        <w:t xml:space="preserve"> деяк</w:t>
      </w:r>
      <w:r w:rsidR="00836AB9">
        <w:rPr>
          <w:rFonts w:ascii="Times New Roman" w:hAnsi="Times New Roman" w:cs="Times New Roman"/>
          <w:bCs/>
          <w:sz w:val="28"/>
          <w:szCs w:val="28"/>
        </w:rPr>
        <w:t>і</w:t>
      </w:r>
      <w:r w:rsidRPr="005A31FB">
        <w:rPr>
          <w:rFonts w:ascii="Times New Roman" w:hAnsi="Times New Roman" w:cs="Times New Roman"/>
          <w:bCs/>
          <w:sz w:val="28"/>
          <w:szCs w:val="28"/>
        </w:rPr>
        <w:t xml:space="preserve"> положен</w:t>
      </w:r>
      <w:r w:rsidR="00836AB9">
        <w:rPr>
          <w:rFonts w:ascii="Times New Roman" w:hAnsi="Times New Roman" w:cs="Times New Roman"/>
          <w:bCs/>
          <w:sz w:val="28"/>
          <w:szCs w:val="28"/>
        </w:rPr>
        <w:t>ня</w:t>
      </w:r>
      <w:r w:rsidRPr="005A31FB">
        <w:rPr>
          <w:rFonts w:ascii="Times New Roman" w:hAnsi="Times New Roman" w:cs="Times New Roman"/>
          <w:bCs/>
          <w:sz w:val="28"/>
          <w:szCs w:val="28"/>
        </w:rPr>
        <w:t xml:space="preserve"> нормативно-право</w:t>
      </w:r>
      <w:r w:rsidR="00836AB9">
        <w:rPr>
          <w:rFonts w:ascii="Times New Roman" w:hAnsi="Times New Roman" w:cs="Times New Roman"/>
          <w:bCs/>
          <w:sz w:val="28"/>
          <w:szCs w:val="28"/>
        </w:rPr>
        <w:t>вих актів</w:t>
      </w:r>
      <w:r w:rsidR="00836AB9" w:rsidRPr="005A31FB">
        <w:rPr>
          <w:rFonts w:ascii="Times New Roman" w:hAnsi="Times New Roman" w:cs="Times New Roman"/>
          <w:bCs/>
          <w:sz w:val="28"/>
          <w:szCs w:val="28"/>
        </w:rPr>
        <w:t xml:space="preserve"> </w:t>
      </w:r>
      <w:r w:rsidRPr="005A31FB">
        <w:rPr>
          <w:rFonts w:ascii="Times New Roman" w:hAnsi="Times New Roman" w:cs="Times New Roman"/>
          <w:bCs/>
          <w:sz w:val="28"/>
          <w:szCs w:val="28"/>
        </w:rPr>
        <w:t xml:space="preserve">НКРЕКП, зокрема </w:t>
      </w:r>
      <w:r w:rsidR="007B71D9">
        <w:rPr>
          <w:rFonts w:ascii="Times New Roman" w:hAnsi="Times New Roman" w:cs="Times New Roman"/>
          <w:bCs/>
          <w:sz w:val="28"/>
          <w:szCs w:val="28"/>
        </w:rPr>
        <w:t>щодо</w:t>
      </w:r>
      <w:r w:rsidRPr="005A31FB">
        <w:rPr>
          <w:rFonts w:ascii="Times New Roman" w:hAnsi="Times New Roman" w:cs="Times New Roman"/>
          <w:bCs/>
          <w:sz w:val="28"/>
          <w:szCs w:val="28"/>
        </w:rPr>
        <w:t xml:space="preserve"> застосування стимулюючого регулювання, прийнятих НКРЕКП у 2022 році, а саме окремих положень постанови НКРЕ від 23.07.2013 № 1009 «Про встановлення параметрів регулювання, що мають довгостроковий строк дії, для цілей стимулюючого регулювання»</w:t>
      </w:r>
      <w:r w:rsidR="00467E94" w:rsidRPr="00467E94">
        <w:rPr>
          <w:rFonts w:ascii="Times New Roman" w:hAnsi="Times New Roman" w:cs="Times New Roman"/>
          <w:bCs/>
          <w:sz w:val="28"/>
          <w:szCs w:val="28"/>
        </w:rPr>
        <w:t xml:space="preserve"> (</w:t>
      </w:r>
      <w:r w:rsidR="00467E94">
        <w:rPr>
          <w:rFonts w:ascii="Times New Roman" w:hAnsi="Times New Roman" w:cs="Times New Roman"/>
          <w:bCs/>
          <w:sz w:val="28"/>
          <w:szCs w:val="28"/>
        </w:rPr>
        <w:t xml:space="preserve">далі – </w:t>
      </w:r>
      <w:bookmarkStart w:id="0" w:name="_Hlk115187451"/>
      <w:r w:rsidR="00467E94">
        <w:rPr>
          <w:rFonts w:ascii="Times New Roman" w:hAnsi="Times New Roman" w:cs="Times New Roman"/>
          <w:bCs/>
          <w:sz w:val="28"/>
          <w:szCs w:val="28"/>
        </w:rPr>
        <w:t>Постанова № 1009</w:t>
      </w:r>
      <w:bookmarkEnd w:id="0"/>
      <w:r w:rsidR="00467E94">
        <w:rPr>
          <w:rFonts w:ascii="Times New Roman" w:hAnsi="Times New Roman" w:cs="Times New Roman"/>
          <w:bCs/>
          <w:sz w:val="28"/>
          <w:szCs w:val="28"/>
        </w:rPr>
        <w:t>)</w:t>
      </w:r>
      <w:r w:rsidRPr="005A31FB">
        <w:rPr>
          <w:rFonts w:ascii="Times New Roman" w:hAnsi="Times New Roman" w:cs="Times New Roman"/>
          <w:bCs/>
          <w:sz w:val="28"/>
          <w:szCs w:val="28"/>
        </w:rPr>
        <w:t>, постанов НКРЕКП від 05.10.2018 №</w:t>
      </w:r>
      <w:r w:rsidR="001D4709">
        <w:rPr>
          <w:rFonts w:ascii="Times New Roman" w:hAnsi="Times New Roman" w:cs="Times New Roman"/>
          <w:bCs/>
          <w:sz w:val="28"/>
          <w:szCs w:val="28"/>
        </w:rPr>
        <w:t> </w:t>
      </w:r>
      <w:r w:rsidRPr="005A31FB">
        <w:rPr>
          <w:rFonts w:ascii="Times New Roman" w:hAnsi="Times New Roman" w:cs="Times New Roman"/>
          <w:bCs/>
          <w:sz w:val="28"/>
          <w:szCs w:val="28"/>
        </w:rPr>
        <w:t>1175 «Про затвердження Порядку встановлення (формування) тарифів на послуги з розподілу електричної енергії»</w:t>
      </w:r>
      <w:r w:rsidR="00467E94">
        <w:rPr>
          <w:rFonts w:ascii="Times New Roman" w:hAnsi="Times New Roman" w:cs="Times New Roman"/>
          <w:bCs/>
          <w:sz w:val="28"/>
          <w:szCs w:val="28"/>
        </w:rPr>
        <w:t xml:space="preserve"> (далі – Порядок № 1175)</w:t>
      </w:r>
      <w:r w:rsidRPr="005A31FB">
        <w:rPr>
          <w:rFonts w:ascii="Times New Roman" w:hAnsi="Times New Roman" w:cs="Times New Roman"/>
          <w:bCs/>
          <w:sz w:val="28"/>
          <w:szCs w:val="28"/>
        </w:rPr>
        <w:t xml:space="preserve"> та від 27.07.2017 № 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r w:rsidR="00467E94">
        <w:rPr>
          <w:rFonts w:ascii="Times New Roman" w:hAnsi="Times New Roman" w:cs="Times New Roman"/>
          <w:bCs/>
          <w:sz w:val="28"/>
          <w:szCs w:val="28"/>
        </w:rPr>
        <w:t xml:space="preserve"> </w:t>
      </w:r>
      <w:r w:rsidR="00467E94" w:rsidRPr="00467E94">
        <w:rPr>
          <w:rFonts w:ascii="Times New Roman" w:hAnsi="Times New Roman" w:cs="Times New Roman"/>
          <w:bCs/>
          <w:sz w:val="28"/>
          <w:szCs w:val="28"/>
        </w:rPr>
        <w:t>(</w:t>
      </w:r>
      <w:r w:rsidR="00467E94">
        <w:rPr>
          <w:rFonts w:ascii="Times New Roman" w:hAnsi="Times New Roman" w:cs="Times New Roman"/>
          <w:bCs/>
          <w:sz w:val="28"/>
          <w:szCs w:val="28"/>
        </w:rPr>
        <w:t xml:space="preserve">далі – Положення № </w:t>
      </w:r>
      <w:r w:rsidR="0018723A">
        <w:rPr>
          <w:rFonts w:ascii="Times New Roman" w:hAnsi="Times New Roman" w:cs="Times New Roman"/>
          <w:bCs/>
          <w:sz w:val="28"/>
          <w:szCs w:val="28"/>
        </w:rPr>
        <w:t>981</w:t>
      </w:r>
      <w:r w:rsidR="00467E94">
        <w:rPr>
          <w:rFonts w:ascii="Times New Roman" w:hAnsi="Times New Roman" w:cs="Times New Roman"/>
          <w:bCs/>
          <w:sz w:val="28"/>
          <w:szCs w:val="28"/>
        </w:rPr>
        <w:t>)</w:t>
      </w:r>
      <w:r w:rsidRPr="005A31FB">
        <w:rPr>
          <w:rFonts w:ascii="Times New Roman" w:hAnsi="Times New Roman" w:cs="Times New Roman"/>
          <w:bCs/>
          <w:sz w:val="28"/>
          <w:szCs w:val="28"/>
        </w:rPr>
        <w:t>. Для актуалізації доцільно передбачити:</w:t>
      </w:r>
    </w:p>
    <w:p w14:paraId="01A5D103" w14:textId="544CBF1E" w:rsidR="005A31FB" w:rsidRPr="005A31FB" w:rsidRDefault="005A31FB" w:rsidP="00D66C83">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продовження на 2024 рік застосування загального показника ефективності на нульовому рівні;</w:t>
      </w:r>
    </w:p>
    <w:p w14:paraId="51501DC1" w14:textId="5D71F757"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продовження на 2024 рік застосування на нульовому рівні показників ефективності технологічних витрат електричної енергії для операторів систем розподілу для 1 та/або 2 класів напруги;</w:t>
      </w:r>
    </w:p>
    <w:p w14:paraId="099261C4" w14:textId="782AAAA8"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продовження незастосування для 2023 року коригування необхідного доходу за недотримання цільового показника якості послуг;</w:t>
      </w:r>
    </w:p>
    <w:p w14:paraId="4FBD4351" w14:textId="17E1D802"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продовження на 2024 рік обмеження амортизації регуляторної бази активів, яка створена на дату переходу до стимулюючого регулювання, не вище рівня, передбаченого діючою структурою тарифів (у разі невнесення змін передбачається збільшення на 50 % щорічно до досягнення регуляторного рівня);</w:t>
      </w:r>
    </w:p>
    <w:p w14:paraId="2ACC4D39" w14:textId="14705E9F" w:rsidR="005A31FB" w:rsidRPr="005A31FB" w:rsidRDefault="005A31FB" w:rsidP="005A31FB">
      <w:pPr>
        <w:spacing w:after="0" w:line="240" w:lineRule="auto"/>
        <w:ind w:firstLine="567"/>
        <w:jc w:val="both"/>
        <w:rPr>
          <w:rFonts w:ascii="Times New Roman" w:hAnsi="Times New Roman" w:cs="Times New Roman"/>
          <w:bCs/>
          <w:sz w:val="28"/>
          <w:szCs w:val="28"/>
        </w:rPr>
      </w:pPr>
      <w:r w:rsidRPr="005A31FB">
        <w:rPr>
          <w:rFonts w:ascii="Times New Roman" w:hAnsi="Times New Roman" w:cs="Times New Roman"/>
          <w:bCs/>
          <w:sz w:val="28"/>
          <w:szCs w:val="28"/>
        </w:rPr>
        <w:t>продовження на 2024 рік застосування регуляторної норми доходу на нову базу активів на рівні 0,03</w:t>
      </w:r>
      <w:r w:rsidR="002D499C">
        <w:rPr>
          <w:rFonts w:ascii="Times New Roman" w:hAnsi="Times New Roman" w:cs="Times New Roman"/>
          <w:bCs/>
          <w:sz w:val="28"/>
          <w:szCs w:val="28"/>
        </w:rPr>
        <w:t xml:space="preserve"> відносних одиниць</w:t>
      </w:r>
      <w:r w:rsidRPr="005A31FB">
        <w:rPr>
          <w:rFonts w:ascii="Times New Roman" w:hAnsi="Times New Roman" w:cs="Times New Roman"/>
          <w:bCs/>
          <w:sz w:val="28"/>
          <w:szCs w:val="28"/>
        </w:rPr>
        <w:t>.</w:t>
      </w:r>
    </w:p>
    <w:p w14:paraId="7ABB5287" w14:textId="77777777" w:rsidR="005A31FB" w:rsidRPr="005A31FB" w:rsidRDefault="005A31FB" w:rsidP="005A31FB">
      <w:pPr>
        <w:spacing w:after="0" w:line="240" w:lineRule="auto"/>
        <w:ind w:firstLine="567"/>
        <w:jc w:val="both"/>
        <w:rPr>
          <w:rFonts w:ascii="Times New Roman" w:hAnsi="Times New Roman" w:cs="Times New Roman"/>
          <w:bCs/>
          <w:sz w:val="28"/>
          <w:szCs w:val="28"/>
        </w:rPr>
      </w:pPr>
    </w:p>
    <w:p w14:paraId="7F5A088A" w14:textId="77777777" w:rsidR="00EF2E5C" w:rsidRPr="00E768F4" w:rsidRDefault="005A31FB" w:rsidP="005A31FB">
      <w:pPr>
        <w:spacing w:after="0" w:line="240" w:lineRule="auto"/>
        <w:ind w:firstLine="567"/>
        <w:jc w:val="both"/>
        <w:rPr>
          <w:rFonts w:ascii="Times New Roman" w:hAnsi="Times New Roman" w:cs="Times New Roman"/>
          <w:sz w:val="28"/>
          <w:szCs w:val="28"/>
        </w:rPr>
      </w:pPr>
      <w:r w:rsidRPr="005A31FB">
        <w:rPr>
          <w:rFonts w:ascii="Times New Roman" w:hAnsi="Times New Roman" w:cs="Times New Roman"/>
          <w:bCs/>
          <w:sz w:val="28"/>
          <w:szCs w:val="28"/>
        </w:rPr>
        <w:t xml:space="preserve">З огляду на зазначене, </w:t>
      </w:r>
      <w:r>
        <w:rPr>
          <w:rFonts w:ascii="Times New Roman" w:hAnsi="Times New Roman" w:cs="Times New Roman"/>
          <w:bCs/>
          <w:sz w:val="28"/>
          <w:szCs w:val="28"/>
          <w:lang w:val="ru-RU"/>
        </w:rPr>
        <w:t xml:space="preserve">НКРЕКП </w:t>
      </w:r>
      <w:r w:rsidRPr="005A31FB">
        <w:rPr>
          <w:rFonts w:ascii="Times New Roman" w:hAnsi="Times New Roman" w:cs="Times New Roman"/>
          <w:bCs/>
          <w:sz w:val="28"/>
          <w:szCs w:val="28"/>
        </w:rPr>
        <w:t xml:space="preserve">розроблено </w:t>
      </w:r>
      <w:proofErr w:type="spellStart"/>
      <w:r w:rsidRPr="005A31FB">
        <w:rPr>
          <w:rFonts w:ascii="Times New Roman" w:hAnsi="Times New Roman" w:cs="Times New Roman"/>
          <w:bCs/>
          <w:sz w:val="28"/>
          <w:szCs w:val="28"/>
        </w:rPr>
        <w:t>проєкт</w:t>
      </w:r>
      <w:proofErr w:type="spellEnd"/>
      <w:r w:rsidRPr="005A31FB">
        <w:rPr>
          <w:rFonts w:ascii="Times New Roman" w:hAnsi="Times New Roman" w:cs="Times New Roman"/>
          <w:bCs/>
          <w:sz w:val="28"/>
          <w:szCs w:val="28"/>
        </w:rPr>
        <w:t xml:space="preserve"> постанови «Про затвердження Змін до деяких постанов НКРЕ та НКРЕКП» (далі –</w:t>
      </w:r>
      <w:r>
        <w:rPr>
          <w:rFonts w:ascii="Times New Roman" w:hAnsi="Times New Roman" w:cs="Times New Roman"/>
          <w:bCs/>
          <w:sz w:val="28"/>
          <w:szCs w:val="28"/>
          <w:lang w:val="ru-RU"/>
        </w:rPr>
        <w:t xml:space="preserve"> </w:t>
      </w:r>
      <w:proofErr w:type="spellStart"/>
      <w:r w:rsidRPr="005A31FB">
        <w:rPr>
          <w:rFonts w:ascii="Times New Roman" w:hAnsi="Times New Roman" w:cs="Times New Roman"/>
          <w:bCs/>
          <w:sz w:val="28"/>
          <w:szCs w:val="28"/>
        </w:rPr>
        <w:t>Проєкт</w:t>
      </w:r>
      <w:proofErr w:type="spellEnd"/>
      <w:r w:rsidRPr="005A31FB">
        <w:rPr>
          <w:rFonts w:ascii="Times New Roman" w:hAnsi="Times New Roman" w:cs="Times New Roman"/>
          <w:bCs/>
          <w:sz w:val="28"/>
          <w:szCs w:val="28"/>
        </w:rPr>
        <w:t xml:space="preserve"> постанови). </w:t>
      </w:r>
    </w:p>
    <w:p w14:paraId="62804179" w14:textId="77777777" w:rsidR="00523926" w:rsidRDefault="00523926" w:rsidP="00865D3F">
      <w:pPr>
        <w:spacing w:after="0" w:line="240" w:lineRule="auto"/>
        <w:rPr>
          <w:rFonts w:ascii="Times New Roman" w:hAnsi="Times New Roman" w:cs="Times New Roman"/>
          <w:sz w:val="28"/>
          <w:szCs w:val="28"/>
        </w:rPr>
      </w:pPr>
    </w:p>
    <w:p w14:paraId="3C8479A9" w14:textId="77777777" w:rsidR="00375422" w:rsidRDefault="00375422" w:rsidP="00865D3F">
      <w:pPr>
        <w:spacing w:after="0" w:line="240" w:lineRule="auto"/>
        <w:rPr>
          <w:rFonts w:ascii="Times New Roman" w:hAnsi="Times New Roman" w:cs="Times New Roman"/>
          <w:sz w:val="28"/>
          <w:szCs w:val="28"/>
        </w:rPr>
      </w:pPr>
    </w:p>
    <w:p w14:paraId="6D5CA083" w14:textId="77777777" w:rsidR="00DC1500" w:rsidRDefault="00D165E3" w:rsidP="00A33081">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Основні групи (підгрупи), на які проблема справляє вплив:</w:t>
      </w:r>
    </w:p>
    <w:p w14:paraId="1586AE77" w14:textId="77777777" w:rsidR="0087391A" w:rsidRPr="00943DFD" w:rsidRDefault="0087391A" w:rsidP="00A33081">
      <w:pPr>
        <w:spacing w:after="0" w:line="240" w:lineRule="auto"/>
        <w:ind w:firstLine="567"/>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101840" w:rsidRPr="00943DFD" w14:paraId="6764756E" w14:textId="77777777" w:rsidTr="00DC6752">
        <w:trPr>
          <w:trHeight w:val="70"/>
          <w:jc w:val="center"/>
        </w:trPr>
        <w:tc>
          <w:tcPr>
            <w:tcW w:w="3202" w:type="dxa"/>
          </w:tcPr>
          <w:p w14:paraId="6ADFBBDB" w14:textId="77777777" w:rsidR="00DC1500" w:rsidRPr="00943DFD" w:rsidRDefault="00DC1500" w:rsidP="008223F7">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Групи (підгрупи)</w:t>
            </w:r>
          </w:p>
        </w:tc>
        <w:tc>
          <w:tcPr>
            <w:tcW w:w="4383" w:type="dxa"/>
            <w:vAlign w:val="center"/>
          </w:tcPr>
          <w:p w14:paraId="2436BC58" w14:textId="77777777"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Так</w:t>
            </w:r>
          </w:p>
        </w:tc>
        <w:tc>
          <w:tcPr>
            <w:tcW w:w="1985" w:type="dxa"/>
            <w:vAlign w:val="center"/>
          </w:tcPr>
          <w:p w14:paraId="62E43224" w14:textId="77777777"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Ні</w:t>
            </w:r>
          </w:p>
        </w:tc>
      </w:tr>
      <w:tr w:rsidR="00101840" w:rsidRPr="00943DFD" w14:paraId="5D510240" w14:textId="77777777" w:rsidTr="00DC6752">
        <w:trPr>
          <w:trHeight w:val="70"/>
          <w:jc w:val="center"/>
        </w:trPr>
        <w:tc>
          <w:tcPr>
            <w:tcW w:w="3202" w:type="dxa"/>
          </w:tcPr>
          <w:p w14:paraId="13F9DB73"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Громадяни</w:t>
            </w:r>
          </w:p>
        </w:tc>
        <w:tc>
          <w:tcPr>
            <w:tcW w:w="4383" w:type="dxa"/>
            <w:vAlign w:val="center"/>
          </w:tcPr>
          <w:p w14:paraId="73648020" w14:textId="77777777" w:rsidR="00DC1500" w:rsidRPr="00943DFD" w:rsidRDefault="00DC1500" w:rsidP="00DC6752">
            <w:pPr>
              <w:spacing w:after="0" w:line="240" w:lineRule="auto"/>
              <w:jc w:val="both"/>
              <w:rPr>
                <w:rFonts w:ascii="Times New Roman" w:hAnsi="Times New Roman" w:cs="Times New Roman"/>
                <w:sz w:val="28"/>
                <w:szCs w:val="28"/>
              </w:rPr>
            </w:pPr>
          </w:p>
        </w:tc>
        <w:tc>
          <w:tcPr>
            <w:tcW w:w="1985" w:type="dxa"/>
            <w:vAlign w:val="center"/>
          </w:tcPr>
          <w:p w14:paraId="7194320D" w14:textId="77777777" w:rsidR="00DC1500" w:rsidRPr="00943DFD" w:rsidRDefault="008223F7" w:rsidP="008223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Ні</w:t>
            </w:r>
          </w:p>
        </w:tc>
      </w:tr>
      <w:tr w:rsidR="00101840" w:rsidRPr="00943DFD" w14:paraId="01339518" w14:textId="77777777" w:rsidTr="00DC6752">
        <w:trPr>
          <w:trHeight w:val="70"/>
          <w:jc w:val="center"/>
        </w:trPr>
        <w:tc>
          <w:tcPr>
            <w:tcW w:w="3202" w:type="dxa"/>
          </w:tcPr>
          <w:p w14:paraId="07D02FE3"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Держава</w:t>
            </w:r>
          </w:p>
        </w:tc>
        <w:tc>
          <w:tcPr>
            <w:tcW w:w="4383" w:type="dxa"/>
            <w:vAlign w:val="center"/>
          </w:tcPr>
          <w:p w14:paraId="58C9DAC0" w14:textId="77777777" w:rsidR="00DC1500" w:rsidRPr="00943DFD" w:rsidRDefault="00791BB7" w:rsidP="00B26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C1500" w:rsidRPr="00943DFD">
              <w:rPr>
                <w:rFonts w:ascii="Times New Roman" w:hAnsi="Times New Roman" w:cs="Times New Roman"/>
                <w:sz w:val="28"/>
                <w:szCs w:val="28"/>
              </w:rPr>
              <w:t xml:space="preserve">табільне функціонування </w:t>
            </w:r>
            <w:r w:rsidR="00C01350">
              <w:rPr>
                <w:rFonts w:ascii="Times New Roman" w:hAnsi="Times New Roman" w:cs="Times New Roman"/>
                <w:sz w:val="28"/>
                <w:szCs w:val="28"/>
              </w:rPr>
              <w:t>ринку електричної енергії</w:t>
            </w:r>
            <w:r w:rsidR="00F52FC8" w:rsidRPr="00943DFD">
              <w:rPr>
                <w:rFonts w:ascii="Times New Roman" w:hAnsi="Times New Roman" w:cs="Times New Roman"/>
                <w:sz w:val="28"/>
                <w:szCs w:val="28"/>
              </w:rPr>
              <w:t>.</w:t>
            </w:r>
          </w:p>
          <w:p w14:paraId="52D9D5EF" w14:textId="6A3D5183" w:rsidR="00A85BCD" w:rsidRPr="00652CDA" w:rsidRDefault="00DC1500" w:rsidP="00EF2E5C">
            <w:pPr>
              <w:spacing w:after="0" w:line="240" w:lineRule="auto"/>
              <w:jc w:val="both"/>
              <w:rPr>
                <w:rFonts w:ascii="Times New Roman" w:eastAsia="SimSun" w:hAnsi="Times New Roman" w:cs="Times New Roman"/>
                <w:sz w:val="28"/>
                <w:szCs w:val="28"/>
                <w:lang w:bidi="ta-IN"/>
              </w:rPr>
            </w:pPr>
            <w:r w:rsidRPr="00943DFD">
              <w:rPr>
                <w:rFonts w:ascii="Times New Roman" w:hAnsi="Times New Roman" w:cs="Times New Roman"/>
                <w:sz w:val="28"/>
                <w:szCs w:val="28"/>
              </w:rPr>
              <w:t xml:space="preserve">Реалізація державної політики в сфері </w:t>
            </w:r>
            <w:r w:rsidR="00C01350">
              <w:rPr>
                <w:rFonts w:ascii="Times New Roman" w:hAnsi="Times New Roman" w:cs="Times New Roman"/>
                <w:sz w:val="28"/>
                <w:szCs w:val="28"/>
              </w:rPr>
              <w:t>енергетики</w:t>
            </w:r>
            <w:r w:rsidR="00F52FC8" w:rsidRPr="00943DFD">
              <w:rPr>
                <w:rFonts w:ascii="Times New Roman" w:hAnsi="Times New Roman" w:cs="Times New Roman"/>
                <w:sz w:val="28"/>
                <w:szCs w:val="28"/>
              </w:rPr>
              <w:t xml:space="preserve"> </w:t>
            </w:r>
            <w:r w:rsidR="00652CDA">
              <w:rPr>
                <w:rFonts w:ascii="Times New Roman" w:hAnsi="Times New Roman" w:cs="Times New Roman"/>
                <w:sz w:val="28"/>
                <w:szCs w:val="28"/>
              </w:rPr>
              <w:t>шляхом</w:t>
            </w:r>
            <w:r w:rsidR="00F52FC8" w:rsidRPr="00943DFD">
              <w:rPr>
                <w:rFonts w:ascii="Times New Roman" w:hAnsi="Times New Roman" w:cs="Times New Roman"/>
                <w:sz w:val="28"/>
                <w:szCs w:val="28"/>
              </w:rPr>
              <w:t xml:space="preserve"> </w:t>
            </w:r>
            <w:r w:rsidR="00BC477D">
              <w:rPr>
                <w:rFonts w:ascii="Times New Roman" w:hAnsi="Times New Roman" w:cs="Times New Roman"/>
                <w:sz w:val="28"/>
                <w:szCs w:val="28"/>
              </w:rPr>
              <w:t xml:space="preserve">вдосконалення </w:t>
            </w:r>
            <w:r w:rsidR="00652CDA">
              <w:rPr>
                <w:rFonts w:ascii="Times New Roman" w:hAnsi="Times New Roman" w:cs="Times New Roman"/>
                <w:sz w:val="28"/>
                <w:szCs w:val="28"/>
              </w:rPr>
              <w:t xml:space="preserve">положень </w:t>
            </w:r>
            <w:r w:rsidR="00EE1033" w:rsidRPr="00FC7B8A">
              <w:rPr>
                <w:rFonts w:ascii="Times New Roman" w:hAnsi="Times New Roman" w:cs="Times New Roman"/>
                <w:bCs/>
                <w:sz w:val="28"/>
                <w:szCs w:val="28"/>
              </w:rPr>
              <w:t xml:space="preserve">Постанови </w:t>
            </w:r>
            <w:r w:rsidR="00EE1033">
              <w:rPr>
                <w:rFonts w:ascii="Times New Roman" w:hAnsi="Times New Roman" w:cs="Times New Roman"/>
                <w:bCs/>
                <w:sz w:val="28"/>
                <w:szCs w:val="28"/>
              </w:rPr>
              <w:t>№</w:t>
            </w:r>
            <w:r w:rsidR="00EE1033" w:rsidRPr="00FC7B8A">
              <w:rPr>
                <w:rFonts w:ascii="Times New Roman" w:hAnsi="Times New Roman" w:cs="Times New Roman"/>
                <w:bCs/>
                <w:sz w:val="28"/>
                <w:szCs w:val="28"/>
              </w:rPr>
              <w:t> 1009</w:t>
            </w:r>
            <w:r w:rsidR="00EE1033">
              <w:rPr>
                <w:rFonts w:ascii="Times New Roman" w:hAnsi="Times New Roman" w:cs="Times New Roman"/>
                <w:bCs/>
                <w:sz w:val="28"/>
                <w:szCs w:val="28"/>
              </w:rPr>
              <w:t xml:space="preserve">, </w:t>
            </w:r>
            <w:r w:rsidR="00652CDA" w:rsidRPr="00FC7B8A">
              <w:rPr>
                <w:rFonts w:ascii="Times New Roman" w:hAnsi="Times New Roman" w:cs="Times New Roman"/>
                <w:bCs/>
                <w:sz w:val="28"/>
                <w:szCs w:val="28"/>
              </w:rPr>
              <w:t xml:space="preserve">Порядку </w:t>
            </w:r>
            <w:r w:rsidR="00652CDA">
              <w:rPr>
                <w:rFonts w:ascii="Times New Roman" w:hAnsi="Times New Roman" w:cs="Times New Roman"/>
                <w:bCs/>
                <w:sz w:val="28"/>
                <w:szCs w:val="28"/>
              </w:rPr>
              <w:t>№</w:t>
            </w:r>
            <w:r w:rsidR="00EE1033" w:rsidRPr="00FC7B8A">
              <w:rPr>
                <w:rFonts w:ascii="Times New Roman" w:hAnsi="Times New Roman" w:cs="Times New Roman"/>
                <w:bCs/>
                <w:sz w:val="28"/>
                <w:szCs w:val="28"/>
              </w:rPr>
              <w:t> </w:t>
            </w:r>
            <w:r w:rsidR="00652CDA" w:rsidRPr="00FC7B8A">
              <w:rPr>
                <w:rFonts w:ascii="Times New Roman" w:hAnsi="Times New Roman" w:cs="Times New Roman"/>
                <w:bCs/>
                <w:sz w:val="28"/>
                <w:szCs w:val="28"/>
              </w:rPr>
              <w:t>1175 та</w:t>
            </w:r>
            <w:r w:rsidR="00EE1033">
              <w:rPr>
                <w:rFonts w:ascii="Times New Roman" w:hAnsi="Times New Roman" w:cs="Times New Roman"/>
                <w:bCs/>
                <w:sz w:val="28"/>
                <w:szCs w:val="28"/>
              </w:rPr>
              <w:t xml:space="preserve"> Положення №</w:t>
            </w:r>
            <w:r w:rsidR="00EE1033" w:rsidRPr="00FC7B8A">
              <w:rPr>
                <w:rFonts w:ascii="Times New Roman" w:hAnsi="Times New Roman" w:cs="Times New Roman"/>
                <w:bCs/>
                <w:sz w:val="28"/>
                <w:szCs w:val="28"/>
              </w:rPr>
              <w:t> </w:t>
            </w:r>
            <w:r w:rsidR="00EE1033">
              <w:rPr>
                <w:rFonts w:ascii="Times New Roman" w:hAnsi="Times New Roman" w:cs="Times New Roman"/>
                <w:bCs/>
                <w:sz w:val="28"/>
                <w:szCs w:val="28"/>
              </w:rPr>
              <w:t>981</w:t>
            </w:r>
            <w:r w:rsidR="00652CDA" w:rsidRPr="00FC7B8A">
              <w:rPr>
                <w:rFonts w:ascii="Times New Roman" w:hAnsi="Times New Roman" w:cs="Times New Roman"/>
                <w:bCs/>
                <w:sz w:val="28"/>
                <w:szCs w:val="28"/>
              </w:rPr>
              <w:t xml:space="preserve"> </w:t>
            </w:r>
            <w:r w:rsidR="00652CDA">
              <w:rPr>
                <w:rFonts w:ascii="Times New Roman" w:eastAsia="SimSun" w:hAnsi="Times New Roman" w:cs="Times New Roman"/>
                <w:sz w:val="28"/>
                <w:szCs w:val="28"/>
                <w:lang w:bidi="ta-IN"/>
              </w:rPr>
              <w:t xml:space="preserve">щодо </w:t>
            </w:r>
            <w:r w:rsidR="00D66C83">
              <w:rPr>
                <w:rFonts w:ascii="Times New Roman" w:eastAsia="SimSun" w:hAnsi="Times New Roman" w:cs="Times New Roman"/>
                <w:sz w:val="28"/>
                <w:szCs w:val="28"/>
                <w:lang w:bidi="ta-IN"/>
              </w:rPr>
              <w:t xml:space="preserve">методології </w:t>
            </w:r>
            <w:proofErr w:type="spellStart"/>
            <w:r w:rsidR="00652CDA" w:rsidRPr="00652CDA">
              <w:rPr>
                <w:rFonts w:ascii="Times New Roman" w:eastAsia="SimSun" w:hAnsi="Times New Roman" w:cs="Times New Roman"/>
                <w:sz w:val="28"/>
                <w:szCs w:val="28"/>
                <w:lang w:bidi="ta-IN"/>
              </w:rPr>
              <w:t>тарифоутворення</w:t>
            </w:r>
            <w:proofErr w:type="spellEnd"/>
            <w:r w:rsidR="00652CDA" w:rsidRPr="00652CDA">
              <w:rPr>
                <w:rFonts w:ascii="Times New Roman" w:eastAsia="SimSun" w:hAnsi="Times New Roman" w:cs="Times New Roman"/>
                <w:sz w:val="28"/>
                <w:szCs w:val="28"/>
                <w:lang w:bidi="ta-IN"/>
              </w:rPr>
              <w:t xml:space="preserve"> </w:t>
            </w:r>
            <w:r w:rsidR="00EF2E5C">
              <w:rPr>
                <w:rFonts w:ascii="Times New Roman" w:hAnsi="Times New Roman" w:cs="Times New Roman"/>
                <w:sz w:val="28"/>
                <w:szCs w:val="28"/>
              </w:rPr>
              <w:t xml:space="preserve">для </w:t>
            </w:r>
            <w:r w:rsidR="00EF2E5C" w:rsidRPr="00FC7B8A">
              <w:rPr>
                <w:rFonts w:ascii="Times New Roman" w:hAnsi="Times New Roman" w:cs="Times New Roman"/>
                <w:sz w:val="28"/>
                <w:szCs w:val="28"/>
              </w:rPr>
              <w:t xml:space="preserve">врегулювання проблемних питань </w:t>
            </w:r>
            <w:r w:rsidR="00D66C83" w:rsidRPr="00FC7B8A">
              <w:rPr>
                <w:rFonts w:ascii="Times New Roman" w:hAnsi="Times New Roman" w:cs="Times New Roman"/>
                <w:sz w:val="28"/>
                <w:szCs w:val="28"/>
              </w:rPr>
              <w:t>діяльності</w:t>
            </w:r>
            <w:r w:rsidR="00D66C83" w:rsidRPr="00652CDA">
              <w:rPr>
                <w:rFonts w:ascii="Times New Roman" w:eastAsia="SimSun" w:hAnsi="Times New Roman" w:cs="Times New Roman"/>
                <w:sz w:val="28"/>
                <w:szCs w:val="28"/>
                <w:lang w:bidi="ta-IN"/>
              </w:rPr>
              <w:t xml:space="preserve"> операторів систем розподілу</w:t>
            </w:r>
            <w:r w:rsidR="00D66C83">
              <w:rPr>
                <w:rFonts w:ascii="Times New Roman" w:eastAsia="SimSun" w:hAnsi="Times New Roman" w:cs="Times New Roman"/>
                <w:sz w:val="28"/>
                <w:szCs w:val="28"/>
                <w:lang w:bidi="ta-IN"/>
              </w:rPr>
              <w:t xml:space="preserve"> </w:t>
            </w:r>
            <w:r w:rsidR="00EF2E5C" w:rsidRPr="00FC7B8A">
              <w:rPr>
                <w:rFonts w:ascii="Times New Roman" w:hAnsi="Times New Roman" w:cs="Times New Roman"/>
                <w:sz w:val="28"/>
                <w:szCs w:val="28"/>
              </w:rPr>
              <w:t xml:space="preserve">в умовах воєнного </w:t>
            </w:r>
            <w:r w:rsidR="00D66C83">
              <w:rPr>
                <w:rFonts w:ascii="Times New Roman" w:hAnsi="Times New Roman" w:cs="Times New Roman"/>
                <w:sz w:val="28"/>
                <w:szCs w:val="28"/>
              </w:rPr>
              <w:t>стану</w:t>
            </w:r>
            <w:r w:rsidR="00EF2E5C">
              <w:rPr>
                <w:rFonts w:ascii="Times New Roman" w:hAnsi="Times New Roman" w:cs="Times New Roman"/>
                <w:sz w:val="28"/>
                <w:szCs w:val="28"/>
              </w:rPr>
              <w:t>.</w:t>
            </w:r>
            <w:r w:rsidR="00652CDA" w:rsidRPr="00FC7B8A">
              <w:rPr>
                <w:rFonts w:ascii="Times New Roman" w:hAnsi="Times New Roman" w:cs="Times New Roman"/>
                <w:sz w:val="28"/>
                <w:szCs w:val="28"/>
              </w:rPr>
              <w:t xml:space="preserve"> </w:t>
            </w:r>
          </w:p>
        </w:tc>
        <w:tc>
          <w:tcPr>
            <w:tcW w:w="1985" w:type="dxa"/>
            <w:vAlign w:val="center"/>
          </w:tcPr>
          <w:p w14:paraId="09F11808" w14:textId="77777777" w:rsidR="00DC1500" w:rsidRPr="00943DFD" w:rsidRDefault="00DC1500" w:rsidP="00DC6752">
            <w:pPr>
              <w:spacing w:after="0" w:line="240" w:lineRule="auto"/>
              <w:ind w:firstLine="567"/>
              <w:jc w:val="center"/>
              <w:rPr>
                <w:rFonts w:ascii="Times New Roman" w:hAnsi="Times New Roman" w:cs="Times New Roman"/>
                <w:sz w:val="28"/>
                <w:szCs w:val="28"/>
              </w:rPr>
            </w:pPr>
          </w:p>
        </w:tc>
      </w:tr>
      <w:tr w:rsidR="00101840" w:rsidRPr="00943DFD" w14:paraId="5942F519" w14:textId="77777777" w:rsidTr="00DC6752">
        <w:trPr>
          <w:trHeight w:val="70"/>
          <w:jc w:val="center"/>
        </w:trPr>
        <w:tc>
          <w:tcPr>
            <w:tcW w:w="3202" w:type="dxa"/>
          </w:tcPr>
          <w:p w14:paraId="32EB7750" w14:textId="77777777"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Суб’єкти господарювання</w:t>
            </w:r>
          </w:p>
        </w:tc>
        <w:tc>
          <w:tcPr>
            <w:tcW w:w="4383" w:type="dxa"/>
            <w:vAlign w:val="center"/>
          </w:tcPr>
          <w:p w14:paraId="0E4CF762" w14:textId="6643359F" w:rsidR="00A85BCD" w:rsidRPr="00D66C83" w:rsidRDefault="00F52FC8" w:rsidP="00E40CC7">
            <w:pPr>
              <w:spacing w:after="0" w:line="240" w:lineRule="auto"/>
              <w:jc w:val="both"/>
              <w:rPr>
                <w:rFonts w:ascii="Times New Roman" w:eastAsia="SimSun" w:hAnsi="Times New Roman" w:cs="Times New Roman"/>
                <w:sz w:val="28"/>
                <w:szCs w:val="28"/>
                <w:lang w:bidi="ta-IN"/>
              </w:rPr>
            </w:pPr>
            <w:r w:rsidRPr="00943DFD">
              <w:rPr>
                <w:rFonts w:ascii="Times New Roman" w:hAnsi="Times New Roman" w:cs="Times New Roman"/>
                <w:sz w:val="28"/>
                <w:szCs w:val="28"/>
              </w:rPr>
              <w:t xml:space="preserve">Дозволить </w:t>
            </w:r>
            <w:bookmarkStart w:id="1" w:name="_Hlk51591308"/>
            <w:r w:rsidR="008223F7">
              <w:rPr>
                <w:rFonts w:ascii="Times New Roman" w:hAnsi="Times New Roman" w:cs="Times New Roman"/>
                <w:sz w:val="28"/>
                <w:szCs w:val="28"/>
              </w:rPr>
              <w:t xml:space="preserve">удосконалити </w:t>
            </w:r>
            <w:r w:rsidR="00B005DA" w:rsidRPr="00B005DA">
              <w:rPr>
                <w:rFonts w:ascii="Times New Roman" w:hAnsi="Times New Roman" w:cs="Times New Roman"/>
                <w:sz w:val="28"/>
                <w:szCs w:val="28"/>
              </w:rPr>
              <w:t>деякі положення</w:t>
            </w:r>
            <w:r w:rsidR="00B719CF">
              <w:rPr>
                <w:rFonts w:ascii="Times New Roman" w:hAnsi="Times New Roman" w:cs="Times New Roman"/>
                <w:sz w:val="28"/>
                <w:szCs w:val="28"/>
              </w:rPr>
              <w:t xml:space="preserve"> </w:t>
            </w:r>
            <w:bookmarkStart w:id="2" w:name="_Hlk72743343"/>
            <w:r w:rsidR="00B719CF">
              <w:rPr>
                <w:rFonts w:ascii="Times New Roman" w:hAnsi="Times New Roman" w:cs="Times New Roman"/>
                <w:sz w:val="28"/>
                <w:szCs w:val="28"/>
              </w:rPr>
              <w:t>нормативно</w:t>
            </w:r>
            <w:r w:rsidR="009C561D">
              <w:rPr>
                <w:rFonts w:ascii="Times New Roman" w:hAnsi="Times New Roman" w:cs="Times New Roman"/>
                <w:sz w:val="28"/>
                <w:szCs w:val="28"/>
              </w:rPr>
              <w:t xml:space="preserve">-правових актів </w:t>
            </w:r>
            <w:r w:rsidR="00B719CF">
              <w:rPr>
                <w:rFonts w:ascii="Times New Roman" w:hAnsi="Times New Roman" w:cs="Times New Roman"/>
                <w:sz w:val="28"/>
                <w:szCs w:val="28"/>
              </w:rPr>
              <w:t>НКРЕКП</w:t>
            </w:r>
            <w:r w:rsidR="00E40CC7">
              <w:rPr>
                <w:rFonts w:ascii="Times New Roman" w:eastAsia="SimSun" w:hAnsi="Times New Roman" w:cs="Times New Roman"/>
                <w:sz w:val="28"/>
                <w:szCs w:val="28"/>
                <w:lang w:bidi="ta-IN"/>
              </w:rPr>
              <w:t xml:space="preserve"> </w:t>
            </w:r>
            <w:r w:rsidR="00D66C83">
              <w:rPr>
                <w:rFonts w:ascii="Times New Roman" w:eastAsia="SimSun" w:hAnsi="Times New Roman" w:cs="Times New Roman"/>
                <w:sz w:val="28"/>
                <w:szCs w:val="28"/>
                <w:lang w:bidi="ta-IN"/>
              </w:rPr>
              <w:t xml:space="preserve">щодо </w:t>
            </w:r>
            <w:proofErr w:type="spellStart"/>
            <w:r w:rsidR="00D66C83" w:rsidRPr="00652CDA">
              <w:rPr>
                <w:rFonts w:ascii="Times New Roman" w:eastAsia="SimSun" w:hAnsi="Times New Roman" w:cs="Times New Roman"/>
                <w:sz w:val="28"/>
                <w:szCs w:val="28"/>
                <w:lang w:bidi="ta-IN"/>
              </w:rPr>
              <w:t>тарифоутворення</w:t>
            </w:r>
            <w:proofErr w:type="spellEnd"/>
            <w:r w:rsidR="00D66C83">
              <w:rPr>
                <w:rFonts w:ascii="Times New Roman" w:eastAsia="SimSun" w:hAnsi="Times New Roman" w:cs="Times New Roman"/>
                <w:sz w:val="28"/>
                <w:szCs w:val="28"/>
                <w:lang w:bidi="ta-IN"/>
              </w:rPr>
              <w:t xml:space="preserve"> для</w:t>
            </w:r>
            <w:r w:rsidR="00D66C83">
              <w:rPr>
                <w:rFonts w:ascii="Times New Roman" w:hAnsi="Times New Roman" w:cs="Times New Roman"/>
                <w:sz w:val="28"/>
                <w:szCs w:val="28"/>
              </w:rPr>
              <w:t xml:space="preserve"> </w:t>
            </w:r>
            <w:r w:rsidR="00D66C83" w:rsidRPr="00FC7B8A">
              <w:rPr>
                <w:rFonts w:ascii="Times New Roman" w:hAnsi="Times New Roman" w:cs="Times New Roman"/>
                <w:sz w:val="28"/>
                <w:szCs w:val="28"/>
              </w:rPr>
              <w:t>врегулювання проблемних питань діяльності</w:t>
            </w:r>
            <w:r w:rsidR="00D66C83">
              <w:rPr>
                <w:rFonts w:ascii="Times New Roman" w:hAnsi="Times New Roman" w:cs="Times New Roman"/>
                <w:sz w:val="28"/>
                <w:szCs w:val="28"/>
              </w:rPr>
              <w:t xml:space="preserve"> </w:t>
            </w:r>
            <w:r w:rsidR="00D66C83" w:rsidRPr="00652CDA">
              <w:rPr>
                <w:rFonts w:ascii="Times New Roman" w:eastAsia="SimSun" w:hAnsi="Times New Roman" w:cs="Times New Roman"/>
                <w:sz w:val="28"/>
                <w:szCs w:val="28"/>
                <w:lang w:bidi="ta-IN"/>
              </w:rPr>
              <w:t>операторів систем розподілу</w:t>
            </w:r>
            <w:r w:rsidR="00D66C83">
              <w:rPr>
                <w:rFonts w:ascii="Times New Roman" w:eastAsia="SimSun" w:hAnsi="Times New Roman" w:cs="Times New Roman"/>
                <w:sz w:val="28"/>
                <w:szCs w:val="28"/>
                <w:lang w:bidi="ta-IN"/>
              </w:rPr>
              <w:t xml:space="preserve"> </w:t>
            </w:r>
            <w:r w:rsidR="00D66C83" w:rsidRPr="00E40CC7">
              <w:rPr>
                <w:rFonts w:ascii="Times New Roman" w:eastAsia="SimSun" w:hAnsi="Times New Roman" w:cs="Times New Roman"/>
                <w:i/>
                <w:sz w:val="28"/>
                <w:szCs w:val="28"/>
                <w:lang w:bidi="ta-IN"/>
              </w:rPr>
              <w:t>(</w:t>
            </w:r>
            <w:r w:rsidR="00D66C83"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D66C83" w:rsidRPr="00E40CC7">
              <w:rPr>
                <w:rFonts w:ascii="Times New Roman" w:hAnsi="Times New Roman" w:cs="Times New Roman"/>
                <w:bCs/>
                <w:i/>
                <w:sz w:val="28"/>
                <w:szCs w:val="28"/>
              </w:rPr>
              <w:t xml:space="preserve"> та із застосуванням методології «витрати +»)</w:t>
            </w:r>
            <w:r w:rsidR="00D66C83">
              <w:rPr>
                <w:rFonts w:ascii="Times New Roman" w:hAnsi="Times New Roman" w:cs="Times New Roman"/>
                <w:bCs/>
                <w:i/>
                <w:sz w:val="28"/>
                <w:szCs w:val="28"/>
              </w:rPr>
              <w:t xml:space="preserve"> </w:t>
            </w:r>
            <w:r w:rsidR="00D66C83" w:rsidRPr="00FC7B8A">
              <w:rPr>
                <w:rFonts w:ascii="Times New Roman" w:hAnsi="Times New Roman" w:cs="Times New Roman"/>
                <w:sz w:val="28"/>
                <w:szCs w:val="28"/>
              </w:rPr>
              <w:t xml:space="preserve">в умовах воєнного </w:t>
            </w:r>
            <w:r w:rsidR="00D66C83">
              <w:rPr>
                <w:rFonts w:ascii="Times New Roman" w:hAnsi="Times New Roman" w:cs="Times New Roman"/>
                <w:sz w:val="28"/>
                <w:szCs w:val="28"/>
              </w:rPr>
              <w:t>стану.</w:t>
            </w:r>
            <w:r w:rsidR="00E40CC7" w:rsidRPr="00652CDA">
              <w:rPr>
                <w:rFonts w:ascii="Times New Roman" w:eastAsia="SimSun" w:hAnsi="Times New Roman" w:cs="Times New Roman"/>
                <w:sz w:val="28"/>
                <w:szCs w:val="28"/>
                <w:lang w:bidi="ta-IN"/>
              </w:rPr>
              <w:t xml:space="preserve"> </w:t>
            </w:r>
            <w:bookmarkEnd w:id="1"/>
            <w:bookmarkEnd w:id="2"/>
          </w:p>
        </w:tc>
        <w:tc>
          <w:tcPr>
            <w:tcW w:w="1985" w:type="dxa"/>
            <w:vAlign w:val="center"/>
          </w:tcPr>
          <w:p w14:paraId="39BB15E0" w14:textId="77777777" w:rsidR="00DC1500" w:rsidRPr="00943DFD" w:rsidRDefault="00DC1500" w:rsidP="00DC6752">
            <w:pPr>
              <w:spacing w:after="0" w:line="240" w:lineRule="auto"/>
              <w:ind w:firstLine="567"/>
              <w:jc w:val="center"/>
              <w:rPr>
                <w:rFonts w:ascii="Times New Roman" w:hAnsi="Times New Roman" w:cs="Times New Roman"/>
                <w:sz w:val="28"/>
                <w:szCs w:val="28"/>
              </w:rPr>
            </w:pPr>
          </w:p>
        </w:tc>
      </w:tr>
    </w:tbl>
    <w:p w14:paraId="78C1A395" w14:textId="77777777" w:rsidR="00014069" w:rsidRDefault="00014069" w:rsidP="00DC6752">
      <w:pPr>
        <w:spacing w:after="0" w:line="240" w:lineRule="auto"/>
        <w:ind w:firstLine="567"/>
        <w:jc w:val="center"/>
        <w:rPr>
          <w:rFonts w:ascii="Times New Roman" w:hAnsi="Times New Roman" w:cs="Times New Roman"/>
          <w:b/>
          <w:bCs/>
          <w:sz w:val="28"/>
          <w:szCs w:val="28"/>
        </w:rPr>
      </w:pPr>
    </w:p>
    <w:p w14:paraId="3CBA954B" w14:textId="77777777" w:rsidR="00375422" w:rsidRDefault="00375422" w:rsidP="00DC6752">
      <w:pPr>
        <w:spacing w:after="0" w:line="240" w:lineRule="auto"/>
        <w:ind w:firstLine="567"/>
        <w:jc w:val="center"/>
        <w:rPr>
          <w:rFonts w:ascii="Times New Roman" w:hAnsi="Times New Roman" w:cs="Times New Roman"/>
          <w:b/>
          <w:bCs/>
          <w:sz w:val="28"/>
          <w:szCs w:val="28"/>
        </w:rPr>
      </w:pPr>
    </w:p>
    <w:p w14:paraId="37AD93B9"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II. Цілі державного регулювання</w:t>
      </w:r>
    </w:p>
    <w:p w14:paraId="1908FF25"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p>
    <w:p w14:paraId="257D4A51" w14:textId="3937CAB9" w:rsidR="00B37F84" w:rsidRDefault="00DC1500" w:rsidP="00592E5F">
      <w:pPr>
        <w:spacing w:after="0" w:line="240" w:lineRule="auto"/>
        <w:ind w:firstLine="709"/>
        <w:jc w:val="both"/>
        <w:rPr>
          <w:rFonts w:ascii="Times New Roman" w:hAnsi="Times New Roman" w:cs="Times New Roman"/>
          <w:sz w:val="28"/>
          <w:szCs w:val="28"/>
        </w:rPr>
      </w:pPr>
      <w:r w:rsidRPr="00943DFD">
        <w:rPr>
          <w:rFonts w:ascii="Times New Roman" w:hAnsi="Times New Roman" w:cs="Times New Roman"/>
          <w:sz w:val="28"/>
          <w:szCs w:val="28"/>
        </w:rPr>
        <w:t xml:space="preserve">Метою прийняття </w:t>
      </w:r>
      <w:proofErr w:type="spellStart"/>
      <w:r w:rsidR="00B26044">
        <w:rPr>
          <w:rFonts w:ascii="Times New Roman" w:hAnsi="Times New Roman" w:cs="Times New Roman"/>
          <w:sz w:val="28"/>
          <w:szCs w:val="28"/>
        </w:rPr>
        <w:t>П</w:t>
      </w:r>
      <w:r w:rsidR="008C6D40" w:rsidRPr="00943DFD">
        <w:rPr>
          <w:rFonts w:ascii="Times New Roman" w:hAnsi="Times New Roman" w:cs="Times New Roman"/>
          <w:sz w:val="28"/>
          <w:szCs w:val="28"/>
        </w:rPr>
        <w:t>роєкту</w:t>
      </w:r>
      <w:proofErr w:type="spellEnd"/>
      <w:r w:rsidR="008C6D40" w:rsidRPr="00943DFD">
        <w:rPr>
          <w:rFonts w:ascii="Times New Roman" w:hAnsi="Times New Roman" w:cs="Times New Roman"/>
          <w:sz w:val="28"/>
          <w:szCs w:val="28"/>
        </w:rPr>
        <w:t xml:space="preserve"> постанови</w:t>
      </w:r>
      <w:r w:rsidRPr="00943DFD">
        <w:rPr>
          <w:rFonts w:ascii="Times New Roman" w:hAnsi="Times New Roman" w:cs="Times New Roman"/>
          <w:sz w:val="28"/>
          <w:szCs w:val="28"/>
        </w:rPr>
        <w:t xml:space="preserve"> </w:t>
      </w:r>
      <w:r w:rsidR="009C561D" w:rsidRPr="00101840">
        <w:rPr>
          <w:rFonts w:ascii="Times New Roman" w:hAnsi="Times New Roman" w:cs="Times New Roman"/>
          <w:sz w:val="28"/>
          <w:szCs w:val="28"/>
        </w:rPr>
        <w:t xml:space="preserve">є </w:t>
      </w:r>
      <w:r w:rsidR="00592E5F">
        <w:rPr>
          <w:rFonts w:ascii="Times New Roman" w:hAnsi="Times New Roman" w:cs="Times New Roman"/>
          <w:bCs/>
          <w:sz w:val="28"/>
          <w:szCs w:val="28"/>
        </w:rPr>
        <w:t xml:space="preserve">актуалізація </w:t>
      </w:r>
      <w:r w:rsidR="00B37F84" w:rsidRPr="00725D1D">
        <w:rPr>
          <w:rFonts w:ascii="Times New Roman" w:hAnsi="Times New Roman" w:cs="Times New Roman"/>
          <w:sz w:val="28"/>
          <w:szCs w:val="28"/>
        </w:rPr>
        <w:t>Постанови</w:t>
      </w:r>
      <w:r w:rsidR="00B37F84" w:rsidRPr="00FC7B8A">
        <w:rPr>
          <w:rFonts w:ascii="Times New Roman" w:hAnsi="Times New Roman" w:cs="Times New Roman"/>
          <w:bCs/>
          <w:sz w:val="28"/>
          <w:szCs w:val="28"/>
        </w:rPr>
        <w:t xml:space="preserve"> </w:t>
      </w:r>
      <w:r w:rsidR="00B37F84">
        <w:rPr>
          <w:rFonts w:ascii="Times New Roman" w:hAnsi="Times New Roman" w:cs="Times New Roman"/>
          <w:bCs/>
          <w:sz w:val="28"/>
          <w:szCs w:val="28"/>
        </w:rPr>
        <w:t>№</w:t>
      </w:r>
      <w:r w:rsidR="00B37F84" w:rsidRPr="00FC7B8A">
        <w:rPr>
          <w:rFonts w:ascii="Times New Roman" w:hAnsi="Times New Roman" w:cs="Times New Roman"/>
          <w:bCs/>
          <w:sz w:val="28"/>
          <w:szCs w:val="28"/>
        </w:rPr>
        <w:t> 1009</w:t>
      </w:r>
      <w:r w:rsidR="00B37F84">
        <w:rPr>
          <w:rFonts w:ascii="Times New Roman" w:hAnsi="Times New Roman" w:cs="Times New Roman"/>
          <w:bCs/>
          <w:sz w:val="28"/>
          <w:szCs w:val="28"/>
        </w:rPr>
        <w:t xml:space="preserve">, </w:t>
      </w:r>
      <w:r w:rsidR="00B37F84" w:rsidRPr="00FC7B8A">
        <w:rPr>
          <w:rFonts w:ascii="Times New Roman" w:hAnsi="Times New Roman" w:cs="Times New Roman"/>
          <w:bCs/>
          <w:sz w:val="28"/>
          <w:szCs w:val="28"/>
        </w:rPr>
        <w:t xml:space="preserve">Порядку </w:t>
      </w:r>
      <w:r w:rsidR="00B37F84">
        <w:rPr>
          <w:rFonts w:ascii="Times New Roman" w:hAnsi="Times New Roman" w:cs="Times New Roman"/>
          <w:bCs/>
          <w:sz w:val="28"/>
          <w:szCs w:val="28"/>
        </w:rPr>
        <w:t>№</w:t>
      </w:r>
      <w:r w:rsidR="00B37F84" w:rsidRPr="00FC7B8A">
        <w:rPr>
          <w:rFonts w:ascii="Times New Roman" w:hAnsi="Times New Roman" w:cs="Times New Roman"/>
          <w:bCs/>
          <w:sz w:val="28"/>
          <w:szCs w:val="28"/>
        </w:rPr>
        <w:t> 1175 та</w:t>
      </w:r>
      <w:r w:rsidR="00B37F84">
        <w:rPr>
          <w:rFonts w:ascii="Times New Roman" w:hAnsi="Times New Roman" w:cs="Times New Roman"/>
          <w:bCs/>
          <w:sz w:val="28"/>
          <w:szCs w:val="28"/>
        </w:rPr>
        <w:t xml:space="preserve"> Положення №</w:t>
      </w:r>
      <w:r w:rsidR="00B37F84" w:rsidRPr="00FC7B8A">
        <w:rPr>
          <w:rFonts w:ascii="Times New Roman" w:hAnsi="Times New Roman" w:cs="Times New Roman"/>
          <w:bCs/>
          <w:sz w:val="28"/>
          <w:szCs w:val="28"/>
        </w:rPr>
        <w:t> </w:t>
      </w:r>
      <w:r w:rsidR="00B37F84">
        <w:rPr>
          <w:rFonts w:ascii="Times New Roman" w:hAnsi="Times New Roman" w:cs="Times New Roman"/>
          <w:bCs/>
          <w:sz w:val="28"/>
          <w:szCs w:val="28"/>
        </w:rPr>
        <w:t xml:space="preserve">981 </w:t>
      </w:r>
      <w:r w:rsidR="00B37F84" w:rsidRPr="005977A2">
        <w:rPr>
          <w:rFonts w:ascii="Times New Roman" w:eastAsia="SimSun" w:hAnsi="Times New Roman" w:cs="Times New Roman"/>
          <w:sz w:val="28"/>
          <w:szCs w:val="28"/>
          <w:lang w:bidi="ta-IN"/>
        </w:rPr>
        <w:t>для</w:t>
      </w:r>
      <w:r w:rsidR="00B37F84">
        <w:rPr>
          <w:rFonts w:ascii="Times New Roman" w:hAnsi="Times New Roman" w:cs="Times New Roman"/>
          <w:sz w:val="28"/>
          <w:szCs w:val="28"/>
        </w:rPr>
        <w:t xml:space="preserve"> </w:t>
      </w:r>
      <w:r w:rsidR="00B37F84" w:rsidRPr="00FC7B8A">
        <w:rPr>
          <w:rFonts w:ascii="Times New Roman" w:hAnsi="Times New Roman" w:cs="Times New Roman"/>
          <w:sz w:val="28"/>
          <w:szCs w:val="28"/>
        </w:rPr>
        <w:t>врегулювання проблемних питань діяльності</w:t>
      </w:r>
      <w:r w:rsidR="00B37F84">
        <w:rPr>
          <w:rFonts w:ascii="Times New Roman" w:hAnsi="Times New Roman" w:cs="Times New Roman"/>
          <w:sz w:val="28"/>
          <w:szCs w:val="28"/>
        </w:rPr>
        <w:t xml:space="preserve"> </w:t>
      </w:r>
      <w:r w:rsidR="00B37F84" w:rsidRPr="00652CDA">
        <w:rPr>
          <w:rFonts w:ascii="Times New Roman" w:eastAsia="SimSun" w:hAnsi="Times New Roman" w:cs="Times New Roman"/>
          <w:sz w:val="28"/>
          <w:szCs w:val="28"/>
          <w:lang w:bidi="ta-IN"/>
        </w:rPr>
        <w:t>операторів систем розподілу</w:t>
      </w:r>
      <w:r w:rsidR="00B37F84">
        <w:rPr>
          <w:rFonts w:ascii="Times New Roman" w:eastAsia="SimSun" w:hAnsi="Times New Roman" w:cs="Times New Roman"/>
          <w:sz w:val="28"/>
          <w:szCs w:val="28"/>
          <w:lang w:bidi="ta-IN"/>
        </w:rPr>
        <w:t xml:space="preserve"> </w:t>
      </w:r>
      <w:r w:rsidR="00B37F84" w:rsidRPr="00E40CC7">
        <w:rPr>
          <w:rFonts w:ascii="Times New Roman" w:eastAsia="SimSun" w:hAnsi="Times New Roman" w:cs="Times New Roman"/>
          <w:i/>
          <w:sz w:val="28"/>
          <w:szCs w:val="28"/>
          <w:lang w:bidi="ta-IN"/>
        </w:rPr>
        <w:t>(</w:t>
      </w:r>
      <w:r w:rsidR="00B37F84"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B37F84" w:rsidRPr="00E40CC7">
        <w:rPr>
          <w:rFonts w:ascii="Times New Roman" w:hAnsi="Times New Roman" w:cs="Times New Roman"/>
          <w:bCs/>
          <w:i/>
          <w:sz w:val="28"/>
          <w:szCs w:val="28"/>
        </w:rPr>
        <w:t xml:space="preserve"> та із застосуванням методології «витрати +»)</w:t>
      </w:r>
      <w:r w:rsidR="00C027F8">
        <w:rPr>
          <w:rFonts w:ascii="Times New Roman" w:hAnsi="Times New Roman" w:cs="Times New Roman"/>
          <w:bCs/>
          <w:i/>
          <w:sz w:val="28"/>
          <w:szCs w:val="28"/>
        </w:rPr>
        <w:t xml:space="preserve"> </w:t>
      </w:r>
      <w:r w:rsidR="00B37F84">
        <w:rPr>
          <w:rFonts w:ascii="Times New Roman" w:hAnsi="Times New Roman" w:cs="Times New Roman"/>
          <w:sz w:val="28"/>
          <w:szCs w:val="28"/>
        </w:rPr>
        <w:t xml:space="preserve">та забезпечення </w:t>
      </w:r>
      <w:r w:rsidR="00B37F84" w:rsidRPr="00D55250">
        <w:rPr>
          <w:rFonts w:ascii="Times New Roman" w:hAnsi="Times New Roman" w:cs="Times New Roman"/>
          <w:sz w:val="28"/>
          <w:szCs w:val="28"/>
        </w:rPr>
        <w:t>формуванн</w:t>
      </w:r>
      <w:r w:rsidR="00B37F84">
        <w:rPr>
          <w:rFonts w:ascii="Times New Roman" w:hAnsi="Times New Roman" w:cs="Times New Roman"/>
          <w:sz w:val="28"/>
          <w:szCs w:val="28"/>
        </w:rPr>
        <w:t>я</w:t>
      </w:r>
      <w:r w:rsidR="00B37F84" w:rsidRPr="00D55250">
        <w:rPr>
          <w:rFonts w:ascii="Times New Roman" w:hAnsi="Times New Roman" w:cs="Times New Roman"/>
          <w:sz w:val="28"/>
          <w:szCs w:val="28"/>
        </w:rPr>
        <w:t xml:space="preserve"> та встановленн</w:t>
      </w:r>
      <w:r w:rsidR="00B37F84">
        <w:rPr>
          <w:rFonts w:ascii="Times New Roman" w:hAnsi="Times New Roman" w:cs="Times New Roman"/>
          <w:sz w:val="28"/>
          <w:szCs w:val="28"/>
        </w:rPr>
        <w:t>я</w:t>
      </w:r>
      <w:r w:rsidR="00B37F84" w:rsidRPr="00D55250">
        <w:rPr>
          <w:rFonts w:ascii="Times New Roman" w:hAnsi="Times New Roman" w:cs="Times New Roman"/>
          <w:sz w:val="28"/>
          <w:szCs w:val="28"/>
        </w:rPr>
        <w:t xml:space="preserve"> тарифів на послуги з розподілу електричної енергії</w:t>
      </w:r>
      <w:r w:rsidR="00B37F84" w:rsidRPr="00592E5F">
        <w:rPr>
          <w:rFonts w:ascii="Times New Roman" w:hAnsi="Times New Roman" w:cs="Times New Roman"/>
          <w:sz w:val="28"/>
          <w:szCs w:val="28"/>
        </w:rPr>
        <w:t xml:space="preserve"> </w:t>
      </w:r>
      <w:r w:rsidR="00B37F84" w:rsidRPr="00FC7B8A">
        <w:rPr>
          <w:rFonts w:ascii="Times New Roman" w:hAnsi="Times New Roman" w:cs="Times New Roman"/>
          <w:sz w:val="28"/>
          <w:szCs w:val="28"/>
        </w:rPr>
        <w:t xml:space="preserve">в умовах воєнного </w:t>
      </w:r>
      <w:r w:rsidR="00B37F84">
        <w:rPr>
          <w:rFonts w:ascii="Times New Roman" w:hAnsi="Times New Roman" w:cs="Times New Roman"/>
          <w:sz w:val="28"/>
          <w:szCs w:val="28"/>
        </w:rPr>
        <w:t>стану</w:t>
      </w:r>
      <w:r w:rsidR="00C027F8">
        <w:rPr>
          <w:rFonts w:ascii="Times New Roman" w:hAnsi="Times New Roman" w:cs="Times New Roman"/>
          <w:sz w:val="28"/>
          <w:szCs w:val="28"/>
        </w:rPr>
        <w:t>.</w:t>
      </w:r>
    </w:p>
    <w:p w14:paraId="39FCE055" w14:textId="77777777" w:rsidR="00375422" w:rsidRDefault="00375422" w:rsidP="00B005DA">
      <w:pPr>
        <w:spacing w:after="0" w:line="240" w:lineRule="auto"/>
        <w:ind w:firstLine="567"/>
        <w:jc w:val="both"/>
        <w:rPr>
          <w:rFonts w:ascii="Times New Roman" w:hAnsi="Times New Roman" w:cs="Times New Roman"/>
          <w:sz w:val="28"/>
          <w:szCs w:val="28"/>
        </w:rPr>
      </w:pPr>
    </w:p>
    <w:p w14:paraId="577C7B96" w14:textId="77777777" w:rsidR="00DC1500" w:rsidRDefault="00DC1500" w:rsidP="006C13C0">
      <w:pPr>
        <w:spacing w:after="0" w:line="240" w:lineRule="auto"/>
        <w:ind w:firstLine="567"/>
        <w:rPr>
          <w:rFonts w:ascii="Times New Roman" w:hAnsi="Times New Roman" w:cs="Times New Roman"/>
          <w:b/>
          <w:bCs/>
          <w:sz w:val="28"/>
          <w:szCs w:val="28"/>
        </w:rPr>
      </w:pPr>
      <w:r w:rsidRPr="00943DFD">
        <w:rPr>
          <w:rFonts w:ascii="Times New Roman" w:hAnsi="Times New Roman" w:cs="Times New Roman"/>
          <w:b/>
          <w:bCs/>
          <w:sz w:val="28"/>
          <w:szCs w:val="28"/>
        </w:rPr>
        <w:t>III. Визначення та оцінка альтернативних способів досягнення цілей</w:t>
      </w:r>
    </w:p>
    <w:p w14:paraId="5D9E07C0" w14:textId="77777777" w:rsidR="00014069" w:rsidRDefault="00014069" w:rsidP="00C15B38">
      <w:pPr>
        <w:spacing w:after="0" w:line="240" w:lineRule="auto"/>
        <w:ind w:firstLine="567"/>
        <w:jc w:val="both"/>
        <w:rPr>
          <w:rFonts w:ascii="Times New Roman" w:hAnsi="Times New Roman" w:cs="Times New Roman"/>
          <w:sz w:val="28"/>
          <w:szCs w:val="28"/>
        </w:rPr>
      </w:pPr>
    </w:p>
    <w:p w14:paraId="129C3DEC" w14:textId="77777777" w:rsidR="00DC1500" w:rsidRPr="00943DFD" w:rsidRDefault="00C15B38" w:rsidP="00C15B3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DC1500" w:rsidRPr="00943DFD">
        <w:rPr>
          <w:rFonts w:ascii="Times New Roman" w:hAnsi="Times New Roman" w:cs="Times New Roman"/>
          <w:sz w:val="28"/>
          <w:szCs w:val="28"/>
        </w:rPr>
        <w:t>Визначення альтернативних способів</w:t>
      </w:r>
    </w:p>
    <w:p w14:paraId="0F00532A" w14:textId="77777777" w:rsidR="00DC1500" w:rsidRPr="00943DFD" w:rsidRDefault="00DC1500" w:rsidP="00DC6752">
      <w:pPr>
        <w:spacing w:after="0" w:line="240" w:lineRule="auto"/>
        <w:ind w:left="1068"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101840" w:rsidRPr="00943DFD" w14:paraId="1B6EE22E" w14:textId="77777777" w:rsidTr="00BD52D9">
        <w:trPr>
          <w:trHeight w:val="496"/>
          <w:jc w:val="center"/>
        </w:trPr>
        <w:tc>
          <w:tcPr>
            <w:tcW w:w="4786" w:type="dxa"/>
          </w:tcPr>
          <w:p w14:paraId="1A83303A" w14:textId="77777777"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784" w:type="dxa"/>
          </w:tcPr>
          <w:p w14:paraId="35DDDCDD" w14:textId="77777777"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Опис альтернативи</w:t>
            </w:r>
          </w:p>
        </w:tc>
      </w:tr>
      <w:tr w:rsidR="00101840" w:rsidRPr="00943DFD" w14:paraId="0B4F8D3C" w14:textId="77777777" w:rsidTr="00DC6752">
        <w:trPr>
          <w:trHeight w:val="1134"/>
          <w:jc w:val="center"/>
        </w:trPr>
        <w:tc>
          <w:tcPr>
            <w:tcW w:w="4786" w:type="dxa"/>
          </w:tcPr>
          <w:p w14:paraId="07E7B4AA"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5F0A88D7"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784" w:type="dxa"/>
          </w:tcPr>
          <w:p w14:paraId="32308AF4" w14:textId="10397BAB" w:rsidR="00DB6DB7" w:rsidRPr="00943DFD" w:rsidRDefault="00725D1D" w:rsidP="00611E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B005DA">
              <w:rPr>
                <w:rFonts w:ascii="Times New Roman" w:hAnsi="Times New Roman" w:cs="Times New Roman"/>
                <w:sz w:val="28"/>
                <w:szCs w:val="28"/>
              </w:rPr>
              <w:t>оложе</w:t>
            </w:r>
            <w:r>
              <w:rPr>
                <w:rFonts w:ascii="Times New Roman" w:hAnsi="Times New Roman" w:cs="Times New Roman"/>
                <w:sz w:val="28"/>
                <w:szCs w:val="28"/>
              </w:rPr>
              <w:t xml:space="preserve">ння нормативно-правових актів НКРЕКП на 2024 рік щодо </w:t>
            </w:r>
            <w:proofErr w:type="spellStart"/>
            <w:r w:rsidRPr="00652CDA">
              <w:rPr>
                <w:rFonts w:ascii="Times New Roman" w:eastAsia="SimSun" w:hAnsi="Times New Roman" w:cs="Times New Roman"/>
                <w:sz w:val="28"/>
                <w:szCs w:val="28"/>
                <w:lang w:bidi="ta-IN"/>
              </w:rPr>
              <w:t>тарифоутворення</w:t>
            </w:r>
            <w:proofErr w:type="spellEnd"/>
            <w:r w:rsidRPr="00652CDA">
              <w:rPr>
                <w:rFonts w:ascii="Times New Roman" w:eastAsia="SimSun" w:hAnsi="Times New Roman" w:cs="Times New Roman"/>
                <w:sz w:val="28"/>
                <w:szCs w:val="28"/>
                <w:lang w:bidi="ta-IN"/>
              </w:rPr>
              <w:t xml:space="preserve"> для операторів систем розподілу</w:t>
            </w:r>
            <w:r>
              <w:rPr>
                <w:rFonts w:ascii="Times New Roman" w:eastAsia="SimSun" w:hAnsi="Times New Roman" w:cs="Times New Roman"/>
                <w:sz w:val="28"/>
                <w:szCs w:val="28"/>
                <w:lang w:bidi="ta-IN"/>
              </w:rPr>
              <w:t xml:space="preserve"> </w:t>
            </w:r>
            <w:r>
              <w:rPr>
                <w:rFonts w:ascii="Times New Roman" w:hAnsi="Times New Roman" w:cs="Times New Roman"/>
                <w:sz w:val="28"/>
                <w:szCs w:val="28"/>
              </w:rPr>
              <w:t>н</w:t>
            </w:r>
            <w:r w:rsidR="008B074C" w:rsidRPr="00943DFD">
              <w:rPr>
                <w:rFonts w:ascii="Times New Roman" w:hAnsi="Times New Roman" w:cs="Times New Roman"/>
                <w:sz w:val="28"/>
                <w:szCs w:val="28"/>
              </w:rPr>
              <w:t xml:space="preserve">е </w:t>
            </w:r>
            <w:r w:rsidR="000B4E9E">
              <w:rPr>
                <w:rFonts w:ascii="Times New Roman" w:hAnsi="Times New Roman" w:cs="Times New Roman"/>
                <w:sz w:val="28"/>
                <w:szCs w:val="28"/>
              </w:rPr>
              <w:t>забезпечу</w:t>
            </w:r>
            <w:r>
              <w:rPr>
                <w:rFonts w:ascii="Times New Roman" w:hAnsi="Times New Roman" w:cs="Times New Roman"/>
                <w:sz w:val="28"/>
                <w:szCs w:val="28"/>
              </w:rPr>
              <w:t xml:space="preserve">ють </w:t>
            </w:r>
            <w:r w:rsidR="00EA39B3" w:rsidRPr="00FC7B8A">
              <w:rPr>
                <w:rFonts w:ascii="Times New Roman" w:hAnsi="Times New Roman" w:cs="Times New Roman"/>
                <w:sz w:val="28"/>
                <w:szCs w:val="28"/>
              </w:rPr>
              <w:t xml:space="preserve">врегулювання проблемних питань діяльності операторів систем розподілу в умовах воєнного </w:t>
            </w:r>
            <w:r w:rsidR="00AD1D3C">
              <w:rPr>
                <w:rFonts w:ascii="Times New Roman" w:hAnsi="Times New Roman" w:cs="Times New Roman"/>
                <w:sz w:val="28"/>
                <w:szCs w:val="28"/>
              </w:rPr>
              <w:t>стану</w:t>
            </w:r>
          </w:p>
        </w:tc>
      </w:tr>
      <w:tr w:rsidR="008F37C0" w:rsidRPr="00943DFD" w14:paraId="4BC9B3AE" w14:textId="77777777" w:rsidTr="00DC6752">
        <w:trPr>
          <w:trHeight w:val="317"/>
          <w:jc w:val="center"/>
        </w:trPr>
        <w:tc>
          <w:tcPr>
            <w:tcW w:w="4786" w:type="dxa"/>
          </w:tcPr>
          <w:p w14:paraId="05E9DB11" w14:textId="77777777"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7785CB5A" w14:textId="77777777"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Внесення змін до чинного регуляторного </w:t>
            </w:r>
            <w:proofErr w:type="spellStart"/>
            <w:r w:rsidRPr="00943DFD">
              <w:rPr>
                <w:rFonts w:ascii="Times New Roman" w:hAnsi="Times New Roman" w:cs="Times New Roman"/>
                <w:sz w:val="28"/>
                <w:szCs w:val="28"/>
              </w:rPr>
              <w:t>акта</w:t>
            </w:r>
            <w:proofErr w:type="spellEnd"/>
          </w:p>
        </w:tc>
        <w:tc>
          <w:tcPr>
            <w:tcW w:w="4784" w:type="dxa"/>
          </w:tcPr>
          <w:p w14:paraId="74F3E5F4" w14:textId="44C60905" w:rsidR="008F37C0" w:rsidRPr="001C5FB3" w:rsidRDefault="00211F26" w:rsidP="008F1C2A">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А</w:t>
            </w:r>
            <w:r w:rsidR="001C5FB3" w:rsidRPr="00BC477D">
              <w:rPr>
                <w:rFonts w:ascii="Times New Roman" w:hAnsi="Times New Roman" w:cs="Times New Roman"/>
                <w:bCs/>
                <w:sz w:val="28"/>
                <w:szCs w:val="28"/>
              </w:rPr>
              <w:t>ктуаліз</w:t>
            </w:r>
            <w:r>
              <w:rPr>
                <w:rFonts w:ascii="Times New Roman" w:hAnsi="Times New Roman" w:cs="Times New Roman"/>
                <w:bCs/>
                <w:sz w:val="28"/>
                <w:szCs w:val="28"/>
              </w:rPr>
              <w:t>ує</w:t>
            </w:r>
            <w:r w:rsidR="001C5FB3" w:rsidRPr="00BC477D">
              <w:rPr>
                <w:rFonts w:ascii="Times New Roman" w:hAnsi="Times New Roman" w:cs="Times New Roman"/>
                <w:bCs/>
                <w:sz w:val="28"/>
                <w:szCs w:val="28"/>
              </w:rPr>
              <w:t xml:space="preserve"> окрем</w:t>
            </w:r>
            <w:r>
              <w:rPr>
                <w:rFonts w:ascii="Times New Roman" w:hAnsi="Times New Roman" w:cs="Times New Roman"/>
                <w:bCs/>
                <w:sz w:val="28"/>
                <w:szCs w:val="28"/>
              </w:rPr>
              <w:t>і</w:t>
            </w:r>
            <w:r w:rsidR="001C5FB3" w:rsidRPr="00BC477D">
              <w:rPr>
                <w:rFonts w:ascii="Times New Roman" w:hAnsi="Times New Roman" w:cs="Times New Roman"/>
                <w:bCs/>
                <w:sz w:val="28"/>
                <w:szCs w:val="28"/>
              </w:rPr>
              <w:t xml:space="preserve"> положен</w:t>
            </w:r>
            <w:r>
              <w:rPr>
                <w:rFonts w:ascii="Times New Roman" w:hAnsi="Times New Roman" w:cs="Times New Roman"/>
                <w:bCs/>
                <w:sz w:val="28"/>
                <w:szCs w:val="28"/>
              </w:rPr>
              <w:t>ня</w:t>
            </w:r>
            <w:r w:rsidR="001C5FB3" w:rsidRPr="00BC477D">
              <w:rPr>
                <w:rFonts w:ascii="Times New Roman" w:hAnsi="Times New Roman" w:cs="Times New Roman"/>
                <w:bCs/>
                <w:sz w:val="28"/>
                <w:szCs w:val="28"/>
              </w:rPr>
              <w:t xml:space="preserve"> </w:t>
            </w:r>
            <w:r w:rsidR="00EC1C31" w:rsidRPr="00FC7B8A">
              <w:rPr>
                <w:rFonts w:ascii="Times New Roman" w:hAnsi="Times New Roman" w:cs="Times New Roman"/>
                <w:bCs/>
                <w:sz w:val="28"/>
                <w:szCs w:val="28"/>
              </w:rPr>
              <w:t xml:space="preserve">Постанови </w:t>
            </w:r>
            <w:r w:rsidR="00EC1C31">
              <w:rPr>
                <w:rFonts w:ascii="Times New Roman" w:hAnsi="Times New Roman" w:cs="Times New Roman"/>
                <w:bCs/>
                <w:sz w:val="28"/>
                <w:szCs w:val="28"/>
              </w:rPr>
              <w:t>№</w:t>
            </w:r>
            <w:r w:rsidR="00EC1C31" w:rsidRPr="00FC7B8A">
              <w:rPr>
                <w:rFonts w:ascii="Times New Roman" w:hAnsi="Times New Roman" w:cs="Times New Roman"/>
                <w:bCs/>
                <w:sz w:val="28"/>
                <w:szCs w:val="28"/>
              </w:rPr>
              <w:t> 1009</w:t>
            </w:r>
            <w:r w:rsidR="00EC1C31">
              <w:rPr>
                <w:rFonts w:ascii="Times New Roman" w:hAnsi="Times New Roman" w:cs="Times New Roman"/>
                <w:bCs/>
                <w:sz w:val="28"/>
                <w:szCs w:val="28"/>
              </w:rPr>
              <w:t xml:space="preserve">, </w:t>
            </w:r>
            <w:r w:rsidR="00EC1C31" w:rsidRPr="00FC7B8A">
              <w:rPr>
                <w:rFonts w:ascii="Times New Roman" w:hAnsi="Times New Roman" w:cs="Times New Roman"/>
                <w:bCs/>
                <w:sz w:val="28"/>
                <w:szCs w:val="28"/>
              </w:rPr>
              <w:t xml:space="preserve">Порядку </w:t>
            </w:r>
            <w:r w:rsidR="00EC1C31">
              <w:rPr>
                <w:rFonts w:ascii="Times New Roman" w:hAnsi="Times New Roman" w:cs="Times New Roman"/>
                <w:bCs/>
                <w:sz w:val="28"/>
                <w:szCs w:val="28"/>
              </w:rPr>
              <w:t>№</w:t>
            </w:r>
            <w:r w:rsidR="00EC1C31" w:rsidRPr="00FC7B8A">
              <w:rPr>
                <w:rFonts w:ascii="Times New Roman" w:hAnsi="Times New Roman" w:cs="Times New Roman"/>
                <w:bCs/>
                <w:sz w:val="28"/>
                <w:szCs w:val="28"/>
              </w:rPr>
              <w:t> 1175 та</w:t>
            </w:r>
            <w:r w:rsidR="00EC1C31">
              <w:rPr>
                <w:rFonts w:ascii="Times New Roman" w:hAnsi="Times New Roman" w:cs="Times New Roman"/>
                <w:bCs/>
                <w:sz w:val="28"/>
                <w:szCs w:val="28"/>
              </w:rPr>
              <w:t xml:space="preserve"> Положення №</w:t>
            </w:r>
            <w:r w:rsidR="00EC1C31" w:rsidRPr="00FC7B8A">
              <w:rPr>
                <w:rFonts w:ascii="Times New Roman" w:hAnsi="Times New Roman" w:cs="Times New Roman"/>
                <w:bCs/>
                <w:sz w:val="28"/>
                <w:szCs w:val="28"/>
              </w:rPr>
              <w:t> </w:t>
            </w:r>
            <w:r w:rsidR="00EC1C31">
              <w:rPr>
                <w:rFonts w:ascii="Times New Roman" w:hAnsi="Times New Roman" w:cs="Times New Roman"/>
                <w:bCs/>
                <w:sz w:val="28"/>
                <w:szCs w:val="28"/>
              </w:rPr>
              <w:t>981</w:t>
            </w:r>
            <w:r w:rsidR="00633CA7">
              <w:rPr>
                <w:rFonts w:ascii="Times New Roman" w:hAnsi="Times New Roman" w:cs="Times New Roman"/>
                <w:bCs/>
                <w:sz w:val="28"/>
                <w:szCs w:val="28"/>
              </w:rPr>
              <w:t xml:space="preserve"> </w:t>
            </w:r>
            <w:r w:rsidR="0035567D">
              <w:rPr>
                <w:rFonts w:ascii="Times New Roman" w:hAnsi="Times New Roman" w:cs="Times New Roman"/>
                <w:bCs/>
                <w:sz w:val="28"/>
                <w:szCs w:val="28"/>
              </w:rPr>
              <w:t xml:space="preserve">в частині </w:t>
            </w:r>
            <w:proofErr w:type="spellStart"/>
            <w:r w:rsidR="0035567D" w:rsidRPr="00652CDA">
              <w:rPr>
                <w:rFonts w:ascii="Times New Roman" w:eastAsia="SimSun" w:hAnsi="Times New Roman" w:cs="Times New Roman"/>
                <w:sz w:val="28"/>
                <w:szCs w:val="28"/>
                <w:lang w:bidi="ta-IN"/>
              </w:rPr>
              <w:t>тарифоутворення</w:t>
            </w:r>
            <w:proofErr w:type="spellEnd"/>
            <w:r w:rsidR="0035567D" w:rsidRPr="00652CDA">
              <w:rPr>
                <w:rFonts w:ascii="Times New Roman" w:eastAsia="SimSun" w:hAnsi="Times New Roman" w:cs="Times New Roman"/>
                <w:sz w:val="28"/>
                <w:szCs w:val="28"/>
                <w:lang w:bidi="ta-IN"/>
              </w:rPr>
              <w:t xml:space="preserve"> для операторів систем розподілу</w:t>
            </w:r>
            <w:r w:rsidR="0035567D">
              <w:rPr>
                <w:rFonts w:ascii="Times New Roman" w:eastAsia="SimSun" w:hAnsi="Times New Roman" w:cs="Times New Roman"/>
                <w:sz w:val="28"/>
                <w:szCs w:val="28"/>
                <w:lang w:bidi="ta-IN"/>
              </w:rPr>
              <w:t xml:space="preserve"> </w:t>
            </w:r>
            <w:r w:rsidR="0035567D" w:rsidRPr="00E40CC7">
              <w:rPr>
                <w:rFonts w:ascii="Times New Roman" w:eastAsia="SimSun" w:hAnsi="Times New Roman" w:cs="Times New Roman"/>
                <w:i/>
                <w:sz w:val="28"/>
                <w:szCs w:val="28"/>
                <w:lang w:bidi="ta-IN"/>
              </w:rPr>
              <w:t>(</w:t>
            </w:r>
            <w:r w:rsidR="0035567D"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35567D" w:rsidRPr="00E40CC7">
              <w:rPr>
                <w:rFonts w:ascii="Times New Roman" w:hAnsi="Times New Roman" w:cs="Times New Roman"/>
                <w:bCs/>
                <w:i/>
                <w:sz w:val="28"/>
                <w:szCs w:val="28"/>
              </w:rPr>
              <w:t xml:space="preserve"> та із застосуванням методології «витрати +»)</w:t>
            </w:r>
            <w:r w:rsidR="0035567D">
              <w:rPr>
                <w:rFonts w:ascii="Times New Roman" w:hAnsi="Times New Roman" w:cs="Times New Roman"/>
                <w:bCs/>
                <w:i/>
                <w:sz w:val="28"/>
                <w:szCs w:val="28"/>
              </w:rPr>
              <w:t xml:space="preserve"> </w:t>
            </w:r>
            <w:r w:rsidR="0035567D">
              <w:rPr>
                <w:rFonts w:ascii="Times New Roman" w:eastAsia="SimSun" w:hAnsi="Times New Roman" w:cs="Times New Roman"/>
                <w:sz w:val="28"/>
                <w:szCs w:val="28"/>
                <w:lang w:bidi="ta-IN"/>
              </w:rPr>
              <w:t>з метою</w:t>
            </w:r>
            <w:r w:rsidR="0035567D">
              <w:rPr>
                <w:rFonts w:ascii="Times New Roman" w:hAnsi="Times New Roman" w:cs="Times New Roman"/>
                <w:sz w:val="28"/>
                <w:szCs w:val="28"/>
              </w:rPr>
              <w:t xml:space="preserve"> </w:t>
            </w:r>
            <w:r w:rsidR="0035567D" w:rsidRPr="00FC7B8A">
              <w:rPr>
                <w:rFonts w:ascii="Times New Roman" w:hAnsi="Times New Roman" w:cs="Times New Roman"/>
                <w:sz w:val="28"/>
                <w:szCs w:val="28"/>
              </w:rPr>
              <w:t xml:space="preserve">врегулювання проблемних питань </w:t>
            </w:r>
            <w:r w:rsidR="0035567D">
              <w:rPr>
                <w:rFonts w:ascii="Times New Roman" w:hAnsi="Times New Roman" w:cs="Times New Roman"/>
                <w:sz w:val="28"/>
                <w:szCs w:val="28"/>
              </w:rPr>
              <w:t xml:space="preserve">їх </w:t>
            </w:r>
            <w:r w:rsidR="0035567D" w:rsidRPr="00FC7B8A">
              <w:rPr>
                <w:rFonts w:ascii="Times New Roman" w:hAnsi="Times New Roman" w:cs="Times New Roman"/>
                <w:sz w:val="28"/>
                <w:szCs w:val="28"/>
              </w:rPr>
              <w:t>діяльності</w:t>
            </w:r>
            <w:r w:rsidR="0035567D">
              <w:rPr>
                <w:rFonts w:ascii="Times New Roman" w:hAnsi="Times New Roman" w:cs="Times New Roman"/>
                <w:sz w:val="28"/>
                <w:szCs w:val="28"/>
              </w:rPr>
              <w:t xml:space="preserve"> </w:t>
            </w:r>
            <w:r w:rsidR="0035567D" w:rsidRPr="00FC7B8A">
              <w:rPr>
                <w:rFonts w:ascii="Times New Roman" w:hAnsi="Times New Roman" w:cs="Times New Roman"/>
                <w:sz w:val="28"/>
                <w:szCs w:val="28"/>
              </w:rPr>
              <w:t xml:space="preserve">в умовах воєнного </w:t>
            </w:r>
            <w:r w:rsidR="00AD1D3C">
              <w:rPr>
                <w:rFonts w:ascii="Times New Roman" w:hAnsi="Times New Roman" w:cs="Times New Roman"/>
                <w:sz w:val="28"/>
                <w:szCs w:val="28"/>
              </w:rPr>
              <w:t>стану</w:t>
            </w:r>
            <w:r w:rsidR="0035567D">
              <w:rPr>
                <w:rFonts w:ascii="Times New Roman" w:hAnsi="Times New Roman" w:cs="Times New Roman"/>
                <w:sz w:val="28"/>
                <w:szCs w:val="28"/>
              </w:rPr>
              <w:t>.</w:t>
            </w:r>
          </w:p>
        </w:tc>
      </w:tr>
    </w:tbl>
    <w:p w14:paraId="13FF05BC" w14:textId="77777777" w:rsidR="000E0120" w:rsidRDefault="000E0120" w:rsidP="00DC6752">
      <w:pPr>
        <w:spacing w:after="0" w:line="240" w:lineRule="auto"/>
        <w:ind w:firstLine="567"/>
        <w:jc w:val="both"/>
        <w:rPr>
          <w:rFonts w:ascii="Times New Roman" w:hAnsi="Times New Roman" w:cs="Times New Roman"/>
          <w:sz w:val="28"/>
          <w:szCs w:val="28"/>
        </w:rPr>
      </w:pPr>
    </w:p>
    <w:p w14:paraId="398BC9E0"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Оцінка вибраних альтернативних способів досягнення цілей</w:t>
      </w:r>
    </w:p>
    <w:p w14:paraId="42CC6247" w14:textId="77777777" w:rsidR="00DC1500" w:rsidRPr="00943DFD" w:rsidRDefault="00DC1500" w:rsidP="00DC6752">
      <w:pPr>
        <w:pStyle w:val="aa"/>
        <w:spacing w:after="0" w:line="240" w:lineRule="auto"/>
        <w:ind w:firstLine="567"/>
        <w:jc w:val="both"/>
        <w:rPr>
          <w:rFonts w:ascii="Times New Roman" w:hAnsi="Times New Roman" w:cs="Times New Roman"/>
          <w:sz w:val="28"/>
          <w:szCs w:val="28"/>
        </w:rPr>
      </w:pPr>
    </w:p>
    <w:p w14:paraId="35E317B5" w14:textId="77777777"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держави:</w:t>
      </w:r>
    </w:p>
    <w:p w14:paraId="64115364" w14:textId="77777777" w:rsidR="00DC6752" w:rsidRPr="00943DFD" w:rsidRDefault="00DC6752" w:rsidP="00DC6752">
      <w:pPr>
        <w:pStyle w:val="aa"/>
        <w:spacing w:after="0" w:line="240" w:lineRule="auto"/>
        <w:ind w:left="1647"/>
        <w:jc w:val="both"/>
        <w:rPr>
          <w:rFonts w:ascii="Times New Roman" w:hAnsi="Times New Roman" w:cs="Times New Roman"/>
          <w:sz w:val="28"/>
          <w:szCs w:val="28"/>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779"/>
        <w:gridCol w:w="3686"/>
        <w:gridCol w:w="1276"/>
      </w:tblGrid>
      <w:tr w:rsidR="00101840" w:rsidRPr="00943DFD" w14:paraId="007610E4" w14:textId="77777777" w:rsidTr="00DC6752">
        <w:trPr>
          <w:trHeight w:val="28"/>
          <w:jc w:val="center"/>
        </w:trPr>
        <w:tc>
          <w:tcPr>
            <w:tcW w:w="4779" w:type="dxa"/>
          </w:tcPr>
          <w:p w14:paraId="07B91EF7"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3686" w:type="dxa"/>
          </w:tcPr>
          <w:p w14:paraId="63E591F7"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276" w:type="dxa"/>
          </w:tcPr>
          <w:p w14:paraId="791D9F52"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72503BED" w14:textId="77777777" w:rsidTr="00DC6752">
        <w:trPr>
          <w:trHeight w:val="169"/>
          <w:jc w:val="center"/>
        </w:trPr>
        <w:tc>
          <w:tcPr>
            <w:tcW w:w="4779" w:type="dxa"/>
          </w:tcPr>
          <w:p w14:paraId="4C72B74B"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67EEA87D"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3686" w:type="dxa"/>
          </w:tcPr>
          <w:p w14:paraId="49C2AC76"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276" w:type="dxa"/>
          </w:tcPr>
          <w:p w14:paraId="4C5EF7AB"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14:paraId="5E28433F" w14:textId="77777777" w:rsidTr="00DC6752">
        <w:trPr>
          <w:jc w:val="center"/>
        </w:trPr>
        <w:tc>
          <w:tcPr>
            <w:tcW w:w="4779" w:type="dxa"/>
          </w:tcPr>
          <w:p w14:paraId="0B17E704"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2F0637EE" w14:textId="77777777" w:rsidR="00DC1500" w:rsidRPr="00943DFD" w:rsidRDefault="00092636"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Внесення змін до чинного регуляторного </w:t>
            </w:r>
            <w:proofErr w:type="spellStart"/>
            <w:r w:rsidRPr="00943DFD">
              <w:rPr>
                <w:rFonts w:ascii="Times New Roman" w:hAnsi="Times New Roman" w:cs="Times New Roman"/>
                <w:sz w:val="28"/>
                <w:szCs w:val="28"/>
              </w:rPr>
              <w:t>акта</w:t>
            </w:r>
            <w:proofErr w:type="spellEnd"/>
          </w:p>
        </w:tc>
        <w:tc>
          <w:tcPr>
            <w:tcW w:w="3686" w:type="dxa"/>
          </w:tcPr>
          <w:p w14:paraId="1C9C7723" w14:textId="619AC5EC" w:rsidR="0077202A" w:rsidRPr="00943DFD" w:rsidRDefault="00616112" w:rsidP="008F1C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Удосконалює </w:t>
            </w:r>
            <w:r w:rsidRPr="00B005DA">
              <w:rPr>
                <w:rFonts w:ascii="Times New Roman" w:hAnsi="Times New Roman" w:cs="Times New Roman"/>
                <w:sz w:val="28"/>
                <w:szCs w:val="28"/>
              </w:rPr>
              <w:t>деяк</w:t>
            </w:r>
            <w:r>
              <w:rPr>
                <w:rFonts w:ascii="Times New Roman" w:hAnsi="Times New Roman" w:cs="Times New Roman"/>
                <w:sz w:val="28"/>
                <w:szCs w:val="28"/>
              </w:rPr>
              <w:t>і</w:t>
            </w:r>
            <w:r w:rsidRPr="00B005DA">
              <w:rPr>
                <w:rFonts w:ascii="Times New Roman" w:hAnsi="Times New Roman" w:cs="Times New Roman"/>
                <w:sz w:val="28"/>
                <w:szCs w:val="28"/>
              </w:rPr>
              <w:t xml:space="preserve"> положен</w:t>
            </w:r>
            <w:r>
              <w:rPr>
                <w:rFonts w:ascii="Times New Roman" w:hAnsi="Times New Roman" w:cs="Times New Roman"/>
                <w:sz w:val="28"/>
                <w:szCs w:val="28"/>
              </w:rPr>
              <w:t>ня</w:t>
            </w:r>
            <w:r w:rsidRPr="00B005DA">
              <w:rPr>
                <w:rFonts w:ascii="Times New Roman" w:hAnsi="Times New Roman" w:cs="Times New Roman"/>
                <w:sz w:val="28"/>
                <w:szCs w:val="28"/>
              </w:rPr>
              <w:t xml:space="preserve"> </w:t>
            </w:r>
            <w:r w:rsidR="009C561D">
              <w:rPr>
                <w:rFonts w:ascii="Times New Roman" w:hAnsi="Times New Roman" w:cs="Times New Roman"/>
                <w:sz w:val="28"/>
                <w:szCs w:val="28"/>
              </w:rPr>
              <w:t>нормативно-правових актів НКРЕКП</w:t>
            </w:r>
            <w:r w:rsidR="00BD52D9">
              <w:rPr>
                <w:rFonts w:ascii="Times New Roman" w:hAnsi="Times New Roman" w:cs="Times New Roman"/>
                <w:sz w:val="28"/>
                <w:szCs w:val="28"/>
              </w:rPr>
              <w:t xml:space="preserve"> </w:t>
            </w:r>
            <w:r w:rsidR="0007401F">
              <w:rPr>
                <w:rFonts w:ascii="Times New Roman" w:hAnsi="Times New Roman" w:cs="Times New Roman"/>
                <w:bCs/>
                <w:sz w:val="28"/>
                <w:szCs w:val="28"/>
              </w:rPr>
              <w:t xml:space="preserve">в частині </w:t>
            </w:r>
            <w:proofErr w:type="spellStart"/>
            <w:r w:rsidR="0007401F" w:rsidRPr="00652CDA">
              <w:rPr>
                <w:rFonts w:ascii="Times New Roman" w:eastAsia="SimSun" w:hAnsi="Times New Roman" w:cs="Times New Roman"/>
                <w:sz w:val="28"/>
                <w:szCs w:val="28"/>
                <w:lang w:bidi="ta-IN"/>
              </w:rPr>
              <w:t>тарифоутворення</w:t>
            </w:r>
            <w:proofErr w:type="spellEnd"/>
            <w:r w:rsidR="0007401F" w:rsidRPr="00652CDA">
              <w:rPr>
                <w:rFonts w:ascii="Times New Roman" w:eastAsia="SimSun" w:hAnsi="Times New Roman" w:cs="Times New Roman"/>
                <w:sz w:val="28"/>
                <w:szCs w:val="28"/>
                <w:lang w:bidi="ta-IN"/>
              </w:rPr>
              <w:t xml:space="preserve"> для операторів систем розподілу</w:t>
            </w:r>
            <w:r w:rsidR="0007401F">
              <w:rPr>
                <w:rFonts w:ascii="Times New Roman" w:eastAsia="SimSun" w:hAnsi="Times New Roman" w:cs="Times New Roman"/>
                <w:sz w:val="28"/>
                <w:szCs w:val="28"/>
                <w:lang w:bidi="ta-IN"/>
              </w:rPr>
              <w:t xml:space="preserve"> </w:t>
            </w:r>
            <w:r w:rsidR="0007401F" w:rsidRPr="00E40CC7">
              <w:rPr>
                <w:rFonts w:ascii="Times New Roman" w:eastAsia="SimSun" w:hAnsi="Times New Roman" w:cs="Times New Roman"/>
                <w:i/>
                <w:sz w:val="28"/>
                <w:szCs w:val="28"/>
                <w:lang w:bidi="ta-IN"/>
              </w:rPr>
              <w:t>(</w:t>
            </w:r>
            <w:r w:rsidR="0007401F"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07401F" w:rsidRPr="00E40CC7">
              <w:rPr>
                <w:rFonts w:ascii="Times New Roman" w:hAnsi="Times New Roman" w:cs="Times New Roman"/>
                <w:bCs/>
                <w:i/>
                <w:sz w:val="28"/>
                <w:szCs w:val="28"/>
              </w:rPr>
              <w:t xml:space="preserve"> та із застосуванням методології «витрати +»)</w:t>
            </w:r>
            <w:r w:rsidR="0007401F">
              <w:rPr>
                <w:rFonts w:ascii="Times New Roman" w:hAnsi="Times New Roman" w:cs="Times New Roman"/>
                <w:bCs/>
                <w:i/>
                <w:sz w:val="28"/>
                <w:szCs w:val="28"/>
              </w:rPr>
              <w:t xml:space="preserve"> </w:t>
            </w:r>
            <w:r w:rsidR="0007401F">
              <w:rPr>
                <w:rFonts w:ascii="Times New Roman" w:eastAsia="SimSun" w:hAnsi="Times New Roman" w:cs="Times New Roman"/>
                <w:sz w:val="28"/>
                <w:szCs w:val="28"/>
                <w:lang w:bidi="ta-IN"/>
              </w:rPr>
              <w:t>з метою</w:t>
            </w:r>
            <w:r w:rsidR="0007401F">
              <w:rPr>
                <w:rFonts w:ascii="Times New Roman" w:hAnsi="Times New Roman" w:cs="Times New Roman"/>
                <w:sz w:val="28"/>
                <w:szCs w:val="28"/>
              </w:rPr>
              <w:t xml:space="preserve"> </w:t>
            </w:r>
            <w:r w:rsidR="0007401F" w:rsidRPr="00FC7B8A">
              <w:rPr>
                <w:rFonts w:ascii="Times New Roman" w:hAnsi="Times New Roman" w:cs="Times New Roman"/>
                <w:sz w:val="28"/>
                <w:szCs w:val="28"/>
              </w:rPr>
              <w:t xml:space="preserve">врегулювання проблемних питань </w:t>
            </w:r>
            <w:r w:rsidR="0007401F">
              <w:rPr>
                <w:rFonts w:ascii="Times New Roman" w:hAnsi="Times New Roman" w:cs="Times New Roman"/>
                <w:sz w:val="28"/>
                <w:szCs w:val="28"/>
              </w:rPr>
              <w:t xml:space="preserve">їхньої </w:t>
            </w:r>
            <w:r w:rsidR="0007401F" w:rsidRPr="00FC7B8A">
              <w:rPr>
                <w:rFonts w:ascii="Times New Roman" w:hAnsi="Times New Roman" w:cs="Times New Roman"/>
                <w:sz w:val="28"/>
                <w:szCs w:val="28"/>
              </w:rPr>
              <w:t>діяльності</w:t>
            </w:r>
            <w:r w:rsidR="0007401F">
              <w:rPr>
                <w:rFonts w:ascii="Times New Roman" w:hAnsi="Times New Roman" w:cs="Times New Roman"/>
                <w:sz w:val="28"/>
                <w:szCs w:val="28"/>
              </w:rPr>
              <w:t xml:space="preserve"> </w:t>
            </w:r>
            <w:r w:rsidR="0007401F" w:rsidRPr="00FC7B8A">
              <w:rPr>
                <w:rFonts w:ascii="Times New Roman" w:hAnsi="Times New Roman" w:cs="Times New Roman"/>
                <w:sz w:val="28"/>
                <w:szCs w:val="28"/>
              </w:rPr>
              <w:t xml:space="preserve">в умовах воєнного </w:t>
            </w:r>
            <w:r w:rsidR="00AD1D3C">
              <w:rPr>
                <w:rFonts w:ascii="Times New Roman" w:hAnsi="Times New Roman" w:cs="Times New Roman"/>
                <w:sz w:val="28"/>
                <w:szCs w:val="28"/>
              </w:rPr>
              <w:t>стану</w:t>
            </w:r>
            <w:r w:rsidR="0007401F">
              <w:rPr>
                <w:rFonts w:ascii="Times New Roman" w:hAnsi="Times New Roman" w:cs="Times New Roman"/>
                <w:sz w:val="28"/>
                <w:szCs w:val="28"/>
              </w:rPr>
              <w:t>.</w:t>
            </w:r>
          </w:p>
        </w:tc>
        <w:tc>
          <w:tcPr>
            <w:tcW w:w="1276" w:type="dxa"/>
          </w:tcPr>
          <w:p w14:paraId="39932CBE"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14:paraId="49A8BA01" w14:textId="77777777" w:rsidR="00476B9E" w:rsidRPr="00943DFD" w:rsidRDefault="00476B9E" w:rsidP="00DC6752">
      <w:pPr>
        <w:spacing w:after="0" w:line="240" w:lineRule="auto"/>
        <w:ind w:firstLine="567"/>
        <w:jc w:val="both"/>
        <w:rPr>
          <w:rFonts w:ascii="Times New Roman" w:hAnsi="Times New Roman" w:cs="Times New Roman"/>
          <w:sz w:val="28"/>
          <w:szCs w:val="28"/>
        </w:rPr>
      </w:pPr>
    </w:p>
    <w:p w14:paraId="68F48457" w14:textId="77777777"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громадян:</w:t>
      </w:r>
    </w:p>
    <w:p w14:paraId="0785DE7E" w14:textId="77777777" w:rsidR="00DC6752" w:rsidRPr="00DC6752" w:rsidRDefault="00DC6752" w:rsidP="00DC6752">
      <w:pPr>
        <w:spacing w:after="0" w:line="240" w:lineRule="auto"/>
        <w:ind w:left="720"/>
        <w:jc w:val="both"/>
        <w:rPr>
          <w:rFonts w:ascii="Times New Roman" w:hAnsi="Times New Roman" w:cs="Times New Roman"/>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2580"/>
        <w:gridCol w:w="1531"/>
      </w:tblGrid>
      <w:tr w:rsidR="00101840" w:rsidRPr="00943DFD" w14:paraId="64972574" w14:textId="77777777" w:rsidTr="00DC6752">
        <w:trPr>
          <w:jc w:val="center"/>
        </w:trPr>
        <w:tc>
          <w:tcPr>
            <w:tcW w:w="5743" w:type="dxa"/>
          </w:tcPr>
          <w:p w14:paraId="35B535EE" w14:textId="77777777" w:rsidR="00DC1500" w:rsidRPr="00943DFD" w:rsidRDefault="00DC1500" w:rsidP="00A045B4">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2580" w:type="dxa"/>
          </w:tcPr>
          <w:p w14:paraId="03E2C11C"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531" w:type="dxa"/>
          </w:tcPr>
          <w:p w14:paraId="2D16F3E3" w14:textId="77777777"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367F4C08" w14:textId="77777777" w:rsidTr="00DC6752">
        <w:trPr>
          <w:jc w:val="center"/>
        </w:trPr>
        <w:tc>
          <w:tcPr>
            <w:tcW w:w="5743" w:type="dxa"/>
          </w:tcPr>
          <w:p w14:paraId="1584B2C1"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1ECA40E6"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580" w:type="dxa"/>
          </w:tcPr>
          <w:p w14:paraId="50288687"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531" w:type="dxa"/>
          </w:tcPr>
          <w:p w14:paraId="3DBDD41E"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14:paraId="4DC433B6" w14:textId="77777777" w:rsidTr="00DC6752">
        <w:trPr>
          <w:jc w:val="center"/>
        </w:trPr>
        <w:tc>
          <w:tcPr>
            <w:tcW w:w="5743" w:type="dxa"/>
          </w:tcPr>
          <w:p w14:paraId="4C948D2C"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79F8A8A6" w14:textId="77777777" w:rsidR="00DC1500"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регуляторн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w:t>
            </w:r>
            <w:proofErr w:type="spellStart"/>
            <w:r w:rsidRPr="00943DFD">
              <w:rPr>
                <w:rFonts w:ascii="Times New Roman" w:hAnsi="Times New Roman" w:cs="Times New Roman"/>
                <w:sz w:val="28"/>
                <w:szCs w:val="28"/>
              </w:rPr>
              <w:t>акт</w:t>
            </w:r>
            <w:r w:rsidR="00092636" w:rsidRPr="00943DFD">
              <w:rPr>
                <w:rFonts w:ascii="Times New Roman" w:hAnsi="Times New Roman" w:cs="Times New Roman"/>
                <w:sz w:val="28"/>
                <w:szCs w:val="28"/>
              </w:rPr>
              <w:t>а</w:t>
            </w:r>
            <w:proofErr w:type="spellEnd"/>
          </w:p>
        </w:tc>
        <w:tc>
          <w:tcPr>
            <w:tcW w:w="2580" w:type="dxa"/>
          </w:tcPr>
          <w:p w14:paraId="536AD613" w14:textId="77777777" w:rsidR="00DC1500" w:rsidRPr="00943DFD" w:rsidRDefault="008223F7" w:rsidP="00A045B4">
            <w:pPr>
              <w:pStyle w:val="ab"/>
              <w:widowControl w:val="0"/>
              <w:jc w:val="center"/>
              <w:rPr>
                <w:rFonts w:ascii="Times New Roman" w:hAnsi="Times New Roman"/>
                <w:b w:val="0"/>
                <w:color w:val="auto"/>
                <w:sz w:val="28"/>
                <w:szCs w:val="28"/>
                <w:lang w:val="uk-UA"/>
              </w:rPr>
            </w:pPr>
            <w:r>
              <w:rPr>
                <w:rFonts w:ascii="Times New Roman" w:hAnsi="Times New Roman"/>
                <w:b w:val="0"/>
                <w:color w:val="auto"/>
                <w:sz w:val="28"/>
                <w:szCs w:val="28"/>
                <w:lang w:val="uk-UA"/>
              </w:rPr>
              <w:t>Відсутні</w:t>
            </w:r>
          </w:p>
        </w:tc>
        <w:tc>
          <w:tcPr>
            <w:tcW w:w="1531" w:type="dxa"/>
          </w:tcPr>
          <w:p w14:paraId="44A374CA" w14:textId="77777777"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14:paraId="7B00AE25" w14:textId="77777777" w:rsidR="00014069" w:rsidRDefault="00C15B38"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14:paraId="6425CA42"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3) оцінка впливу на сферу інтересів суб’єктів господарювання:</w:t>
      </w:r>
    </w:p>
    <w:p w14:paraId="18CD39E5" w14:textId="77777777" w:rsidR="00B26044" w:rsidRPr="00943DFD" w:rsidRDefault="00B26044" w:rsidP="00DC6752">
      <w:pPr>
        <w:spacing w:after="0" w:line="240" w:lineRule="auto"/>
        <w:ind w:firstLine="567"/>
        <w:jc w:val="both"/>
        <w:rPr>
          <w:rFonts w:ascii="Times New Roman" w:hAnsi="Times New Roman" w:cs="Times New Roman"/>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894"/>
        <w:gridCol w:w="4327"/>
        <w:gridCol w:w="1661"/>
      </w:tblGrid>
      <w:tr w:rsidR="00101840" w:rsidRPr="00943DFD" w14:paraId="64DD23BC" w14:textId="77777777" w:rsidTr="00DC5497">
        <w:trPr>
          <w:trHeight w:val="28"/>
          <w:jc w:val="center"/>
        </w:trPr>
        <w:tc>
          <w:tcPr>
            <w:tcW w:w="3894" w:type="dxa"/>
          </w:tcPr>
          <w:p w14:paraId="1432B998"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327" w:type="dxa"/>
          </w:tcPr>
          <w:p w14:paraId="7906C6EB"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661" w:type="dxa"/>
          </w:tcPr>
          <w:p w14:paraId="140A293F"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14:paraId="17AFEB2C" w14:textId="77777777" w:rsidTr="00DC5497">
        <w:trPr>
          <w:jc w:val="center"/>
        </w:trPr>
        <w:tc>
          <w:tcPr>
            <w:tcW w:w="3894" w:type="dxa"/>
          </w:tcPr>
          <w:p w14:paraId="12B0D8F0"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257F2969"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327" w:type="dxa"/>
          </w:tcPr>
          <w:p w14:paraId="1A6459CB" w14:textId="77777777"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eastAsia="en-US"/>
              </w:rPr>
            </w:pPr>
            <w:r w:rsidRPr="00943DFD">
              <w:rPr>
                <w:rFonts w:ascii="Times New Roman" w:hAnsi="Times New Roman" w:cs="Times New Roman"/>
                <w:sz w:val="28"/>
                <w:szCs w:val="28"/>
                <w:lang w:val="uk-UA" w:eastAsia="en-US"/>
              </w:rPr>
              <w:t>Додаткових витрат немає</w:t>
            </w:r>
          </w:p>
        </w:tc>
        <w:tc>
          <w:tcPr>
            <w:tcW w:w="1661" w:type="dxa"/>
          </w:tcPr>
          <w:p w14:paraId="16D58083" w14:textId="77777777"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rPr>
            </w:pPr>
            <w:r w:rsidRPr="00943DFD">
              <w:rPr>
                <w:rFonts w:ascii="Times New Roman" w:hAnsi="Times New Roman" w:cs="Times New Roman"/>
                <w:sz w:val="28"/>
                <w:szCs w:val="28"/>
                <w:lang w:val="uk-UA"/>
              </w:rPr>
              <w:t>Відсутні</w:t>
            </w:r>
          </w:p>
        </w:tc>
      </w:tr>
      <w:tr w:rsidR="00101840" w:rsidRPr="00943DFD" w14:paraId="6BDB1478" w14:textId="77777777" w:rsidTr="00DC5497">
        <w:trPr>
          <w:jc w:val="center"/>
        </w:trPr>
        <w:tc>
          <w:tcPr>
            <w:tcW w:w="3894" w:type="dxa"/>
          </w:tcPr>
          <w:p w14:paraId="52DDB8B2" w14:textId="77777777" w:rsidR="006777CE" w:rsidRPr="00943DFD" w:rsidRDefault="006777CE"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14:paraId="1F0369F8" w14:textId="77777777" w:rsidR="006777CE"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4327" w:type="dxa"/>
          </w:tcPr>
          <w:p w14:paraId="610518BF" w14:textId="09A7D8C3" w:rsidR="006777CE" w:rsidRPr="00054881" w:rsidRDefault="00607D72" w:rsidP="008F1C2A">
            <w:pPr>
              <w:pStyle w:val="ad"/>
              <w:spacing w:before="0" w:beforeAutospacing="0" w:after="0" w:afterAutospacing="0"/>
              <w:jc w:val="both"/>
              <w:textAlignment w:val="baseline"/>
              <w:rPr>
                <w:rFonts w:ascii="Times New Roman" w:hAnsi="Times New Roman" w:cs="Times New Roman"/>
                <w:sz w:val="28"/>
                <w:szCs w:val="28"/>
                <w:lang w:val="uk-UA"/>
              </w:rPr>
            </w:pPr>
            <w:r w:rsidRPr="00054881">
              <w:rPr>
                <w:rFonts w:ascii="Times New Roman" w:hAnsi="Times New Roman" w:cs="Times New Roman"/>
                <w:sz w:val="28"/>
                <w:szCs w:val="28"/>
                <w:lang w:val="uk-UA"/>
              </w:rPr>
              <w:t>Дозволяє удосконалити</w:t>
            </w:r>
            <w:r w:rsidR="00054881" w:rsidRPr="00054881">
              <w:rPr>
                <w:rFonts w:ascii="Times New Roman" w:hAnsi="Times New Roman" w:cs="Times New Roman"/>
                <w:sz w:val="28"/>
                <w:szCs w:val="28"/>
                <w:lang w:val="uk-UA"/>
              </w:rPr>
              <w:t xml:space="preserve"> деякі положення </w:t>
            </w:r>
            <w:r w:rsidR="009C561D" w:rsidRPr="00BD52D9">
              <w:rPr>
                <w:rFonts w:ascii="Times New Roman" w:hAnsi="Times New Roman" w:cs="Times New Roman"/>
                <w:sz w:val="28"/>
                <w:szCs w:val="28"/>
                <w:lang w:val="uk-UA"/>
              </w:rPr>
              <w:t xml:space="preserve">нормативно-правових актів НКРЕКП </w:t>
            </w:r>
            <w:r w:rsidR="0007401F" w:rsidRPr="0007401F">
              <w:rPr>
                <w:rFonts w:ascii="Times New Roman" w:hAnsi="Times New Roman" w:cs="Times New Roman"/>
                <w:bCs/>
                <w:sz w:val="28"/>
                <w:szCs w:val="28"/>
                <w:lang w:val="uk-UA"/>
              </w:rPr>
              <w:t xml:space="preserve">в частині </w:t>
            </w:r>
            <w:proofErr w:type="spellStart"/>
            <w:r w:rsidR="0007401F" w:rsidRPr="0007401F">
              <w:rPr>
                <w:rFonts w:ascii="Times New Roman" w:eastAsia="SimSun" w:hAnsi="Times New Roman" w:cs="Times New Roman"/>
                <w:sz w:val="28"/>
                <w:szCs w:val="28"/>
                <w:lang w:val="uk-UA" w:bidi="ta-IN"/>
              </w:rPr>
              <w:t>тарифоутворення</w:t>
            </w:r>
            <w:proofErr w:type="spellEnd"/>
            <w:r w:rsidR="0007401F" w:rsidRPr="0007401F">
              <w:rPr>
                <w:rFonts w:ascii="Times New Roman" w:eastAsia="SimSun" w:hAnsi="Times New Roman" w:cs="Times New Roman"/>
                <w:sz w:val="28"/>
                <w:szCs w:val="28"/>
                <w:lang w:val="uk-UA" w:bidi="ta-IN"/>
              </w:rPr>
              <w:t xml:space="preserve"> для операторів систем розподілу </w:t>
            </w:r>
            <w:r w:rsidR="0007401F" w:rsidRPr="0007401F">
              <w:rPr>
                <w:rFonts w:ascii="Times New Roman" w:eastAsia="SimSun" w:hAnsi="Times New Roman" w:cs="Times New Roman"/>
                <w:i/>
                <w:sz w:val="28"/>
                <w:szCs w:val="28"/>
                <w:lang w:val="uk-UA" w:bidi="ta-IN"/>
              </w:rPr>
              <w:t>(</w:t>
            </w:r>
            <w:r w:rsidR="0007401F" w:rsidRPr="0007401F">
              <w:rPr>
                <w:rFonts w:ascii="Times New Roman" w:hAnsi="Times New Roman" w:cs="Times New Roman"/>
                <w:i/>
                <w:sz w:val="28"/>
                <w:szCs w:val="28"/>
                <w:lang w:val="uk-UA"/>
              </w:rPr>
              <w:t>яким встановлено тарифи на послуги з розподілу електричної енергії із застосуванням стимулюючого регулювання</w:t>
            </w:r>
            <w:r w:rsidR="0007401F" w:rsidRPr="0007401F">
              <w:rPr>
                <w:rFonts w:ascii="Times New Roman" w:hAnsi="Times New Roman" w:cs="Times New Roman"/>
                <w:bCs/>
                <w:i/>
                <w:sz w:val="28"/>
                <w:szCs w:val="28"/>
                <w:lang w:val="uk-UA"/>
              </w:rPr>
              <w:t xml:space="preserve"> та із застосуванням методології «витрати +») </w:t>
            </w:r>
            <w:r w:rsidR="0007401F" w:rsidRPr="0007401F">
              <w:rPr>
                <w:rFonts w:ascii="Times New Roman" w:eastAsia="SimSun" w:hAnsi="Times New Roman" w:cs="Times New Roman"/>
                <w:sz w:val="28"/>
                <w:szCs w:val="28"/>
                <w:lang w:val="uk-UA" w:bidi="ta-IN"/>
              </w:rPr>
              <w:t>з метою</w:t>
            </w:r>
            <w:r w:rsidR="0007401F" w:rsidRPr="0007401F">
              <w:rPr>
                <w:rFonts w:ascii="Times New Roman" w:hAnsi="Times New Roman" w:cs="Times New Roman"/>
                <w:sz w:val="28"/>
                <w:szCs w:val="28"/>
                <w:lang w:val="uk-UA"/>
              </w:rPr>
              <w:t xml:space="preserve"> врегулювання проблемних питань їхньої діяльності в умовах воєнного </w:t>
            </w:r>
            <w:r w:rsidR="00AD1D3C">
              <w:rPr>
                <w:rFonts w:ascii="Times New Roman" w:hAnsi="Times New Roman" w:cs="Times New Roman"/>
                <w:sz w:val="28"/>
                <w:szCs w:val="28"/>
                <w:lang w:val="uk-UA"/>
              </w:rPr>
              <w:t>стану</w:t>
            </w:r>
            <w:r w:rsidR="0007401F" w:rsidRPr="0007401F">
              <w:rPr>
                <w:rFonts w:ascii="Times New Roman" w:hAnsi="Times New Roman" w:cs="Times New Roman"/>
                <w:sz w:val="28"/>
                <w:szCs w:val="28"/>
                <w:lang w:val="uk-UA"/>
              </w:rPr>
              <w:t>.</w:t>
            </w:r>
          </w:p>
        </w:tc>
        <w:tc>
          <w:tcPr>
            <w:tcW w:w="1661" w:type="dxa"/>
          </w:tcPr>
          <w:p w14:paraId="1B93466F" w14:textId="59BBE7AC" w:rsidR="0007401F" w:rsidRPr="005B4C3F" w:rsidRDefault="0007401F" w:rsidP="0007401F">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Pr="0007401F">
              <w:rPr>
                <w:rFonts w:ascii="Times New Roman" w:hAnsi="Times New Roman" w:cs="Times New Roman"/>
                <w:sz w:val="28"/>
                <w:szCs w:val="28"/>
              </w:rPr>
              <w:t xml:space="preserve">в умовах воєнного </w:t>
            </w:r>
            <w:r w:rsidR="00AD1D3C">
              <w:rPr>
                <w:rFonts w:ascii="Times New Roman" w:hAnsi="Times New Roman" w:cs="Times New Roman"/>
                <w:sz w:val="28"/>
                <w:szCs w:val="28"/>
              </w:rPr>
              <w:t xml:space="preserve">стану </w:t>
            </w:r>
            <w:proofErr w:type="spellStart"/>
            <w:r w:rsidRPr="005B4C3F">
              <w:rPr>
                <w:rFonts w:ascii="Times New Roman" w:hAnsi="Times New Roman" w:cs="Times New Roman"/>
                <w:sz w:val="28"/>
                <w:szCs w:val="28"/>
              </w:rPr>
              <w:t>ко</w:t>
            </w:r>
            <w:r>
              <w:rPr>
                <w:rFonts w:ascii="Times New Roman" w:hAnsi="Times New Roman" w:cs="Times New Roman"/>
                <w:sz w:val="28"/>
                <w:szCs w:val="28"/>
              </w:rPr>
              <w:t>р</w:t>
            </w:r>
            <w:r w:rsidRPr="005B4C3F">
              <w:rPr>
                <w:rFonts w:ascii="Times New Roman" w:hAnsi="Times New Roman" w:cs="Times New Roman"/>
                <w:sz w:val="28"/>
                <w:szCs w:val="28"/>
              </w:rPr>
              <w:t>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w:t>
            </w:r>
          </w:p>
          <w:p w14:paraId="7C01CB24" w14:textId="77777777" w:rsidR="007B5019" w:rsidRPr="0007401F" w:rsidRDefault="0007401F" w:rsidP="00BD52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показники та </w:t>
            </w:r>
            <w:r w:rsidRPr="005B4C3F">
              <w:rPr>
                <w:rFonts w:ascii="Times New Roman" w:hAnsi="Times New Roman" w:cs="Times New Roman"/>
                <w:sz w:val="28"/>
                <w:szCs w:val="28"/>
              </w:rPr>
              <w:t>складов</w:t>
            </w:r>
            <w:r>
              <w:rPr>
                <w:rFonts w:ascii="Times New Roman" w:hAnsi="Times New Roman" w:cs="Times New Roman"/>
                <w:sz w:val="28"/>
                <w:szCs w:val="28"/>
              </w:rPr>
              <w:t xml:space="preserve">і при розрахунку тарифів на послуги </w:t>
            </w:r>
            <w:r w:rsidR="00781CFE">
              <w:rPr>
                <w:rFonts w:ascii="Times New Roman" w:hAnsi="Times New Roman" w:cs="Times New Roman"/>
                <w:sz w:val="28"/>
                <w:szCs w:val="28"/>
              </w:rPr>
              <w:t>з</w:t>
            </w:r>
            <w:r>
              <w:rPr>
                <w:rFonts w:ascii="Times New Roman" w:hAnsi="Times New Roman" w:cs="Times New Roman"/>
                <w:sz w:val="28"/>
                <w:szCs w:val="28"/>
              </w:rPr>
              <w:t xml:space="preserve"> розподілу електричної енергії</w:t>
            </w:r>
          </w:p>
        </w:tc>
      </w:tr>
    </w:tbl>
    <w:p w14:paraId="4EAD2B1E" w14:textId="77777777" w:rsidR="00DC6752" w:rsidRDefault="00DC6752" w:rsidP="00DC6752">
      <w:pPr>
        <w:widowControl w:val="0"/>
        <w:spacing w:after="0" w:line="240" w:lineRule="auto"/>
        <w:ind w:firstLine="567"/>
        <w:jc w:val="center"/>
        <w:rPr>
          <w:rFonts w:ascii="Times New Roman" w:hAnsi="Times New Roman" w:cs="Times New Roman"/>
          <w:b/>
          <w:bCs/>
          <w:sz w:val="28"/>
          <w:szCs w:val="28"/>
        </w:rPr>
      </w:pPr>
    </w:p>
    <w:p w14:paraId="645BEA8C" w14:textId="77777777" w:rsidR="00DC1500"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IV. Вибір найбільш оптимального альтернативного способу</w:t>
      </w:r>
      <w:r w:rsidRPr="00943DFD">
        <w:rPr>
          <w:rFonts w:ascii="Times New Roman" w:hAnsi="Times New Roman" w:cs="Times New Roman"/>
          <w:b/>
          <w:bCs/>
          <w:sz w:val="28"/>
          <w:szCs w:val="28"/>
        </w:rPr>
        <w:br/>
        <w:t>досягнення цілей</w:t>
      </w:r>
    </w:p>
    <w:p w14:paraId="3541F618" w14:textId="77777777" w:rsidR="00B26044" w:rsidRDefault="00B26044" w:rsidP="00DC6752">
      <w:pPr>
        <w:widowControl w:val="0"/>
        <w:spacing w:after="0" w:line="240" w:lineRule="auto"/>
        <w:ind w:firstLine="567"/>
        <w:jc w:val="center"/>
        <w:rPr>
          <w:rFonts w:ascii="Times New Roman" w:hAnsi="Times New Roman" w:cs="Times New Roman"/>
          <w:b/>
          <w:bCs/>
          <w:sz w:val="28"/>
          <w:szCs w:val="28"/>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3"/>
        <w:gridCol w:w="2991"/>
        <w:gridCol w:w="2476"/>
      </w:tblGrid>
      <w:tr w:rsidR="00101840" w:rsidRPr="00943DFD" w14:paraId="69971B84" w14:textId="77777777" w:rsidTr="00476B9E">
        <w:trPr>
          <w:jc w:val="center"/>
        </w:trPr>
        <w:tc>
          <w:tcPr>
            <w:tcW w:w="4273" w:type="dxa"/>
          </w:tcPr>
          <w:p w14:paraId="3E8ACC83"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Рейтинг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(досягнення цілей під час вирішення проблеми)</w:t>
            </w:r>
          </w:p>
        </w:tc>
        <w:tc>
          <w:tcPr>
            <w:tcW w:w="2991" w:type="dxa"/>
          </w:tcPr>
          <w:p w14:paraId="6DD4969A"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Бал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(за чотирибальною системою оцінки)</w:t>
            </w:r>
          </w:p>
        </w:tc>
        <w:tc>
          <w:tcPr>
            <w:tcW w:w="2476" w:type="dxa"/>
          </w:tcPr>
          <w:p w14:paraId="0FA28A0F" w14:textId="77777777"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Коментарі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 xml:space="preserve">щодо присвоєння відповідного </w:t>
            </w:r>
            <w:proofErr w:type="spellStart"/>
            <w:r w:rsidRPr="00943DFD">
              <w:rPr>
                <w:rFonts w:ascii="Times New Roman" w:hAnsi="Times New Roman" w:cs="Times New Roman"/>
                <w:sz w:val="28"/>
                <w:szCs w:val="28"/>
              </w:rPr>
              <w:t>бала</w:t>
            </w:r>
            <w:proofErr w:type="spellEnd"/>
          </w:p>
        </w:tc>
      </w:tr>
      <w:tr w:rsidR="00101840" w:rsidRPr="00943DFD" w14:paraId="5AD56041" w14:textId="77777777" w:rsidTr="00476B9E">
        <w:trPr>
          <w:jc w:val="center"/>
        </w:trPr>
        <w:tc>
          <w:tcPr>
            <w:tcW w:w="4273" w:type="dxa"/>
            <w:tcBorders>
              <w:bottom w:val="single" w:sz="4" w:space="0" w:color="auto"/>
            </w:tcBorders>
          </w:tcPr>
          <w:p w14:paraId="65078E63"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14:paraId="6DEE5A55" w14:textId="77777777"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991" w:type="dxa"/>
            <w:tcBorders>
              <w:bottom w:val="single" w:sz="4" w:space="0" w:color="auto"/>
            </w:tcBorders>
          </w:tcPr>
          <w:p w14:paraId="6C0C5E12" w14:textId="77777777"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2</w:t>
            </w:r>
          </w:p>
        </w:tc>
        <w:tc>
          <w:tcPr>
            <w:tcW w:w="2476" w:type="dxa"/>
            <w:tcBorders>
              <w:bottom w:val="single" w:sz="4" w:space="0" w:color="auto"/>
            </w:tcBorders>
          </w:tcPr>
          <w:p w14:paraId="3181C7A9" w14:textId="77777777" w:rsidR="00DC1500"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 xml:space="preserve">Не досягає поставленої мети </w:t>
            </w:r>
          </w:p>
        </w:tc>
      </w:tr>
      <w:tr w:rsidR="00101840" w:rsidRPr="00943DFD" w14:paraId="2E3CB27E" w14:textId="77777777" w:rsidTr="00CB0C9B">
        <w:trPr>
          <w:trHeight w:val="416"/>
          <w:jc w:val="center"/>
        </w:trPr>
        <w:tc>
          <w:tcPr>
            <w:tcW w:w="4273" w:type="dxa"/>
            <w:tcBorders>
              <w:bottom w:val="single" w:sz="4" w:space="0" w:color="auto"/>
            </w:tcBorders>
          </w:tcPr>
          <w:p w14:paraId="46DA90DA"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Обрана Альтернатива 2.</w:t>
            </w:r>
          </w:p>
          <w:p w14:paraId="49F3E2F9" w14:textId="77777777" w:rsidR="00DC1500" w:rsidRPr="00943DFD" w:rsidRDefault="003061E1"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2991" w:type="dxa"/>
            <w:tcBorders>
              <w:bottom w:val="single" w:sz="4" w:space="0" w:color="auto"/>
            </w:tcBorders>
          </w:tcPr>
          <w:p w14:paraId="2C5733E3" w14:textId="77777777"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4</w:t>
            </w:r>
          </w:p>
        </w:tc>
        <w:tc>
          <w:tcPr>
            <w:tcW w:w="2476" w:type="dxa"/>
            <w:tcBorders>
              <w:bottom w:val="single" w:sz="4" w:space="0" w:color="auto"/>
            </w:tcBorders>
          </w:tcPr>
          <w:p w14:paraId="286E659B" w14:textId="18B3AA46" w:rsidR="00476B9E"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 xml:space="preserve">Дозволяє вирішити проблему </w:t>
            </w:r>
            <w:r w:rsidR="00211F26">
              <w:rPr>
                <w:rFonts w:ascii="Times New Roman" w:hAnsi="Times New Roman"/>
                <w:b w:val="0"/>
                <w:sz w:val="28"/>
                <w:szCs w:val="28"/>
                <w:lang w:val="uk-UA"/>
              </w:rPr>
              <w:t>най</w:t>
            </w:r>
            <w:r w:rsidRPr="00943DFD">
              <w:rPr>
                <w:rFonts w:ascii="Times New Roman" w:hAnsi="Times New Roman"/>
                <w:b w:val="0"/>
                <w:sz w:val="28"/>
                <w:szCs w:val="28"/>
                <w:lang w:val="uk-UA"/>
              </w:rPr>
              <w:t>ефективн</w:t>
            </w:r>
            <w:r w:rsidR="00211F26">
              <w:rPr>
                <w:rFonts w:ascii="Times New Roman" w:hAnsi="Times New Roman"/>
                <w:b w:val="0"/>
                <w:sz w:val="28"/>
                <w:szCs w:val="28"/>
                <w:lang w:val="uk-UA"/>
              </w:rPr>
              <w:t>іш</w:t>
            </w:r>
            <w:r w:rsidRPr="00943DFD">
              <w:rPr>
                <w:rFonts w:ascii="Times New Roman" w:hAnsi="Times New Roman"/>
                <w:b w:val="0"/>
                <w:sz w:val="28"/>
                <w:szCs w:val="28"/>
                <w:lang w:val="uk-UA"/>
              </w:rPr>
              <w:t>им шляхо</w:t>
            </w:r>
            <w:r w:rsidR="00CB0C9B">
              <w:rPr>
                <w:rFonts w:ascii="Times New Roman" w:hAnsi="Times New Roman"/>
                <w:b w:val="0"/>
                <w:sz w:val="28"/>
                <w:szCs w:val="28"/>
                <w:lang w:val="uk-UA"/>
              </w:rPr>
              <w:t>м.</w:t>
            </w:r>
          </w:p>
        </w:tc>
      </w:tr>
    </w:tbl>
    <w:p w14:paraId="699854AD" w14:textId="77777777" w:rsidR="00D165E3" w:rsidRDefault="00D165E3"/>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8"/>
        <w:gridCol w:w="1817"/>
        <w:gridCol w:w="2630"/>
        <w:gridCol w:w="2483"/>
      </w:tblGrid>
      <w:tr w:rsidR="00101840" w:rsidRPr="00943DFD" w14:paraId="0C83E1AC" w14:textId="77777777" w:rsidTr="005A6A4B">
        <w:trPr>
          <w:jc w:val="center"/>
        </w:trPr>
        <w:tc>
          <w:tcPr>
            <w:tcW w:w="2778" w:type="dxa"/>
          </w:tcPr>
          <w:p w14:paraId="13F566F0" w14:textId="77777777" w:rsidR="000E0120" w:rsidRDefault="000E0120" w:rsidP="00DC6752">
            <w:pPr>
              <w:spacing w:after="0" w:line="240" w:lineRule="auto"/>
              <w:jc w:val="center"/>
              <w:rPr>
                <w:rFonts w:ascii="Times New Roman" w:hAnsi="Times New Roman" w:cs="Times New Roman"/>
                <w:b/>
                <w:sz w:val="28"/>
                <w:szCs w:val="28"/>
              </w:rPr>
            </w:pPr>
          </w:p>
          <w:p w14:paraId="487AC2DA"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 результативності</w:t>
            </w:r>
          </w:p>
        </w:tc>
        <w:tc>
          <w:tcPr>
            <w:tcW w:w="1817" w:type="dxa"/>
          </w:tcPr>
          <w:p w14:paraId="289211D8"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Вигоди (підсумок)</w:t>
            </w:r>
          </w:p>
        </w:tc>
        <w:tc>
          <w:tcPr>
            <w:tcW w:w="2630" w:type="dxa"/>
          </w:tcPr>
          <w:p w14:paraId="06C34D7C"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Витрати (підсумок)</w:t>
            </w:r>
          </w:p>
        </w:tc>
        <w:tc>
          <w:tcPr>
            <w:tcW w:w="2483" w:type="dxa"/>
          </w:tcPr>
          <w:p w14:paraId="0D804280"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Обґрунтування відповідного місця альтернативи у рейтингу</w:t>
            </w:r>
          </w:p>
        </w:tc>
      </w:tr>
      <w:tr w:rsidR="00101840" w:rsidRPr="00943DFD" w14:paraId="539BE1E0" w14:textId="77777777" w:rsidTr="005A6A4B">
        <w:trPr>
          <w:jc w:val="center"/>
        </w:trPr>
        <w:tc>
          <w:tcPr>
            <w:tcW w:w="2778" w:type="dxa"/>
          </w:tcPr>
          <w:p w14:paraId="3A754DAA"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 1.</w:t>
            </w:r>
            <w:r w:rsidRPr="00943DFD">
              <w:rPr>
                <w:rFonts w:ascii="Times New Roman" w:hAnsi="Times New Roman" w:cs="Times New Roman"/>
                <w:sz w:val="28"/>
                <w:szCs w:val="28"/>
              </w:rPr>
              <w:t xml:space="preserve"> Збереження чинного регулювання</w:t>
            </w:r>
          </w:p>
        </w:tc>
        <w:tc>
          <w:tcPr>
            <w:tcW w:w="1817" w:type="dxa"/>
          </w:tcPr>
          <w:p w14:paraId="413145DB"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1A51A6E5"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p w14:paraId="497C6BD8" w14:textId="77777777" w:rsidR="00DC1500" w:rsidRPr="00943DFD" w:rsidRDefault="00DC1500" w:rsidP="00DC6752">
            <w:pPr>
              <w:spacing w:after="0" w:line="240" w:lineRule="auto"/>
              <w:ind w:firstLine="567"/>
              <w:jc w:val="both"/>
              <w:rPr>
                <w:rFonts w:ascii="Times New Roman" w:hAnsi="Times New Roman" w:cs="Times New Roman"/>
                <w:sz w:val="28"/>
                <w:szCs w:val="28"/>
              </w:rPr>
            </w:pPr>
          </w:p>
        </w:tc>
        <w:tc>
          <w:tcPr>
            <w:tcW w:w="2630" w:type="dxa"/>
          </w:tcPr>
          <w:p w14:paraId="45421057"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1279AF67"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tc>
        <w:tc>
          <w:tcPr>
            <w:tcW w:w="2483" w:type="dxa"/>
          </w:tcPr>
          <w:p w14:paraId="614AB511" w14:textId="77777777" w:rsidR="00DC1500" w:rsidRPr="00943DFD" w:rsidRDefault="00DC1500" w:rsidP="00DC6752">
            <w:pPr>
              <w:spacing w:after="0" w:line="240" w:lineRule="auto"/>
              <w:ind w:firstLine="567"/>
              <w:jc w:val="both"/>
              <w:rPr>
                <w:rFonts w:ascii="Times New Roman" w:hAnsi="Times New Roman" w:cs="Times New Roman"/>
                <w:sz w:val="28"/>
                <w:szCs w:val="28"/>
              </w:rPr>
            </w:pPr>
          </w:p>
          <w:p w14:paraId="0A11454A"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вирішує проблему </w:t>
            </w:r>
          </w:p>
        </w:tc>
      </w:tr>
      <w:tr w:rsidR="00DC1500" w:rsidRPr="00943DFD" w14:paraId="0168CB6F" w14:textId="77777777" w:rsidTr="005A6A4B">
        <w:trPr>
          <w:jc w:val="center"/>
        </w:trPr>
        <w:tc>
          <w:tcPr>
            <w:tcW w:w="2778" w:type="dxa"/>
          </w:tcPr>
          <w:p w14:paraId="1E353ED8"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 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1817" w:type="dxa"/>
          </w:tcPr>
          <w:p w14:paraId="7BB8B098" w14:textId="77777777"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Забезпечує досягнення цілей державного регулювання</w:t>
            </w:r>
          </w:p>
        </w:tc>
        <w:tc>
          <w:tcPr>
            <w:tcW w:w="2630" w:type="dxa"/>
          </w:tcPr>
          <w:p w14:paraId="11FD99FD" w14:textId="27EC848D" w:rsidR="00205B59" w:rsidRPr="00B95B27" w:rsidRDefault="00F05A07" w:rsidP="00B014EF">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00B014EF">
              <w:rPr>
                <w:rFonts w:ascii="Times New Roman" w:hAnsi="Times New Roman" w:cs="Times New Roman"/>
                <w:sz w:val="28"/>
                <w:szCs w:val="28"/>
              </w:rPr>
              <w:t>вирішити</w:t>
            </w:r>
            <w:r w:rsidR="00B014EF" w:rsidRPr="005B4C3F">
              <w:rPr>
                <w:rFonts w:ascii="Times New Roman" w:hAnsi="Times New Roman" w:cs="Times New Roman"/>
                <w:sz w:val="28"/>
                <w:szCs w:val="28"/>
              </w:rPr>
              <w:t xml:space="preserve"> </w:t>
            </w:r>
            <w:r w:rsidR="00BD52D9" w:rsidRPr="00FC7B8A">
              <w:rPr>
                <w:rFonts w:ascii="Times New Roman" w:hAnsi="Times New Roman" w:cs="Times New Roman"/>
                <w:sz w:val="28"/>
                <w:szCs w:val="28"/>
              </w:rPr>
              <w:t>проблемн</w:t>
            </w:r>
            <w:r w:rsidR="00BD52D9">
              <w:rPr>
                <w:rFonts w:ascii="Times New Roman" w:hAnsi="Times New Roman" w:cs="Times New Roman"/>
                <w:sz w:val="28"/>
                <w:szCs w:val="28"/>
              </w:rPr>
              <w:t>і</w:t>
            </w:r>
            <w:r w:rsidR="00BD52D9" w:rsidRPr="00FC7B8A">
              <w:rPr>
                <w:rFonts w:ascii="Times New Roman" w:hAnsi="Times New Roman" w:cs="Times New Roman"/>
                <w:sz w:val="28"/>
                <w:szCs w:val="28"/>
              </w:rPr>
              <w:t xml:space="preserve"> питан</w:t>
            </w:r>
            <w:r w:rsidR="00BD52D9">
              <w:rPr>
                <w:rFonts w:ascii="Times New Roman" w:hAnsi="Times New Roman" w:cs="Times New Roman"/>
                <w:sz w:val="28"/>
                <w:szCs w:val="28"/>
              </w:rPr>
              <w:t>ня</w:t>
            </w:r>
            <w:r w:rsidR="00BD52D9" w:rsidRPr="00FC7B8A">
              <w:rPr>
                <w:rFonts w:ascii="Times New Roman" w:hAnsi="Times New Roman" w:cs="Times New Roman"/>
                <w:sz w:val="28"/>
                <w:szCs w:val="28"/>
              </w:rPr>
              <w:t xml:space="preserve"> діяльності операторів систем розподілу в умовах воєнного </w:t>
            </w:r>
            <w:r w:rsidR="00AD1D3C">
              <w:rPr>
                <w:rFonts w:ascii="Times New Roman" w:hAnsi="Times New Roman" w:cs="Times New Roman"/>
                <w:sz w:val="28"/>
                <w:szCs w:val="28"/>
              </w:rPr>
              <w:t>стану</w:t>
            </w:r>
            <w:r w:rsidR="00BD52D9" w:rsidRPr="00FC7B8A">
              <w:rPr>
                <w:rFonts w:ascii="Times New Roman" w:hAnsi="Times New Roman" w:cs="Times New Roman"/>
                <w:sz w:val="28"/>
                <w:szCs w:val="28"/>
              </w:rPr>
              <w:t xml:space="preserve"> </w:t>
            </w:r>
            <w:r w:rsidR="00B014EF">
              <w:rPr>
                <w:rFonts w:ascii="Times New Roman" w:hAnsi="Times New Roman" w:cs="Times New Roman"/>
                <w:sz w:val="28"/>
                <w:szCs w:val="28"/>
              </w:rPr>
              <w:t>шляхом</w:t>
            </w:r>
            <w:r w:rsidR="007A5AAE">
              <w:rPr>
                <w:rFonts w:ascii="Times New Roman" w:hAnsi="Times New Roman" w:cs="Times New Roman"/>
                <w:sz w:val="28"/>
                <w:szCs w:val="28"/>
              </w:rPr>
              <w:t xml:space="preserve"> </w:t>
            </w:r>
            <w:r w:rsidR="007A5AAE" w:rsidRPr="005B4C3F">
              <w:rPr>
                <w:rFonts w:ascii="Times New Roman" w:hAnsi="Times New Roman" w:cs="Times New Roman"/>
                <w:sz w:val="28"/>
                <w:szCs w:val="28"/>
              </w:rPr>
              <w:t>ко</w:t>
            </w:r>
            <w:r w:rsidR="007A5AAE">
              <w:rPr>
                <w:rFonts w:ascii="Times New Roman" w:hAnsi="Times New Roman" w:cs="Times New Roman"/>
                <w:sz w:val="28"/>
                <w:szCs w:val="28"/>
              </w:rPr>
              <w:t>р</w:t>
            </w:r>
            <w:r w:rsidR="007A5AAE" w:rsidRPr="005B4C3F">
              <w:rPr>
                <w:rFonts w:ascii="Times New Roman" w:hAnsi="Times New Roman" w:cs="Times New Roman"/>
                <w:sz w:val="28"/>
                <w:szCs w:val="28"/>
              </w:rPr>
              <w:t>ектн</w:t>
            </w:r>
            <w:r w:rsidR="007A5AAE">
              <w:rPr>
                <w:rFonts w:ascii="Times New Roman" w:hAnsi="Times New Roman" w:cs="Times New Roman"/>
                <w:sz w:val="28"/>
                <w:szCs w:val="28"/>
              </w:rPr>
              <w:t>о</w:t>
            </w:r>
            <w:r w:rsidR="00B014EF">
              <w:rPr>
                <w:rFonts w:ascii="Times New Roman" w:hAnsi="Times New Roman" w:cs="Times New Roman"/>
                <w:sz w:val="28"/>
                <w:szCs w:val="28"/>
              </w:rPr>
              <w:t>го</w:t>
            </w:r>
            <w:r w:rsidR="007A5AAE" w:rsidRPr="005B4C3F">
              <w:rPr>
                <w:rFonts w:ascii="Times New Roman" w:hAnsi="Times New Roman" w:cs="Times New Roman"/>
                <w:sz w:val="28"/>
                <w:szCs w:val="28"/>
              </w:rPr>
              <w:t xml:space="preserve"> врах</w:t>
            </w:r>
            <w:r w:rsidR="00B014EF">
              <w:rPr>
                <w:rFonts w:ascii="Times New Roman" w:hAnsi="Times New Roman" w:cs="Times New Roman"/>
                <w:sz w:val="28"/>
                <w:szCs w:val="28"/>
              </w:rPr>
              <w:t xml:space="preserve">ування </w:t>
            </w:r>
            <w:r w:rsidR="007A5AAE">
              <w:rPr>
                <w:rFonts w:ascii="Times New Roman" w:hAnsi="Times New Roman" w:cs="Times New Roman"/>
                <w:sz w:val="28"/>
                <w:szCs w:val="28"/>
              </w:rPr>
              <w:t>показник</w:t>
            </w:r>
            <w:r w:rsidR="00B014EF">
              <w:rPr>
                <w:rFonts w:ascii="Times New Roman" w:hAnsi="Times New Roman" w:cs="Times New Roman"/>
                <w:sz w:val="28"/>
                <w:szCs w:val="28"/>
              </w:rPr>
              <w:t>ів</w:t>
            </w:r>
            <w:r w:rsidR="007A5AAE">
              <w:rPr>
                <w:rFonts w:ascii="Times New Roman" w:hAnsi="Times New Roman" w:cs="Times New Roman"/>
                <w:sz w:val="28"/>
                <w:szCs w:val="28"/>
              </w:rPr>
              <w:t xml:space="preserve"> та </w:t>
            </w:r>
            <w:r w:rsidR="007A5AAE" w:rsidRPr="005B4C3F">
              <w:rPr>
                <w:rFonts w:ascii="Times New Roman" w:hAnsi="Times New Roman" w:cs="Times New Roman"/>
                <w:sz w:val="28"/>
                <w:szCs w:val="28"/>
              </w:rPr>
              <w:t>складов</w:t>
            </w:r>
            <w:r w:rsidR="00B014EF">
              <w:rPr>
                <w:rFonts w:ascii="Times New Roman" w:hAnsi="Times New Roman" w:cs="Times New Roman"/>
                <w:sz w:val="28"/>
                <w:szCs w:val="28"/>
              </w:rPr>
              <w:t>их</w:t>
            </w:r>
            <w:r w:rsidR="007A5AAE">
              <w:rPr>
                <w:rFonts w:ascii="Times New Roman" w:hAnsi="Times New Roman" w:cs="Times New Roman"/>
                <w:sz w:val="28"/>
                <w:szCs w:val="28"/>
              </w:rPr>
              <w:t xml:space="preserve"> при розрахунку тарифів на послуги </w:t>
            </w:r>
            <w:r w:rsidR="00E969FB">
              <w:rPr>
                <w:rFonts w:ascii="Times New Roman" w:hAnsi="Times New Roman" w:cs="Times New Roman"/>
                <w:sz w:val="28"/>
                <w:szCs w:val="28"/>
              </w:rPr>
              <w:t>з</w:t>
            </w:r>
            <w:r w:rsidR="007A5AAE">
              <w:rPr>
                <w:rFonts w:ascii="Times New Roman" w:hAnsi="Times New Roman" w:cs="Times New Roman"/>
                <w:sz w:val="28"/>
                <w:szCs w:val="28"/>
              </w:rPr>
              <w:t xml:space="preserve"> розподілу електричної енергії</w:t>
            </w:r>
          </w:p>
        </w:tc>
        <w:tc>
          <w:tcPr>
            <w:tcW w:w="2483" w:type="dxa"/>
          </w:tcPr>
          <w:p w14:paraId="490935FB" w14:textId="37A5D06B"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Дозволяє досягти цілей державного регулювання </w:t>
            </w:r>
            <w:r w:rsidR="008F2126">
              <w:rPr>
                <w:rFonts w:ascii="Times New Roman" w:hAnsi="Times New Roman" w:cs="Times New Roman"/>
                <w:sz w:val="28"/>
                <w:szCs w:val="28"/>
              </w:rPr>
              <w:t>най</w:t>
            </w:r>
            <w:r w:rsidRPr="00943DFD">
              <w:rPr>
                <w:rFonts w:ascii="Times New Roman" w:hAnsi="Times New Roman" w:cs="Times New Roman"/>
                <w:sz w:val="28"/>
                <w:szCs w:val="28"/>
              </w:rPr>
              <w:t>ефективн</w:t>
            </w:r>
            <w:r w:rsidR="008F2126">
              <w:rPr>
                <w:rFonts w:ascii="Times New Roman" w:hAnsi="Times New Roman" w:cs="Times New Roman"/>
                <w:sz w:val="28"/>
                <w:szCs w:val="28"/>
              </w:rPr>
              <w:t>іш</w:t>
            </w:r>
            <w:r w:rsidRPr="00943DFD">
              <w:rPr>
                <w:rFonts w:ascii="Times New Roman" w:hAnsi="Times New Roman" w:cs="Times New Roman"/>
                <w:sz w:val="28"/>
                <w:szCs w:val="28"/>
              </w:rPr>
              <w:t>им шляхом</w:t>
            </w:r>
          </w:p>
        </w:tc>
      </w:tr>
    </w:tbl>
    <w:p w14:paraId="2C510E5C" w14:textId="77777777" w:rsidR="000E0120" w:rsidRPr="00D165E3" w:rsidRDefault="000E0120" w:rsidP="00DC6752">
      <w:pPr>
        <w:pStyle w:val="2"/>
        <w:spacing w:before="0" w:beforeAutospacing="0" w:after="0" w:afterAutospacing="0"/>
        <w:ind w:firstLine="567"/>
        <w:jc w:val="both"/>
        <w:rPr>
          <w:rFonts w:ascii="Times New Roman" w:hAnsi="Times New Roman"/>
          <w:sz w:val="24"/>
          <w:szCs w:val="24"/>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3"/>
        <w:gridCol w:w="4252"/>
        <w:gridCol w:w="2761"/>
      </w:tblGrid>
      <w:tr w:rsidR="00101840" w:rsidRPr="00943DFD" w14:paraId="0B3659A2" w14:textId="77777777" w:rsidTr="00D165E3">
        <w:trPr>
          <w:trHeight w:val="1734"/>
          <w:jc w:val="center"/>
        </w:trPr>
        <w:tc>
          <w:tcPr>
            <w:tcW w:w="2763" w:type="dxa"/>
          </w:tcPr>
          <w:p w14:paraId="3CA09945"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w:t>
            </w:r>
          </w:p>
        </w:tc>
        <w:tc>
          <w:tcPr>
            <w:tcW w:w="4252" w:type="dxa"/>
          </w:tcPr>
          <w:p w14:paraId="7824B3BB"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Аргументи щодо переваги обраної альтернативи / причини відмови від альтернативи</w:t>
            </w:r>
          </w:p>
        </w:tc>
        <w:tc>
          <w:tcPr>
            <w:tcW w:w="2761" w:type="dxa"/>
          </w:tcPr>
          <w:p w14:paraId="3310165A" w14:textId="77777777"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 xml:space="preserve">Оцінка ризику зовнішніх чинників на дію запропонованого регуляторного </w:t>
            </w:r>
            <w:proofErr w:type="spellStart"/>
            <w:r w:rsidRPr="00943DFD">
              <w:rPr>
                <w:rFonts w:ascii="Times New Roman" w:hAnsi="Times New Roman" w:cs="Times New Roman"/>
                <w:b/>
                <w:sz w:val="28"/>
                <w:szCs w:val="28"/>
              </w:rPr>
              <w:t>акта</w:t>
            </w:r>
            <w:proofErr w:type="spellEnd"/>
          </w:p>
        </w:tc>
      </w:tr>
      <w:tr w:rsidR="00101840" w:rsidRPr="00943DFD" w14:paraId="140BA6A4" w14:textId="77777777" w:rsidTr="00D165E3">
        <w:trPr>
          <w:jc w:val="center"/>
        </w:trPr>
        <w:tc>
          <w:tcPr>
            <w:tcW w:w="2763" w:type="dxa"/>
          </w:tcPr>
          <w:p w14:paraId="3F1954A6" w14:textId="77777777" w:rsidR="00DC1500" w:rsidRPr="00943DFD" w:rsidRDefault="00DC1500" w:rsidP="00D165E3">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1.</w:t>
            </w:r>
            <w:r w:rsidRPr="00943DFD">
              <w:rPr>
                <w:rFonts w:ascii="Times New Roman" w:hAnsi="Times New Roman" w:cs="Times New Roman"/>
                <w:sz w:val="28"/>
                <w:szCs w:val="28"/>
              </w:rPr>
              <w:t xml:space="preserve"> Збереження чинного регулювання</w:t>
            </w:r>
          </w:p>
        </w:tc>
        <w:tc>
          <w:tcPr>
            <w:tcW w:w="4252" w:type="dxa"/>
          </w:tcPr>
          <w:p w14:paraId="49D13201" w14:textId="77777777"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Не вирішує проблему та не забезпечує цілей державного регулювання</w:t>
            </w:r>
          </w:p>
        </w:tc>
        <w:tc>
          <w:tcPr>
            <w:tcW w:w="2761" w:type="dxa"/>
          </w:tcPr>
          <w:p w14:paraId="79783810" w14:textId="77777777"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r w:rsidR="00DC1500" w:rsidRPr="00943DFD" w14:paraId="4923E10A" w14:textId="77777777" w:rsidTr="00D165E3">
        <w:trPr>
          <w:jc w:val="center"/>
        </w:trPr>
        <w:tc>
          <w:tcPr>
            <w:tcW w:w="2763" w:type="dxa"/>
          </w:tcPr>
          <w:p w14:paraId="1E04998D" w14:textId="77777777"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4252" w:type="dxa"/>
          </w:tcPr>
          <w:p w14:paraId="31838400" w14:textId="6F395F60"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Дозволяє вирішити проблему </w:t>
            </w:r>
            <w:r w:rsidR="001C00D5">
              <w:rPr>
                <w:rFonts w:ascii="Times New Roman" w:hAnsi="Times New Roman" w:cs="Times New Roman"/>
                <w:sz w:val="28"/>
                <w:szCs w:val="28"/>
              </w:rPr>
              <w:t>най</w:t>
            </w:r>
            <w:r w:rsidRPr="00943DFD">
              <w:rPr>
                <w:rFonts w:ascii="Times New Roman" w:hAnsi="Times New Roman" w:cs="Times New Roman"/>
                <w:sz w:val="28"/>
                <w:szCs w:val="28"/>
              </w:rPr>
              <w:t>ефективн</w:t>
            </w:r>
            <w:r w:rsidR="001C00D5">
              <w:rPr>
                <w:rFonts w:ascii="Times New Roman" w:hAnsi="Times New Roman" w:cs="Times New Roman"/>
                <w:sz w:val="28"/>
                <w:szCs w:val="28"/>
              </w:rPr>
              <w:t>іш</w:t>
            </w:r>
            <w:r w:rsidRPr="00943DFD">
              <w:rPr>
                <w:rFonts w:ascii="Times New Roman" w:hAnsi="Times New Roman" w:cs="Times New Roman"/>
                <w:sz w:val="28"/>
                <w:szCs w:val="28"/>
              </w:rPr>
              <w:t>им шляхом з найменшими витратами ресурсів, забезпечує досягнення цілей державного регулювання</w:t>
            </w:r>
          </w:p>
        </w:tc>
        <w:tc>
          <w:tcPr>
            <w:tcW w:w="2761" w:type="dxa"/>
          </w:tcPr>
          <w:p w14:paraId="1D6BBC4F" w14:textId="77777777"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bl>
    <w:p w14:paraId="007D1B45" w14:textId="77777777" w:rsidR="00DC1500" w:rsidRDefault="00DC1500" w:rsidP="00DC6752">
      <w:pPr>
        <w:spacing w:after="0" w:line="240" w:lineRule="auto"/>
        <w:ind w:firstLine="567"/>
        <w:jc w:val="center"/>
        <w:rPr>
          <w:rFonts w:ascii="Times New Roman" w:hAnsi="Times New Roman" w:cs="Times New Roman"/>
          <w:b/>
          <w:bCs/>
          <w:sz w:val="20"/>
          <w:szCs w:val="20"/>
        </w:rPr>
      </w:pPr>
    </w:p>
    <w:p w14:paraId="390BA310" w14:textId="77777777" w:rsidR="00375422" w:rsidRPr="00B54DEF" w:rsidRDefault="00375422" w:rsidP="00DC6752">
      <w:pPr>
        <w:spacing w:after="0" w:line="240" w:lineRule="auto"/>
        <w:ind w:firstLine="567"/>
        <w:jc w:val="center"/>
        <w:rPr>
          <w:rFonts w:ascii="Times New Roman" w:hAnsi="Times New Roman" w:cs="Times New Roman"/>
          <w:b/>
          <w:bCs/>
          <w:sz w:val="20"/>
          <w:szCs w:val="20"/>
        </w:rPr>
      </w:pPr>
    </w:p>
    <w:p w14:paraId="5A8BE95A"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 Механізми та заходи, які забезпечать розв’язання визначеної проблеми</w:t>
      </w:r>
    </w:p>
    <w:p w14:paraId="4483FFE2" w14:textId="77777777" w:rsidR="00DC1500" w:rsidRPr="00D165E3" w:rsidRDefault="00DC1500" w:rsidP="00DC6752">
      <w:pPr>
        <w:spacing w:after="0" w:line="240" w:lineRule="auto"/>
        <w:ind w:firstLine="567"/>
        <w:jc w:val="center"/>
        <w:rPr>
          <w:rFonts w:ascii="Times New Roman" w:hAnsi="Times New Roman" w:cs="Times New Roman"/>
          <w:b/>
          <w:bCs/>
          <w:sz w:val="24"/>
          <w:szCs w:val="24"/>
          <w:lang w:val="ru-RU"/>
        </w:rPr>
      </w:pPr>
    </w:p>
    <w:p w14:paraId="16FC4C68" w14:textId="3C6D61A3" w:rsidR="00891511" w:rsidRPr="00A33081" w:rsidRDefault="008C6D40" w:rsidP="00891511">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Прийняття </w:t>
      </w:r>
      <w:proofErr w:type="spellStart"/>
      <w:r w:rsidR="0053670C">
        <w:rPr>
          <w:rFonts w:ascii="Times New Roman" w:hAnsi="Times New Roman" w:cs="Times New Roman"/>
          <w:sz w:val="28"/>
          <w:szCs w:val="28"/>
        </w:rPr>
        <w:t>П</w:t>
      </w:r>
      <w:r w:rsidRPr="00943DFD">
        <w:rPr>
          <w:rFonts w:ascii="Times New Roman" w:hAnsi="Times New Roman" w:cs="Times New Roman"/>
          <w:sz w:val="28"/>
          <w:szCs w:val="28"/>
        </w:rPr>
        <w:t>роє</w:t>
      </w:r>
      <w:r w:rsidR="00DC1500" w:rsidRPr="00943DFD">
        <w:rPr>
          <w:rFonts w:ascii="Times New Roman" w:hAnsi="Times New Roman" w:cs="Times New Roman"/>
          <w:sz w:val="28"/>
          <w:szCs w:val="28"/>
        </w:rPr>
        <w:t>кту</w:t>
      </w:r>
      <w:proofErr w:type="spellEnd"/>
      <w:r w:rsidR="00DC1500" w:rsidRPr="00943DFD">
        <w:rPr>
          <w:rFonts w:ascii="Times New Roman" w:hAnsi="Times New Roman" w:cs="Times New Roman"/>
          <w:sz w:val="28"/>
          <w:szCs w:val="28"/>
        </w:rPr>
        <w:t xml:space="preserve"> </w:t>
      </w:r>
      <w:r w:rsidR="00D165E3">
        <w:rPr>
          <w:rFonts w:ascii="Times New Roman" w:hAnsi="Times New Roman" w:cs="Times New Roman"/>
          <w:sz w:val="28"/>
          <w:szCs w:val="28"/>
        </w:rPr>
        <w:t>постанови</w:t>
      </w:r>
      <w:r w:rsidR="00DC1500" w:rsidRPr="00943DFD">
        <w:rPr>
          <w:rFonts w:ascii="Times New Roman" w:hAnsi="Times New Roman" w:cs="Times New Roman"/>
          <w:sz w:val="28"/>
          <w:szCs w:val="28"/>
        </w:rPr>
        <w:t xml:space="preserve"> </w:t>
      </w:r>
      <w:r w:rsidR="00640C31">
        <w:rPr>
          <w:rFonts w:ascii="Times New Roman" w:hAnsi="Times New Roman" w:cs="Times New Roman"/>
          <w:sz w:val="28"/>
          <w:szCs w:val="28"/>
        </w:rPr>
        <w:t xml:space="preserve">дозволить </w:t>
      </w:r>
      <w:r w:rsidR="00A6594A">
        <w:rPr>
          <w:rFonts w:ascii="Times New Roman" w:hAnsi="Times New Roman" w:cs="Times New Roman"/>
          <w:sz w:val="28"/>
          <w:szCs w:val="28"/>
        </w:rPr>
        <w:t>удосконалити</w:t>
      </w:r>
      <w:r w:rsidR="00616112">
        <w:rPr>
          <w:rFonts w:ascii="Times New Roman" w:hAnsi="Times New Roman" w:cs="Times New Roman"/>
          <w:sz w:val="28"/>
          <w:szCs w:val="28"/>
        </w:rPr>
        <w:t xml:space="preserve"> норми </w:t>
      </w:r>
      <w:r w:rsidR="00EC1C31" w:rsidRPr="00FC7B8A">
        <w:rPr>
          <w:rFonts w:ascii="Times New Roman" w:hAnsi="Times New Roman" w:cs="Times New Roman"/>
          <w:bCs/>
          <w:sz w:val="28"/>
          <w:szCs w:val="28"/>
        </w:rPr>
        <w:t xml:space="preserve">Постанови </w:t>
      </w:r>
      <w:r w:rsidR="00EC1C31">
        <w:rPr>
          <w:rFonts w:ascii="Times New Roman" w:hAnsi="Times New Roman" w:cs="Times New Roman"/>
          <w:bCs/>
          <w:sz w:val="28"/>
          <w:szCs w:val="28"/>
        </w:rPr>
        <w:t>№</w:t>
      </w:r>
      <w:r w:rsidR="00EC1C31" w:rsidRPr="00FC7B8A">
        <w:rPr>
          <w:rFonts w:ascii="Times New Roman" w:hAnsi="Times New Roman" w:cs="Times New Roman"/>
          <w:bCs/>
          <w:sz w:val="28"/>
          <w:szCs w:val="28"/>
        </w:rPr>
        <w:t> 1009</w:t>
      </w:r>
      <w:r w:rsidR="00EC1C31">
        <w:rPr>
          <w:rFonts w:ascii="Times New Roman" w:hAnsi="Times New Roman" w:cs="Times New Roman"/>
          <w:bCs/>
          <w:sz w:val="28"/>
          <w:szCs w:val="28"/>
        </w:rPr>
        <w:t xml:space="preserve">, </w:t>
      </w:r>
      <w:r w:rsidR="00EC1C31" w:rsidRPr="00FC7B8A">
        <w:rPr>
          <w:rFonts w:ascii="Times New Roman" w:hAnsi="Times New Roman" w:cs="Times New Roman"/>
          <w:bCs/>
          <w:sz w:val="28"/>
          <w:szCs w:val="28"/>
        </w:rPr>
        <w:t xml:space="preserve">Порядку </w:t>
      </w:r>
      <w:r w:rsidR="00EC1C31">
        <w:rPr>
          <w:rFonts w:ascii="Times New Roman" w:hAnsi="Times New Roman" w:cs="Times New Roman"/>
          <w:bCs/>
          <w:sz w:val="28"/>
          <w:szCs w:val="28"/>
        </w:rPr>
        <w:t>№</w:t>
      </w:r>
      <w:r w:rsidR="00EC1C31" w:rsidRPr="00FC7B8A">
        <w:rPr>
          <w:rFonts w:ascii="Times New Roman" w:hAnsi="Times New Roman" w:cs="Times New Roman"/>
          <w:bCs/>
          <w:sz w:val="28"/>
          <w:szCs w:val="28"/>
        </w:rPr>
        <w:t> 1175 та</w:t>
      </w:r>
      <w:r w:rsidR="00EC1C31">
        <w:rPr>
          <w:rFonts w:ascii="Times New Roman" w:hAnsi="Times New Roman" w:cs="Times New Roman"/>
          <w:bCs/>
          <w:sz w:val="28"/>
          <w:szCs w:val="28"/>
        </w:rPr>
        <w:t xml:space="preserve"> Положення №</w:t>
      </w:r>
      <w:r w:rsidR="00EC1C31" w:rsidRPr="00FC7B8A">
        <w:rPr>
          <w:rFonts w:ascii="Times New Roman" w:hAnsi="Times New Roman" w:cs="Times New Roman"/>
          <w:bCs/>
          <w:sz w:val="28"/>
          <w:szCs w:val="28"/>
        </w:rPr>
        <w:t> </w:t>
      </w:r>
      <w:r w:rsidR="00EC1C31">
        <w:rPr>
          <w:rFonts w:ascii="Times New Roman" w:hAnsi="Times New Roman" w:cs="Times New Roman"/>
          <w:bCs/>
          <w:sz w:val="28"/>
          <w:szCs w:val="28"/>
        </w:rPr>
        <w:t>981</w:t>
      </w:r>
      <w:r w:rsidR="003B2344">
        <w:rPr>
          <w:rFonts w:ascii="Times New Roman" w:hAnsi="Times New Roman" w:cs="Times New Roman"/>
          <w:sz w:val="28"/>
          <w:szCs w:val="28"/>
        </w:rPr>
        <w:t xml:space="preserve"> </w:t>
      </w:r>
      <w:r w:rsidR="00640C31">
        <w:rPr>
          <w:rFonts w:ascii="Times New Roman" w:hAnsi="Times New Roman" w:cs="Times New Roman"/>
          <w:sz w:val="28"/>
          <w:szCs w:val="28"/>
        </w:rPr>
        <w:t xml:space="preserve">для </w:t>
      </w:r>
      <w:r w:rsidR="003D09C5">
        <w:rPr>
          <w:rFonts w:ascii="Times New Roman" w:hAnsi="Times New Roman" w:cs="Times New Roman"/>
          <w:sz w:val="28"/>
          <w:szCs w:val="28"/>
        </w:rPr>
        <w:t>в</w:t>
      </w:r>
      <w:r w:rsidR="000B3CCB">
        <w:rPr>
          <w:rFonts w:ascii="Times New Roman" w:hAnsi="Times New Roman" w:cs="Times New Roman"/>
          <w:sz w:val="28"/>
          <w:szCs w:val="28"/>
        </w:rPr>
        <w:t>рахува</w:t>
      </w:r>
      <w:r w:rsidR="00640C31">
        <w:rPr>
          <w:rFonts w:ascii="Times New Roman" w:hAnsi="Times New Roman" w:cs="Times New Roman"/>
          <w:sz w:val="28"/>
          <w:szCs w:val="28"/>
        </w:rPr>
        <w:t>ння</w:t>
      </w:r>
      <w:r w:rsidR="00616112" w:rsidRPr="00943DFD">
        <w:rPr>
          <w:rFonts w:ascii="Times New Roman" w:hAnsi="Times New Roman" w:cs="Times New Roman"/>
          <w:sz w:val="28"/>
          <w:szCs w:val="28"/>
        </w:rPr>
        <w:t xml:space="preserve"> </w:t>
      </w:r>
      <w:r w:rsidR="00A6594A">
        <w:rPr>
          <w:rFonts w:ascii="Times New Roman" w:hAnsi="Times New Roman" w:cs="Times New Roman"/>
          <w:sz w:val="28"/>
          <w:szCs w:val="28"/>
        </w:rPr>
        <w:t xml:space="preserve">показників та </w:t>
      </w:r>
      <w:r w:rsidR="00A6594A" w:rsidRPr="005B4C3F">
        <w:rPr>
          <w:rFonts w:ascii="Times New Roman" w:hAnsi="Times New Roman" w:cs="Times New Roman"/>
          <w:sz w:val="28"/>
          <w:szCs w:val="28"/>
        </w:rPr>
        <w:t>складов</w:t>
      </w:r>
      <w:r w:rsidR="00A6594A">
        <w:rPr>
          <w:rFonts w:ascii="Times New Roman" w:hAnsi="Times New Roman" w:cs="Times New Roman"/>
          <w:sz w:val="28"/>
          <w:szCs w:val="28"/>
        </w:rPr>
        <w:t xml:space="preserve">их </w:t>
      </w:r>
      <w:r w:rsidR="00616112" w:rsidRPr="00B005DA">
        <w:rPr>
          <w:rFonts w:ascii="Times New Roman" w:hAnsi="Times New Roman" w:cs="Times New Roman"/>
          <w:sz w:val="28"/>
          <w:szCs w:val="28"/>
        </w:rPr>
        <w:t>в тарифах на послуги з розподілу електричної енергії</w:t>
      </w:r>
      <w:r w:rsidR="00A6594A">
        <w:rPr>
          <w:rFonts w:ascii="Times New Roman" w:hAnsi="Times New Roman" w:cs="Times New Roman"/>
          <w:sz w:val="28"/>
          <w:szCs w:val="28"/>
        </w:rPr>
        <w:t>, у тому числі із застосуванням стимулюючого регулювання,</w:t>
      </w:r>
      <w:r w:rsidR="00616112" w:rsidRPr="00B005DA">
        <w:rPr>
          <w:rFonts w:ascii="Times New Roman" w:hAnsi="Times New Roman" w:cs="Times New Roman"/>
          <w:sz w:val="28"/>
          <w:szCs w:val="28"/>
        </w:rPr>
        <w:t xml:space="preserve"> </w:t>
      </w:r>
      <w:r w:rsidR="00BD52D9" w:rsidRPr="00FC7B8A">
        <w:rPr>
          <w:rFonts w:ascii="Times New Roman" w:hAnsi="Times New Roman" w:cs="Times New Roman"/>
          <w:sz w:val="28"/>
          <w:szCs w:val="28"/>
        </w:rPr>
        <w:t xml:space="preserve">в умовах воєнного </w:t>
      </w:r>
      <w:r w:rsidR="00AD1D3C">
        <w:rPr>
          <w:rFonts w:ascii="Times New Roman" w:hAnsi="Times New Roman" w:cs="Times New Roman"/>
          <w:sz w:val="28"/>
          <w:szCs w:val="28"/>
        </w:rPr>
        <w:t>стану</w:t>
      </w:r>
      <w:r w:rsidR="00205B59">
        <w:rPr>
          <w:rFonts w:ascii="Times New Roman" w:hAnsi="Times New Roman" w:cs="Times New Roman"/>
          <w:sz w:val="28"/>
          <w:szCs w:val="28"/>
        </w:rPr>
        <w:t>.</w:t>
      </w:r>
    </w:p>
    <w:p w14:paraId="680BFA4F" w14:textId="77777777" w:rsidR="00256BE4"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lastRenderedPageBreak/>
        <w:t xml:space="preserve">Впливу зовнішніх факторів, що можуть мати негативний вплив на виконання вимог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не очікується.</w:t>
      </w:r>
    </w:p>
    <w:p w14:paraId="2E8EA24F" w14:textId="77777777" w:rsidR="00053BCF"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Характеристика механізму повної або часткової компенсації можливої шкоди у разі настання очікуваних наслідків дії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не розроблялась, оскільки введення в дію положень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не призведе до настання будь-яких негативних наслідків.</w:t>
      </w:r>
    </w:p>
    <w:p w14:paraId="30F582F9" w14:textId="77777777" w:rsidR="00053BCF" w:rsidRDefault="00053BCF" w:rsidP="00DC6752">
      <w:pPr>
        <w:widowControl w:val="0"/>
        <w:shd w:val="clear" w:color="auto" w:fill="FFFFFF"/>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Функції в частині здійснення державного контролю та нагляду за додержанням вимог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будуть </w:t>
      </w:r>
      <w:r w:rsidR="00256259" w:rsidRPr="00943DFD">
        <w:rPr>
          <w:rFonts w:ascii="Times New Roman" w:hAnsi="Times New Roman" w:cs="Times New Roman"/>
          <w:sz w:val="28"/>
          <w:szCs w:val="28"/>
        </w:rPr>
        <w:t>здійснюватися</w:t>
      </w:r>
      <w:r w:rsidRPr="00943DFD">
        <w:rPr>
          <w:rFonts w:ascii="Times New Roman" w:hAnsi="Times New Roman" w:cs="Times New Roman"/>
          <w:sz w:val="28"/>
          <w:szCs w:val="28"/>
        </w:rPr>
        <w:t xml:space="preserve"> державними органами, яким, відповідно до законодавства, надані такі повноваження. </w:t>
      </w:r>
    </w:p>
    <w:p w14:paraId="55AE4EDE" w14:textId="77777777" w:rsidR="00D165E3" w:rsidRPr="00943DFD" w:rsidRDefault="00D165E3" w:rsidP="00DC6752">
      <w:pPr>
        <w:widowControl w:val="0"/>
        <w:shd w:val="clear" w:color="auto" w:fill="FFFFFF"/>
        <w:spacing w:after="0" w:line="240" w:lineRule="auto"/>
        <w:ind w:firstLine="567"/>
        <w:jc w:val="both"/>
        <w:rPr>
          <w:rFonts w:ascii="Times New Roman" w:hAnsi="Times New Roman" w:cs="Times New Roman"/>
          <w:sz w:val="28"/>
          <w:szCs w:val="28"/>
        </w:rPr>
      </w:pPr>
    </w:p>
    <w:p w14:paraId="1B146E45" w14:textId="77777777" w:rsidR="00DC1500" w:rsidRPr="00943DFD"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 xml:space="preserve">VI. Обґрунтування запропонованого строку дії регуляторного </w:t>
      </w:r>
      <w:proofErr w:type="spellStart"/>
      <w:r w:rsidRPr="00943DFD">
        <w:rPr>
          <w:rFonts w:ascii="Times New Roman" w:hAnsi="Times New Roman" w:cs="Times New Roman"/>
          <w:b/>
          <w:bCs/>
          <w:sz w:val="28"/>
          <w:szCs w:val="28"/>
        </w:rPr>
        <w:t>акта</w:t>
      </w:r>
      <w:proofErr w:type="spellEnd"/>
    </w:p>
    <w:p w14:paraId="79D71BD0" w14:textId="77777777" w:rsidR="00DC1500" w:rsidRPr="00375422" w:rsidRDefault="00DC1500" w:rsidP="00DC6752">
      <w:pPr>
        <w:widowControl w:val="0"/>
        <w:spacing w:after="0" w:line="240" w:lineRule="auto"/>
        <w:ind w:firstLine="567"/>
        <w:jc w:val="center"/>
        <w:rPr>
          <w:rFonts w:ascii="Times New Roman" w:hAnsi="Times New Roman" w:cs="Times New Roman"/>
          <w:b/>
          <w:bCs/>
          <w:sz w:val="28"/>
          <w:szCs w:val="28"/>
        </w:rPr>
      </w:pPr>
    </w:p>
    <w:p w14:paraId="4C52F718" w14:textId="77777777" w:rsidR="00DC1500" w:rsidRDefault="00640C31"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Строк</w:t>
      </w:r>
      <w:r w:rsidRPr="00943DFD">
        <w:rPr>
          <w:rFonts w:ascii="Times New Roman" w:hAnsi="Times New Roman" w:cs="Times New Roman"/>
          <w:sz w:val="28"/>
          <w:szCs w:val="28"/>
          <w:lang w:val="uk-UA" w:eastAsia="en-US"/>
        </w:rPr>
        <w:t xml:space="preserve"> </w:t>
      </w:r>
      <w:r w:rsidR="00DC1500" w:rsidRPr="00943DFD">
        <w:rPr>
          <w:rFonts w:ascii="Times New Roman" w:hAnsi="Times New Roman" w:cs="Times New Roman"/>
          <w:sz w:val="28"/>
          <w:szCs w:val="28"/>
          <w:lang w:val="uk-UA" w:eastAsia="en-US"/>
        </w:rPr>
        <w:t xml:space="preserve">дії </w:t>
      </w:r>
      <w:proofErr w:type="spellStart"/>
      <w:r w:rsidR="00DC1500" w:rsidRPr="00943DFD">
        <w:rPr>
          <w:rFonts w:ascii="Times New Roman" w:hAnsi="Times New Roman" w:cs="Times New Roman"/>
          <w:sz w:val="28"/>
          <w:szCs w:val="28"/>
          <w:lang w:val="uk-UA" w:eastAsia="en-US"/>
        </w:rPr>
        <w:t>акта</w:t>
      </w:r>
      <w:proofErr w:type="spellEnd"/>
      <w:r w:rsidR="00DC1500" w:rsidRPr="00943DFD">
        <w:rPr>
          <w:rFonts w:ascii="Times New Roman" w:hAnsi="Times New Roman" w:cs="Times New Roman"/>
          <w:sz w:val="28"/>
          <w:szCs w:val="28"/>
          <w:lang w:val="uk-UA" w:eastAsia="en-US"/>
        </w:rPr>
        <w:t xml:space="preserve"> необмежений та може бути змінений у разі внесення відповідних змін до законодавства.</w:t>
      </w:r>
    </w:p>
    <w:p w14:paraId="25DE295D" w14:textId="77777777" w:rsidR="007B5019" w:rsidRPr="00375422" w:rsidRDefault="007B5019" w:rsidP="00DC6752">
      <w:pPr>
        <w:pStyle w:val="ad"/>
        <w:widowControl w:val="0"/>
        <w:spacing w:before="0" w:beforeAutospacing="0" w:after="0" w:afterAutospacing="0"/>
        <w:ind w:firstLine="567"/>
        <w:jc w:val="both"/>
        <w:textAlignment w:val="baseline"/>
        <w:rPr>
          <w:rFonts w:ascii="Times New Roman" w:hAnsi="Times New Roman" w:cs="Times New Roman"/>
          <w:sz w:val="32"/>
          <w:szCs w:val="32"/>
          <w:lang w:val="uk-UA" w:eastAsia="en-US"/>
        </w:rPr>
      </w:pPr>
    </w:p>
    <w:p w14:paraId="56E59FDD"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 xml:space="preserve">VII. Визначення показників результативності дії регуляторного </w:t>
      </w:r>
      <w:proofErr w:type="spellStart"/>
      <w:r w:rsidRPr="00943DFD">
        <w:rPr>
          <w:rFonts w:ascii="Times New Roman" w:hAnsi="Times New Roman" w:cs="Times New Roman"/>
          <w:b/>
          <w:bCs/>
          <w:sz w:val="28"/>
          <w:szCs w:val="28"/>
        </w:rPr>
        <w:t>акта</w:t>
      </w:r>
      <w:proofErr w:type="spellEnd"/>
    </w:p>
    <w:p w14:paraId="4232BB46" w14:textId="77777777" w:rsidR="004C290A" w:rsidRPr="00375422" w:rsidRDefault="004C290A" w:rsidP="00DC6752">
      <w:pPr>
        <w:spacing w:after="0" w:line="240" w:lineRule="auto"/>
        <w:ind w:firstLine="567"/>
        <w:jc w:val="both"/>
        <w:rPr>
          <w:rFonts w:ascii="Times New Roman" w:hAnsi="Times New Roman" w:cs="Times New Roman"/>
          <w:sz w:val="28"/>
          <w:szCs w:val="28"/>
        </w:rPr>
      </w:pPr>
    </w:p>
    <w:p w14:paraId="2F474C0A"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Після набрання чинності постанов</w:t>
      </w:r>
      <w:r w:rsidR="001D69A1" w:rsidRPr="00943DFD">
        <w:rPr>
          <w:rFonts w:ascii="Times New Roman" w:hAnsi="Times New Roman" w:cs="Times New Roman"/>
          <w:sz w:val="28"/>
          <w:szCs w:val="28"/>
        </w:rPr>
        <w:t>ою</w:t>
      </w:r>
      <w:r w:rsidRPr="00943DFD">
        <w:rPr>
          <w:rFonts w:ascii="Times New Roman" w:hAnsi="Times New Roman" w:cs="Times New Roman"/>
          <w:sz w:val="28"/>
          <w:szCs w:val="28"/>
        </w:rPr>
        <w:t xml:space="preserve"> НКРЕКП </w:t>
      </w:r>
      <w:r w:rsidR="009C561D" w:rsidRPr="008F5F46">
        <w:rPr>
          <w:rFonts w:ascii="Times New Roman" w:hAnsi="Times New Roman" w:cs="Times New Roman"/>
          <w:sz w:val="28"/>
          <w:szCs w:val="28"/>
        </w:rPr>
        <w:t>«Про затвердження Змін до деяких постанов НКРЕ та НКРЕКП»</w:t>
      </w:r>
      <w:r w:rsidR="009C561D">
        <w:rPr>
          <w:rFonts w:ascii="Times New Roman" w:hAnsi="Times New Roman" w:cs="Times New Roman"/>
          <w:sz w:val="28"/>
          <w:szCs w:val="28"/>
        </w:rPr>
        <w:t xml:space="preserve">, </w:t>
      </w:r>
      <w:r w:rsidRPr="00943DFD">
        <w:rPr>
          <w:rFonts w:ascii="Times New Roman" w:hAnsi="Times New Roman" w:cs="Times New Roman"/>
          <w:sz w:val="28"/>
          <w:szCs w:val="28"/>
        </w:rPr>
        <w:t>її результативність визначатиметься такими показниками:</w:t>
      </w:r>
    </w:p>
    <w:p w14:paraId="5D3CECC7" w14:textId="77777777" w:rsidR="00256BE4" w:rsidRPr="00943DFD" w:rsidRDefault="00256BE4"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1) </w:t>
      </w:r>
      <w:r w:rsidR="00DC1500" w:rsidRPr="00943DFD">
        <w:rPr>
          <w:rFonts w:ascii="Times New Roman" w:hAnsi="Times New Roman" w:cs="Times New Roman"/>
          <w:sz w:val="28"/>
          <w:szCs w:val="28"/>
        </w:rPr>
        <w:t xml:space="preserve">розміром надходжень до державного та місцевих бюджетів і державних цільових фондів, пов'язаних з дією </w:t>
      </w:r>
      <w:proofErr w:type="spellStart"/>
      <w:r w:rsidR="00DC1500" w:rsidRPr="00943DFD">
        <w:rPr>
          <w:rFonts w:ascii="Times New Roman" w:hAnsi="Times New Roman" w:cs="Times New Roman"/>
          <w:sz w:val="28"/>
          <w:szCs w:val="28"/>
        </w:rPr>
        <w:t>акта</w:t>
      </w:r>
      <w:proofErr w:type="spellEnd"/>
      <w:r w:rsidR="00DC1500" w:rsidRPr="00943DFD">
        <w:rPr>
          <w:rFonts w:ascii="Times New Roman" w:hAnsi="Times New Roman" w:cs="Times New Roman"/>
          <w:sz w:val="28"/>
          <w:szCs w:val="28"/>
        </w:rPr>
        <w:t xml:space="preserve"> – не передбачаються;</w:t>
      </w:r>
    </w:p>
    <w:p w14:paraId="055483A2" w14:textId="379BE10C" w:rsidR="00891511" w:rsidRDefault="00256BE4" w:rsidP="00A6594A">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w:t>
      </w:r>
      <w:r w:rsidR="00DC1500" w:rsidRPr="00943DFD">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w:t>
      </w:r>
      <w:proofErr w:type="spellStart"/>
      <w:r w:rsidR="00DC1500" w:rsidRPr="00943DFD">
        <w:rPr>
          <w:rFonts w:ascii="Times New Roman" w:hAnsi="Times New Roman" w:cs="Times New Roman"/>
          <w:sz w:val="28"/>
          <w:szCs w:val="28"/>
        </w:rPr>
        <w:t>акта</w:t>
      </w:r>
      <w:proofErr w:type="spellEnd"/>
      <w:r w:rsidR="00DC1500" w:rsidRPr="00943DFD">
        <w:rPr>
          <w:rFonts w:ascii="Times New Roman" w:hAnsi="Times New Roman" w:cs="Times New Roman"/>
          <w:sz w:val="28"/>
          <w:szCs w:val="28"/>
        </w:rPr>
        <w:t xml:space="preserve"> – </w:t>
      </w:r>
      <w:r w:rsidR="001D69A1" w:rsidRPr="00943DFD">
        <w:rPr>
          <w:rFonts w:ascii="Times New Roman" w:hAnsi="Times New Roman" w:cs="Times New Roman"/>
          <w:sz w:val="28"/>
          <w:szCs w:val="28"/>
        </w:rPr>
        <w:t xml:space="preserve">дія </w:t>
      </w:r>
      <w:proofErr w:type="spellStart"/>
      <w:r w:rsidR="001D69A1" w:rsidRPr="00943DFD">
        <w:rPr>
          <w:rFonts w:ascii="Times New Roman" w:hAnsi="Times New Roman" w:cs="Times New Roman"/>
          <w:sz w:val="28"/>
          <w:szCs w:val="28"/>
        </w:rPr>
        <w:t>акта</w:t>
      </w:r>
      <w:proofErr w:type="spellEnd"/>
      <w:r w:rsidR="001D69A1" w:rsidRPr="00943DFD">
        <w:rPr>
          <w:rFonts w:ascii="Times New Roman" w:hAnsi="Times New Roman" w:cs="Times New Roman"/>
          <w:sz w:val="28"/>
          <w:szCs w:val="28"/>
        </w:rPr>
        <w:t xml:space="preserve"> поширюватиметься</w:t>
      </w:r>
      <w:r w:rsidR="00F45F91" w:rsidRPr="00F45F91">
        <w:rPr>
          <w:rFonts w:ascii="Times New Roman" w:hAnsi="Times New Roman" w:cs="Times New Roman"/>
          <w:sz w:val="28"/>
          <w:szCs w:val="28"/>
        </w:rPr>
        <w:t xml:space="preserve"> </w:t>
      </w:r>
      <w:r w:rsidR="00F45F91">
        <w:rPr>
          <w:rFonts w:ascii="Times New Roman" w:hAnsi="Times New Roman" w:cs="Times New Roman"/>
          <w:sz w:val="28"/>
          <w:szCs w:val="28"/>
        </w:rPr>
        <w:t>на</w:t>
      </w:r>
      <w:r w:rsidR="001D69A1" w:rsidRPr="00943DFD">
        <w:rPr>
          <w:rFonts w:ascii="Times New Roman" w:hAnsi="Times New Roman" w:cs="Times New Roman"/>
          <w:sz w:val="28"/>
          <w:szCs w:val="28"/>
        </w:rPr>
        <w:t xml:space="preserve"> </w:t>
      </w:r>
      <w:r w:rsidR="00BC671E" w:rsidRPr="00943DFD">
        <w:rPr>
          <w:rFonts w:ascii="Times New Roman" w:hAnsi="Times New Roman" w:cs="Times New Roman"/>
          <w:sz w:val="28"/>
          <w:szCs w:val="28"/>
        </w:rPr>
        <w:t xml:space="preserve">суб’єктів господарювання, які </w:t>
      </w:r>
      <w:r w:rsidR="000E374A">
        <w:rPr>
          <w:rFonts w:ascii="Times New Roman" w:hAnsi="Times New Roman" w:cs="Times New Roman"/>
          <w:sz w:val="28"/>
          <w:szCs w:val="28"/>
        </w:rPr>
        <w:t>провадять</w:t>
      </w:r>
      <w:r w:rsidR="000E374A" w:rsidRPr="00943DFD">
        <w:rPr>
          <w:rFonts w:ascii="Times New Roman" w:hAnsi="Times New Roman" w:cs="Times New Roman"/>
          <w:sz w:val="28"/>
          <w:szCs w:val="28"/>
        </w:rPr>
        <w:t xml:space="preserve"> </w:t>
      </w:r>
      <w:r w:rsidR="00BC671E" w:rsidRPr="00943DFD">
        <w:rPr>
          <w:rFonts w:ascii="Times New Roman" w:hAnsi="Times New Roman" w:cs="Times New Roman"/>
          <w:sz w:val="28"/>
          <w:szCs w:val="28"/>
        </w:rPr>
        <w:t>діяльність з розподілу електричної енергії</w:t>
      </w:r>
      <w:r w:rsidR="00760BBD">
        <w:rPr>
          <w:rFonts w:ascii="Times New Roman" w:hAnsi="Times New Roman" w:cs="Times New Roman"/>
          <w:sz w:val="28"/>
          <w:szCs w:val="28"/>
        </w:rPr>
        <w:t xml:space="preserve"> </w:t>
      </w:r>
      <w:r w:rsidR="00891511" w:rsidRPr="00A33081">
        <w:rPr>
          <w:rFonts w:ascii="Times New Roman" w:hAnsi="Times New Roman" w:cs="Times New Roman"/>
          <w:sz w:val="28"/>
          <w:szCs w:val="28"/>
        </w:rPr>
        <w:t xml:space="preserve">(із застосуванням стимулюючого </w:t>
      </w:r>
      <w:proofErr w:type="spellStart"/>
      <w:r w:rsidR="00891511" w:rsidRPr="00A33081">
        <w:rPr>
          <w:rFonts w:ascii="Times New Roman" w:hAnsi="Times New Roman" w:cs="Times New Roman"/>
          <w:sz w:val="28"/>
          <w:szCs w:val="28"/>
        </w:rPr>
        <w:t>тарифоутворення</w:t>
      </w:r>
      <w:proofErr w:type="spellEnd"/>
      <w:r w:rsidR="00A6594A">
        <w:rPr>
          <w:rFonts w:ascii="Times New Roman" w:hAnsi="Times New Roman" w:cs="Times New Roman"/>
          <w:sz w:val="28"/>
          <w:szCs w:val="28"/>
        </w:rPr>
        <w:t xml:space="preserve"> та </w:t>
      </w:r>
      <w:r w:rsidR="00A6594A" w:rsidRPr="00A6594A">
        <w:rPr>
          <w:rFonts w:ascii="Times New Roman" w:hAnsi="Times New Roman" w:cs="Times New Roman"/>
          <w:sz w:val="28"/>
          <w:szCs w:val="28"/>
        </w:rPr>
        <w:t>із застосуванням методології «витрати +»</w:t>
      </w:r>
      <w:r w:rsidR="00891511" w:rsidRPr="00A33081">
        <w:rPr>
          <w:rFonts w:ascii="Times New Roman" w:hAnsi="Times New Roman" w:cs="Times New Roman"/>
          <w:sz w:val="28"/>
          <w:szCs w:val="28"/>
        </w:rPr>
        <w:t>)</w:t>
      </w:r>
      <w:r w:rsidR="00891511">
        <w:rPr>
          <w:rFonts w:ascii="Times New Roman" w:hAnsi="Times New Roman" w:cs="Times New Roman"/>
          <w:sz w:val="28"/>
          <w:szCs w:val="28"/>
        </w:rPr>
        <w:t>;</w:t>
      </w:r>
    </w:p>
    <w:p w14:paraId="164AA290" w14:textId="721554E2" w:rsidR="00112D23" w:rsidRPr="00D55250" w:rsidRDefault="00112D23" w:rsidP="00781CFE">
      <w:pPr>
        <w:spacing w:after="0" w:line="240" w:lineRule="auto"/>
        <w:ind w:firstLine="567"/>
        <w:jc w:val="both"/>
        <w:rPr>
          <w:rFonts w:ascii="Times New Roman" w:hAnsi="Times New Roman" w:cs="Times New Roman"/>
          <w:sz w:val="28"/>
          <w:szCs w:val="28"/>
        </w:rPr>
      </w:pPr>
      <w:r w:rsidRPr="00D55250">
        <w:rPr>
          <w:rFonts w:ascii="Times New Roman" w:hAnsi="Times New Roman" w:cs="Times New Roman"/>
          <w:sz w:val="28"/>
          <w:szCs w:val="28"/>
        </w:rPr>
        <w:t>3)</w:t>
      </w:r>
      <w:r w:rsidR="00A6594A" w:rsidRPr="00D55250">
        <w:rPr>
          <w:rFonts w:ascii="Times New Roman" w:hAnsi="Times New Roman" w:cs="Times New Roman"/>
          <w:sz w:val="28"/>
          <w:szCs w:val="28"/>
        </w:rPr>
        <w:t xml:space="preserve"> </w:t>
      </w:r>
      <w:r w:rsidRPr="00D55250">
        <w:rPr>
          <w:rFonts w:ascii="Times New Roman" w:hAnsi="Times New Roman" w:cs="Times New Roman"/>
          <w:sz w:val="28"/>
          <w:szCs w:val="28"/>
        </w:rPr>
        <w:t xml:space="preserve">рівнем прибутку на регуляторну базу активів, </w:t>
      </w:r>
      <w:r w:rsidR="00781CFE" w:rsidRPr="00D55250">
        <w:rPr>
          <w:rFonts w:ascii="Times New Roman" w:hAnsi="Times New Roman" w:cs="Times New Roman"/>
          <w:sz w:val="28"/>
          <w:szCs w:val="28"/>
        </w:rPr>
        <w:t xml:space="preserve">яка створена після переходу на стимулююче регулювання, з урахуванням </w:t>
      </w:r>
      <w:r w:rsidRPr="00D55250">
        <w:rPr>
          <w:rFonts w:ascii="Times New Roman" w:hAnsi="Times New Roman" w:cs="Times New Roman"/>
          <w:sz w:val="28"/>
          <w:szCs w:val="28"/>
        </w:rPr>
        <w:t>встановлен</w:t>
      </w:r>
      <w:r w:rsidR="00781CFE" w:rsidRPr="00D55250">
        <w:rPr>
          <w:rFonts w:ascii="Times New Roman" w:hAnsi="Times New Roman" w:cs="Times New Roman"/>
          <w:sz w:val="28"/>
          <w:szCs w:val="28"/>
        </w:rPr>
        <w:t>ої</w:t>
      </w:r>
      <w:r w:rsidRPr="00D55250">
        <w:rPr>
          <w:rFonts w:ascii="Times New Roman" w:hAnsi="Times New Roman" w:cs="Times New Roman"/>
          <w:sz w:val="28"/>
          <w:szCs w:val="28"/>
        </w:rPr>
        <w:t xml:space="preserve"> НКРЕКП регуляторн</w:t>
      </w:r>
      <w:r w:rsidR="00781CFE" w:rsidRPr="00D55250">
        <w:rPr>
          <w:rFonts w:ascii="Times New Roman" w:hAnsi="Times New Roman" w:cs="Times New Roman"/>
          <w:sz w:val="28"/>
          <w:szCs w:val="28"/>
        </w:rPr>
        <w:t>ої</w:t>
      </w:r>
      <w:r w:rsidRPr="00D55250">
        <w:rPr>
          <w:rFonts w:ascii="Times New Roman" w:hAnsi="Times New Roman" w:cs="Times New Roman"/>
          <w:sz w:val="28"/>
          <w:szCs w:val="28"/>
        </w:rPr>
        <w:t xml:space="preserve"> норм</w:t>
      </w:r>
      <w:r w:rsidR="00781CFE" w:rsidRPr="00D55250">
        <w:rPr>
          <w:rFonts w:ascii="Times New Roman" w:hAnsi="Times New Roman" w:cs="Times New Roman"/>
          <w:sz w:val="28"/>
          <w:szCs w:val="28"/>
        </w:rPr>
        <w:t>и</w:t>
      </w:r>
      <w:r w:rsidRPr="00D55250">
        <w:rPr>
          <w:rFonts w:ascii="Times New Roman" w:hAnsi="Times New Roman" w:cs="Times New Roman"/>
          <w:sz w:val="28"/>
          <w:szCs w:val="28"/>
        </w:rPr>
        <w:t xml:space="preserve"> доходу на регуляторну базу активів, яка створена після переходу на с</w:t>
      </w:r>
      <w:r w:rsidR="00D165E3" w:rsidRPr="00D55250">
        <w:rPr>
          <w:rFonts w:ascii="Times New Roman" w:hAnsi="Times New Roman" w:cs="Times New Roman"/>
          <w:sz w:val="28"/>
          <w:szCs w:val="28"/>
        </w:rPr>
        <w:t>тимулююче регулювання (</w:t>
      </w:r>
      <w:r w:rsidR="00A6594A" w:rsidRPr="00D55250">
        <w:rPr>
          <w:rFonts w:ascii="Times New Roman" w:hAnsi="Times New Roman" w:cs="Times New Roman"/>
          <w:sz w:val="28"/>
          <w:szCs w:val="28"/>
        </w:rPr>
        <w:t xml:space="preserve">в умовах воєнного </w:t>
      </w:r>
      <w:r w:rsidR="00AD1D3C">
        <w:rPr>
          <w:rFonts w:ascii="Times New Roman" w:hAnsi="Times New Roman" w:cs="Times New Roman"/>
          <w:sz w:val="28"/>
          <w:szCs w:val="28"/>
        </w:rPr>
        <w:t>стану</w:t>
      </w:r>
      <w:r w:rsidR="00AD1D3C" w:rsidRPr="00D55250">
        <w:rPr>
          <w:rFonts w:ascii="Times New Roman" w:hAnsi="Times New Roman" w:cs="Times New Roman"/>
          <w:sz w:val="28"/>
          <w:szCs w:val="28"/>
        </w:rPr>
        <w:t xml:space="preserve"> </w:t>
      </w:r>
      <w:r w:rsidR="00781CFE" w:rsidRPr="00D55250">
        <w:rPr>
          <w:rFonts w:ascii="Times New Roman" w:hAnsi="Times New Roman" w:cs="Times New Roman"/>
          <w:sz w:val="28"/>
          <w:szCs w:val="28"/>
        </w:rPr>
        <w:t>враховується на рівні</w:t>
      </w:r>
      <w:r w:rsidR="00725D1D">
        <w:rPr>
          <w:rFonts w:ascii="Times New Roman" w:hAnsi="Times New Roman" w:cs="Times New Roman"/>
          <w:sz w:val="28"/>
          <w:szCs w:val="28"/>
        </w:rPr>
        <w:t xml:space="preserve"> 3%</w:t>
      </w:r>
      <w:r w:rsidR="00D165E3" w:rsidRPr="00D55250">
        <w:rPr>
          <w:rFonts w:ascii="Times New Roman" w:hAnsi="Times New Roman" w:cs="Times New Roman"/>
          <w:sz w:val="28"/>
          <w:szCs w:val="28"/>
        </w:rPr>
        <w:t>);</w:t>
      </w:r>
    </w:p>
    <w:p w14:paraId="484B3771" w14:textId="77777777" w:rsidR="00DC1500" w:rsidRPr="00943DFD" w:rsidRDefault="00112D23" w:rsidP="008915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256BE4" w:rsidRPr="00943DFD">
        <w:rPr>
          <w:rFonts w:ascii="Times New Roman" w:hAnsi="Times New Roman" w:cs="Times New Roman"/>
          <w:sz w:val="28"/>
          <w:szCs w:val="28"/>
        </w:rPr>
        <w:t>) </w:t>
      </w:r>
      <w:r w:rsidR="00DC1500" w:rsidRPr="00943DFD">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w:t>
      </w:r>
      <w:proofErr w:type="spellStart"/>
      <w:r w:rsidR="00DC1500" w:rsidRPr="00943DFD">
        <w:rPr>
          <w:rFonts w:ascii="Times New Roman" w:hAnsi="Times New Roman" w:cs="Times New Roman"/>
          <w:sz w:val="28"/>
          <w:szCs w:val="28"/>
        </w:rPr>
        <w:t>акта</w:t>
      </w:r>
      <w:proofErr w:type="spellEnd"/>
      <w:r w:rsidR="00DC1500" w:rsidRPr="00943DFD">
        <w:rPr>
          <w:rFonts w:ascii="Times New Roman" w:hAnsi="Times New Roman" w:cs="Times New Roman"/>
          <w:sz w:val="28"/>
          <w:szCs w:val="28"/>
        </w:rPr>
        <w:t xml:space="preserve"> </w:t>
      </w:r>
      <w:r w:rsidR="00B26044">
        <w:rPr>
          <w:rFonts w:ascii="Times New Roman" w:hAnsi="Times New Roman" w:cs="Times New Roman"/>
          <w:sz w:val="28"/>
          <w:szCs w:val="28"/>
        </w:rPr>
        <w:t xml:space="preserve">– </w:t>
      </w:r>
      <w:r w:rsidR="00DC1500" w:rsidRPr="00943DFD">
        <w:rPr>
          <w:rFonts w:ascii="Times New Roman" w:hAnsi="Times New Roman" w:cs="Times New Roman"/>
          <w:sz w:val="28"/>
          <w:szCs w:val="28"/>
        </w:rPr>
        <w:t xml:space="preserve">середній. </w:t>
      </w:r>
    </w:p>
    <w:p w14:paraId="089ACEAF" w14:textId="77777777"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Відповідно до статті 15 Закону України «Про Національну комісію, що здійснює державне регулювання у сферах енергетики та комунальних послуг» </w:t>
      </w:r>
      <w:proofErr w:type="spellStart"/>
      <w:r w:rsidRPr="00943DFD">
        <w:rPr>
          <w:rFonts w:ascii="Times New Roman" w:hAnsi="Times New Roman" w:cs="Times New Roman"/>
          <w:sz w:val="28"/>
          <w:szCs w:val="28"/>
        </w:rPr>
        <w:t>про</w:t>
      </w:r>
      <w:r w:rsidR="008C6D40" w:rsidRPr="00943DFD">
        <w:rPr>
          <w:rFonts w:ascii="Times New Roman" w:hAnsi="Times New Roman" w:cs="Times New Roman"/>
          <w:sz w:val="28"/>
          <w:szCs w:val="28"/>
        </w:rPr>
        <w:t>є</w:t>
      </w:r>
      <w:r w:rsidRPr="00943DFD">
        <w:rPr>
          <w:rFonts w:ascii="Times New Roman" w:hAnsi="Times New Roman" w:cs="Times New Roman"/>
          <w:sz w:val="28"/>
          <w:szCs w:val="28"/>
        </w:rPr>
        <w:t>кт</w:t>
      </w:r>
      <w:proofErr w:type="spellEnd"/>
      <w:r w:rsidRPr="00943DFD">
        <w:rPr>
          <w:rFonts w:ascii="Times New Roman" w:hAnsi="Times New Roman" w:cs="Times New Roman"/>
          <w:sz w:val="28"/>
          <w:szCs w:val="28"/>
        </w:rPr>
        <w:t xml:space="preserve"> постанови НКРЕКП </w:t>
      </w:r>
      <w:r w:rsidR="009C561D" w:rsidRPr="008F5F46">
        <w:rPr>
          <w:rFonts w:ascii="Times New Roman" w:hAnsi="Times New Roman" w:cs="Times New Roman"/>
          <w:sz w:val="28"/>
          <w:szCs w:val="28"/>
        </w:rPr>
        <w:t>«Про затвердження Змін до деяких постанов НКРЕ та НКРЕКП»</w:t>
      </w:r>
      <w:r w:rsidR="003B2344" w:rsidRPr="00A045B4">
        <w:rPr>
          <w:rFonts w:ascii="Times New Roman" w:hAnsi="Times New Roman" w:cs="Times New Roman"/>
          <w:sz w:val="28"/>
          <w:szCs w:val="28"/>
        </w:rPr>
        <w:t>,</w:t>
      </w:r>
      <w:r w:rsidR="003B2344">
        <w:rPr>
          <w:rFonts w:ascii="Times New Roman" w:hAnsi="Times New Roman" w:cs="Times New Roman"/>
          <w:sz w:val="28"/>
          <w:szCs w:val="28"/>
        </w:rPr>
        <w:t xml:space="preserve"> </w:t>
      </w:r>
      <w:r w:rsidRPr="00943DFD">
        <w:rPr>
          <w:rFonts w:ascii="Times New Roman" w:hAnsi="Times New Roman" w:cs="Times New Roman"/>
          <w:sz w:val="28"/>
          <w:szCs w:val="28"/>
        </w:rPr>
        <w:t xml:space="preserve">аналіз впливу рішення НКРЕКП, що має ознаки регуляторного </w:t>
      </w:r>
      <w:proofErr w:type="spellStart"/>
      <w:r w:rsidRPr="00943DFD">
        <w:rPr>
          <w:rFonts w:ascii="Times New Roman" w:hAnsi="Times New Roman" w:cs="Times New Roman"/>
          <w:sz w:val="28"/>
          <w:szCs w:val="28"/>
        </w:rPr>
        <w:t>акта</w:t>
      </w:r>
      <w:proofErr w:type="spellEnd"/>
      <w:r w:rsidR="001228F1">
        <w:rPr>
          <w:rFonts w:ascii="Times New Roman" w:hAnsi="Times New Roman" w:cs="Times New Roman"/>
          <w:sz w:val="28"/>
          <w:szCs w:val="28"/>
        </w:rPr>
        <w:t>,</w:t>
      </w:r>
      <w:r w:rsidRPr="00943DFD">
        <w:rPr>
          <w:rFonts w:ascii="Times New Roman" w:hAnsi="Times New Roman" w:cs="Times New Roman"/>
          <w:sz w:val="28"/>
          <w:szCs w:val="28"/>
        </w:rPr>
        <w:t xml:space="preserve"> та повідомлення про оприлюднення розміщено на офіційному </w:t>
      </w:r>
      <w:proofErr w:type="spellStart"/>
      <w:r w:rsidRPr="00943DFD">
        <w:rPr>
          <w:rFonts w:ascii="Times New Roman" w:hAnsi="Times New Roman" w:cs="Times New Roman"/>
          <w:sz w:val="28"/>
          <w:szCs w:val="28"/>
        </w:rPr>
        <w:t>вебсайті</w:t>
      </w:r>
      <w:proofErr w:type="spellEnd"/>
      <w:r w:rsidRPr="00943DFD">
        <w:rPr>
          <w:rFonts w:ascii="Times New Roman" w:hAnsi="Times New Roman" w:cs="Times New Roman"/>
          <w:sz w:val="28"/>
          <w:szCs w:val="28"/>
        </w:rPr>
        <w:t xml:space="preserve"> Національної комісії, що здійснює державне регулювання у сферах енергетики та комунальних послуг, в мережі Інтернет </w:t>
      </w:r>
      <w:r w:rsidR="00B26044">
        <w:rPr>
          <w:rFonts w:ascii="Times New Roman" w:hAnsi="Times New Roman" w:cs="Times New Roman"/>
          <w:sz w:val="28"/>
          <w:szCs w:val="28"/>
        </w:rPr>
        <w:t xml:space="preserve">за посиланням: </w:t>
      </w:r>
      <w:r w:rsidRPr="00943DFD">
        <w:rPr>
          <w:rFonts w:ascii="Times New Roman" w:hAnsi="Times New Roman" w:cs="Times New Roman"/>
          <w:sz w:val="28"/>
          <w:szCs w:val="28"/>
        </w:rPr>
        <w:t xml:space="preserve">http://nerc.gov.ua. </w:t>
      </w:r>
    </w:p>
    <w:p w14:paraId="35F7C0E1" w14:textId="77777777" w:rsidR="00B26044" w:rsidRDefault="00DC1500"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НКРЕКП у межах компетенції надає необ</w:t>
      </w:r>
      <w:r w:rsidR="008C6D40" w:rsidRPr="00943DFD">
        <w:rPr>
          <w:rFonts w:ascii="Times New Roman" w:hAnsi="Times New Roman" w:cs="Times New Roman"/>
          <w:sz w:val="28"/>
          <w:szCs w:val="28"/>
        </w:rPr>
        <w:t xml:space="preserve">хідні роз’яснення щодо норм </w:t>
      </w:r>
      <w:proofErr w:type="spellStart"/>
      <w:r w:rsidR="008C6D40" w:rsidRPr="00943DFD">
        <w:rPr>
          <w:rFonts w:ascii="Times New Roman" w:hAnsi="Times New Roman" w:cs="Times New Roman"/>
          <w:sz w:val="28"/>
          <w:szCs w:val="28"/>
        </w:rPr>
        <w:t>проє</w:t>
      </w:r>
      <w:r w:rsidRPr="00943DFD">
        <w:rPr>
          <w:rFonts w:ascii="Times New Roman" w:hAnsi="Times New Roman" w:cs="Times New Roman"/>
          <w:sz w:val="28"/>
          <w:szCs w:val="28"/>
        </w:rPr>
        <w:t>кту</w:t>
      </w:r>
      <w:proofErr w:type="spellEnd"/>
      <w:r w:rsidRPr="00943DFD">
        <w:rPr>
          <w:rFonts w:ascii="Times New Roman" w:hAnsi="Times New Roman" w:cs="Times New Roman"/>
          <w:sz w:val="28"/>
          <w:szCs w:val="28"/>
        </w:rPr>
        <w:t xml:space="preserve">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і надаватиме роз’яснення щодо застосування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який буде </w:t>
      </w:r>
      <w:r w:rsidR="001228F1">
        <w:rPr>
          <w:rFonts w:ascii="Times New Roman" w:hAnsi="Times New Roman" w:cs="Times New Roman"/>
          <w:sz w:val="28"/>
          <w:szCs w:val="28"/>
        </w:rPr>
        <w:t>оприлюднено</w:t>
      </w:r>
      <w:r w:rsidR="001228F1" w:rsidRPr="00943DFD">
        <w:rPr>
          <w:rFonts w:ascii="Times New Roman" w:hAnsi="Times New Roman" w:cs="Times New Roman"/>
          <w:sz w:val="28"/>
          <w:szCs w:val="28"/>
        </w:rPr>
        <w:t xml:space="preserve"> </w:t>
      </w:r>
      <w:r w:rsidR="00B26044">
        <w:rPr>
          <w:rFonts w:ascii="Times New Roman" w:hAnsi="Times New Roman" w:cs="Times New Roman"/>
          <w:sz w:val="28"/>
          <w:szCs w:val="28"/>
        </w:rPr>
        <w:t xml:space="preserve">на офіційному </w:t>
      </w:r>
      <w:proofErr w:type="spellStart"/>
      <w:r w:rsidR="00B26044">
        <w:rPr>
          <w:rFonts w:ascii="Times New Roman" w:hAnsi="Times New Roman" w:cs="Times New Roman"/>
          <w:sz w:val="28"/>
          <w:szCs w:val="28"/>
        </w:rPr>
        <w:t>вебсайті</w:t>
      </w:r>
      <w:proofErr w:type="spellEnd"/>
      <w:r w:rsidR="00B26044">
        <w:rPr>
          <w:rFonts w:ascii="Times New Roman" w:hAnsi="Times New Roman" w:cs="Times New Roman"/>
          <w:sz w:val="28"/>
          <w:szCs w:val="28"/>
        </w:rPr>
        <w:t xml:space="preserve"> </w:t>
      </w:r>
      <w:r w:rsidR="001228F1">
        <w:rPr>
          <w:rFonts w:ascii="Times New Roman" w:hAnsi="Times New Roman" w:cs="Times New Roman"/>
          <w:sz w:val="28"/>
          <w:szCs w:val="28"/>
        </w:rPr>
        <w:t>НКРЕКП після його прийняття</w:t>
      </w:r>
      <w:r w:rsidR="00B26044">
        <w:rPr>
          <w:rFonts w:ascii="Times New Roman" w:hAnsi="Times New Roman" w:cs="Times New Roman"/>
          <w:sz w:val="28"/>
          <w:szCs w:val="28"/>
        </w:rPr>
        <w:t>.</w:t>
      </w:r>
    </w:p>
    <w:p w14:paraId="7CAF3F24" w14:textId="77777777" w:rsidR="00D165E3" w:rsidRDefault="00D165E3" w:rsidP="00DC6752">
      <w:pPr>
        <w:spacing w:after="0" w:line="240" w:lineRule="auto"/>
        <w:ind w:firstLine="567"/>
        <w:jc w:val="center"/>
        <w:rPr>
          <w:rFonts w:ascii="Times New Roman" w:hAnsi="Times New Roman" w:cs="Times New Roman"/>
          <w:b/>
          <w:bCs/>
          <w:sz w:val="28"/>
          <w:szCs w:val="28"/>
        </w:rPr>
      </w:pPr>
    </w:p>
    <w:p w14:paraId="18535487" w14:textId="77777777" w:rsidR="00375422" w:rsidRDefault="00375422" w:rsidP="00DC6752">
      <w:pPr>
        <w:spacing w:after="0" w:line="240" w:lineRule="auto"/>
        <w:ind w:firstLine="567"/>
        <w:jc w:val="center"/>
        <w:rPr>
          <w:rFonts w:ascii="Times New Roman" w:hAnsi="Times New Roman" w:cs="Times New Roman"/>
          <w:b/>
          <w:bCs/>
          <w:sz w:val="28"/>
          <w:szCs w:val="28"/>
        </w:rPr>
      </w:pPr>
    </w:p>
    <w:p w14:paraId="6A164C40" w14:textId="77777777"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lastRenderedPageBreak/>
        <w:t>VII</w:t>
      </w:r>
      <w:r w:rsidRPr="00943DFD">
        <w:rPr>
          <w:rFonts w:ascii="Times New Roman" w:hAnsi="Times New Roman" w:cs="Times New Roman"/>
          <w:b/>
          <w:bCs/>
          <w:sz w:val="28"/>
          <w:szCs w:val="28"/>
          <w:lang w:val="en-US"/>
        </w:rPr>
        <w:t>I</w:t>
      </w:r>
      <w:r w:rsidRPr="00943DFD">
        <w:rPr>
          <w:rFonts w:ascii="Times New Roman" w:hAnsi="Times New Roman" w:cs="Times New Roman"/>
          <w:b/>
          <w:bCs/>
          <w:sz w:val="28"/>
          <w:szCs w:val="28"/>
        </w:rPr>
        <w:t>.</w:t>
      </w:r>
      <w:r w:rsidRPr="00943DFD">
        <w:rPr>
          <w:rFonts w:ascii="Times New Roman" w:hAnsi="Times New Roman" w:cs="Times New Roman"/>
          <w:b/>
          <w:bCs/>
          <w:sz w:val="28"/>
          <w:szCs w:val="28"/>
          <w:lang w:val="ru-RU"/>
        </w:rPr>
        <w:t xml:space="preserve"> </w:t>
      </w:r>
      <w:r w:rsidRPr="00943DFD">
        <w:rPr>
          <w:rFonts w:ascii="Times New Roman" w:hAnsi="Times New Roman" w:cs="Times New Roman"/>
          <w:b/>
          <w:bCs/>
          <w:sz w:val="28"/>
          <w:szCs w:val="28"/>
        </w:rPr>
        <w:t xml:space="preserve">Очікуванні результати прийняття регуляторного </w:t>
      </w:r>
      <w:proofErr w:type="spellStart"/>
      <w:r w:rsidRPr="00943DFD">
        <w:rPr>
          <w:rFonts w:ascii="Times New Roman" w:hAnsi="Times New Roman" w:cs="Times New Roman"/>
          <w:b/>
          <w:bCs/>
          <w:sz w:val="28"/>
          <w:szCs w:val="28"/>
        </w:rPr>
        <w:t>акта</w:t>
      </w:r>
      <w:proofErr w:type="spellEnd"/>
    </w:p>
    <w:p w14:paraId="74781CF9" w14:textId="77777777" w:rsidR="00DC1500" w:rsidRPr="00055385" w:rsidRDefault="00DC1500" w:rsidP="00DC6752">
      <w:pPr>
        <w:spacing w:after="0" w:line="240" w:lineRule="auto"/>
        <w:ind w:firstLine="567"/>
        <w:jc w:val="both"/>
        <w:rPr>
          <w:rFonts w:ascii="Times New Roman" w:hAnsi="Times New Roman" w:cs="Times New Roman"/>
          <w:sz w:val="18"/>
          <w:szCs w:val="18"/>
        </w:rPr>
      </w:pPr>
    </w:p>
    <w:p w14:paraId="3EFC619C" w14:textId="6E6015DF" w:rsidR="009C561D" w:rsidRPr="00D55250" w:rsidRDefault="00CF3C5E"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Очікуваним р</w:t>
      </w:r>
      <w:r w:rsidR="007927C0" w:rsidRPr="00943DFD">
        <w:rPr>
          <w:rFonts w:ascii="Times New Roman" w:hAnsi="Times New Roman" w:cs="Times New Roman"/>
          <w:sz w:val="28"/>
          <w:szCs w:val="28"/>
        </w:rPr>
        <w:t>езультатом п</w:t>
      </w:r>
      <w:r w:rsidR="00DC1500" w:rsidRPr="00943DFD">
        <w:rPr>
          <w:rFonts w:ascii="Times New Roman" w:hAnsi="Times New Roman" w:cs="Times New Roman"/>
          <w:sz w:val="28"/>
          <w:szCs w:val="28"/>
        </w:rPr>
        <w:t xml:space="preserve">рийняття </w:t>
      </w:r>
      <w:proofErr w:type="spellStart"/>
      <w:r w:rsidR="00DC1500" w:rsidRPr="00943DFD">
        <w:rPr>
          <w:rFonts w:ascii="Times New Roman" w:hAnsi="Times New Roman" w:cs="Times New Roman"/>
          <w:sz w:val="28"/>
          <w:szCs w:val="28"/>
        </w:rPr>
        <w:t>про</w:t>
      </w:r>
      <w:r w:rsidR="001D69A1" w:rsidRPr="00943DFD">
        <w:rPr>
          <w:rFonts w:ascii="Times New Roman" w:hAnsi="Times New Roman" w:cs="Times New Roman"/>
          <w:sz w:val="28"/>
          <w:szCs w:val="28"/>
        </w:rPr>
        <w:t>є</w:t>
      </w:r>
      <w:r w:rsidR="00DC1500" w:rsidRPr="00943DFD">
        <w:rPr>
          <w:rFonts w:ascii="Times New Roman" w:hAnsi="Times New Roman" w:cs="Times New Roman"/>
          <w:sz w:val="28"/>
          <w:szCs w:val="28"/>
        </w:rPr>
        <w:t>кту</w:t>
      </w:r>
      <w:proofErr w:type="spellEnd"/>
      <w:r w:rsidR="00DC1500" w:rsidRPr="00943DFD">
        <w:rPr>
          <w:rFonts w:ascii="Times New Roman" w:hAnsi="Times New Roman" w:cs="Times New Roman"/>
          <w:sz w:val="28"/>
          <w:szCs w:val="28"/>
        </w:rPr>
        <w:t xml:space="preserve"> постанови НКРЕКП </w:t>
      </w:r>
      <w:r w:rsidR="001D26DF">
        <w:rPr>
          <w:rFonts w:ascii="Times New Roman" w:hAnsi="Times New Roman" w:cs="Times New Roman"/>
          <w:sz w:val="28"/>
          <w:szCs w:val="28"/>
        </w:rPr>
        <w:t>«</w:t>
      </w:r>
      <w:r w:rsidR="009C561D" w:rsidRPr="008F5F46">
        <w:rPr>
          <w:rFonts w:ascii="Times New Roman" w:hAnsi="Times New Roman" w:cs="Times New Roman"/>
          <w:sz w:val="28"/>
          <w:szCs w:val="28"/>
        </w:rPr>
        <w:t xml:space="preserve">Про затвердження Змін до деяких постанов НКРЕ та НКРЕКП» </w:t>
      </w:r>
      <w:r w:rsidR="00CB39EA" w:rsidRPr="00943DFD">
        <w:rPr>
          <w:rFonts w:ascii="Times New Roman" w:hAnsi="Times New Roman" w:cs="Times New Roman"/>
          <w:sz w:val="28"/>
          <w:szCs w:val="28"/>
        </w:rPr>
        <w:t xml:space="preserve">має стати </w:t>
      </w:r>
      <w:r w:rsidR="007927C0" w:rsidRPr="00943DFD">
        <w:rPr>
          <w:rFonts w:ascii="Times New Roman" w:hAnsi="Times New Roman" w:cs="Times New Roman"/>
          <w:sz w:val="28"/>
          <w:szCs w:val="28"/>
        </w:rPr>
        <w:t xml:space="preserve">удосконалення </w:t>
      </w:r>
      <w:r w:rsidR="009C561D" w:rsidRPr="00101840">
        <w:rPr>
          <w:rFonts w:ascii="Times New Roman" w:hAnsi="Times New Roman" w:cs="Times New Roman"/>
          <w:sz w:val="28"/>
          <w:szCs w:val="28"/>
        </w:rPr>
        <w:t>постанов НКРЕ та НКРЕКП</w:t>
      </w:r>
      <w:r w:rsidR="009C561D" w:rsidRPr="009C561D">
        <w:rPr>
          <w:rFonts w:ascii="Times New Roman" w:hAnsi="Times New Roman" w:cs="Times New Roman"/>
          <w:sz w:val="28"/>
          <w:szCs w:val="28"/>
        </w:rPr>
        <w:t xml:space="preserve"> </w:t>
      </w:r>
      <w:r w:rsidR="005977A2" w:rsidRPr="00D55250">
        <w:rPr>
          <w:rFonts w:ascii="Times New Roman" w:hAnsi="Times New Roman" w:cs="Times New Roman"/>
          <w:sz w:val="28"/>
          <w:szCs w:val="28"/>
        </w:rPr>
        <w:t>для</w:t>
      </w:r>
      <w:r w:rsidR="009C561D" w:rsidRPr="00D55250">
        <w:rPr>
          <w:rFonts w:ascii="Times New Roman" w:hAnsi="Times New Roman" w:cs="Times New Roman"/>
          <w:sz w:val="28"/>
          <w:szCs w:val="28"/>
        </w:rPr>
        <w:t xml:space="preserve"> забезпечення формуванн</w:t>
      </w:r>
      <w:r w:rsidR="00781CFE" w:rsidRPr="00D55250">
        <w:rPr>
          <w:rFonts w:ascii="Times New Roman" w:hAnsi="Times New Roman" w:cs="Times New Roman"/>
          <w:sz w:val="28"/>
          <w:szCs w:val="28"/>
        </w:rPr>
        <w:t xml:space="preserve">я </w:t>
      </w:r>
      <w:r w:rsidR="009C561D" w:rsidRPr="00D55250">
        <w:rPr>
          <w:rFonts w:ascii="Times New Roman" w:hAnsi="Times New Roman" w:cs="Times New Roman"/>
          <w:sz w:val="28"/>
          <w:szCs w:val="28"/>
        </w:rPr>
        <w:t>та встановленн</w:t>
      </w:r>
      <w:r w:rsidR="00781CFE" w:rsidRPr="00D55250">
        <w:rPr>
          <w:rFonts w:ascii="Times New Roman" w:hAnsi="Times New Roman" w:cs="Times New Roman"/>
          <w:sz w:val="28"/>
          <w:szCs w:val="28"/>
        </w:rPr>
        <w:t>я</w:t>
      </w:r>
      <w:r w:rsidR="009C561D" w:rsidRPr="00D55250">
        <w:rPr>
          <w:rFonts w:ascii="Times New Roman" w:hAnsi="Times New Roman" w:cs="Times New Roman"/>
          <w:sz w:val="28"/>
          <w:szCs w:val="28"/>
        </w:rPr>
        <w:t xml:space="preserve"> тарифів на послуги з розподілу електричної енергії</w:t>
      </w:r>
      <w:r w:rsidR="00554C67" w:rsidRPr="00D55250">
        <w:rPr>
          <w:rFonts w:ascii="Times New Roman" w:hAnsi="Times New Roman" w:cs="Times New Roman"/>
          <w:sz w:val="28"/>
          <w:szCs w:val="28"/>
        </w:rPr>
        <w:t xml:space="preserve"> в умовах воєнного </w:t>
      </w:r>
      <w:r w:rsidR="00AD1D3C">
        <w:rPr>
          <w:rFonts w:ascii="Times New Roman" w:hAnsi="Times New Roman" w:cs="Times New Roman"/>
          <w:sz w:val="28"/>
          <w:szCs w:val="28"/>
        </w:rPr>
        <w:t>стану</w:t>
      </w:r>
      <w:r w:rsidR="009C561D" w:rsidRPr="00D55250">
        <w:rPr>
          <w:rFonts w:ascii="Times New Roman" w:hAnsi="Times New Roman" w:cs="Times New Roman"/>
          <w:sz w:val="28"/>
          <w:szCs w:val="28"/>
        </w:rPr>
        <w:t>.</w:t>
      </w:r>
    </w:p>
    <w:p w14:paraId="73397FE6" w14:textId="77777777" w:rsidR="00CB39EA" w:rsidRDefault="00CB39EA" w:rsidP="00DC6752">
      <w:pPr>
        <w:spacing w:after="0" w:line="240" w:lineRule="auto"/>
        <w:ind w:firstLine="708"/>
        <w:jc w:val="both"/>
        <w:rPr>
          <w:rFonts w:ascii="Times New Roman" w:hAnsi="Times New Roman" w:cs="Times New Roman"/>
          <w:sz w:val="28"/>
          <w:szCs w:val="28"/>
        </w:rPr>
      </w:pPr>
    </w:p>
    <w:p w14:paraId="7FEC9FC6" w14:textId="77777777" w:rsidR="009C561D" w:rsidRDefault="009C561D" w:rsidP="00DC6752">
      <w:pPr>
        <w:spacing w:after="0" w:line="240" w:lineRule="auto"/>
        <w:ind w:firstLine="708"/>
        <w:jc w:val="both"/>
        <w:rPr>
          <w:rFonts w:ascii="Times New Roman" w:hAnsi="Times New Roman" w:cs="Times New Roman"/>
          <w:sz w:val="28"/>
          <w:szCs w:val="28"/>
        </w:rPr>
      </w:pPr>
    </w:p>
    <w:p w14:paraId="33BA6DA2" w14:textId="77777777" w:rsidR="00055385" w:rsidRPr="00943DFD" w:rsidRDefault="00055385" w:rsidP="00DC6752">
      <w:pPr>
        <w:spacing w:after="0" w:line="240" w:lineRule="auto"/>
        <w:ind w:firstLine="708"/>
        <w:jc w:val="both"/>
        <w:rPr>
          <w:rFonts w:ascii="Times New Roman" w:hAnsi="Times New Roman" w:cs="Times New Roman"/>
          <w:sz w:val="28"/>
          <w:szCs w:val="28"/>
        </w:rPr>
      </w:pPr>
    </w:p>
    <w:p w14:paraId="120CBFB0" w14:textId="77777777" w:rsidR="00DC1500" w:rsidRPr="00EC1C31"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Голов</w:t>
      </w:r>
      <w:r w:rsidR="003B2344">
        <w:rPr>
          <w:rFonts w:ascii="Times New Roman" w:hAnsi="Times New Roman" w:cs="Times New Roman"/>
          <w:sz w:val="28"/>
          <w:szCs w:val="28"/>
        </w:rPr>
        <w:t>а</w:t>
      </w:r>
      <w:r w:rsidRPr="00943DFD">
        <w:rPr>
          <w:rFonts w:ascii="Times New Roman" w:hAnsi="Times New Roman" w:cs="Times New Roman"/>
          <w:sz w:val="28"/>
          <w:szCs w:val="28"/>
        </w:rPr>
        <w:t xml:space="preserve"> НКРЕКП</w:t>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00EC1C31">
        <w:rPr>
          <w:rFonts w:ascii="Times New Roman" w:hAnsi="Times New Roman" w:cs="Times New Roman"/>
          <w:sz w:val="28"/>
          <w:szCs w:val="28"/>
        </w:rPr>
        <w:t>Костянтин УЩАПОВСЬКИЙ</w:t>
      </w:r>
    </w:p>
    <w:sectPr w:rsidR="00DC1500" w:rsidRPr="00EC1C31" w:rsidSect="000820F1">
      <w:headerReference w:type="default" r:id="rId8"/>
      <w:pgSz w:w="11906" w:h="16838"/>
      <w:pgMar w:top="993" w:right="567" w:bottom="709"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42364" w14:textId="77777777" w:rsidR="000D3113" w:rsidRDefault="000D3113" w:rsidP="00B4485B">
      <w:pPr>
        <w:spacing w:after="0" w:line="240" w:lineRule="auto"/>
      </w:pPr>
      <w:r>
        <w:separator/>
      </w:r>
    </w:p>
  </w:endnote>
  <w:endnote w:type="continuationSeparator" w:id="0">
    <w:p w14:paraId="54772C58" w14:textId="77777777" w:rsidR="000D3113" w:rsidRDefault="000D3113"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E70E" w14:textId="77777777" w:rsidR="000D3113" w:rsidRDefault="000D3113" w:rsidP="00B4485B">
      <w:pPr>
        <w:spacing w:after="0" w:line="240" w:lineRule="auto"/>
      </w:pPr>
      <w:r>
        <w:separator/>
      </w:r>
    </w:p>
  </w:footnote>
  <w:footnote w:type="continuationSeparator" w:id="0">
    <w:p w14:paraId="59976E16" w14:textId="77777777" w:rsidR="000D3113" w:rsidRDefault="000D3113"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52C88" w14:textId="77777777" w:rsidR="00A33081" w:rsidRPr="00D165E3" w:rsidRDefault="00A33081" w:rsidP="00D165E3">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FE7C58">
      <w:rPr>
        <w:rFonts w:ascii="Times New Roman" w:hAnsi="Times New Roman" w:cs="Times New Roman"/>
        <w:noProof/>
      </w:rPr>
      <w:t>7</w:t>
    </w:r>
    <w:r w:rsidRPr="00726447">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1F61642"/>
    <w:multiLevelType w:val="hybridMultilevel"/>
    <w:tmpl w:val="84E839AA"/>
    <w:lvl w:ilvl="0" w:tplc="04220011">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BA4204"/>
    <w:multiLevelType w:val="hybridMultilevel"/>
    <w:tmpl w:val="D2C0AA38"/>
    <w:lvl w:ilvl="0" w:tplc="FAF8C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5"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16cid:durableId="1830830121">
    <w:abstractNumId w:val="0"/>
  </w:num>
  <w:num w:numId="2" w16cid:durableId="77139139">
    <w:abstractNumId w:val="5"/>
  </w:num>
  <w:num w:numId="3" w16cid:durableId="1542285918">
    <w:abstractNumId w:val="4"/>
  </w:num>
  <w:num w:numId="4" w16cid:durableId="1384938885">
    <w:abstractNumId w:val="3"/>
  </w:num>
  <w:num w:numId="5" w16cid:durableId="1943032485">
    <w:abstractNumId w:val="1"/>
  </w:num>
  <w:num w:numId="6" w16cid:durableId="13233131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069"/>
    <w:rsid w:val="00017848"/>
    <w:rsid w:val="00020178"/>
    <w:rsid w:val="000202EA"/>
    <w:rsid w:val="000217A1"/>
    <w:rsid w:val="000302DC"/>
    <w:rsid w:val="000317F3"/>
    <w:rsid w:val="00034654"/>
    <w:rsid w:val="000354E5"/>
    <w:rsid w:val="00036637"/>
    <w:rsid w:val="00042445"/>
    <w:rsid w:val="00046BA0"/>
    <w:rsid w:val="000534F1"/>
    <w:rsid w:val="00053BCF"/>
    <w:rsid w:val="00054881"/>
    <w:rsid w:val="00055385"/>
    <w:rsid w:val="00063F4C"/>
    <w:rsid w:val="000645D5"/>
    <w:rsid w:val="00067F06"/>
    <w:rsid w:val="0007401F"/>
    <w:rsid w:val="00077764"/>
    <w:rsid w:val="000820F1"/>
    <w:rsid w:val="000834CE"/>
    <w:rsid w:val="00083AAB"/>
    <w:rsid w:val="000858E6"/>
    <w:rsid w:val="00085927"/>
    <w:rsid w:val="00087085"/>
    <w:rsid w:val="00092636"/>
    <w:rsid w:val="000938AE"/>
    <w:rsid w:val="000A4FA6"/>
    <w:rsid w:val="000A5556"/>
    <w:rsid w:val="000B0549"/>
    <w:rsid w:val="000B0574"/>
    <w:rsid w:val="000B0808"/>
    <w:rsid w:val="000B100A"/>
    <w:rsid w:val="000B3179"/>
    <w:rsid w:val="000B3619"/>
    <w:rsid w:val="000B3CCB"/>
    <w:rsid w:val="000B4E9E"/>
    <w:rsid w:val="000B6295"/>
    <w:rsid w:val="000C1767"/>
    <w:rsid w:val="000C37E4"/>
    <w:rsid w:val="000C69B3"/>
    <w:rsid w:val="000C77FE"/>
    <w:rsid w:val="000D3113"/>
    <w:rsid w:val="000D526A"/>
    <w:rsid w:val="000E0120"/>
    <w:rsid w:val="000E1F7F"/>
    <w:rsid w:val="000E374A"/>
    <w:rsid w:val="000E3DAA"/>
    <w:rsid w:val="000E5B56"/>
    <w:rsid w:val="000E6897"/>
    <w:rsid w:val="000F37C8"/>
    <w:rsid w:val="000F5926"/>
    <w:rsid w:val="000F72F6"/>
    <w:rsid w:val="000F7AA9"/>
    <w:rsid w:val="00101536"/>
    <w:rsid w:val="00101840"/>
    <w:rsid w:val="00101C39"/>
    <w:rsid w:val="00102EE6"/>
    <w:rsid w:val="00103458"/>
    <w:rsid w:val="00106F29"/>
    <w:rsid w:val="001114F4"/>
    <w:rsid w:val="00112D23"/>
    <w:rsid w:val="00115EAB"/>
    <w:rsid w:val="00120A93"/>
    <w:rsid w:val="0012257B"/>
    <w:rsid w:val="001228F1"/>
    <w:rsid w:val="001325DB"/>
    <w:rsid w:val="00132723"/>
    <w:rsid w:val="00151E1F"/>
    <w:rsid w:val="0015200C"/>
    <w:rsid w:val="00160780"/>
    <w:rsid w:val="00163C0C"/>
    <w:rsid w:val="00163E02"/>
    <w:rsid w:val="00166C04"/>
    <w:rsid w:val="00172AC3"/>
    <w:rsid w:val="00174909"/>
    <w:rsid w:val="00175E93"/>
    <w:rsid w:val="00177D27"/>
    <w:rsid w:val="001824CF"/>
    <w:rsid w:val="0018723A"/>
    <w:rsid w:val="001935AA"/>
    <w:rsid w:val="001A26D8"/>
    <w:rsid w:val="001A3EF0"/>
    <w:rsid w:val="001B21CF"/>
    <w:rsid w:val="001B30DA"/>
    <w:rsid w:val="001B321D"/>
    <w:rsid w:val="001B4AF1"/>
    <w:rsid w:val="001C00D5"/>
    <w:rsid w:val="001C3229"/>
    <w:rsid w:val="001C5354"/>
    <w:rsid w:val="001C5FB3"/>
    <w:rsid w:val="001C614E"/>
    <w:rsid w:val="001C6EAC"/>
    <w:rsid w:val="001D26DF"/>
    <w:rsid w:val="001D2835"/>
    <w:rsid w:val="001D3F4B"/>
    <w:rsid w:val="001D4709"/>
    <w:rsid w:val="001D69A1"/>
    <w:rsid w:val="001F1338"/>
    <w:rsid w:val="001F191E"/>
    <w:rsid w:val="001F1CE8"/>
    <w:rsid w:val="001F64D6"/>
    <w:rsid w:val="00205B59"/>
    <w:rsid w:val="00211F05"/>
    <w:rsid w:val="00211F26"/>
    <w:rsid w:val="00217C9C"/>
    <w:rsid w:val="00227B11"/>
    <w:rsid w:val="002319A9"/>
    <w:rsid w:val="00234FAE"/>
    <w:rsid w:val="0023564D"/>
    <w:rsid w:val="00250B09"/>
    <w:rsid w:val="0025338E"/>
    <w:rsid w:val="00254B51"/>
    <w:rsid w:val="0025569A"/>
    <w:rsid w:val="00256259"/>
    <w:rsid w:val="00256BE4"/>
    <w:rsid w:val="00262D37"/>
    <w:rsid w:val="00264427"/>
    <w:rsid w:val="00266989"/>
    <w:rsid w:val="00267A9C"/>
    <w:rsid w:val="00267E2F"/>
    <w:rsid w:val="00267F26"/>
    <w:rsid w:val="00272EDD"/>
    <w:rsid w:val="00285079"/>
    <w:rsid w:val="002912A1"/>
    <w:rsid w:val="00291B29"/>
    <w:rsid w:val="00292CE5"/>
    <w:rsid w:val="002947D7"/>
    <w:rsid w:val="002A62E0"/>
    <w:rsid w:val="002A7E1C"/>
    <w:rsid w:val="002B53F1"/>
    <w:rsid w:val="002C457D"/>
    <w:rsid w:val="002C4681"/>
    <w:rsid w:val="002C7012"/>
    <w:rsid w:val="002D36B9"/>
    <w:rsid w:val="002D499C"/>
    <w:rsid w:val="002E2AB9"/>
    <w:rsid w:val="002E416D"/>
    <w:rsid w:val="002E5440"/>
    <w:rsid w:val="002F06AB"/>
    <w:rsid w:val="003028DB"/>
    <w:rsid w:val="00304C31"/>
    <w:rsid w:val="003061E1"/>
    <w:rsid w:val="00307298"/>
    <w:rsid w:val="0031498D"/>
    <w:rsid w:val="00314F6A"/>
    <w:rsid w:val="00322A23"/>
    <w:rsid w:val="003239F3"/>
    <w:rsid w:val="00324646"/>
    <w:rsid w:val="0032547B"/>
    <w:rsid w:val="00326E0B"/>
    <w:rsid w:val="00331518"/>
    <w:rsid w:val="003337AF"/>
    <w:rsid w:val="003342C9"/>
    <w:rsid w:val="00334726"/>
    <w:rsid w:val="003359CD"/>
    <w:rsid w:val="003365B9"/>
    <w:rsid w:val="0034529E"/>
    <w:rsid w:val="00345833"/>
    <w:rsid w:val="00346BBB"/>
    <w:rsid w:val="003474B3"/>
    <w:rsid w:val="003500CC"/>
    <w:rsid w:val="003522C9"/>
    <w:rsid w:val="00353168"/>
    <w:rsid w:val="0035567D"/>
    <w:rsid w:val="00360D00"/>
    <w:rsid w:val="00363DC0"/>
    <w:rsid w:val="00375422"/>
    <w:rsid w:val="00377979"/>
    <w:rsid w:val="003800B0"/>
    <w:rsid w:val="00381B8C"/>
    <w:rsid w:val="00393932"/>
    <w:rsid w:val="003949CC"/>
    <w:rsid w:val="00394B81"/>
    <w:rsid w:val="003A142D"/>
    <w:rsid w:val="003A31DF"/>
    <w:rsid w:val="003A4CA7"/>
    <w:rsid w:val="003A5A9C"/>
    <w:rsid w:val="003B1240"/>
    <w:rsid w:val="003B2344"/>
    <w:rsid w:val="003B35F2"/>
    <w:rsid w:val="003C0664"/>
    <w:rsid w:val="003D09C5"/>
    <w:rsid w:val="003D5282"/>
    <w:rsid w:val="003D5AF7"/>
    <w:rsid w:val="003D7395"/>
    <w:rsid w:val="003E095C"/>
    <w:rsid w:val="003E1A1E"/>
    <w:rsid w:val="003E7DCD"/>
    <w:rsid w:val="004008AD"/>
    <w:rsid w:val="00405F7B"/>
    <w:rsid w:val="00410F64"/>
    <w:rsid w:val="00411CCB"/>
    <w:rsid w:val="004136D7"/>
    <w:rsid w:val="00417143"/>
    <w:rsid w:val="004326DB"/>
    <w:rsid w:val="00441CBF"/>
    <w:rsid w:val="00444E09"/>
    <w:rsid w:val="004473EE"/>
    <w:rsid w:val="0044796E"/>
    <w:rsid w:val="0045238D"/>
    <w:rsid w:val="00452DE6"/>
    <w:rsid w:val="00457587"/>
    <w:rsid w:val="00467E94"/>
    <w:rsid w:val="0047038C"/>
    <w:rsid w:val="004714F0"/>
    <w:rsid w:val="00476B9E"/>
    <w:rsid w:val="0048072B"/>
    <w:rsid w:val="004816F9"/>
    <w:rsid w:val="00483555"/>
    <w:rsid w:val="00486E66"/>
    <w:rsid w:val="00487B55"/>
    <w:rsid w:val="00491849"/>
    <w:rsid w:val="00493E17"/>
    <w:rsid w:val="00495612"/>
    <w:rsid w:val="00495F36"/>
    <w:rsid w:val="004A1C5D"/>
    <w:rsid w:val="004A4623"/>
    <w:rsid w:val="004A7F3E"/>
    <w:rsid w:val="004B429B"/>
    <w:rsid w:val="004B7026"/>
    <w:rsid w:val="004B7DDC"/>
    <w:rsid w:val="004C290A"/>
    <w:rsid w:val="004D15A4"/>
    <w:rsid w:val="004E06D1"/>
    <w:rsid w:val="004E1269"/>
    <w:rsid w:val="004E23E9"/>
    <w:rsid w:val="004E2EFB"/>
    <w:rsid w:val="004E7252"/>
    <w:rsid w:val="004E7298"/>
    <w:rsid w:val="00501CDA"/>
    <w:rsid w:val="005050CE"/>
    <w:rsid w:val="00523926"/>
    <w:rsid w:val="00524579"/>
    <w:rsid w:val="00524F83"/>
    <w:rsid w:val="00526105"/>
    <w:rsid w:val="00531C01"/>
    <w:rsid w:val="0053670C"/>
    <w:rsid w:val="0055215E"/>
    <w:rsid w:val="005539A8"/>
    <w:rsid w:val="00554C67"/>
    <w:rsid w:val="005554FD"/>
    <w:rsid w:val="0055596E"/>
    <w:rsid w:val="0056222A"/>
    <w:rsid w:val="00562A6B"/>
    <w:rsid w:val="005647CE"/>
    <w:rsid w:val="00565D81"/>
    <w:rsid w:val="00570109"/>
    <w:rsid w:val="0057175A"/>
    <w:rsid w:val="005819C0"/>
    <w:rsid w:val="00581BA8"/>
    <w:rsid w:val="00583613"/>
    <w:rsid w:val="00592E5F"/>
    <w:rsid w:val="005977A2"/>
    <w:rsid w:val="005A31FB"/>
    <w:rsid w:val="005A3439"/>
    <w:rsid w:val="005A6A4B"/>
    <w:rsid w:val="005A73AF"/>
    <w:rsid w:val="005A77E4"/>
    <w:rsid w:val="005B080F"/>
    <w:rsid w:val="005B322E"/>
    <w:rsid w:val="005B4C3F"/>
    <w:rsid w:val="005B78AF"/>
    <w:rsid w:val="005C1692"/>
    <w:rsid w:val="005C3ADD"/>
    <w:rsid w:val="005C59BB"/>
    <w:rsid w:val="005D4D24"/>
    <w:rsid w:val="005D7AFC"/>
    <w:rsid w:val="005E17E0"/>
    <w:rsid w:val="005E40E9"/>
    <w:rsid w:val="005E5A4E"/>
    <w:rsid w:val="005E67C9"/>
    <w:rsid w:val="005F5595"/>
    <w:rsid w:val="005F5AD4"/>
    <w:rsid w:val="00607D72"/>
    <w:rsid w:val="006110F1"/>
    <w:rsid w:val="00611E39"/>
    <w:rsid w:val="00616112"/>
    <w:rsid w:val="00621A84"/>
    <w:rsid w:val="006238DE"/>
    <w:rsid w:val="00627571"/>
    <w:rsid w:val="00633CA7"/>
    <w:rsid w:val="00640C31"/>
    <w:rsid w:val="006428F3"/>
    <w:rsid w:val="00646E30"/>
    <w:rsid w:val="006476F3"/>
    <w:rsid w:val="00647B23"/>
    <w:rsid w:val="00650A25"/>
    <w:rsid w:val="00651D66"/>
    <w:rsid w:val="00652CDA"/>
    <w:rsid w:val="00654DC5"/>
    <w:rsid w:val="00656225"/>
    <w:rsid w:val="00665CB5"/>
    <w:rsid w:val="00667E06"/>
    <w:rsid w:val="00671172"/>
    <w:rsid w:val="006777CE"/>
    <w:rsid w:val="006841C4"/>
    <w:rsid w:val="00691E9B"/>
    <w:rsid w:val="00692E34"/>
    <w:rsid w:val="00693DA7"/>
    <w:rsid w:val="0069411C"/>
    <w:rsid w:val="0069722E"/>
    <w:rsid w:val="006A0B68"/>
    <w:rsid w:val="006A2271"/>
    <w:rsid w:val="006A2CB3"/>
    <w:rsid w:val="006A5211"/>
    <w:rsid w:val="006A59E0"/>
    <w:rsid w:val="006A6E45"/>
    <w:rsid w:val="006B2454"/>
    <w:rsid w:val="006B3D12"/>
    <w:rsid w:val="006C13C0"/>
    <w:rsid w:val="006C3047"/>
    <w:rsid w:val="006C6F99"/>
    <w:rsid w:val="006D7149"/>
    <w:rsid w:val="006E1745"/>
    <w:rsid w:val="0070151A"/>
    <w:rsid w:val="007048F0"/>
    <w:rsid w:val="00704AF5"/>
    <w:rsid w:val="0071464F"/>
    <w:rsid w:val="007218AB"/>
    <w:rsid w:val="00725546"/>
    <w:rsid w:val="00725D1D"/>
    <w:rsid w:val="00726447"/>
    <w:rsid w:val="00730A38"/>
    <w:rsid w:val="00735994"/>
    <w:rsid w:val="007367A4"/>
    <w:rsid w:val="00737985"/>
    <w:rsid w:val="00743C04"/>
    <w:rsid w:val="007466BB"/>
    <w:rsid w:val="00746BF0"/>
    <w:rsid w:val="00752E85"/>
    <w:rsid w:val="00755F9A"/>
    <w:rsid w:val="0076065C"/>
    <w:rsid w:val="00760BBD"/>
    <w:rsid w:val="007637D5"/>
    <w:rsid w:val="0077202A"/>
    <w:rsid w:val="00772241"/>
    <w:rsid w:val="00774C7B"/>
    <w:rsid w:val="00781CFE"/>
    <w:rsid w:val="00791BB7"/>
    <w:rsid w:val="007927C0"/>
    <w:rsid w:val="007A274A"/>
    <w:rsid w:val="007A3418"/>
    <w:rsid w:val="007A5AAE"/>
    <w:rsid w:val="007B07B3"/>
    <w:rsid w:val="007B0D8A"/>
    <w:rsid w:val="007B1CB2"/>
    <w:rsid w:val="007B5019"/>
    <w:rsid w:val="007B71D9"/>
    <w:rsid w:val="007B73B9"/>
    <w:rsid w:val="007C02AE"/>
    <w:rsid w:val="007C110F"/>
    <w:rsid w:val="007C3B0E"/>
    <w:rsid w:val="007C78DC"/>
    <w:rsid w:val="007D0C1D"/>
    <w:rsid w:val="007D2061"/>
    <w:rsid w:val="007D2972"/>
    <w:rsid w:val="007E249F"/>
    <w:rsid w:val="007E639D"/>
    <w:rsid w:val="007E7663"/>
    <w:rsid w:val="007F128D"/>
    <w:rsid w:val="007F2C6A"/>
    <w:rsid w:val="00802EF7"/>
    <w:rsid w:val="008163CB"/>
    <w:rsid w:val="00817BEB"/>
    <w:rsid w:val="008223F7"/>
    <w:rsid w:val="0082428B"/>
    <w:rsid w:val="00827280"/>
    <w:rsid w:val="00833DA0"/>
    <w:rsid w:val="008366E2"/>
    <w:rsid w:val="00836AB9"/>
    <w:rsid w:val="008409A6"/>
    <w:rsid w:val="008465E0"/>
    <w:rsid w:val="008509EE"/>
    <w:rsid w:val="00852845"/>
    <w:rsid w:val="00852A4C"/>
    <w:rsid w:val="008651AB"/>
    <w:rsid w:val="00865D3F"/>
    <w:rsid w:val="00867969"/>
    <w:rsid w:val="008726FF"/>
    <w:rsid w:val="00872DB8"/>
    <w:rsid w:val="0087366F"/>
    <w:rsid w:val="0087391A"/>
    <w:rsid w:val="00876C6C"/>
    <w:rsid w:val="00877806"/>
    <w:rsid w:val="00881E32"/>
    <w:rsid w:val="00882408"/>
    <w:rsid w:val="00884B7C"/>
    <w:rsid w:val="00886B09"/>
    <w:rsid w:val="00891511"/>
    <w:rsid w:val="008A3DA4"/>
    <w:rsid w:val="008A56C3"/>
    <w:rsid w:val="008B074C"/>
    <w:rsid w:val="008B222D"/>
    <w:rsid w:val="008B2A04"/>
    <w:rsid w:val="008B343D"/>
    <w:rsid w:val="008B5CD7"/>
    <w:rsid w:val="008C6D40"/>
    <w:rsid w:val="008D2BBB"/>
    <w:rsid w:val="008E0C3A"/>
    <w:rsid w:val="008E0FD9"/>
    <w:rsid w:val="008E1C45"/>
    <w:rsid w:val="008E4216"/>
    <w:rsid w:val="008E497D"/>
    <w:rsid w:val="008E4C33"/>
    <w:rsid w:val="008E7528"/>
    <w:rsid w:val="008F0321"/>
    <w:rsid w:val="008F1C2A"/>
    <w:rsid w:val="008F2126"/>
    <w:rsid w:val="008F37C0"/>
    <w:rsid w:val="008F4F11"/>
    <w:rsid w:val="008F5F46"/>
    <w:rsid w:val="0090320B"/>
    <w:rsid w:val="0090639B"/>
    <w:rsid w:val="009077EA"/>
    <w:rsid w:val="00911D9D"/>
    <w:rsid w:val="00916D13"/>
    <w:rsid w:val="00922020"/>
    <w:rsid w:val="009224A2"/>
    <w:rsid w:val="00941420"/>
    <w:rsid w:val="00943DFD"/>
    <w:rsid w:val="00944C00"/>
    <w:rsid w:val="00950C76"/>
    <w:rsid w:val="009513DC"/>
    <w:rsid w:val="00952CC7"/>
    <w:rsid w:val="00955F99"/>
    <w:rsid w:val="009564EF"/>
    <w:rsid w:val="00956C42"/>
    <w:rsid w:val="009626AB"/>
    <w:rsid w:val="00964FAC"/>
    <w:rsid w:val="00967B55"/>
    <w:rsid w:val="00970C37"/>
    <w:rsid w:val="00971777"/>
    <w:rsid w:val="0097534C"/>
    <w:rsid w:val="009809E9"/>
    <w:rsid w:val="00984516"/>
    <w:rsid w:val="00984F6C"/>
    <w:rsid w:val="00992CE4"/>
    <w:rsid w:val="009946E7"/>
    <w:rsid w:val="009969E1"/>
    <w:rsid w:val="009979CF"/>
    <w:rsid w:val="009A4763"/>
    <w:rsid w:val="009A5C54"/>
    <w:rsid w:val="009B1236"/>
    <w:rsid w:val="009B3293"/>
    <w:rsid w:val="009B45AF"/>
    <w:rsid w:val="009B4F29"/>
    <w:rsid w:val="009B62EB"/>
    <w:rsid w:val="009B7C4D"/>
    <w:rsid w:val="009C1292"/>
    <w:rsid w:val="009C49B4"/>
    <w:rsid w:val="009C4C04"/>
    <w:rsid w:val="009C557E"/>
    <w:rsid w:val="009C561D"/>
    <w:rsid w:val="009C5DC5"/>
    <w:rsid w:val="009E252F"/>
    <w:rsid w:val="009E49B9"/>
    <w:rsid w:val="009F38A7"/>
    <w:rsid w:val="009F7497"/>
    <w:rsid w:val="00A038D9"/>
    <w:rsid w:val="00A045B4"/>
    <w:rsid w:val="00A06801"/>
    <w:rsid w:val="00A1073C"/>
    <w:rsid w:val="00A10F02"/>
    <w:rsid w:val="00A1354A"/>
    <w:rsid w:val="00A14381"/>
    <w:rsid w:val="00A23607"/>
    <w:rsid w:val="00A276E5"/>
    <w:rsid w:val="00A33081"/>
    <w:rsid w:val="00A340E9"/>
    <w:rsid w:val="00A34767"/>
    <w:rsid w:val="00A46844"/>
    <w:rsid w:val="00A52A86"/>
    <w:rsid w:val="00A56E0D"/>
    <w:rsid w:val="00A602B6"/>
    <w:rsid w:val="00A63FC7"/>
    <w:rsid w:val="00A656C8"/>
    <w:rsid w:val="00A6594A"/>
    <w:rsid w:val="00A71788"/>
    <w:rsid w:val="00A81CB0"/>
    <w:rsid w:val="00A82585"/>
    <w:rsid w:val="00A82A6B"/>
    <w:rsid w:val="00A84A92"/>
    <w:rsid w:val="00A8511E"/>
    <w:rsid w:val="00A85A36"/>
    <w:rsid w:val="00A85BCD"/>
    <w:rsid w:val="00A8778B"/>
    <w:rsid w:val="00A907FC"/>
    <w:rsid w:val="00A91957"/>
    <w:rsid w:val="00A92178"/>
    <w:rsid w:val="00A934C5"/>
    <w:rsid w:val="00AA2A7C"/>
    <w:rsid w:val="00AA6285"/>
    <w:rsid w:val="00AB60F6"/>
    <w:rsid w:val="00AC020C"/>
    <w:rsid w:val="00AC2491"/>
    <w:rsid w:val="00AC5352"/>
    <w:rsid w:val="00AD1D3C"/>
    <w:rsid w:val="00AD28EB"/>
    <w:rsid w:val="00AE0F01"/>
    <w:rsid w:val="00AE4670"/>
    <w:rsid w:val="00AF426A"/>
    <w:rsid w:val="00AF7567"/>
    <w:rsid w:val="00B005DA"/>
    <w:rsid w:val="00B014EF"/>
    <w:rsid w:val="00B025D4"/>
    <w:rsid w:val="00B10792"/>
    <w:rsid w:val="00B12B38"/>
    <w:rsid w:val="00B14BA9"/>
    <w:rsid w:val="00B20CED"/>
    <w:rsid w:val="00B2548A"/>
    <w:rsid w:val="00B26044"/>
    <w:rsid w:val="00B307F5"/>
    <w:rsid w:val="00B35157"/>
    <w:rsid w:val="00B35800"/>
    <w:rsid w:val="00B37F08"/>
    <w:rsid w:val="00B37F84"/>
    <w:rsid w:val="00B40887"/>
    <w:rsid w:val="00B4485B"/>
    <w:rsid w:val="00B47CEF"/>
    <w:rsid w:val="00B52186"/>
    <w:rsid w:val="00B53773"/>
    <w:rsid w:val="00B54DEF"/>
    <w:rsid w:val="00B633BC"/>
    <w:rsid w:val="00B64328"/>
    <w:rsid w:val="00B67068"/>
    <w:rsid w:val="00B71219"/>
    <w:rsid w:val="00B719CF"/>
    <w:rsid w:val="00B722E6"/>
    <w:rsid w:val="00B7304B"/>
    <w:rsid w:val="00B74265"/>
    <w:rsid w:val="00B7590C"/>
    <w:rsid w:val="00B760E6"/>
    <w:rsid w:val="00B76890"/>
    <w:rsid w:val="00B82D0F"/>
    <w:rsid w:val="00B85DD1"/>
    <w:rsid w:val="00B95B27"/>
    <w:rsid w:val="00BA51B4"/>
    <w:rsid w:val="00BB14E3"/>
    <w:rsid w:val="00BB1826"/>
    <w:rsid w:val="00BB4051"/>
    <w:rsid w:val="00BB7EB9"/>
    <w:rsid w:val="00BC477D"/>
    <w:rsid w:val="00BC671E"/>
    <w:rsid w:val="00BD211E"/>
    <w:rsid w:val="00BD3C08"/>
    <w:rsid w:val="00BD52D9"/>
    <w:rsid w:val="00BE2462"/>
    <w:rsid w:val="00BE2FAA"/>
    <w:rsid w:val="00BE6833"/>
    <w:rsid w:val="00BE7D22"/>
    <w:rsid w:val="00BF55FB"/>
    <w:rsid w:val="00C01350"/>
    <w:rsid w:val="00C027F8"/>
    <w:rsid w:val="00C02CD9"/>
    <w:rsid w:val="00C07D5A"/>
    <w:rsid w:val="00C12511"/>
    <w:rsid w:val="00C13324"/>
    <w:rsid w:val="00C15B38"/>
    <w:rsid w:val="00C232E5"/>
    <w:rsid w:val="00C31E59"/>
    <w:rsid w:val="00C45D3C"/>
    <w:rsid w:val="00C52F3B"/>
    <w:rsid w:val="00C72519"/>
    <w:rsid w:val="00C84F90"/>
    <w:rsid w:val="00C858DD"/>
    <w:rsid w:val="00C86BE4"/>
    <w:rsid w:val="00C873D3"/>
    <w:rsid w:val="00C91EC3"/>
    <w:rsid w:val="00C93A2A"/>
    <w:rsid w:val="00C96DFF"/>
    <w:rsid w:val="00CA00E6"/>
    <w:rsid w:val="00CB0C9B"/>
    <w:rsid w:val="00CB39EA"/>
    <w:rsid w:val="00CC1151"/>
    <w:rsid w:val="00CC1E93"/>
    <w:rsid w:val="00CC2162"/>
    <w:rsid w:val="00CD2195"/>
    <w:rsid w:val="00CD21E6"/>
    <w:rsid w:val="00CD2EF7"/>
    <w:rsid w:val="00CE0846"/>
    <w:rsid w:val="00CE3D5C"/>
    <w:rsid w:val="00CF3C5E"/>
    <w:rsid w:val="00D0135B"/>
    <w:rsid w:val="00D02317"/>
    <w:rsid w:val="00D03542"/>
    <w:rsid w:val="00D0693F"/>
    <w:rsid w:val="00D06B22"/>
    <w:rsid w:val="00D107EB"/>
    <w:rsid w:val="00D10F87"/>
    <w:rsid w:val="00D12C2A"/>
    <w:rsid w:val="00D165E3"/>
    <w:rsid w:val="00D16E98"/>
    <w:rsid w:val="00D25653"/>
    <w:rsid w:val="00D2616C"/>
    <w:rsid w:val="00D279B2"/>
    <w:rsid w:val="00D30704"/>
    <w:rsid w:val="00D46D40"/>
    <w:rsid w:val="00D50238"/>
    <w:rsid w:val="00D55250"/>
    <w:rsid w:val="00D62366"/>
    <w:rsid w:val="00D6481B"/>
    <w:rsid w:val="00D66C83"/>
    <w:rsid w:val="00D76242"/>
    <w:rsid w:val="00D81F11"/>
    <w:rsid w:val="00D8373C"/>
    <w:rsid w:val="00D85FCD"/>
    <w:rsid w:val="00D91C74"/>
    <w:rsid w:val="00D923D2"/>
    <w:rsid w:val="00DA5B04"/>
    <w:rsid w:val="00DA6B59"/>
    <w:rsid w:val="00DA7626"/>
    <w:rsid w:val="00DA7FAB"/>
    <w:rsid w:val="00DB07B2"/>
    <w:rsid w:val="00DB1967"/>
    <w:rsid w:val="00DB6DB7"/>
    <w:rsid w:val="00DC1500"/>
    <w:rsid w:val="00DC31BF"/>
    <w:rsid w:val="00DC5497"/>
    <w:rsid w:val="00DC6752"/>
    <w:rsid w:val="00DC74A6"/>
    <w:rsid w:val="00DD0497"/>
    <w:rsid w:val="00DD425A"/>
    <w:rsid w:val="00DD799D"/>
    <w:rsid w:val="00DE1BA3"/>
    <w:rsid w:val="00DE516B"/>
    <w:rsid w:val="00DE74D7"/>
    <w:rsid w:val="00DF323B"/>
    <w:rsid w:val="00DF568D"/>
    <w:rsid w:val="00E04B25"/>
    <w:rsid w:val="00E063F3"/>
    <w:rsid w:val="00E106ED"/>
    <w:rsid w:val="00E11098"/>
    <w:rsid w:val="00E137B1"/>
    <w:rsid w:val="00E21790"/>
    <w:rsid w:val="00E2347B"/>
    <w:rsid w:val="00E24421"/>
    <w:rsid w:val="00E25C3B"/>
    <w:rsid w:val="00E25DEF"/>
    <w:rsid w:val="00E32D1B"/>
    <w:rsid w:val="00E334B6"/>
    <w:rsid w:val="00E35C28"/>
    <w:rsid w:val="00E369D2"/>
    <w:rsid w:val="00E36C55"/>
    <w:rsid w:val="00E37C20"/>
    <w:rsid w:val="00E40CC7"/>
    <w:rsid w:val="00E41075"/>
    <w:rsid w:val="00E4253E"/>
    <w:rsid w:val="00E51783"/>
    <w:rsid w:val="00E5328E"/>
    <w:rsid w:val="00E55959"/>
    <w:rsid w:val="00E64493"/>
    <w:rsid w:val="00E64ABE"/>
    <w:rsid w:val="00E768F4"/>
    <w:rsid w:val="00E80C36"/>
    <w:rsid w:val="00E9145D"/>
    <w:rsid w:val="00E93033"/>
    <w:rsid w:val="00E969FB"/>
    <w:rsid w:val="00EA39B3"/>
    <w:rsid w:val="00EA7449"/>
    <w:rsid w:val="00EC1C31"/>
    <w:rsid w:val="00ED095D"/>
    <w:rsid w:val="00EE1033"/>
    <w:rsid w:val="00EE518D"/>
    <w:rsid w:val="00EE5A59"/>
    <w:rsid w:val="00EF2922"/>
    <w:rsid w:val="00EF2E5C"/>
    <w:rsid w:val="00F05624"/>
    <w:rsid w:val="00F05A07"/>
    <w:rsid w:val="00F10A6C"/>
    <w:rsid w:val="00F14F3C"/>
    <w:rsid w:val="00F27409"/>
    <w:rsid w:val="00F33CD2"/>
    <w:rsid w:val="00F3614D"/>
    <w:rsid w:val="00F413C5"/>
    <w:rsid w:val="00F41AA9"/>
    <w:rsid w:val="00F45F91"/>
    <w:rsid w:val="00F46AA1"/>
    <w:rsid w:val="00F47A65"/>
    <w:rsid w:val="00F52C8C"/>
    <w:rsid w:val="00F52FC8"/>
    <w:rsid w:val="00F53891"/>
    <w:rsid w:val="00F7191E"/>
    <w:rsid w:val="00F809DF"/>
    <w:rsid w:val="00F9406B"/>
    <w:rsid w:val="00F9537D"/>
    <w:rsid w:val="00F97878"/>
    <w:rsid w:val="00FA0091"/>
    <w:rsid w:val="00FA3687"/>
    <w:rsid w:val="00FA382A"/>
    <w:rsid w:val="00FA3AFE"/>
    <w:rsid w:val="00FA4320"/>
    <w:rsid w:val="00FA44F6"/>
    <w:rsid w:val="00FA4A66"/>
    <w:rsid w:val="00FA6FC6"/>
    <w:rsid w:val="00FB1F07"/>
    <w:rsid w:val="00FC622E"/>
    <w:rsid w:val="00FC7B8A"/>
    <w:rsid w:val="00FE2E3D"/>
    <w:rsid w:val="00FE5E93"/>
    <w:rsid w:val="00FE7C58"/>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97545"/>
  <w15:docId w15:val="{75F61390-DE9A-414B-80B6-BB4891F5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34"/>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styleId="af2">
    <w:name w:val="Hyperlink"/>
    <w:rsid w:val="00737985"/>
    <w:rPr>
      <w:color w:val="0000FF"/>
      <w:u w:val="single"/>
    </w:rPr>
  </w:style>
  <w:style w:type="character" w:styleId="af3">
    <w:name w:val="annotation reference"/>
    <w:basedOn w:val="a0"/>
    <w:uiPriority w:val="99"/>
    <w:semiHidden/>
    <w:unhideWhenUsed/>
    <w:rsid w:val="0007401F"/>
    <w:rPr>
      <w:sz w:val="16"/>
      <w:szCs w:val="16"/>
    </w:rPr>
  </w:style>
  <w:style w:type="paragraph" w:styleId="af4">
    <w:name w:val="annotation text"/>
    <w:basedOn w:val="a"/>
    <w:link w:val="af5"/>
    <w:uiPriority w:val="99"/>
    <w:semiHidden/>
    <w:unhideWhenUsed/>
    <w:rsid w:val="0007401F"/>
    <w:pPr>
      <w:spacing w:line="240" w:lineRule="auto"/>
    </w:pPr>
    <w:rPr>
      <w:sz w:val="20"/>
      <w:szCs w:val="20"/>
    </w:rPr>
  </w:style>
  <w:style w:type="character" w:customStyle="1" w:styleId="af5">
    <w:name w:val="Текст примітки Знак"/>
    <w:basedOn w:val="a0"/>
    <w:link w:val="af4"/>
    <w:uiPriority w:val="99"/>
    <w:semiHidden/>
    <w:rsid w:val="0007401F"/>
    <w:rPr>
      <w:rFonts w:cs="Calibri"/>
      <w:lang w:eastAsia="en-US"/>
    </w:rPr>
  </w:style>
  <w:style w:type="paragraph" w:styleId="af6">
    <w:name w:val="annotation subject"/>
    <w:basedOn w:val="af4"/>
    <w:next w:val="af4"/>
    <w:link w:val="af7"/>
    <w:uiPriority w:val="99"/>
    <w:semiHidden/>
    <w:unhideWhenUsed/>
    <w:rsid w:val="0007401F"/>
    <w:rPr>
      <w:b/>
      <w:bCs/>
    </w:rPr>
  </w:style>
  <w:style w:type="character" w:customStyle="1" w:styleId="af7">
    <w:name w:val="Тема примітки Знак"/>
    <w:basedOn w:val="af5"/>
    <w:link w:val="af6"/>
    <w:uiPriority w:val="99"/>
    <w:semiHidden/>
    <w:rsid w:val="0007401F"/>
    <w:rPr>
      <w:rFonts w:cs="Calibri"/>
      <w:b/>
      <w:bCs/>
      <w:lang w:eastAsia="en-US"/>
    </w:rPr>
  </w:style>
  <w:style w:type="paragraph" w:styleId="af8">
    <w:name w:val="Revision"/>
    <w:hidden/>
    <w:uiPriority w:val="99"/>
    <w:semiHidden/>
    <w:rsid w:val="0007401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613392425">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01D49-27F4-40BC-94CF-9D20EBCE2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1385</Words>
  <Characters>9736</Characters>
  <Application>Microsoft Office Word</Application>
  <DocSecurity>0</DocSecurity>
  <Lines>81</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Ірина Кириленко</cp:lastModifiedBy>
  <cp:revision>4</cp:revision>
  <cp:lastPrinted>2021-05-25T06:45:00Z</cp:lastPrinted>
  <dcterms:created xsi:type="dcterms:W3CDTF">2023-09-19T08:23:00Z</dcterms:created>
  <dcterms:modified xsi:type="dcterms:W3CDTF">2023-09-19T09:10:00Z</dcterms:modified>
</cp:coreProperties>
</file>