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A2E81" w14:textId="77777777" w:rsidR="00DC1500" w:rsidRPr="00151E87" w:rsidRDefault="00DC1500" w:rsidP="00515570">
      <w:pPr>
        <w:pStyle w:val="ab"/>
        <w:tabs>
          <w:tab w:val="left" w:pos="9923"/>
        </w:tabs>
        <w:ind w:right="-2" w:firstLine="709"/>
        <w:jc w:val="center"/>
        <w:rPr>
          <w:rFonts w:ascii="Times New Roman" w:hAnsi="Times New Roman"/>
          <w:b w:val="0"/>
          <w:bCs/>
          <w:color w:val="auto"/>
          <w:sz w:val="28"/>
          <w:szCs w:val="28"/>
        </w:rPr>
      </w:pP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Аналіз впливу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про</w:t>
      </w:r>
      <w:r w:rsidR="00BE773A"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є</w:t>
      </w: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кту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 постанови НКРЕКП </w:t>
      </w:r>
      <w:r w:rsidR="008012CC"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«</w:t>
      </w:r>
      <w:r w:rsidR="0080147C" w:rsidRPr="00151E87">
        <w:rPr>
          <w:rFonts w:ascii="Times New Roman" w:hAnsi="Times New Roman"/>
          <w:color w:val="auto"/>
          <w:sz w:val="28"/>
          <w:szCs w:val="28"/>
          <w:lang w:val="uk-UA"/>
        </w:rPr>
        <w:t xml:space="preserve">Про </w:t>
      </w:r>
      <w:r w:rsidR="007305EB" w:rsidRPr="00151E87">
        <w:rPr>
          <w:rFonts w:ascii="Times New Roman" w:hAnsi="Times New Roman"/>
          <w:color w:val="auto"/>
          <w:sz w:val="28"/>
          <w:szCs w:val="28"/>
          <w:lang w:val="uk-UA"/>
        </w:rPr>
        <w:t>внесення з</w:t>
      </w:r>
      <w:r w:rsidR="0080147C" w:rsidRPr="00151E87">
        <w:rPr>
          <w:rFonts w:ascii="Times New Roman" w:hAnsi="Times New Roman"/>
          <w:color w:val="auto"/>
          <w:sz w:val="28"/>
          <w:szCs w:val="28"/>
          <w:lang w:val="uk-UA"/>
        </w:rPr>
        <w:t>мін до Порядку встановлення (формування) тарифу на послуги з передачі електричної енергії</w:t>
      </w:r>
      <w:r w:rsidR="00F92AF4" w:rsidRPr="00151E87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80147C" w:rsidRPr="00151E87">
        <w:rPr>
          <w:rFonts w:ascii="Times New Roman" w:hAnsi="Times New Roman"/>
          <w:color w:val="auto"/>
          <w:sz w:val="28"/>
          <w:szCs w:val="28"/>
          <w:lang w:val="uk-UA"/>
        </w:rPr>
        <w:t>,</w:t>
      </w:r>
      <w:r w:rsidR="00717B10" w:rsidRPr="00151E87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</w:rPr>
        <w:t>що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</w:rPr>
        <w:t>має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</w:rPr>
        <w:t>ознаки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</w:rPr>
        <w:t xml:space="preserve"> регуляторного акта</w:t>
      </w:r>
    </w:p>
    <w:p w14:paraId="5586C47B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E2C96AD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7F9D2537" w14:textId="77777777" w:rsid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AA99BED" w14:textId="77777777" w:rsidR="00515570" w:rsidRP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570">
        <w:rPr>
          <w:rFonts w:ascii="Times New Roman" w:hAnsi="Times New Roman" w:cs="Times New Roman"/>
          <w:bCs/>
          <w:sz w:val="28"/>
          <w:szCs w:val="28"/>
        </w:rPr>
        <w:t xml:space="preserve">На засіданні НКРЕКП, що проводилось у формі відкритого слухання 01.08.2023, прийнято рішення про схвалення постанови НКРЕКП «Про затвердження Змін до Кодексу системи передачі». </w:t>
      </w:r>
    </w:p>
    <w:p w14:paraId="67CFB121" w14:textId="77777777" w:rsidR="00515570" w:rsidRP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570">
        <w:rPr>
          <w:rFonts w:ascii="Times New Roman" w:hAnsi="Times New Roman" w:cs="Times New Roman"/>
          <w:bCs/>
          <w:sz w:val="28"/>
          <w:szCs w:val="28"/>
        </w:rPr>
        <w:t>Запропонованими змінами передбачається запровадження публічних договорів приєднання між Користувачами та НЕК «Укренерго» та зміна порядку розрахунків за послуги з передачі електричної</w:t>
      </w:r>
      <w:r w:rsidRPr="0051557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15570">
        <w:rPr>
          <w:rFonts w:ascii="Times New Roman" w:hAnsi="Times New Roman" w:cs="Times New Roman"/>
          <w:bCs/>
          <w:sz w:val="28"/>
          <w:szCs w:val="28"/>
        </w:rPr>
        <w:t>енергії та диспетчерського (</w:t>
      </w:r>
      <w:proofErr w:type="spellStart"/>
      <w:r w:rsidRPr="00515570">
        <w:rPr>
          <w:rFonts w:ascii="Times New Roman" w:hAnsi="Times New Roman" w:cs="Times New Roman"/>
          <w:bCs/>
          <w:sz w:val="28"/>
          <w:szCs w:val="28"/>
        </w:rPr>
        <w:t>оперативно</w:t>
      </w:r>
      <w:proofErr w:type="spellEnd"/>
      <w:r w:rsidRPr="00515570">
        <w:rPr>
          <w:rFonts w:ascii="Times New Roman" w:hAnsi="Times New Roman" w:cs="Times New Roman"/>
          <w:bCs/>
          <w:sz w:val="28"/>
          <w:szCs w:val="28"/>
        </w:rPr>
        <w:t>-технологічного) управління, та, окрім цього актуалізовано діючі положення Кодексу системи передачі, затвердженого постановою НКРЕКП від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515570">
        <w:rPr>
          <w:rFonts w:ascii="Times New Roman" w:hAnsi="Times New Roman" w:cs="Times New Roman"/>
          <w:bCs/>
          <w:sz w:val="28"/>
          <w:szCs w:val="28"/>
        </w:rPr>
        <w:t>14.03.2018 № 309 (далі – КСП), з урахуванням постанови Шостого апеляційного адміністративного суду від 29.03.2023 та рішення Окружного адміністративного суду м. Києва від 27.10.2022 у справі № 640/27130/21 стосовно визнання протиправною та нечинною постанови НКРЕКП від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515570">
        <w:rPr>
          <w:rFonts w:ascii="Times New Roman" w:hAnsi="Times New Roman" w:cs="Times New Roman"/>
          <w:bCs/>
          <w:sz w:val="28"/>
          <w:szCs w:val="28"/>
        </w:rPr>
        <w:t xml:space="preserve">07.02.2020 № 360 «Про затвердження Змін до Кодексу системи передачі» в частині змін до пунктів 5.1, 5.3, 5.6 глави 5, пунктів 6.2, 6.5 глави 6 розділу XI та змін до додатків 5 та 6 КСП (стосовно оплати експортерами послуг </w:t>
      </w:r>
      <w:r w:rsidRPr="00515570">
        <w:rPr>
          <w:rFonts w:ascii="Times New Roman" w:eastAsia="SimSun" w:hAnsi="Times New Roman" w:cs="Times New Roman"/>
          <w:sz w:val="28"/>
          <w:szCs w:val="28"/>
          <w:lang w:bidi="ta-IN"/>
        </w:rPr>
        <w:t>при здійснення експорту/імпорту електричної енергії).</w:t>
      </w:r>
    </w:p>
    <w:p w14:paraId="25CB3D9E" w14:textId="43D8F3AE" w:rsidR="00515570" w:rsidRP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eastAsia="uk-UA"/>
        </w:rPr>
      </w:pPr>
      <w:r w:rsidRPr="00515570">
        <w:rPr>
          <w:rFonts w:ascii="Times New Roman" w:hAnsi="Times New Roman" w:cs="Times New Roman"/>
          <w:sz w:val="28"/>
          <w:szCs w:val="26"/>
          <w:lang w:eastAsia="uk-UA"/>
        </w:rPr>
        <w:t xml:space="preserve">Крім того, частиною третьою статті 8 Закону України </w:t>
      </w:r>
      <w:r w:rsidRPr="007E4BE7">
        <w:rPr>
          <w:rFonts w:ascii="Times New Roman" w:hAnsi="Times New Roman" w:cs="Times New Roman"/>
          <w:sz w:val="28"/>
          <w:szCs w:val="26"/>
          <w:lang w:eastAsia="uk-UA"/>
        </w:rPr>
        <w:t>«Про альтернативні джерела енергії» (зі змінами, внесеними Законом України «Про внесення змін до деяких законів України щодо відновлення та «зеленої» трансформації енергетичної системи України»)</w:t>
      </w:r>
      <w:r w:rsidRPr="00515570">
        <w:rPr>
          <w:rFonts w:ascii="Times New Roman" w:hAnsi="Times New Roman" w:cs="Times New Roman"/>
          <w:sz w:val="28"/>
          <w:szCs w:val="26"/>
          <w:lang w:eastAsia="uk-UA"/>
        </w:rPr>
        <w:t xml:space="preserve"> визначено</w:t>
      </w:r>
      <w:r w:rsidR="00D814E2">
        <w:rPr>
          <w:rFonts w:ascii="Times New Roman" w:hAnsi="Times New Roman" w:cs="Times New Roman"/>
          <w:sz w:val="28"/>
          <w:szCs w:val="26"/>
          <w:lang w:eastAsia="uk-UA"/>
        </w:rPr>
        <w:t xml:space="preserve">, що </w:t>
      </w:r>
      <w:r w:rsidRPr="00515570">
        <w:rPr>
          <w:rFonts w:ascii="Times New Roman" w:hAnsi="Times New Roman" w:cs="Times New Roman"/>
          <w:sz w:val="28"/>
          <w:szCs w:val="26"/>
          <w:lang w:eastAsia="uk-UA"/>
        </w:rPr>
        <w:t xml:space="preserve">Кабінет Міністрів України має право передбачити у державному бюджеті видатки на фінансову підтримку учасників ринку електричної енергії, на яких покладено спеціальні обов’язки із забезпечення збільшення частки виробництва електричної енергії з альтернативних джерел енергії, відповідно до бюджетних запитів центрального органу виконавчої влади, що забезпечує формування та реалізацію державної політики в електроенергетичному комплексі, на підставі розрахунків, наданих Національною комісією, що здійснює державне регулювання у сферах енергетики та комунальних послуг. </w:t>
      </w:r>
    </w:p>
    <w:p w14:paraId="0107AF31" w14:textId="750937F1" w:rsid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eastAsia="uk-UA"/>
        </w:rPr>
      </w:pPr>
      <w:r w:rsidRPr="00515570">
        <w:rPr>
          <w:rFonts w:ascii="Times New Roman" w:hAnsi="Times New Roman" w:cs="Times New Roman"/>
          <w:sz w:val="28"/>
          <w:szCs w:val="26"/>
          <w:lang w:eastAsia="uk-UA"/>
        </w:rPr>
        <w:t>У разі отримання учасниками ринку електричної енергії, на яких покладено спеціальні обов’язки із забезпечення збільшення частки виробництва електричної енергії з альтернативних джерел енергії, з державного бюджету фінансової підтримки, передбаченої частиною третьою цієї статті, Національною комісією, що здійснює державне регулювання у сферах енергетики та комунальних послуг, встановлюється тариф на послуги з передачі електричної енергії на відповідний рік з урахуванням фінансової підтримки, отриманої учасниками ринку електричної енергії, на яких покладено спеціальні обов’язки із забезпечення збільшення частки виробництва електричної енергії з альтернативних джерел енергії.</w:t>
      </w:r>
    </w:p>
    <w:p w14:paraId="3827D784" w14:textId="4093345D" w:rsidR="006F3CD3" w:rsidRPr="00515570" w:rsidRDefault="006F3CD3" w:rsidP="006F3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Style w:val="fontstyle01"/>
        </w:rPr>
        <w:lastRenderedPageBreak/>
        <w:t xml:space="preserve">З огляду на зазначене, НКРЕКП розроблено </w:t>
      </w:r>
      <w:proofErr w:type="spellStart"/>
      <w:r>
        <w:rPr>
          <w:rStyle w:val="fontstyle01"/>
        </w:rPr>
        <w:t>проєкт</w:t>
      </w:r>
      <w:proofErr w:type="spellEnd"/>
      <w:r>
        <w:rPr>
          <w:rStyle w:val="fontstyle01"/>
        </w:rPr>
        <w:t xml:space="preserve"> постанови НКРЕКП </w:t>
      </w:r>
      <w:r>
        <w:rPr>
          <w:rStyle w:val="fontstyle21"/>
        </w:rPr>
        <w:t>«</w:t>
      </w:r>
      <w:r>
        <w:rPr>
          <w:rStyle w:val="fontstyle01"/>
        </w:rPr>
        <w:t>Про внесення змін до</w:t>
      </w:r>
      <w:r>
        <w:t xml:space="preserve"> </w:t>
      </w:r>
      <w:r>
        <w:rPr>
          <w:rStyle w:val="fontstyle01"/>
        </w:rPr>
        <w:t>Порядку встановлення (формування) тарифу на послуги з передачі електричної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 xml:space="preserve">енергії» </w:t>
      </w:r>
      <w:r w:rsidRPr="00151E87">
        <w:rPr>
          <w:rFonts w:ascii="Times New Roman" w:hAnsi="Times New Roman"/>
          <w:sz w:val="28"/>
          <w:szCs w:val="28"/>
        </w:rPr>
        <w:t>(далі – </w:t>
      </w:r>
      <w:proofErr w:type="spellStart"/>
      <w:r w:rsidRPr="00151E87">
        <w:rPr>
          <w:rFonts w:ascii="Times New Roman" w:hAnsi="Times New Roman"/>
          <w:sz w:val="28"/>
          <w:szCs w:val="28"/>
        </w:rPr>
        <w:t>Проєкт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постанови)</w:t>
      </w:r>
      <w:r w:rsidRPr="00515570">
        <w:rPr>
          <w:rFonts w:ascii="Times New Roman" w:hAnsi="Times New Roman" w:cs="Times New Roman"/>
          <w:bCs/>
          <w:sz w:val="28"/>
          <w:szCs w:val="28"/>
        </w:rPr>
        <w:t>.</w:t>
      </w:r>
    </w:p>
    <w:p w14:paraId="564E3BCA" w14:textId="52D57784" w:rsidR="006F3CD3" w:rsidRDefault="006F3CD3" w:rsidP="00515570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Style w:val="fontstyle01"/>
        </w:rPr>
        <w:t>Розробленими змінами, з метою приведення норм Порядку встановлення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(формування) тарифу на послуги з передачі електричної енергії, затвердженого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постановою НКРЕКП від 22.04.2019 № 585 (далі – Порядок), у відповідність до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схвалених змін до КСП, унормовано підходи до визначення обсягу передачі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електричної енергії у період до приєднання оператора системи передачі України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до ІТС механізму (до 31.12.2023 (включно) та після 01.01.2024).</w:t>
      </w:r>
    </w:p>
    <w:p w14:paraId="21CFB3B0" w14:textId="027C868D" w:rsidR="006F3CD3" w:rsidRDefault="006F3CD3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eastAsia="uk-UA"/>
        </w:rPr>
      </w:pPr>
      <w:r>
        <w:rPr>
          <w:rStyle w:val="fontstyle01"/>
        </w:rPr>
        <w:t xml:space="preserve">Також, змінами до Порядку передбачено, що </w:t>
      </w:r>
      <w:r w:rsidRPr="007E4BE7">
        <w:rPr>
          <w:rStyle w:val="fontstyle01"/>
          <w:rFonts w:ascii="Times New Roman" w:hAnsi="Times New Roman" w:cs="Times New Roman"/>
        </w:rPr>
        <w:t>витрати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джерел, визначаються з</w:t>
      </w:r>
      <w:r>
        <w:rPr>
          <w:rStyle w:val="fontstyle01"/>
        </w:rPr>
        <w:t xml:space="preserve"> урахуванням фінансової підтримки з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Style w:val="fontstyle01"/>
        </w:rPr>
        <w:t>державного бюджету відповідно до законодавства України.</w:t>
      </w:r>
    </w:p>
    <w:p w14:paraId="363E4A5A" w14:textId="77777777" w:rsidR="006F3CD3" w:rsidRDefault="006F3CD3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eastAsia="uk-UA"/>
        </w:rPr>
      </w:pPr>
    </w:p>
    <w:p w14:paraId="66B8981C" w14:textId="15D2C2A1" w:rsidR="00DC1500" w:rsidRPr="00151E87" w:rsidRDefault="00DC1500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2297"/>
      </w:tblGrid>
      <w:tr w:rsidR="00151E87" w:rsidRPr="00151E87" w14:paraId="2EEE2C8C" w14:textId="77777777" w:rsidTr="005A09E5">
        <w:trPr>
          <w:trHeight w:val="70"/>
        </w:trPr>
        <w:tc>
          <w:tcPr>
            <w:tcW w:w="3202" w:type="dxa"/>
          </w:tcPr>
          <w:p w14:paraId="52B04BBA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50560B71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2297" w:type="dxa"/>
            <w:vAlign w:val="center"/>
          </w:tcPr>
          <w:p w14:paraId="1001C4F9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373158CF" w14:textId="77777777" w:rsidTr="005A09E5">
        <w:trPr>
          <w:trHeight w:val="70"/>
        </w:trPr>
        <w:tc>
          <w:tcPr>
            <w:tcW w:w="3202" w:type="dxa"/>
          </w:tcPr>
          <w:p w14:paraId="022FB128" w14:textId="77777777" w:rsidR="00DC1500" w:rsidRPr="00151E87" w:rsidRDefault="00DC1500" w:rsidP="008F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7AAC0B24" w14:textId="77777777" w:rsidR="00DC1500" w:rsidRPr="00151E87" w:rsidRDefault="00DC1500" w:rsidP="008F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297" w:type="dxa"/>
            <w:vAlign w:val="center"/>
          </w:tcPr>
          <w:p w14:paraId="35346C73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1C1EBFB5" w14:textId="77777777" w:rsidTr="005A09E5">
        <w:trPr>
          <w:trHeight w:val="70"/>
        </w:trPr>
        <w:tc>
          <w:tcPr>
            <w:tcW w:w="3202" w:type="dxa"/>
          </w:tcPr>
          <w:p w14:paraId="7B28DFA7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6A18FD6E" w14:textId="77777777" w:rsidR="00DC1500" w:rsidRPr="00151E87" w:rsidRDefault="00DC1500" w:rsidP="00F00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Стабільне функціонування паливно-енергетичного комплексу України</w:t>
            </w:r>
          </w:p>
          <w:p w14:paraId="5BBF573A" w14:textId="77777777" w:rsidR="00DC1500" w:rsidRDefault="00793B6F" w:rsidP="008D2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Реалізація державної політики в сфері енергетики, зокрема,</w:t>
            </w:r>
            <w:r w:rsidR="008D2709"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приведення Порядку у відповідність до </w:t>
            </w:r>
            <w:r w:rsidR="00396418" w:rsidRPr="00396418">
              <w:rPr>
                <w:rFonts w:ascii="Times New Roman" w:hAnsi="Times New Roman" w:cs="Times New Roman"/>
                <w:sz w:val="24"/>
                <w:szCs w:val="24"/>
              </w:rPr>
              <w:t>законодавства України</w:t>
            </w:r>
            <w:r w:rsidR="008D2709" w:rsidRPr="00151E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225FC" w14:textId="77777777" w:rsidR="004B331B" w:rsidRPr="004B331B" w:rsidRDefault="004B331B" w:rsidP="008D27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59F80D30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2CDFDD72" w14:textId="77777777" w:rsidTr="005A09E5">
        <w:trPr>
          <w:trHeight w:val="70"/>
        </w:trPr>
        <w:tc>
          <w:tcPr>
            <w:tcW w:w="3202" w:type="dxa"/>
          </w:tcPr>
          <w:p w14:paraId="62AD515A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3D746C9E" w14:textId="0EFF0CA9" w:rsidR="0009188C" w:rsidRPr="00151E87" w:rsidRDefault="00FD072C" w:rsidP="0020689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Дозволить </w:t>
            </w:r>
            <w:bookmarkStart w:id="0" w:name="_Hlk51591308"/>
            <w:r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удосконалити </w:t>
            </w:r>
            <w:r w:rsidR="008D2709" w:rsidRPr="00CF49F7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r w:rsidRPr="00CF4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Порядку </w:t>
            </w:r>
            <w:r w:rsidR="00F5116D"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частині 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>унорм</w:t>
            </w:r>
            <w:r w:rsidR="00953D38">
              <w:rPr>
                <w:rFonts w:ascii="Times New Roman" w:hAnsi="Times New Roman" w:cs="Times New Roman"/>
                <w:sz w:val="24"/>
                <w:szCs w:val="24"/>
              </w:rPr>
              <w:t>ування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підход</w:t>
            </w:r>
            <w:r w:rsidR="00206890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до визначення обсягу передачі електричної енергії у період до приєднання оператора системи передачі України до ІТС механізму (до 31.12.2023 (включно) та після 01.01.2024)</w:t>
            </w:r>
            <w:r w:rsidR="00206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21EE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06890">
              <w:rPr>
                <w:rFonts w:ascii="Times New Roman" w:hAnsi="Times New Roman" w:cs="Times New Roman"/>
                <w:sz w:val="24"/>
                <w:szCs w:val="24"/>
              </w:rPr>
              <w:t>а складової структури тарифу на послуги з передачі в частині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EE1" w:rsidRPr="007E4BE7">
              <w:rPr>
                <w:rFonts w:ascii="Times New Roman" w:hAnsi="Times New Roman" w:cs="Times New Roman"/>
                <w:sz w:val="24"/>
                <w:szCs w:val="24"/>
              </w:rPr>
              <w:t xml:space="preserve">витрат на виконання </w:t>
            </w:r>
            <w:r w:rsidR="00206890" w:rsidRPr="007E4BE7">
              <w:rPr>
                <w:rFonts w:ascii="Times New Roman" w:hAnsi="Times New Roman" w:cs="Times New Roman"/>
                <w:sz w:val="24"/>
                <w:szCs w:val="24"/>
              </w:rPr>
              <w:t>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джерел,</w:t>
            </w:r>
            <w:r w:rsidR="00206890">
              <w:rPr>
                <w:rFonts w:ascii="Times New Roman" w:hAnsi="Times New Roman" w:cs="Times New Roman"/>
                <w:sz w:val="24"/>
                <w:szCs w:val="24"/>
              </w:rPr>
              <w:t xml:space="preserve"> що має 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визнача</w:t>
            </w:r>
            <w:r w:rsidR="003E3182">
              <w:rPr>
                <w:rFonts w:ascii="Times New Roman" w:hAnsi="Times New Roman" w:cs="Times New Roman"/>
                <w:sz w:val="24"/>
                <w:szCs w:val="24"/>
              </w:rPr>
              <w:t>тись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з урахуванням фінансової підтримки з державного бюджету відповідно до законодавства України.</w:t>
            </w:r>
            <w:bookmarkEnd w:id="0"/>
          </w:p>
        </w:tc>
        <w:tc>
          <w:tcPr>
            <w:tcW w:w="2297" w:type="dxa"/>
            <w:vAlign w:val="center"/>
          </w:tcPr>
          <w:p w14:paraId="3677CC28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</w:tbl>
    <w:p w14:paraId="233F19C2" w14:textId="77777777" w:rsidR="000B5587" w:rsidRPr="00151E87" w:rsidRDefault="000B5587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BFBEC" w14:textId="77777777" w:rsidR="00DC1500" w:rsidRPr="00151E87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A8C5B69" w14:textId="77777777" w:rsidR="00DC1500" w:rsidRPr="00151E87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17245" w14:textId="0F1EF0DA" w:rsidR="006740C9" w:rsidRPr="00151E87" w:rsidRDefault="0017518D" w:rsidP="00674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Метою прийняття регуляторного </w:t>
      </w:r>
      <w:proofErr w:type="spellStart"/>
      <w:r w:rsidRPr="00151E8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 w:cs="Times New Roman"/>
          <w:sz w:val="28"/>
          <w:szCs w:val="28"/>
        </w:rPr>
        <w:t xml:space="preserve"> є приведення </w:t>
      </w:r>
      <w:r w:rsidR="00CD5A24" w:rsidRPr="00921EE1">
        <w:rPr>
          <w:rFonts w:ascii="Times New Roman" w:hAnsi="Times New Roman" w:cs="Times New Roman"/>
          <w:sz w:val="28"/>
          <w:szCs w:val="28"/>
        </w:rPr>
        <w:t>Порядку</w:t>
      </w:r>
      <w:r w:rsidR="00CD5A24" w:rsidRPr="00151E87">
        <w:rPr>
          <w:rFonts w:ascii="Times New Roman" w:hAnsi="Times New Roman" w:cs="Times New Roman"/>
          <w:sz w:val="28"/>
          <w:szCs w:val="28"/>
        </w:rPr>
        <w:t xml:space="preserve"> в частині упорядкування умов,</w:t>
      </w:r>
      <w:r w:rsidR="00CD5A24">
        <w:rPr>
          <w:rFonts w:ascii="Times New Roman" w:hAnsi="Times New Roman" w:cs="Times New Roman"/>
          <w:sz w:val="28"/>
          <w:szCs w:val="28"/>
        </w:rPr>
        <w:t xml:space="preserve"> </w:t>
      </w:r>
      <w:r w:rsidR="00CD5A24" w:rsidRPr="00151E87">
        <w:rPr>
          <w:rFonts w:ascii="Times New Roman" w:hAnsi="Times New Roman" w:cs="Times New Roman"/>
          <w:sz w:val="28"/>
          <w:szCs w:val="28"/>
        </w:rPr>
        <w:t xml:space="preserve">згідно з якими здійснюється </w:t>
      </w:r>
      <w:r w:rsidR="00CD5A24">
        <w:rPr>
          <w:rFonts w:ascii="Times New Roman" w:hAnsi="Times New Roman" w:cs="Times New Roman"/>
          <w:sz w:val="28"/>
          <w:szCs w:val="28"/>
        </w:rPr>
        <w:t xml:space="preserve">розрахунок та </w:t>
      </w:r>
      <w:r w:rsidR="00CD5A24" w:rsidRPr="00151E87">
        <w:rPr>
          <w:rFonts w:ascii="Times New Roman" w:hAnsi="Times New Roman" w:cs="Times New Roman"/>
          <w:sz w:val="28"/>
          <w:szCs w:val="28"/>
        </w:rPr>
        <w:t>встановлення тарифу на послуги з передачі електричної енергії</w:t>
      </w:r>
      <w:r w:rsidR="00CD5A24">
        <w:rPr>
          <w:rFonts w:ascii="Times New Roman" w:hAnsi="Times New Roman" w:cs="Times New Roman"/>
          <w:sz w:val="28"/>
          <w:szCs w:val="28"/>
        </w:rPr>
        <w:t xml:space="preserve">, </w:t>
      </w:r>
      <w:r w:rsidRPr="00151E87">
        <w:rPr>
          <w:rFonts w:ascii="Times New Roman" w:hAnsi="Times New Roman" w:cs="Times New Roman"/>
          <w:sz w:val="28"/>
          <w:szCs w:val="28"/>
        </w:rPr>
        <w:t xml:space="preserve">у </w:t>
      </w:r>
      <w:r w:rsidRPr="00921EE1">
        <w:rPr>
          <w:rFonts w:ascii="Times New Roman" w:hAnsi="Times New Roman" w:cs="Times New Roman"/>
          <w:sz w:val="28"/>
          <w:szCs w:val="28"/>
        </w:rPr>
        <w:t xml:space="preserve">відповідність до </w:t>
      </w:r>
      <w:r w:rsidR="00351B7A" w:rsidRPr="00921EE1">
        <w:rPr>
          <w:rFonts w:ascii="Times New Roman" w:hAnsi="Times New Roman" w:cs="Times New Roman"/>
          <w:sz w:val="28"/>
          <w:szCs w:val="28"/>
        </w:rPr>
        <w:t xml:space="preserve">схвалених змін до </w:t>
      </w:r>
      <w:r w:rsidR="00FC65D9" w:rsidRPr="00921EE1">
        <w:rPr>
          <w:rFonts w:ascii="Times New Roman" w:hAnsi="Times New Roman" w:cs="Times New Roman"/>
          <w:sz w:val="28"/>
          <w:szCs w:val="28"/>
        </w:rPr>
        <w:t>КСП та Закону України «Про альтернативні джерела енергії»</w:t>
      </w:r>
      <w:r w:rsidR="006740C9">
        <w:rPr>
          <w:rFonts w:ascii="Times New Roman" w:hAnsi="Times New Roman" w:cs="Times New Roman"/>
          <w:sz w:val="28"/>
          <w:szCs w:val="28"/>
        </w:rPr>
        <w:t>.</w:t>
      </w:r>
    </w:p>
    <w:p w14:paraId="0ECC6643" w14:textId="4E2F10DC" w:rsidR="00DC1500" w:rsidRPr="00151E87" w:rsidRDefault="00DC1500" w:rsidP="00921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Визначення та оцінка альтернативних способів досягнення цілей</w:t>
      </w:r>
    </w:p>
    <w:p w14:paraId="527BD7BA" w14:textId="77777777" w:rsidR="00DC1500" w:rsidRPr="007E4BE7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740FEE08" w14:textId="77777777" w:rsidR="00DC1500" w:rsidRPr="00151E87" w:rsidRDefault="00DC1500" w:rsidP="003359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238"/>
      </w:tblGrid>
      <w:tr w:rsidR="00151E87" w:rsidRPr="00060306" w14:paraId="5EEC8EFF" w14:textId="77777777" w:rsidTr="005A09E5">
        <w:tc>
          <w:tcPr>
            <w:tcW w:w="4786" w:type="dxa"/>
          </w:tcPr>
          <w:p w14:paraId="222BA597" w14:textId="77777777" w:rsidR="00DC1500" w:rsidRPr="00060306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5238" w:type="dxa"/>
          </w:tcPr>
          <w:p w14:paraId="7F7C4EEB" w14:textId="77777777" w:rsidR="00DC1500" w:rsidRPr="00060306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Опис альтернативи</w:t>
            </w:r>
          </w:p>
        </w:tc>
      </w:tr>
      <w:tr w:rsidR="00151E87" w:rsidRPr="00060306" w14:paraId="14D2A521" w14:textId="77777777" w:rsidTr="007E4BE7">
        <w:trPr>
          <w:trHeight w:val="831"/>
        </w:trPr>
        <w:tc>
          <w:tcPr>
            <w:tcW w:w="4786" w:type="dxa"/>
          </w:tcPr>
          <w:p w14:paraId="3436AFC5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3101D7F5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5238" w:type="dxa"/>
          </w:tcPr>
          <w:p w14:paraId="2EC69F1B" w14:textId="77777777" w:rsidR="00DC1500" w:rsidRPr="00060306" w:rsidRDefault="00A25642" w:rsidP="00000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Порядок не забезпечує відповідність </w:t>
            </w:r>
            <w:r w:rsidR="00351B7A" w:rsidRPr="00060306">
              <w:rPr>
                <w:rFonts w:ascii="Times New Roman" w:hAnsi="Times New Roman" w:cs="Times New Roman"/>
              </w:rPr>
              <w:t>до схвалених змін до КСП та Закону України «Про альтернативні джерела енергії»</w:t>
            </w:r>
            <w:r w:rsidR="000005DA" w:rsidRPr="00060306">
              <w:rPr>
                <w:rFonts w:ascii="Times New Roman" w:hAnsi="Times New Roman" w:cs="Times New Roman"/>
              </w:rPr>
              <w:t>.</w:t>
            </w:r>
          </w:p>
        </w:tc>
      </w:tr>
      <w:tr w:rsidR="00151E87" w:rsidRPr="00060306" w14:paraId="30D68A04" w14:textId="77777777" w:rsidTr="005A09E5">
        <w:trPr>
          <w:trHeight w:val="317"/>
        </w:trPr>
        <w:tc>
          <w:tcPr>
            <w:tcW w:w="4786" w:type="dxa"/>
          </w:tcPr>
          <w:p w14:paraId="7015A00D" w14:textId="77777777" w:rsidR="00DC1500" w:rsidRPr="00060306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08AA145A" w14:textId="77777777" w:rsidR="00DC1500" w:rsidRPr="00060306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5238" w:type="dxa"/>
          </w:tcPr>
          <w:p w14:paraId="2268FD9F" w14:textId="371BB03C" w:rsidR="00DC1500" w:rsidRPr="00060306" w:rsidRDefault="0017518D" w:rsidP="00F92B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Забезпечує відповідність</w:t>
            </w:r>
            <w:r w:rsidR="00F8640C" w:rsidRPr="00060306">
              <w:rPr>
                <w:rFonts w:ascii="Times New Roman" w:hAnsi="Times New Roman" w:cs="Times New Roman"/>
              </w:rPr>
              <w:t xml:space="preserve"> </w:t>
            </w:r>
            <w:r w:rsidR="00151E87" w:rsidRPr="00060306">
              <w:rPr>
                <w:rFonts w:ascii="Times New Roman" w:hAnsi="Times New Roman" w:cs="Times New Roman"/>
              </w:rPr>
              <w:t>Порядку</w:t>
            </w:r>
            <w:r w:rsidR="00F8640C" w:rsidRPr="00060306">
              <w:rPr>
                <w:rFonts w:ascii="Times New Roman" w:hAnsi="Times New Roman" w:cs="Times New Roman"/>
              </w:rPr>
              <w:t xml:space="preserve"> </w:t>
            </w:r>
            <w:r w:rsidR="00351B7A" w:rsidRPr="00060306">
              <w:rPr>
                <w:rFonts w:ascii="Times New Roman" w:hAnsi="Times New Roman" w:cs="Times New Roman"/>
              </w:rPr>
              <w:t>схваленим змінам до КСП та Закону України «Про альтернативні джерела енергії»</w:t>
            </w:r>
            <w:r w:rsidRPr="00060306">
              <w:rPr>
                <w:rFonts w:ascii="Times New Roman" w:hAnsi="Times New Roman" w:cs="Times New Roman"/>
              </w:rPr>
              <w:t>.</w:t>
            </w:r>
          </w:p>
        </w:tc>
      </w:tr>
    </w:tbl>
    <w:p w14:paraId="31797958" w14:textId="77777777" w:rsidR="00DC1500" w:rsidRPr="007E4BE7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18"/>
        </w:rPr>
      </w:pPr>
    </w:p>
    <w:p w14:paraId="1C310029" w14:textId="4E5084D7" w:rsidR="00DC1500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1EDFDA8C" w14:textId="77777777" w:rsidR="00DC1500" w:rsidRPr="00151E87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274"/>
        <w:gridCol w:w="4111"/>
        <w:gridCol w:w="1639"/>
      </w:tblGrid>
      <w:tr w:rsidR="00151E87" w:rsidRPr="00060306" w14:paraId="48BA92F5" w14:textId="77777777" w:rsidTr="005A09E5">
        <w:trPr>
          <w:trHeight w:val="28"/>
        </w:trPr>
        <w:tc>
          <w:tcPr>
            <w:tcW w:w="4274" w:type="dxa"/>
          </w:tcPr>
          <w:p w14:paraId="0CCFE270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4111" w:type="dxa"/>
          </w:tcPr>
          <w:p w14:paraId="1E2E914C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1639" w:type="dxa"/>
          </w:tcPr>
          <w:p w14:paraId="7B88C355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741E8CD9" w14:textId="77777777" w:rsidTr="005A09E5">
        <w:trPr>
          <w:trHeight w:val="169"/>
        </w:trPr>
        <w:tc>
          <w:tcPr>
            <w:tcW w:w="4274" w:type="dxa"/>
          </w:tcPr>
          <w:p w14:paraId="38A49D3E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1E311E01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4111" w:type="dxa"/>
          </w:tcPr>
          <w:p w14:paraId="5D58D4F8" w14:textId="77777777" w:rsidR="00DC1500" w:rsidRPr="00060306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639" w:type="dxa"/>
          </w:tcPr>
          <w:p w14:paraId="33EF084F" w14:textId="77777777" w:rsidR="00DC1500" w:rsidRPr="00060306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  <w:tr w:rsidR="00151E87" w:rsidRPr="00060306" w14:paraId="75C85FC3" w14:textId="77777777" w:rsidTr="005A09E5">
        <w:tc>
          <w:tcPr>
            <w:tcW w:w="4274" w:type="dxa"/>
          </w:tcPr>
          <w:p w14:paraId="530E4BFB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6685AC6E" w14:textId="77777777" w:rsidR="00DC1500" w:rsidRPr="0006030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4111" w:type="dxa"/>
          </w:tcPr>
          <w:p w14:paraId="3134E668" w14:textId="0661FDCC" w:rsidR="00F8640C" w:rsidRPr="00060306" w:rsidRDefault="00A1044E" w:rsidP="00E36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19550910"/>
            <w:r w:rsidRPr="00060306">
              <w:rPr>
                <w:rFonts w:ascii="Times New Roman" w:hAnsi="Times New Roman" w:cs="Times New Roman"/>
              </w:rPr>
              <w:t>Удосконалення</w:t>
            </w:r>
            <w:r w:rsidR="00144CC9" w:rsidRPr="00060306">
              <w:rPr>
                <w:rFonts w:ascii="Times New Roman" w:hAnsi="Times New Roman" w:cs="Times New Roman"/>
              </w:rPr>
              <w:t xml:space="preserve"> </w:t>
            </w:r>
            <w:r w:rsidR="005E1902" w:rsidRPr="00060306">
              <w:rPr>
                <w:rFonts w:ascii="Times New Roman" w:hAnsi="Times New Roman" w:cs="Times New Roman"/>
              </w:rPr>
              <w:t xml:space="preserve">положень </w:t>
            </w:r>
            <w:r w:rsidR="003F0F85" w:rsidRPr="00060306">
              <w:rPr>
                <w:rFonts w:ascii="Times New Roman" w:hAnsi="Times New Roman" w:cs="Times New Roman"/>
              </w:rPr>
              <w:t>в частині унорм</w:t>
            </w:r>
            <w:r w:rsidR="00C77CFD">
              <w:rPr>
                <w:rFonts w:ascii="Times New Roman" w:hAnsi="Times New Roman" w:cs="Times New Roman"/>
              </w:rPr>
              <w:t>ування</w:t>
            </w:r>
            <w:r w:rsidR="003F0F85" w:rsidRPr="00060306">
              <w:rPr>
                <w:rFonts w:ascii="Times New Roman" w:hAnsi="Times New Roman" w:cs="Times New Roman"/>
              </w:rPr>
              <w:t xml:space="preserve"> підходів до визначення обсягу передачі електричної енергії у період до приєднання оператора системи передачі України до ІТС механізму (до 31.12.2023 (включно) та після 01.01.2024), та складової структури тарифу на послуги з передачі в частині </w:t>
            </w:r>
            <w:r w:rsidR="003F0F85" w:rsidRPr="007E4BE7">
              <w:rPr>
                <w:rFonts w:ascii="Times New Roman" w:hAnsi="Times New Roman" w:cs="Times New Roman"/>
              </w:rPr>
              <w:t>витрат на виконання спеціальних обов’язків для забезпечення загальносуспільних інтересів із забезпечення збільшення частки виробництва електричної енергії з альтернативних джерел,</w:t>
            </w:r>
            <w:r w:rsidR="003F0F85" w:rsidRPr="00060306">
              <w:rPr>
                <w:rFonts w:ascii="Times New Roman" w:hAnsi="Times New Roman" w:cs="Times New Roman"/>
              </w:rPr>
              <w:t xml:space="preserve"> що має  визнача</w:t>
            </w:r>
            <w:r w:rsidR="00C77CFD">
              <w:rPr>
                <w:rFonts w:ascii="Times New Roman" w:hAnsi="Times New Roman" w:cs="Times New Roman"/>
              </w:rPr>
              <w:t>тись</w:t>
            </w:r>
            <w:r w:rsidR="003F0F85" w:rsidRPr="00060306">
              <w:rPr>
                <w:rFonts w:ascii="Times New Roman" w:hAnsi="Times New Roman" w:cs="Times New Roman"/>
              </w:rPr>
              <w:t xml:space="preserve"> з урахуванням фінансової підтримки з державного бюджету відповідно до законодавства України.</w:t>
            </w:r>
            <w:bookmarkEnd w:id="1"/>
          </w:p>
        </w:tc>
        <w:tc>
          <w:tcPr>
            <w:tcW w:w="1639" w:type="dxa"/>
          </w:tcPr>
          <w:p w14:paraId="5577F394" w14:textId="77777777" w:rsidR="00DC1500" w:rsidRPr="00060306" w:rsidRDefault="00DC1500" w:rsidP="005A09E5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</w:tbl>
    <w:p w14:paraId="230EA45E" w14:textId="77777777" w:rsidR="00DC1500" w:rsidRPr="00E3689C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14:paraId="03C46C9D" w14:textId="77777777" w:rsidR="00DC1500" w:rsidRPr="00151E87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5"/>
        <w:gridCol w:w="3119"/>
        <w:gridCol w:w="2580"/>
      </w:tblGrid>
      <w:tr w:rsidR="00151E87" w:rsidRPr="00060306" w14:paraId="618C676B" w14:textId="77777777" w:rsidTr="005A09E5">
        <w:tc>
          <w:tcPr>
            <w:tcW w:w="4325" w:type="dxa"/>
          </w:tcPr>
          <w:p w14:paraId="6583E9A1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3119" w:type="dxa"/>
          </w:tcPr>
          <w:p w14:paraId="10A6B848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580" w:type="dxa"/>
          </w:tcPr>
          <w:p w14:paraId="66F8601F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642A1AD6" w14:textId="77777777" w:rsidTr="005A09E5">
        <w:tc>
          <w:tcPr>
            <w:tcW w:w="4325" w:type="dxa"/>
          </w:tcPr>
          <w:p w14:paraId="62684BC3" w14:textId="77777777" w:rsidR="00DC1500" w:rsidRPr="0006030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562F5427" w14:textId="77777777" w:rsidR="00DC1500" w:rsidRPr="0006030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3119" w:type="dxa"/>
            <w:vAlign w:val="center"/>
          </w:tcPr>
          <w:p w14:paraId="70BC2D9D" w14:textId="77777777" w:rsidR="00DC1500" w:rsidRPr="00060306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7E2ECAE1" w14:textId="77777777" w:rsidR="00DC1500" w:rsidRPr="00060306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  <w:tr w:rsidR="00151E87" w:rsidRPr="00060306" w14:paraId="419CEF5D" w14:textId="77777777" w:rsidTr="005A09E5">
        <w:tc>
          <w:tcPr>
            <w:tcW w:w="4325" w:type="dxa"/>
          </w:tcPr>
          <w:p w14:paraId="3E5482BF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4B28AEA8" w14:textId="77777777" w:rsidR="00DC1500" w:rsidRPr="0006030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3119" w:type="dxa"/>
            <w:vAlign w:val="center"/>
          </w:tcPr>
          <w:p w14:paraId="72C131A1" w14:textId="77777777" w:rsidR="00DC1500" w:rsidRPr="00060306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7899DC14" w14:textId="77777777" w:rsidR="00DC1500" w:rsidRPr="00060306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</w:tbl>
    <w:p w14:paraId="3C97A59E" w14:textId="77777777" w:rsidR="00DC1500" w:rsidRPr="007E4BE7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14:paraId="20B96848" w14:textId="77777777" w:rsidR="00DC1500" w:rsidRPr="005A09E5" w:rsidRDefault="00DC1500" w:rsidP="005A09E5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9E5">
        <w:rPr>
          <w:rFonts w:ascii="Times New Roman" w:hAnsi="Times New Roman" w:cs="Times New Roman"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3402"/>
        <w:gridCol w:w="2631"/>
      </w:tblGrid>
      <w:tr w:rsidR="00151E87" w:rsidRPr="00060306" w14:paraId="56BD6668" w14:textId="77777777" w:rsidTr="005A09E5">
        <w:trPr>
          <w:trHeight w:val="28"/>
        </w:trPr>
        <w:tc>
          <w:tcPr>
            <w:tcW w:w="3991" w:type="dxa"/>
          </w:tcPr>
          <w:p w14:paraId="1B25E30F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3402" w:type="dxa"/>
          </w:tcPr>
          <w:p w14:paraId="1784819B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631" w:type="dxa"/>
          </w:tcPr>
          <w:p w14:paraId="516CD1E7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0AC4E277" w14:textId="77777777" w:rsidTr="005A09E5">
        <w:tc>
          <w:tcPr>
            <w:tcW w:w="3991" w:type="dxa"/>
          </w:tcPr>
          <w:p w14:paraId="3B0E754E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34B6FCCA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3402" w:type="dxa"/>
          </w:tcPr>
          <w:p w14:paraId="6B0CA7D9" w14:textId="77777777" w:rsidR="00DC1500" w:rsidRPr="00060306" w:rsidRDefault="00DC1500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Додаткових витрат немає</w:t>
            </w:r>
          </w:p>
        </w:tc>
        <w:tc>
          <w:tcPr>
            <w:tcW w:w="2631" w:type="dxa"/>
          </w:tcPr>
          <w:p w14:paraId="375674A0" w14:textId="74F6F603" w:rsidR="00E3689C" w:rsidRPr="00060306" w:rsidRDefault="00952C10" w:rsidP="007E4BE7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Відсутні</w:t>
            </w:r>
            <w:r w:rsidR="007E4BE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конкретизовані умови для </w:t>
            </w:r>
            <w:r w:rsidRPr="0006030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встановлення та застосування тарифу на послуги з передачі електричної енергії </w:t>
            </w: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з урахуванням змін до Закону України «Про </w:t>
            </w: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lastRenderedPageBreak/>
              <w:t>альтернативні джерела енергії»</w:t>
            </w:r>
            <w:r w:rsid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.</w:t>
            </w:r>
          </w:p>
        </w:tc>
      </w:tr>
      <w:tr w:rsidR="00151E87" w:rsidRPr="00060306" w14:paraId="6D978309" w14:textId="77777777" w:rsidTr="005A09E5">
        <w:tc>
          <w:tcPr>
            <w:tcW w:w="3991" w:type="dxa"/>
          </w:tcPr>
          <w:p w14:paraId="3E309585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lastRenderedPageBreak/>
              <w:t>Альтернатива 2.</w:t>
            </w:r>
          </w:p>
          <w:p w14:paraId="68E4E22F" w14:textId="77777777" w:rsidR="00DC1500" w:rsidRPr="00060306" w:rsidRDefault="00DC1500" w:rsidP="003347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3402" w:type="dxa"/>
          </w:tcPr>
          <w:p w14:paraId="2FC6213B" w14:textId="2A040AAF" w:rsidR="00DC1500" w:rsidRPr="00060306" w:rsidRDefault="00FF414E" w:rsidP="000F4315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Дозволить</w:t>
            </w:r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bookmarkStart w:id="2" w:name="_Hlk82767893"/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привести норми Порядку у відповідність </w:t>
            </w:r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до </w:t>
            </w:r>
            <w:r w:rsidR="005A09E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схвалених змін до КСП та </w:t>
            </w:r>
            <w:r w:rsidR="005A09E5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Закону України «Про альтернативні джерела енергії»</w:t>
            </w:r>
            <w:bookmarkEnd w:id="2"/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, зокрема в частині </w:t>
            </w:r>
            <w:r w:rsidR="005A09E5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унормування підходів до </w:t>
            </w:r>
            <w:r w:rsidR="003F0F8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визначення обсягу передачі електричної енергії у період до приєднання оператора системи передачі України до ІТС механізму (до 31.12.2023 (включно) та після 01.01.2024), та складової структури тарифу на послуги з передачі в частині </w:t>
            </w:r>
            <w:r w:rsidR="003F0F85" w:rsidRPr="007E4BE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витрат на виконання спеціальних обов’язків для забезпечення</w:t>
            </w:r>
            <w:r w:rsidR="000F431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3F0F85" w:rsidRPr="007E4BE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загальносуспільних інтересів із забезпечення збільшення частки виробництва електричної енергії з альтернативних джерел,</w:t>
            </w:r>
            <w:r w:rsidR="003F0F8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що має  визнача</w:t>
            </w:r>
            <w:r w:rsidR="000F431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тись</w:t>
            </w:r>
            <w:r w:rsidR="003F0F8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 урахуванням фінансової підтримки з державного бюджету відповідно до законодавства України.</w:t>
            </w:r>
          </w:p>
        </w:tc>
        <w:tc>
          <w:tcPr>
            <w:tcW w:w="2631" w:type="dxa"/>
          </w:tcPr>
          <w:p w14:paraId="5EF5AD72" w14:textId="77777777" w:rsidR="00626305" w:rsidRPr="00060306" w:rsidRDefault="00626305" w:rsidP="002A66F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Відсутні.</w:t>
            </w:r>
          </w:p>
          <w:p w14:paraId="120BE687" w14:textId="77777777" w:rsidR="0085611A" w:rsidRPr="00060306" w:rsidRDefault="0085611A" w:rsidP="00207F7C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</w:tr>
    </w:tbl>
    <w:p w14:paraId="688AE0BC" w14:textId="77777777" w:rsidR="00877DD6" w:rsidRPr="00E3689C" w:rsidRDefault="00877DD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32DC7EDD" w14:textId="77777777" w:rsidR="00DC1500" w:rsidRPr="00151E87" w:rsidRDefault="00DC1500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4FFBB3B5" w14:textId="77777777" w:rsidR="00877DD6" w:rsidRPr="00151E87" w:rsidRDefault="00877DD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3147"/>
      </w:tblGrid>
      <w:tr w:rsidR="00151E87" w:rsidRPr="00060306" w14:paraId="71047688" w14:textId="77777777" w:rsidTr="005A09E5">
        <w:tc>
          <w:tcPr>
            <w:tcW w:w="4467" w:type="dxa"/>
          </w:tcPr>
          <w:p w14:paraId="062A1547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Рейтинг результативності</w:t>
            </w:r>
            <w:r w:rsidRPr="00060306">
              <w:rPr>
                <w:rFonts w:ascii="Times New Roman" w:hAnsi="Times New Roman" w:cs="Times New Roman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177EF533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Бал результативності</w:t>
            </w:r>
            <w:r w:rsidRPr="00060306">
              <w:rPr>
                <w:rFonts w:ascii="Times New Roman" w:hAnsi="Times New Roman" w:cs="Times New Roman"/>
              </w:rPr>
              <w:br/>
              <w:t>(за чотирибальною системою оцінки)</w:t>
            </w:r>
          </w:p>
        </w:tc>
        <w:tc>
          <w:tcPr>
            <w:tcW w:w="3147" w:type="dxa"/>
          </w:tcPr>
          <w:p w14:paraId="7C91660A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Коментарі</w:t>
            </w:r>
            <w:r w:rsidRPr="00060306">
              <w:rPr>
                <w:rFonts w:ascii="Times New Roman" w:hAnsi="Times New Roman" w:cs="Times New Roman"/>
              </w:rPr>
              <w:br/>
              <w:t xml:space="preserve">щодо присвоєння відповідного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бала</w:t>
            </w:r>
            <w:proofErr w:type="spellEnd"/>
          </w:p>
        </w:tc>
      </w:tr>
      <w:tr w:rsidR="00151E87" w:rsidRPr="00060306" w14:paraId="2347342A" w14:textId="77777777" w:rsidTr="005A09E5">
        <w:tc>
          <w:tcPr>
            <w:tcW w:w="4467" w:type="dxa"/>
          </w:tcPr>
          <w:p w14:paraId="534424A2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783E43F9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07C2A198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147" w:type="dxa"/>
          </w:tcPr>
          <w:p w14:paraId="50BDFAB1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  <w:t xml:space="preserve">Не досягає поставленої мети </w:t>
            </w:r>
          </w:p>
        </w:tc>
      </w:tr>
      <w:tr w:rsidR="00151E87" w:rsidRPr="00060306" w14:paraId="2A58DED0" w14:textId="77777777" w:rsidTr="005A09E5">
        <w:tc>
          <w:tcPr>
            <w:tcW w:w="4467" w:type="dxa"/>
          </w:tcPr>
          <w:p w14:paraId="7DA8FD41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Обрана Альтернатива 2.</w:t>
            </w:r>
          </w:p>
          <w:p w14:paraId="5708AA30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2410" w:type="dxa"/>
          </w:tcPr>
          <w:p w14:paraId="0275CBC8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3147" w:type="dxa"/>
          </w:tcPr>
          <w:p w14:paraId="7C17710C" w14:textId="77777777" w:rsidR="00DC1500" w:rsidRPr="00060306" w:rsidRDefault="00DC1500" w:rsidP="004E6895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  <w:t>Дозволяє вирішити проблему самим ефективним шляхом</w:t>
            </w:r>
          </w:p>
        </w:tc>
      </w:tr>
    </w:tbl>
    <w:p w14:paraId="2E6888F0" w14:textId="77777777" w:rsidR="00B838D0" w:rsidRPr="007E4BE7" w:rsidRDefault="00B838D0" w:rsidP="00BB4FAA">
      <w:pPr>
        <w:pStyle w:val="2"/>
        <w:spacing w:before="0" w:beforeAutospacing="0" w:after="0" w:afterAutospacing="0"/>
        <w:rPr>
          <w:rFonts w:ascii="Times New Roman" w:hAnsi="Times New Roman"/>
          <w:b w:val="0"/>
          <w:sz w:val="28"/>
          <w:szCs w:val="22"/>
          <w:highlight w:val="yellow"/>
          <w:lang w:val="uk-UA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126"/>
        <w:gridCol w:w="1985"/>
        <w:gridCol w:w="2410"/>
      </w:tblGrid>
      <w:tr w:rsidR="00151E87" w:rsidRPr="00060306" w14:paraId="2FAA784A" w14:textId="77777777" w:rsidTr="007E4BE7">
        <w:trPr>
          <w:jc w:val="center"/>
        </w:trPr>
        <w:tc>
          <w:tcPr>
            <w:tcW w:w="3544" w:type="dxa"/>
          </w:tcPr>
          <w:p w14:paraId="7B5A1B94" w14:textId="77777777" w:rsidR="00DC1500" w:rsidRPr="00060306" w:rsidRDefault="00DC1500" w:rsidP="005A09E5">
            <w:pPr>
              <w:ind w:firstLine="27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Рейтинг результативності</w:t>
            </w:r>
          </w:p>
        </w:tc>
        <w:tc>
          <w:tcPr>
            <w:tcW w:w="2126" w:type="dxa"/>
          </w:tcPr>
          <w:p w14:paraId="4AE0E60A" w14:textId="77777777" w:rsidR="00DC1500" w:rsidRPr="00060306" w:rsidRDefault="00DC1500" w:rsidP="00417D06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Вигоди (підсумок)</w:t>
            </w:r>
          </w:p>
        </w:tc>
        <w:tc>
          <w:tcPr>
            <w:tcW w:w="1985" w:type="dxa"/>
          </w:tcPr>
          <w:p w14:paraId="30E5EF6A" w14:textId="77777777" w:rsidR="00DC1500" w:rsidRPr="00060306" w:rsidRDefault="00DC1500" w:rsidP="00417D06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Витрати (підсумок)</w:t>
            </w:r>
          </w:p>
        </w:tc>
        <w:tc>
          <w:tcPr>
            <w:tcW w:w="2410" w:type="dxa"/>
          </w:tcPr>
          <w:p w14:paraId="001E90ED" w14:textId="77777777" w:rsidR="00DC1500" w:rsidRPr="00060306" w:rsidRDefault="00DC1500" w:rsidP="00417D06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151E87" w:rsidRPr="00060306" w14:paraId="36EA837C" w14:textId="77777777" w:rsidTr="007E4BE7">
        <w:trPr>
          <w:trHeight w:val="324"/>
          <w:jc w:val="center"/>
        </w:trPr>
        <w:tc>
          <w:tcPr>
            <w:tcW w:w="3544" w:type="dxa"/>
          </w:tcPr>
          <w:p w14:paraId="39D57E75" w14:textId="77777777" w:rsidR="00160C69" w:rsidRPr="00060306" w:rsidRDefault="00626305" w:rsidP="00160C69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Альтернатива 1.</w:t>
            </w:r>
            <w:r w:rsidRPr="00060306">
              <w:rPr>
                <w:rFonts w:ascii="Times New Roman" w:hAnsi="Times New Roman"/>
              </w:rPr>
              <w:t xml:space="preserve"> </w:t>
            </w:r>
          </w:p>
          <w:p w14:paraId="4E6132FB" w14:textId="77777777" w:rsidR="00626305" w:rsidRPr="00060306" w:rsidRDefault="00626305" w:rsidP="00160C69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Збереження чинного регулювання</w:t>
            </w:r>
          </w:p>
          <w:p w14:paraId="01EDB748" w14:textId="77777777" w:rsidR="00160C69" w:rsidRPr="00060306" w:rsidRDefault="00160C69" w:rsidP="00160C69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center"/>
          </w:tcPr>
          <w:p w14:paraId="179CEE72" w14:textId="77777777" w:rsidR="00626305" w:rsidRPr="00060306" w:rsidRDefault="00626305" w:rsidP="00626305">
            <w:pPr>
              <w:ind w:hanging="52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</w:t>
            </w:r>
          </w:p>
        </w:tc>
        <w:tc>
          <w:tcPr>
            <w:tcW w:w="1985" w:type="dxa"/>
            <w:vAlign w:val="center"/>
          </w:tcPr>
          <w:p w14:paraId="7A74421C" w14:textId="77777777" w:rsidR="00626305" w:rsidRPr="00060306" w:rsidRDefault="00F45B7D" w:rsidP="00626305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Відсутня </w:t>
            </w:r>
          </w:p>
        </w:tc>
        <w:tc>
          <w:tcPr>
            <w:tcW w:w="2410" w:type="dxa"/>
            <w:vAlign w:val="center"/>
          </w:tcPr>
          <w:p w14:paraId="591933F1" w14:textId="77777777" w:rsidR="00626305" w:rsidRPr="00060306" w:rsidRDefault="00626305" w:rsidP="005A09E5">
            <w:pPr>
              <w:spacing w:after="0" w:line="240" w:lineRule="auto"/>
              <w:ind w:firstLine="17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 xml:space="preserve">Не вирішує проблему </w:t>
            </w:r>
          </w:p>
        </w:tc>
      </w:tr>
      <w:tr w:rsidR="00626305" w:rsidRPr="00060306" w14:paraId="5E5D1632" w14:textId="77777777" w:rsidTr="007E4BE7">
        <w:trPr>
          <w:jc w:val="center"/>
        </w:trPr>
        <w:tc>
          <w:tcPr>
            <w:tcW w:w="3544" w:type="dxa"/>
          </w:tcPr>
          <w:p w14:paraId="5DC30B34" w14:textId="77777777" w:rsidR="00626305" w:rsidRPr="00060306" w:rsidRDefault="00626305" w:rsidP="00160C69">
            <w:pPr>
              <w:spacing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Обрана Альтернатива 2.</w:t>
            </w:r>
            <w:r w:rsidRPr="00060306">
              <w:rPr>
                <w:rFonts w:ascii="Times New Roman" w:hAnsi="Times New Roman"/>
              </w:rPr>
              <w:t xml:space="preserve"> </w:t>
            </w: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  <w:p w14:paraId="1E91BDF5" w14:textId="77777777" w:rsidR="00626305" w:rsidRPr="00060306" w:rsidRDefault="00626305" w:rsidP="00160C69">
            <w:pPr>
              <w:spacing w:after="0" w:line="240" w:lineRule="auto"/>
              <w:ind w:firstLine="28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58312157" w14:textId="77777777" w:rsidR="00626305" w:rsidRPr="00060306" w:rsidRDefault="00AE5BAE" w:rsidP="005A09E5">
            <w:pPr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/>
              </w:rPr>
              <w:t>Забезпечує досягнення цілей державного регулювання</w:t>
            </w:r>
          </w:p>
        </w:tc>
        <w:tc>
          <w:tcPr>
            <w:tcW w:w="1985" w:type="dxa"/>
          </w:tcPr>
          <w:p w14:paraId="6FD8EF6D" w14:textId="77777777" w:rsidR="00626305" w:rsidRPr="00060306" w:rsidRDefault="00626305" w:rsidP="005A09E5">
            <w:pPr>
              <w:ind w:firstLine="32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</w:t>
            </w:r>
          </w:p>
          <w:p w14:paraId="70662D38" w14:textId="77777777" w:rsidR="00AE5BAE" w:rsidRPr="00060306" w:rsidRDefault="00AE5BAE" w:rsidP="00626305">
            <w:pPr>
              <w:ind w:hanging="52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AE1AAAB" w14:textId="77777777" w:rsidR="00626305" w:rsidRPr="00060306" w:rsidRDefault="00626305" w:rsidP="005A09E5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Дозволяє досягти цілей державного регулювання самим ефективним шляхом</w:t>
            </w:r>
          </w:p>
        </w:tc>
      </w:tr>
    </w:tbl>
    <w:p w14:paraId="34295F38" w14:textId="77777777" w:rsidR="00C67F69" w:rsidRPr="00151E87" w:rsidRDefault="00C67F69" w:rsidP="00E51783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4394"/>
        <w:gridCol w:w="2549"/>
      </w:tblGrid>
      <w:tr w:rsidR="00151E87" w:rsidRPr="00060306" w14:paraId="5F9566F9" w14:textId="77777777" w:rsidTr="00160C69">
        <w:trPr>
          <w:jc w:val="center"/>
        </w:trPr>
        <w:tc>
          <w:tcPr>
            <w:tcW w:w="2972" w:type="dxa"/>
          </w:tcPr>
          <w:p w14:paraId="3236C621" w14:textId="77777777" w:rsidR="00DC1500" w:rsidRPr="00060306" w:rsidRDefault="00DC1500" w:rsidP="00E4253E">
            <w:pPr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lastRenderedPageBreak/>
              <w:t>Рейтинг</w:t>
            </w:r>
          </w:p>
        </w:tc>
        <w:tc>
          <w:tcPr>
            <w:tcW w:w="4394" w:type="dxa"/>
          </w:tcPr>
          <w:p w14:paraId="7A5BB135" w14:textId="77777777" w:rsidR="00DC1500" w:rsidRPr="00060306" w:rsidRDefault="00DC1500" w:rsidP="005A09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549" w:type="dxa"/>
          </w:tcPr>
          <w:p w14:paraId="2AAA3A90" w14:textId="77777777" w:rsidR="00DC1500" w:rsidRPr="00060306" w:rsidRDefault="00DC1500" w:rsidP="005A09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060306">
              <w:rPr>
                <w:rFonts w:ascii="Times New Roman" w:hAnsi="Times New Roman"/>
                <w:b/>
              </w:rPr>
              <w:t>акта</w:t>
            </w:r>
            <w:proofErr w:type="spellEnd"/>
          </w:p>
        </w:tc>
      </w:tr>
      <w:tr w:rsidR="00151E87" w:rsidRPr="00060306" w14:paraId="5D36FF05" w14:textId="77777777" w:rsidTr="00160C69">
        <w:trPr>
          <w:jc w:val="center"/>
        </w:trPr>
        <w:tc>
          <w:tcPr>
            <w:tcW w:w="2972" w:type="dxa"/>
          </w:tcPr>
          <w:p w14:paraId="019C554C" w14:textId="77777777" w:rsidR="00DC1500" w:rsidRPr="00060306" w:rsidRDefault="00DC1500" w:rsidP="00160C69">
            <w:pPr>
              <w:spacing w:before="80" w:after="0" w:line="240" w:lineRule="auto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Альтернатива 1.</w:t>
            </w:r>
            <w:r w:rsidRPr="00060306">
              <w:rPr>
                <w:rFonts w:ascii="Times New Roman" w:hAnsi="Times New Roman"/>
              </w:rPr>
              <w:t xml:space="preserve"> Збереження чинного регулювання</w:t>
            </w:r>
          </w:p>
        </w:tc>
        <w:tc>
          <w:tcPr>
            <w:tcW w:w="4394" w:type="dxa"/>
          </w:tcPr>
          <w:p w14:paraId="6580FB3B" w14:textId="77777777" w:rsidR="00DC1500" w:rsidRPr="00060306" w:rsidRDefault="00DC1500" w:rsidP="007E4B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Не вирішує проблему та не забезпечує цілей державного регулювання</w:t>
            </w:r>
            <w:r w:rsidR="00C17353" w:rsidRPr="00060306">
              <w:rPr>
                <w:rFonts w:ascii="Times New Roman" w:hAnsi="Times New Roman"/>
              </w:rPr>
              <w:t>.</w:t>
            </w:r>
          </w:p>
        </w:tc>
        <w:tc>
          <w:tcPr>
            <w:tcW w:w="2549" w:type="dxa"/>
          </w:tcPr>
          <w:p w14:paraId="2032F03C" w14:textId="77777777" w:rsidR="00DC1500" w:rsidRPr="00060306" w:rsidRDefault="00DC1500" w:rsidP="00E4253E">
            <w:pPr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Відсутній</w:t>
            </w:r>
          </w:p>
        </w:tc>
      </w:tr>
      <w:tr w:rsidR="00DC1500" w:rsidRPr="00060306" w14:paraId="71F36069" w14:textId="77777777" w:rsidTr="00160C69">
        <w:trPr>
          <w:jc w:val="center"/>
        </w:trPr>
        <w:tc>
          <w:tcPr>
            <w:tcW w:w="2972" w:type="dxa"/>
          </w:tcPr>
          <w:p w14:paraId="21E238C3" w14:textId="77777777" w:rsidR="00DC1500" w:rsidRPr="00060306" w:rsidRDefault="00DC1500" w:rsidP="007E4BE7">
            <w:pPr>
              <w:spacing w:after="0" w:line="240" w:lineRule="auto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Обрана Альтернатива 2.</w:t>
            </w:r>
            <w:r w:rsidRPr="00060306">
              <w:rPr>
                <w:rFonts w:ascii="Times New Roman" w:hAnsi="Times New Roman"/>
              </w:rPr>
              <w:t xml:space="preserve"> </w:t>
            </w:r>
            <w:r w:rsidR="00493779"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="00493779"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7EA8516D" w14:textId="77777777" w:rsidR="00DC1500" w:rsidRPr="00060306" w:rsidRDefault="00DC1500" w:rsidP="007E4BE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  <w:r w:rsidR="00C17353" w:rsidRPr="00060306">
              <w:rPr>
                <w:rFonts w:ascii="Times New Roman" w:hAnsi="Times New Roman"/>
              </w:rPr>
              <w:t>.</w:t>
            </w:r>
          </w:p>
        </w:tc>
        <w:tc>
          <w:tcPr>
            <w:tcW w:w="2549" w:type="dxa"/>
          </w:tcPr>
          <w:p w14:paraId="1A48B278" w14:textId="77777777" w:rsidR="00DC1500" w:rsidRPr="00060306" w:rsidRDefault="00DC1500" w:rsidP="00E4253E">
            <w:pPr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Відсутній</w:t>
            </w:r>
          </w:p>
        </w:tc>
      </w:tr>
    </w:tbl>
    <w:p w14:paraId="20C68C8A" w14:textId="77777777" w:rsidR="00283CB4" w:rsidRPr="00E3689C" w:rsidRDefault="00283CB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7C0A4F4A" w14:textId="77777777" w:rsidR="00DC1500" w:rsidRPr="00151E87" w:rsidRDefault="00DC1500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3290BCD3" w14:textId="77777777" w:rsidR="00C133D4" w:rsidRPr="00151E87" w:rsidRDefault="00C133D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A8B6B4" w14:textId="77777777" w:rsidR="00160C69" w:rsidRDefault="00DC1500" w:rsidP="00F7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114606" w:rsidRPr="00151E87">
        <w:rPr>
          <w:rFonts w:ascii="Times New Roman" w:hAnsi="Times New Roman" w:cs="Times New Roman"/>
          <w:sz w:val="28"/>
          <w:szCs w:val="28"/>
        </w:rPr>
        <w:t>П</w:t>
      </w:r>
      <w:r w:rsidRPr="00151E87">
        <w:rPr>
          <w:rFonts w:ascii="Times New Roman" w:hAnsi="Times New Roman" w:cs="Times New Roman"/>
          <w:sz w:val="28"/>
          <w:szCs w:val="28"/>
        </w:rPr>
        <w:t>ро</w:t>
      </w:r>
      <w:r w:rsidR="00BE773A" w:rsidRPr="00151E87">
        <w:rPr>
          <w:rFonts w:ascii="Times New Roman" w:hAnsi="Times New Roman" w:cs="Times New Roman"/>
          <w:sz w:val="28"/>
          <w:szCs w:val="28"/>
        </w:rPr>
        <w:t>є</w:t>
      </w:r>
      <w:r w:rsidRPr="00151E87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 w:cs="Times New Roman"/>
          <w:sz w:val="28"/>
          <w:szCs w:val="28"/>
        </w:rPr>
        <w:t xml:space="preserve"> постанови дозволить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 привести норми Порядку у відповідність до </w:t>
      </w:r>
      <w:r w:rsidR="00160C69" w:rsidRPr="00515570">
        <w:rPr>
          <w:rFonts w:ascii="Times New Roman" w:hAnsi="Times New Roman" w:cs="Times New Roman"/>
          <w:bCs/>
          <w:sz w:val="28"/>
          <w:szCs w:val="28"/>
        </w:rPr>
        <w:t xml:space="preserve">схвалених змін до </w:t>
      </w:r>
      <w:r w:rsidR="00160C69">
        <w:rPr>
          <w:rFonts w:ascii="Times New Roman" w:hAnsi="Times New Roman" w:cs="Times New Roman"/>
          <w:bCs/>
          <w:sz w:val="28"/>
          <w:szCs w:val="28"/>
        </w:rPr>
        <w:t xml:space="preserve">КСП та </w:t>
      </w:r>
      <w:r w:rsidR="00160C69" w:rsidRPr="00FC65D9">
        <w:rPr>
          <w:rFonts w:ascii="Times New Roman" w:hAnsi="Times New Roman" w:cs="Times New Roman"/>
          <w:bCs/>
          <w:sz w:val="28"/>
          <w:szCs w:val="28"/>
        </w:rPr>
        <w:t>Закону України «Про альтернативні джерела енергії»</w:t>
      </w:r>
      <w:r w:rsidR="00160C69" w:rsidRPr="00151E87">
        <w:rPr>
          <w:rFonts w:ascii="Times New Roman" w:hAnsi="Times New Roman" w:cs="Times New Roman"/>
          <w:sz w:val="28"/>
          <w:szCs w:val="28"/>
        </w:rPr>
        <w:t>.</w:t>
      </w:r>
    </w:p>
    <w:p w14:paraId="6475FF3D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>, не очікується.</w:t>
      </w:r>
    </w:p>
    <w:p w14:paraId="1DCDBE13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розроблялась, оскільки введення в дію положень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призведе до настання будь-яких негативних наслідків.</w:t>
      </w:r>
    </w:p>
    <w:p w14:paraId="79019C7E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будуть </w:t>
      </w:r>
      <w:r w:rsidR="00AB1D93" w:rsidRPr="00151E87">
        <w:rPr>
          <w:rFonts w:ascii="Times New Roman" w:hAnsi="Times New Roman"/>
          <w:b w:val="0"/>
          <w:sz w:val="28"/>
          <w:szCs w:val="28"/>
          <w:lang w:val="uk-UA"/>
        </w:rPr>
        <w:t>здійснюватися</w:t>
      </w: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державними органами, яким, відповідно до законодавства, надані такі повноваження. </w:t>
      </w:r>
    </w:p>
    <w:p w14:paraId="4DDD7373" w14:textId="77777777" w:rsidR="00F77C7C" w:rsidRPr="00151E87" w:rsidRDefault="00F77C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14:paraId="43A2EF59" w14:textId="77777777" w:rsidR="00DC1500" w:rsidRPr="00151E87" w:rsidRDefault="00DC150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Обґрунтування запропонованого строку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5CC50ABD" w14:textId="77777777" w:rsidR="00AF0DD0" w:rsidRPr="00151E87" w:rsidRDefault="00AF0DD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9D399" w14:textId="781A94D1" w:rsidR="00DC1500" w:rsidRPr="00151E87" w:rsidRDefault="00DC1500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необмежени</w:t>
      </w:r>
      <w:bookmarkStart w:id="3" w:name="_GoBack"/>
      <w:bookmarkEnd w:id="3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>й та може бути змінений у разі внесення відповідних змін до законодавства.</w:t>
      </w:r>
    </w:p>
    <w:p w14:paraId="1EE8F005" w14:textId="694CBFB0" w:rsidR="00E3689C" w:rsidRDefault="00E3689C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0AE04FF1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Визначення показників результативності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5A6791E3" w14:textId="77777777" w:rsidR="00DC1500" w:rsidRPr="00151E87" w:rsidRDefault="00DC1500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549A4A" w14:textId="77777777" w:rsidR="00DA13E5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Після набрання чинності постановою НКРЕКП </w:t>
      </w:r>
      <w:r w:rsidR="00DB4407" w:rsidRPr="00151E87">
        <w:rPr>
          <w:rFonts w:ascii="Times New Roman" w:hAnsi="Times New Roman"/>
          <w:sz w:val="28"/>
          <w:szCs w:val="28"/>
        </w:rPr>
        <w:t xml:space="preserve">«Про </w:t>
      </w:r>
      <w:r w:rsidR="00A024C6" w:rsidRPr="00151E87">
        <w:rPr>
          <w:rFonts w:ascii="Times New Roman" w:hAnsi="Times New Roman"/>
          <w:sz w:val="28"/>
          <w:szCs w:val="28"/>
        </w:rPr>
        <w:t xml:space="preserve">внесення змін </w:t>
      </w:r>
      <w:r w:rsidR="00DB4407" w:rsidRPr="00151E87">
        <w:rPr>
          <w:rFonts w:ascii="Times New Roman" w:hAnsi="Times New Roman"/>
          <w:sz w:val="28"/>
          <w:szCs w:val="28"/>
        </w:rPr>
        <w:t>до Порядку встановлення (формування) тарифу на послуги з передачі електричної енергії»</w:t>
      </w:r>
      <w:r w:rsidR="00A51EC9" w:rsidRPr="00151E87">
        <w:rPr>
          <w:rFonts w:ascii="Times New Roman" w:hAnsi="Times New Roman"/>
          <w:sz w:val="28"/>
          <w:szCs w:val="28"/>
        </w:rPr>
        <w:t xml:space="preserve"> її результативність визначатиметься такими показниками</w:t>
      </w:r>
      <w:r w:rsidRPr="00151E87">
        <w:rPr>
          <w:rFonts w:ascii="Times New Roman" w:hAnsi="Times New Roman" w:cs="Times New Roman"/>
          <w:sz w:val="28"/>
          <w:szCs w:val="28"/>
        </w:rPr>
        <w:t>:</w:t>
      </w:r>
    </w:p>
    <w:p w14:paraId="12AFE725" w14:textId="77777777" w:rsidR="00DA13E5" w:rsidRPr="00151E87" w:rsidRDefault="00DA13E5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1)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="00DC1500" w:rsidRPr="00151E87">
        <w:rPr>
          <w:rFonts w:ascii="Times New Roman" w:hAnsi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AF0DD0" w:rsidRPr="00151E87">
        <w:rPr>
          <w:rFonts w:ascii="Times New Roman" w:hAnsi="Times New Roman"/>
          <w:sz w:val="28"/>
          <w:szCs w:val="28"/>
        </w:rPr>
        <w:t>’</w:t>
      </w:r>
      <w:r w:rsidR="00DC1500" w:rsidRPr="00151E87">
        <w:rPr>
          <w:rFonts w:ascii="Times New Roman" w:hAnsi="Times New Roman"/>
          <w:sz w:val="28"/>
          <w:szCs w:val="28"/>
        </w:rPr>
        <w:t xml:space="preserve">язаних з дією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– не передбачаються;</w:t>
      </w:r>
      <w:r w:rsidRPr="00151E87">
        <w:rPr>
          <w:rFonts w:ascii="Times New Roman" w:hAnsi="Times New Roman"/>
          <w:sz w:val="28"/>
          <w:szCs w:val="28"/>
        </w:rPr>
        <w:t xml:space="preserve"> </w:t>
      </w:r>
    </w:p>
    <w:p w14:paraId="01433D41" w14:textId="2ECC0D70" w:rsidR="00377B16" w:rsidRPr="00151E87" w:rsidRDefault="00377B16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2)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Pr="00151E87">
        <w:rPr>
          <w:rFonts w:ascii="Times New Roman" w:hAnsi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–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поширюватиметься на оператора системи передачі, який здійснює функції з надання послуги з передачі електричної </w:t>
      </w:r>
      <w:r w:rsidR="00F463A8">
        <w:rPr>
          <w:rFonts w:ascii="Times New Roman" w:hAnsi="Times New Roman"/>
          <w:sz w:val="28"/>
          <w:szCs w:val="28"/>
        </w:rPr>
        <w:t>енергії</w:t>
      </w:r>
      <w:r w:rsidR="005440DC" w:rsidRPr="00151E87">
        <w:rPr>
          <w:rFonts w:ascii="Times New Roman" w:hAnsi="Times New Roman" w:cs="Times New Roman"/>
          <w:sz w:val="28"/>
          <w:szCs w:val="28"/>
        </w:rPr>
        <w:t>,</w:t>
      </w:r>
      <w:r w:rsidR="000D0099" w:rsidRPr="00151E87">
        <w:rPr>
          <w:rFonts w:ascii="Times New Roman" w:hAnsi="Times New Roman" w:cs="Times New Roman"/>
          <w:sz w:val="28"/>
          <w:szCs w:val="28"/>
        </w:rPr>
        <w:t xml:space="preserve"> </w:t>
      </w:r>
      <w:r w:rsidR="005440DC" w:rsidRPr="00151E87">
        <w:rPr>
          <w:rFonts w:ascii="Times New Roman" w:hAnsi="Times New Roman"/>
          <w:sz w:val="28"/>
          <w:szCs w:val="28"/>
        </w:rPr>
        <w:t>користувачів, які уклали з оператором системи передачі договір про надання послуг з передачі електричної енергії</w:t>
      </w:r>
      <w:r w:rsidR="000D0099" w:rsidRPr="00151E87">
        <w:rPr>
          <w:rFonts w:ascii="Times New Roman" w:hAnsi="Times New Roman"/>
          <w:sz w:val="28"/>
          <w:szCs w:val="28"/>
        </w:rPr>
        <w:t>.</w:t>
      </w:r>
    </w:p>
    <w:p w14:paraId="0B918CAE" w14:textId="77777777" w:rsidR="00DC1500" w:rsidRPr="00151E87" w:rsidRDefault="00DB7A71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3</w:t>
      </w:r>
      <w:r w:rsidR="00DA13E5" w:rsidRPr="00151E87">
        <w:rPr>
          <w:rFonts w:ascii="Times New Roman" w:hAnsi="Times New Roman"/>
          <w:sz w:val="28"/>
          <w:szCs w:val="28"/>
        </w:rPr>
        <w:t>) </w:t>
      </w:r>
      <w:r w:rsidR="00DC1500" w:rsidRPr="00151E87">
        <w:rPr>
          <w:rFonts w:ascii="Times New Roman" w:hAnsi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AF0DD0" w:rsidRPr="00151E87">
        <w:rPr>
          <w:rFonts w:ascii="Times New Roman" w:hAnsi="Times New Roman"/>
          <w:sz w:val="28"/>
          <w:szCs w:val="28"/>
        </w:rPr>
        <w:t>–</w:t>
      </w:r>
      <w:r w:rsidR="00DC1500" w:rsidRPr="00151E87">
        <w:rPr>
          <w:rFonts w:ascii="Times New Roman" w:hAnsi="Times New Roman"/>
          <w:sz w:val="28"/>
          <w:szCs w:val="28"/>
        </w:rPr>
        <w:t xml:space="preserve"> середній. </w:t>
      </w:r>
    </w:p>
    <w:p w14:paraId="69CEAD2D" w14:textId="77777777" w:rsidR="00DC1500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lastRenderedPageBreak/>
        <w:t xml:space="preserve">Відповідно до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="000D0099" w:rsidRPr="00151E87">
        <w:rPr>
          <w:rFonts w:ascii="Times New Roman" w:hAnsi="Times New Roman"/>
          <w:sz w:val="28"/>
          <w:szCs w:val="28"/>
        </w:rPr>
        <w:t>П</w:t>
      </w:r>
      <w:r w:rsidRPr="00151E87">
        <w:rPr>
          <w:rFonts w:ascii="Times New Roman" w:hAnsi="Times New Roman"/>
          <w:sz w:val="28"/>
          <w:szCs w:val="28"/>
        </w:rPr>
        <w:t>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</w:t>
      </w:r>
      <w:r w:rsidR="000D0099" w:rsidRPr="00151E87">
        <w:rPr>
          <w:rFonts w:ascii="Times New Roman" w:hAnsi="Times New Roman"/>
          <w:sz w:val="28"/>
          <w:szCs w:val="28"/>
        </w:rPr>
        <w:t xml:space="preserve">, </w:t>
      </w:r>
      <w:r w:rsidRPr="00151E87">
        <w:rPr>
          <w:rFonts w:ascii="Times New Roman" w:hAnsi="Times New Roman"/>
          <w:sz w:val="28"/>
          <w:szCs w:val="28"/>
        </w:rPr>
        <w:t xml:space="preserve">аналіз впливу та повідомлення про оприлюднення розміщено на офіційному </w:t>
      </w:r>
      <w:proofErr w:type="spellStart"/>
      <w:r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http://nerc.gov.ua. </w:t>
      </w:r>
    </w:p>
    <w:p w14:paraId="38D68502" w14:textId="77777777" w:rsidR="00DC1500" w:rsidRPr="00151E87" w:rsidRDefault="00DC1500" w:rsidP="00AF0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151E87">
        <w:rPr>
          <w:rFonts w:ascii="Times New Roman" w:hAnsi="Times New Roman"/>
          <w:sz w:val="28"/>
          <w:szCs w:val="28"/>
        </w:rPr>
        <w:t>про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регуляторного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, який буде </w:t>
      </w:r>
      <w:r w:rsidR="002C009E" w:rsidRPr="00151E87">
        <w:rPr>
          <w:rFonts w:ascii="Times New Roman" w:hAnsi="Times New Roman"/>
          <w:sz w:val="28"/>
          <w:szCs w:val="28"/>
        </w:rPr>
        <w:t xml:space="preserve">оприлюднено </w:t>
      </w:r>
      <w:r w:rsidR="006C38D8" w:rsidRPr="00151E87">
        <w:rPr>
          <w:rFonts w:ascii="Times New Roman" w:hAnsi="Times New Roman"/>
          <w:sz w:val="28"/>
          <w:szCs w:val="28"/>
        </w:rPr>
        <w:t xml:space="preserve">на офіційному </w:t>
      </w:r>
      <w:proofErr w:type="spellStart"/>
      <w:r w:rsidR="006C38D8"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="006C38D8" w:rsidRPr="00151E87">
        <w:rPr>
          <w:rFonts w:ascii="Times New Roman" w:hAnsi="Times New Roman"/>
          <w:sz w:val="28"/>
          <w:szCs w:val="28"/>
        </w:rPr>
        <w:t xml:space="preserve"> НКРЕКП</w:t>
      </w:r>
      <w:r w:rsidRPr="00151E87">
        <w:rPr>
          <w:rFonts w:ascii="Times New Roman" w:hAnsi="Times New Roman"/>
          <w:sz w:val="28"/>
          <w:szCs w:val="28"/>
        </w:rPr>
        <w:t xml:space="preserve"> після його прийняття. </w:t>
      </w:r>
    </w:p>
    <w:p w14:paraId="18B95DDE" w14:textId="77777777" w:rsidR="00E011C6" w:rsidRPr="00151E87" w:rsidRDefault="00E011C6" w:rsidP="004171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52D3B6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VIII. Очікуванні результати прийняття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6909A39" w14:textId="77777777" w:rsidR="00DC1500" w:rsidRPr="00151E87" w:rsidRDefault="00DC1500" w:rsidP="004171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419B971" w14:textId="6A58849D" w:rsidR="006740C9" w:rsidRDefault="00782395" w:rsidP="00E3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Очікуваним р</w:t>
      </w:r>
      <w:r w:rsidR="00432A77" w:rsidRPr="00151E87">
        <w:rPr>
          <w:rFonts w:ascii="Times New Roman" w:hAnsi="Times New Roman"/>
          <w:sz w:val="28"/>
          <w:szCs w:val="28"/>
        </w:rPr>
        <w:t>езультатом п</w:t>
      </w:r>
      <w:r w:rsidR="00DC1500" w:rsidRPr="00151E87">
        <w:rPr>
          <w:rFonts w:ascii="Times New Roman" w:hAnsi="Times New Roman"/>
          <w:sz w:val="28"/>
          <w:szCs w:val="28"/>
        </w:rPr>
        <w:t>рийняття постанови</w:t>
      </w:r>
      <w:r w:rsidR="001F5E80" w:rsidRPr="00151E87">
        <w:rPr>
          <w:rFonts w:ascii="Times New Roman" w:hAnsi="Times New Roman"/>
          <w:sz w:val="28"/>
          <w:szCs w:val="28"/>
        </w:rPr>
        <w:t xml:space="preserve"> НКРЕКП «Про внесення змін до Порядку встановлення (формування) тарифу на послуги з передачі електричної енергії»</w:t>
      </w:r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432A77" w:rsidRPr="00151E87">
        <w:rPr>
          <w:rFonts w:ascii="Times New Roman" w:hAnsi="Times New Roman" w:cs="Times New Roman"/>
          <w:sz w:val="28"/>
          <w:szCs w:val="28"/>
        </w:rPr>
        <w:t xml:space="preserve">має 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стати удосконалення та актуалізація Порядку відповідно до </w:t>
      </w:r>
      <w:r w:rsidR="00160C69" w:rsidRPr="006740C9">
        <w:rPr>
          <w:rFonts w:ascii="Times New Roman" w:hAnsi="Times New Roman" w:cs="Times New Roman"/>
          <w:sz w:val="28"/>
          <w:szCs w:val="28"/>
        </w:rPr>
        <w:t xml:space="preserve">схвалених змін до КСП та Закону України «Про альтернативні джерела енергії» </w:t>
      </w:r>
      <w:r w:rsidR="006740C9" w:rsidRPr="00151E87">
        <w:rPr>
          <w:rFonts w:ascii="Times New Roman" w:hAnsi="Times New Roman" w:cs="Times New Roman"/>
          <w:sz w:val="28"/>
          <w:szCs w:val="28"/>
        </w:rPr>
        <w:t>та забезпечення принципу прозорості при формуванні та встановленні тарифу на послуги з передачі електричної енергії.</w:t>
      </w:r>
    </w:p>
    <w:p w14:paraId="5E273D9C" w14:textId="77777777" w:rsidR="006740C9" w:rsidRDefault="006740C9" w:rsidP="00F77C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6B5D35" w14:textId="77777777" w:rsidR="00F77C7C" w:rsidRDefault="00F77C7C" w:rsidP="00432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8DDD01" w14:textId="77777777" w:rsidR="006740C9" w:rsidRPr="00151E87" w:rsidRDefault="006740C9" w:rsidP="00432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E37A51" w14:textId="77777777" w:rsidR="008A4B73" w:rsidRPr="00151E87" w:rsidRDefault="008A4B73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85AE2" w14:textId="77777777" w:rsidR="00DC1500" w:rsidRPr="00151E87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Голова НКРЕКП</w:t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="00160C69">
        <w:rPr>
          <w:rFonts w:ascii="Times New Roman" w:hAnsi="Times New Roman" w:cs="Times New Roman"/>
          <w:sz w:val="28"/>
          <w:szCs w:val="28"/>
        </w:rPr>
        <w:t>Костянтин УЩАПОВСЬКИЙ</w:t>
      </w:r>
    </w:p>
    <w:sectPr w:rsidR="00DC1500" w:rsidRPr="00151E87" w:rsidSect="00C67F69">
      <w:headerReference w:type="default" r:id="rId8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D7CEA" w14:textId="77777777" w:rsidR="00F54C62" w:rsidRDefault="00F54C62" w:rsidP="00B4485B">
      <w:pPr>
        <w:spacing w:after="0" w:line="240" w:lineRule="auto"/>
      </w:pPr>
      <w:r>
        <w:separator/>
      </w:r>
    </w:p>
  </w:endnote>
  <w:endnote w:type="continuationSeparator" w:id="0">
    <w:p w14:paraId="4C9BE224" w14:textId="77777777" w:rsidR="00F54C62" w:rsidRDefault="00F54C62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BDDE2" w14:textId="77777777" w:rsidR="00F54C62" w:rsidRDefault="00F54C62" w:rsidP="00B4485B">
      <w:pPr>
        <w:spacing w:after="0" w:line="240" w:lineRule="auto"/>
      </w:pPr>
      <w:r>
        <w:separator/>
      </w:r>
    </w:p>
  </w:footnote>
  <w:footnote w:type="continuationSeparator" w:id="0">
    <w:p w14:paraId="0F45CAE7" w14:textId="77777777" w:rsidR="00F54C62" w:rsidRDefault="00F54C62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83DA" w14:textId="30BBBECA" w:rsidR="007E4BE7" w:rsidRPr="00C67F69" w:rsidRDefault="00AF0DD0" w:rsidP="007E4BE7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C67F69">
      <w:rPr>
        <w:rFonts w:ascii="Times New Roman" w:hAnsi="Times New Roman" w:cs="Times New Roman"/>
        <w:sz w:val="24"/>
        <w:szCs w:val="24"/>
      </w:rPr>
      <w:fldChar w:fldCharType="begin"/>
    </w:r>
    <w:r w:rsidRPr="00C67F69">
      <w:rPr>
        <w:rFonts w:ascii="Times New Roman" w:hAnsi="Times New Roman" w:cs="Times New Roman"/>
        <w:sz w:val="24"/>
        <w:szCs w:val="24"/>
      </w:rPr>
      <w:instrText>PAGE   \* MERGEFORMAT</w:instrText>
    </w:r>
    <w:r w:rsidRPr="00C67F69">
      <w:rPr>
        <w:rFonts w:ascii="Times New Roman" w:hAnsi="Times New Roman" w:cs="Times New Roman"/>
        <w:sz w:val="24"/>
        <w:szCs w:val="24"/>
      </w:rPr>
      <w:fldChar w:fldCharType="separate"/>
    </w:r>
    <w:r w:rsidR="00333226">
      <w:rPr>
        <w:rFonts w:ascii="Times New Roman" w:hAnsi="Times New Roman" w:cs="Times New Roman"/>
        <w:noProof/>
        <w:sz w:val="24"/>
        <w:szCs w:val="24"/>
      </w:rPr>
      <w:t>2</w:t>
    </w:r>
    <w:r w:rsidRPr="00C67F69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0353AD"/>
    <w:multiLevelType w:val="hybridMultilevel"/>
    <w:tmpl w:val="9D740490"/>
    <w:lvl w:ilvl="0" w:tplc="99E67FF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D4"/>
    <w:rsid w:val="000005DA"/>
    <w:rsid w:val="00000906"/>
    <w:rsid w:val="000011EF"/>
    <w:rsid w:val="00002582"/>
    <w:rsid w:val="00002C99"/>
    <w:rsid w:val="0000316C"/>
    <w:rsid w:val="0000358A"/>
    <w:rsid w:val="000037F3"/>
    <w:rsid w:val="00007126"/>
    <w:rsid w:val="00011FCA"/>
    <w:rsid w:val="000124E8"/>
    <w:rsid w:val="0001257D"/>
    <w:rsid w:val="00017848"/>
    <w:rsid w:val="00020178"/>
    <w:rsid w:val="000205CE"/>
    <w:rsid w:val="000217A1"/>
    <w:rsid w:val="000302DC"/>
    <w:rsid w:val="000317F3"/>
    <w:rsid w:val="00036637"/>
    <w:rsid w:val="00040B29"/>
    <w:rsid w:val="000534F1"/>
    <w:rsid w:val="00053F62"/>
    <w:rsid w:val="00060306"/>
    <w:rsid w:val="0006106B"/>
    <w:rsid w:val="00063F4C"/>
    <w:rsid w:val="00077764"/>
    <w:rsid w:val="00077AF1"/>
    <w:rsid w:val="000834CE"/>
    <w:rsid w:val="000858E6"/>
    <w:rsid w:val="00085927"/>
    <w:rsid w:val="00087085"/>
    <w:rsid w:val="00087ACF"/>
    <w:rsid w:val="0009188C"/>
    <w:rsid w:val="000938AE"/>
    <w:rsid w:val="000A16BB"/>
    <w:rsid w:val="000A1816"/>
    <w:rsid w:val="000A4FA6"/>
    <w:rsid w:val="000A5556"/>
    <w:rsid w:val="000B0574"/>
    <w:rsid w:val="000B0808"/>
    <w:rsid w:val="000B100A"/>
    <w:rsid w:val="000B23F5"/>
    <w:rsid w:val="000B3619"/>
    <w:rsid w:val="000B5587"/>
    <w:rsid w:val="000B6295"/>
    <w:rsid w:val="000C1767"/>
    <w:rsid w:val="000C774C"/>
    <w:rsid w:val="000C77FE"/>
    <w:rsid w:val="000D0099"/>
    <w:rsid w:val="000D526A"/>
    <w:rsid w:val="000D66DB"/>
    <w:rsid w:val="000E1F7F"/>
    <w:rsid w:val="000E2277"/>
    <w:rsid w:val="000E3DAA"/>
    <w:rsid w:val="000E5B56"/>
    <w:rsid w:val="000E6897"/>
    <w:rsid w:val="000F4315"/>
    <w:rsid w:val="000F5926"/>
    <w:rsid w:val="000F72F6"/>
    <w:rsid w:val="000F7AA9"/>
    <w:rsid w:val="00100539"/>
    <w:rsid w:val="00101536"/>
    <w:rsid w:val="00102EE6"/>
    <w:rsid w:val="00103458"/>
    <w:rsid w:val="0010459C"/>
    <w:rsid w:val="00110601"/>
    <w:rsid w:val="00114606"/>
    <w:rsid w:val="00115EAB"/>
    <w:rsid w:val="00120A93"/>
    <w:rsid w:val="00121472"/>
    <w:rsid w:val="0012257B"/>
    <w:rsid w:val="00132723"/>
    <w:rsid w:val="00134E73"/>
    <w:rsid w:val="00140CC9"/>
    <w:rsid w:val="001434C2"/>
    <w:rsid w:val="00144CC9"/>
    <w:rsid w:val="00151E1F"/>
    <w:rsid w:val="00151E87"/>
    <w:rsid w:val="0015200C"/>
    <w:rsid w:val="00160780"/>
    <w:rsid w:val="00160C69"/>
    <w:rsid w:val="00166C04"/>
    <w:rsid w:val="00171E35"/>
    <w:rsid w:val="00172AC3"/>
    <w:rsid w:val="00174909"/>
    <w:rsid w:val="0017518D"/>
    <w:rsid w:val="00175E93"/>
    <w:rsid w:val="00177D27"/>
    <w:rsid w:val="0018121A"/>
    <w:rsid w:val="001A2476"/>
    <w:rsid w:val="001A26D8"/>
    <w:rsid w:val="001A3EF0"/>
    <w:rsid w:val="001A7863"/>
    <w:rsid w:val="001B21CF"/>
    <w:rsid w:val="001B30DA"/>
    <w:rsid w:val="001B4AF1"/>
    <w:rsid w:val="001C17E1"/>
    <w:rsid w:val="001C3229"/>
    <w:rsid w:val="001C444E"/>
    <w:rsid w:val="001C5354"/>
    <w:rsid w:val="001C614E"/>
    <w:rsid w:val="001C6EAC"/>
    <w:rsid w:val="001D2835"/>
    <w:rsid w:val="001D396A"/>
    <w:rsid w:val="001E70CF"/>
    <w:rsid w:val="001F4DC1"/>
    <w:rsid w:val="001F5E80"/>
    <w:rsid w:val="001F64D6"/>
    <w:rsid w:val="00205D75"/>
    <w:rsid w:val="00206890"/>
    <w:rsid w:val="00207F7C"/>
    <w:rsid w:val="00210A34"/>
    <w:rsid w:val="00211F05"/>
    <w:rsid w:val="00217C9C"/>
    <w:rsid w:val="002319A9"/>
    <w:rsid w:val="00234FAE"/>
    <w:rsid w:val="002460A6"/>
    <w:rsid w:val="0024704F"/>
    <w:rsid w:val="00253ADB"/>
    <w:rsid w:val="00254B51"/>
    <w:rsid w:val="0025569A"/>
    <w:rsid w:val="00256CD4"/>
    <w:rsid w:val="00262D37"/>
    <w:rsid w:val="00264427"/>
    <w:rsid w:val="00266989"/>
    <w:rsid w:val="00267A9C"/>
    <w:rsid w:val="00267E2F"/>
    <w:rsid w:val="00267F26"/>
    <w:rsid w:val="002713AB"/>
    <w:rsid w:val="00277C0E"/>
    <w:rsid w:val="00283CB4"/>
    <w:rsid w:val="00285079"/>
    <w:rsid w:val="00291682"/>
    <w:rsid w:val="00291B29"/>
    <w:rsid w:val="002947D7"/>
    <w:rsid w:val="002A0747"/>
    <w:rsid w:val="002A09BA"/>
    <w:rsid w:val="002A5B01"/>
    <w:rsid w:val="002A66F2"/>
    <w:rsid w:val="002A7E1C"/>
    <w:rsid w:val="002B0ED5"/>
    <w:rsid w:val="002B53F1"/>
    <w:rsid w:val="002C009E"/>
    <w:rsid w:val="002C414D"/>
    <w:rsid w:val="002C457D"/>
    <w:rsid w:val="002C4681"/>
    <w:rsid w:val="002C5D0F"/>
    <w:rsid w:val="002C7012"/>
    <w:rsid w:val="002D36B9"/>
    <w:rsid w:val="002E031E"/>
    <w:rsid w:val="002E2AB9"/>
    <w:rsid w:val="002E416D"/>
    <w:rsid w:val="002E5440"/>
    <w:rsid w:val="002F06AB"/>
    <w:rsid w:val="002F3121"/>
    <w:rsid w:val="002F34AB"/>
    <w:rsid w:val="002F5150"/>
    <w:rsid w:val="002F5BE6"/>
    <w:rsid w:val="0030088E"/>
    <w:rsid w:val="003028DB"/>
    <w:rsid w:val="00310F9F"/>
    <w:rsid w:val="0031498D"/>
    <w:rsid w:val="00314F6A"/>
    <w:rsid w:val="00322A23"/>
    <w:rsid w:val="003239F3"/>
    <w:rsid w:val="00324646"/>
    <w:rsid w:val="00326E0B"/>
    <w:rsid w:val="00333226"/>
    <w:rsid w:val="003342C9"/>
    <w:rsid w:val="00334726"/>
    <w:rsid w:val="003359CD"/>
    <w:rsid w:val="00345833"/>
    <w:rsid w:val="003474B3"/>
    <w:rsid w:val="00351B7A"/>
    <w:rsid w:val="003522C9"/>
    <w:rsid w:val="00353168"/>
    <w:rsid w:val="0035786D"/>
    <w:rsid w:val="00360D00"/>
    <w:rsid w:val="00366420"/>
    <w:rsid w:val="003757DC"/>
    <w:rsid w:val="00377979"/>
    <w:rsid w:val="00377B16"/>
    <w:rsid w:val="003800B0"/>
    <w:rsid w:val="00381B8C"/>
    <w:rsid w:val="00386BFD"/>
    <w:rsid w:val="003943E8"/>
    <w:rsid w:val="003945FC"/>
    <w:rsid w:val="00394B81"/>
    <w:rsid w:val="00395601"/>
    <w:rsid w:val="00396418"/>
    <w:rsid w:val="003969F6"/>
    <w:rsid w:val="00396FD0"/>
    <w:rsid w:val="003A142D"/>
    <w:rsid w:val="003A31DF"/>
    <w:rsid w:val="003A4CA7"/>
    <w:rsid w:val="003A567C"/>
    <w:rsid w:val="003A5A9C"/>
    <w:rsid w:val="003B1240"/>
    <w:rsid w:val="003C47EB"/>
    <w:rsid w:val="003C7414"/>
    <w:rsid w:val="003D13D6"/>
    <w:rsid w:val="003D2EBB"/>
    <w:rsid w:val="003D498D"/>
    <w:rsid w:val="003D5282"/>
    <w:rsid w:val="003D7395"/>
    <w:rsid w:val="003E0623"/>
    <w:rsid w:val="003E095C"/>
    <w:rsid w:val="003E3182"/>
    <w:rsid w:val="003E7DCD"/>
    <w:rsid w:val="003F0F85"/>
    <w:rsid w:val="004008AD"/>
    <w:rsid w:val="00403E66"/>
    <w:rsid w:val="00405F7B"/>
    <w:rsid w:val="00406F3F"/>
    <w:rsid w:val="00410F64"/>
    <w:rsid w:val="004136D7"/>
    <w:rsid w:val="00417143"/>
    <w:rsid w:val="00417D06"/>
    <w:rsid w:val="004326DB"/>
    <w:rsid w:val="00432A77"/>
    <w:rsid w:val="004347DC"/>
    <w:rsid w:val="00434C67"/>
    <w:rsid w:val="00441CBF"/>
    <w:rsid w:val="00444E09"/>
    <w:rsid w:val="004473EE"/>
    <w:rsid w:val="0044796E"/>
    <w:rsid w:val="00450366"/>
    <w:rsid w:val="0045238D"/>
    <w:rsid w:val="00452DE6"/>
    <w:rsid w:val="00457587"/>
    <w:rsid w:val="004621A0"/>
    <w:rsid w:val="00465534"/>
    <w:rsid w:val="00466E68"/>
    <w:rsid w:val="0047038C"/>
    <w:rsid w:val="004714F0"/>
    <w:rsid w:val="0047200D"/>
    <w:rsid w:val="00473FBA"/>
    <w:rsid w:val="00483555"/>
    <w:rsid w:val="00486E66"/>
    <w:rsid w:val="00491849"/>
    <w:rsid w:val="00493779"/>
    <w:rsid w:val="00493863"/>
    <w:rsid w:val="00493E17"/>
    <w:rsid w:val="00495612"/>
    <w:rsid w:val="00495F36"/>
    <w:rsid w:val="004A0A4E"/>
    <w:rsid w:val="004A4623"/>
    <w:rsid w:val="004A7F3E"/>
    <w:rsid w:val="004B331B"/>
    <w:rsid w:val="004B429B"/>
    <w:rsid w:val="004B7026"/>
    <w:rsid w:val="004B7DDC"/>
    <w:rsid w:val="004C11BC"/>
    <w:rsid w:val="004D15A4"/>
    <w:rsid w:val="004D3B01"/>
    <w:rsid w:val="004D51CE"/>
    <w:rsid w:val="004D5AD4"/>
    <w:rsid w:val="004E06D1"/>
    <w:rsid w:val="004E35EE"/>
    <w:rsid w:val="004E6895"/>
    <w:rsid w:val="004E7298"/>
    <w:rsid w:val="004E791D"/>
    <w:rsid w:val="004F4F27"/>
    <w:rsid w:val="00501CDA"/>
    <w:rsid w:val="005050CE"/>
    <w:rsid w:val="00510D4B"/>
    <w:rsid w:val="00515570"/>
    <w:rsid w:val="00522B04"/>
    <w:rsid w:val="00524579"/>
    <w:rsid w:val="00524F83"/>
    <w:rsid w:val="00525F0E"/>
    <w:rsid w:val="00526105"/>
    <w:rsid w:val="00531C01"/>
    <w:rsid w:val="00531C06"/>
    <w:rsid w:val="00534360"/>
    <w:rsid w:val="00541C61"/>
    <w:rsid w:val="005428C9"/>
    <w:rsid w:val="005440DC"/>
    <w:rsid w:val="00545832"/>
    <w:rsid w:val="00551A0C"/>
    <w:rsid w:val="0055596E"/>
    <w:rsid w:val="00557C3D"/>
    <w:rsid w:val="0056222A"/>
    <w:rsid w:val="00562A6B"/>
    <w:rsid w:val="0057150E"/>
    <w:rsid w:val="0057175A"/>
    <w:rsid w:val="0057365A"/>
    <w:rsid w:val="005764CF"/>
    <w:rsid w:val="00577B13"/>
    <w:rsid w:val="005819C0"/>
    <w:rsid w:val="00581BA8"/>
    <w:rsid w:val="00582C1E"/>
    <w:rsid w:val="00583613"/>
    <w:rsid w:val="005869FE"/>
    <w:rsid w:val="005A09E5"/>
    <w:rsid w:val="005A77E4"/>
    <w:rsid w:val="005B322E"/>
    <w:rsid w:val="005B78AF"/>
    <w:rsid w:val="005C0A2D"/>
    <w:rsid w:val="005C1692"/>
    <w:rsid w:val="005C3ADD"/>
    <w:rsid w:val="005C59BB"/>
    <w:rsid w:val="005D4D24"/>
    <w:rsid w:val="005D53CA"/>
    <w:rsid w:val="005D7AFC"/>
    <w:rsid w:val="005E0775"/>
    <w:rsid w:val="005E17E0"/>
    <w:rsid w:val="005E1902"/>
    <w:rsid w:val="005E40E9"/>
    <w:rsid w:val="005F0593"/>
    <w:rsid w:val="005F5595"/>
    <w:rsid w:val="005F5AD4"/>
    <w:rsid w:val="0060206D"/>
    <w:rsid w:val="006110F1"/>
    <w:rsid w:val="00621A84"/>
    <w:rsid w:val="00626305"/>
    <w:rsid w:val="0063213A"/>
    <w:rsid w:val="006400AD"/>
    <w:rsid w:val="006428F3"/>
    <w:rsid w:val="006455ED"/>
    <w:rsid w:val="00650A25"/>
    <w:rsid w:val="00651D66"/>
    <w:rsid w:val="00654DC5"/>
    <w:rsid w:val="0066116A"/>
    <w:rsid w:val="006628B0"/>
    <w:rsid w:val="00665CB5"/>
    <w:rsid w:val="00667E06"/>
    <w:rsid w:val="00671172"/>
    <w:rsid w:val="006740C9"/>
    <w:rsid w:val="00674FF5"/>
    <w:rsid w:val="00680406"/>
    <w:rsid w:val="006806B5"/>
    <w:rsid w:val="0068193A"/>
    <w:rsid w:val="00684BFB"/>
    <w:rsid w:val="00692E34"/>
    <w:rsid w:val="00693DA7"/>
    <w:rsid w:val="0069411C"/>
    <w:rsid w:val="0069722E"/>
    <w:rsid w:val="006A0B68"/>
    <w:rsid w:val="006A156B"/>
    <w:rsid w:val="006A1A40"/>
    <w:rsid w:val="006A2CB3"/>
    <w:rsid w:val="006A5211"/>
    <w:rsid w:val="006A6E45"/>
    <w:rsid w:val="006B1E6B"/>
    <w:rsid w:val="006B2454"/>
    <w:rsid w:val="006B32F5"/>
    <w:rsid w:val="006C3047"/>
    <w:rsid w:val="006C38D8"/>
    <w:rsid w:val="006C6F99"/>
    <w:rsid w:val="006D5944"/>
    <w:rsid w:val="006E1745"/>
    <w:rsid w:val="006E749C"/>
    <w:rsid w:val="006F3CD3"/>
    <w:rsid w:val="006F7822"/>
    <w:rsid w:val="0070151A"/>
    <w:rsid w:val="007048F0"/>
    <w:rsid w:val="0071464F"/>
    <w:rsid w:val="007159DF"/>
    <w:rsid w:val="00715E2C"/>
    <w:rsid w:val="00717B10"/>
    <w:rsid w:val="007218AB"/>
    <w:rsid w:val="00725546"/>
    <w:rsid w:val="00726447"/>
    <w:rsid w:val="007305EB"/>
    <w:rsid w:val="00735994"/>
    <w:rsid w:val="00735C87"/>
    <w:rsid w:val="007367A4"/>
    <w:rsid w:val="007433DA"/>
    <w:rsid w:val="00743C04"/>
    <w:rsid w:val="007466BB"/>
    <w:rsid w:val="00746BF0"/>
    <w:rsid w:val="00752E85"/>
    <w:rsid w:val="00755F9A"/>
    <w:rsid w:val="00765C82"/>
    <w:rsid w:val="00767DC8"/>
    <w:rsid w:val="00772241"/>
    <w:rsid w:val="00774C7B"/>
    <w:rsid w:val="00782395"/>
    <w:rsid w:val="007900C8"/>
    <w:rsid w:val="00793B6F"/>
    <w:rsid w:val="007A1961"/>
    <w:rsid w:val="007A274A"/>
    <w:rsid w:val="007B07B3"/>
    <w:rsid w:val="007B1C01"/>
    <w:rsid w:val="007B1CB2"/>
    <w:rsid w:val="007C110F"/>
    <w:rsid w:val="007C3B0E"/>
    <w:rsid w:val="007C78DC"/>
    <w:rsid w:val="007D0C1D"/>
    <w:rsid w:val="007D2061"/>
    <w:rsid w:val="007D2972"/>
    <w:rsid w:val="007E249F"/>
    <w:rsid w:val="007E4BE7"/>
    <w:rsid w:val="007E639D"/>
    <w:rsid w:val="007E7663"/>
    <w:rsid w:val="007F128D"/>
    <w:rsid w:val="007F2C6A"/>
    <w:rsid w:val="007F3462"/>
    <w:rsid w:val="0080079E"/>
    <w:rsid w:val="008012CC"/>
    <w:rsid w:val="0080147C"/>
    <w:rsid w:val="00802EF7"/>
    <w:rsid w:val="0080414C"/>
    <w:rsid w:val="00806371"/>
    <w:rsid w:val="008163CB"/>
    <w:rsid w:val="00817BEB"/>
    <w:rsid w:val="00826035"/>
    <w:rsid w:val="0082751E"/>
    <w:rsid w:val="00833DA0"/>
    <w:rsid w:val="008409A6"/>
    <w:rsid w:val="00852845"/>
    <w:rsid w:val="00852A4C"/>
    <w:rsid w:val="00854B09"/>
    <w:rsid w:val="0085611A"/>
    <w:rsid w:val="008651AB"/>
    <w:rsid w:val="00867969"/>
    <w:rsid w:val="00871161"/>
    <w:rsid w:val="008726FF"/>
    <w:rsid w:val="00872DB8"/>
    <w:rsid w:val="0087366F"/>
    <w:rsid w:val="00877806"/>
    <w:rsid w:val="00877DD6"/>
    <w:rsid w:val="00881E32"/>
    <w:rsid w:val="00882408"/>
    <w:rsid w:val="00884B7C"/>
    <w:rsid w:val="00886B09"/>
    <w:rsid w:val="008919BF"/>
    <w:rsid w:val="00892043"/>
    <w:rsid w:val="008A3DA4"/>
    <w:rsid w:val="008A4B73"/>
    <w:rsid w:val="008A56C3"/>
    <w:rsid w:val="008A61C4"/>
    <w:rsid w:val="008B222D"/>
    <w:rsid w:val="008B2A04"/>
    <w:rsid w:val="008B343D"/>
    <w:rsid w:val="008D2709"/>
    <w:rsid w:val="008D2BBB"/>
    <w:rsid w:val="008D6CA4"/>
    <w:rsid w:val="008E1C45"/>
    <w:rsid w:val="008E4216"/>
    <w:rsid w:val="008E497D"/>
    <w:rsid w:val="008E4C33"/>
    <w:rsid w:val="008E58D1"/>
    <w:rsid w:val="008E5B61"/>
    <w:rsid w:val="008E5F89"/>
    <w:rsid w:val="008E7528"/>
    <w:rsid w:val="008F0321"/>
    <w:rsid w:val="008F674C"/>
    <w:rsid w:val="00901983"/>
    <w:rsid w:val="0090639B"/>
    <w:rsid w:val="00910EF5"/>
    <w:rsid w:val="00911D9D"/>
    <w:rsid w:val="00916D13"/>
    <w:rsid w:val="00921EE1"/>
    <w:rsid w:val="009224A2"/>
    <w:rsid w:val="0092640A"/>
    <w:rsid w:val="00930967"/>
    <w:rsid w:val="00933ED6"/>
    <w:rsid w:val="00944C00"/>
    <w:rsid w:val="00945BCC"/>
    <w:rsid w:val="00950C76"/>
    <w:rsid w:val="009513DC"/>
    <w:rsid w:val="00952C10"/>
    <w:rsid w:val="00952CC7"/>
    <w:rsid w:val="00953D38"/>
    <w:rsid w:val="00956C42"/>
    <w:rsid w:val="00961AB5"/>
    <w:rsid w:val="009626AB"/>
    <w:rsid w:val="00963519"/>
    <w:rsid w:val="00970C37"/>
    <w:rsid w:val="00971777"/>
    <w:rsid w:val="00973D61"/>
    <w:rsid w:val="00975125"/>
    <w:rsid w:val="0097534C"/>
    <w:rsid w:val="0097692D"/>
    <w:rsid w:val="009809E9"/>
    <w:rsid w:val="00984516"/>
    <w:rsid w:val="00986CF4"/>
    <w:rsid w:val="00992CE4"/>
    <w:rsid w:val="009969E1"/>
    <w:rsid w:val="009979CF"/>
    <w:rsid w:val="009B3293"/>
    <w:rsid w:val="009B3854"/>
    <w:rsid w:val="009B45AF"/>
    <w:rsid w:val="009B4F29"/>
    <w:rsid w:val="009B7C4D"/>
    <w:rsid w:val="009C1292"/>
    <w:rsid w:val="009C4C04"/>
    <w:rsid w:val="009C5DC5"/>
    <w:rsid w:val="009D1A25"/>
    <w:rsid w:val="009D54E4"/>
    <w:rsid w:val="009E49B9"/>
    <w:rsid w:val="009F38A7"/>
    <w:rsid w:val="00A024C6"/>
    <w:rsid w:val="00A02A89"/>
    <w:rsid w:val="00A03F5C"/>
    <w:rsid w:val="00A06801"/>
    <w:rsid w:val="00A1044E"/>
    <w:rsid w:val="00A1073C"/>
    <w:rsid w:val="00A10F02"/>
    <w:rsid w:val="00A1354A"/>
    <w:rsid w:val="00A14381"/>
    <w:rsid w:val="00A17332"/>
    <w:rsid w:val="00A23607"/>
    <w:rsid w:val="00A25642"/>
    <w:rsid w:val="00A276E5"/>
    <w:rsid w:val="00A340E9"/>
    <w:rsid w:val="00A46844"/>
    <w:rsid w:val="00A51EC9"/>
    <w:rsid w:val="00A52A86"/>
    <w:rsid w:val="00A56E0D"/>
    <w:rsid w:val="00A602B6"/>
    <w:rsid w:val="00A622F0"/>
    <w:rsid w:val="00A63FC7"/>
    <w:rsid w:val="00A656C8"/>
    <w:rsid w:val="00A71098"/>
    <w:rsid w:val="00A71788"/>
    <w:rsid w:val="00A81CB0"/>
    <w:rsid w:val="00A82585"/>
    <w:rsid w:val="00A84A92"/>
    <w:rsid w:val="00A8511E"/>
    <w:rsid w:val="00A85A36"/>
    <w:rsid w:val="00A86026"/>
    <w:rsid w:val="00A8778B"/>
    <w:rsid w:val="00A91187"/>
    <w:rsid w:val="00A91957"/>
    <w:rsid w:val="00A92178"/>
    <w:rsid w:val="00AA2A7C"/>
    <w:rsid w:val="00AA48F6"/>
    <w:rsid w:val="00AB17E8"/>
    <w:rsid w:val="00AB1D93"/>
    <w:rsid w:val="00AC020C"/>
    <w:rsid w:val="00AC42DB"/>
    <w:rsid w:val="00AC5352"/>
    <w:rsid w:val="00AE05F0"/>
    <w:rsid w:val="00AE0F01"/>
    <w:rsid w:val="00AE5BAE"/>
    <w:rsid w:val="00AF0DD0"/>
    <w:rsid w:val="00AF14BD"/>
    <w:rsid w:val="00AF426A"/>
    <w:rsid w:val="00AF7567"/>
    <w:rsid w:val="00B025D4"/>
    <w:rsid w:val="00B03914"/>
    <w:rsid w:val="00B10792"/>
    <w:rsid w:val="00B10DEE"/>
    <w:rsid w:val="00B14BA9"/>
    <w:rsid w:val="00B20CED"/>
    <w:rsid w:val="00B2548A"/>
    <w:rsid w:val="00B307F5"/>
    <w:rsid w:val="00B31968"/>
    <w:rsid w:val="00B32A50"/>
    <w:rsid w:val="00B32F81"/>
    <w:rsid w:val="00B35800"/>
    <w:rsid w:val="00B36AE4"/>
    <w:rsid w:val="00B37ABB"/>
    <w:rsid w:val="00B37F08"/>
    <w:rsid w:val="00B40887"/>
    <w:rsid w:val="00B4485B"/>
    <w:rsid w:val="00B47CEF"/>
    <w:rsid w:val="00B67068"/>
    <w:rsid w:val="00B71219"/>
    <w:rsid w:val="00B71240"/>
    <w:rsid w:val="00B722E6"/>
    <w:rsid w:val="00B74265"/>
    <w:rsid w:val="00B760E6"/>
    <w:rsid w:val="00B76890"/>
    <w:rsid w:val="00B81DA7"/>
    <w:rsid w:val="00B82D0F"/>
    <w:rsid w:val="00B838D0"/>
    <w:rsid w:val="00B85DD1"/>
    <w:rsid w:val="00B86B02"/>
    <w:rsid w:val="00BA0512"/>
    <w:rsid w:val="00BB14E3"/>
    <w:rsid w:val="00BB1826"/>
    <w:rsid w:val="00BB4051"/>
    <w:rsid w:val="00BB4FAA"/>
    <w:rsid w:val="00BC7BC3"/>
    <w:rsid w:val="00BD211E"/>
    <w:rsid w:val="00BD3C08"/>
    <w:rsid w:val="00BD4678"/>
    <w:rsid w:val="00BE1AE4"/>
    <w:rsid w:val="00BE2FAA"/>
    <w:rsid w:val="00BE6833"/>
    <w:rsid w:val="00BE773A"/>
    <w:rsid w:val="00BE7D22"/>
    <w:rsid w:val="00BF5D81"/>
    <w:rsid w:val="00BF7650"/>
    <w:rsid w:val="00C06128"/>
    <w:rsid w:val="00C07D5A"/>
    <w:rsid w:val="00C12511"/>
    <w:rsid w:val="00C13324"/>
    <w:rsid w:val="00C133D4"/>
    <w:rsid w:val="00C13D8B"/>
    <w:rsid w:val="00C17353"/>
    <w:rsid w:val="00C21263"/>
    <w:rsid w:val="00C232E5"/>
    <w:rsid w:val="00C24071"/>
    <w:rsid w:val="00C31E59"/>
    <w:rsid w:val="00C43724"/>
    <w:rsid w:val="00C43CD8"/>
    <w:rsid w:val="00C44821"/>
    <w:rsid w:val="00C45D3C"/>
    <w:rsid w:val="00C4748E"/>
    <w:rsid w:val="00C52F3B"/>
    <w:rsid w:val="00C534B5"/>
    <w:rsid w:val="00C6406B"/>
    <w:rsid w:val="00C67F69"/>
    <w:rsid w:val="00C70B8B"/>
    <w:rsid w:val="00C72EE6"/>
    <w:rsid w:val="00C77CFD"/>
    <w:rsid w:val="00C84D45"/>
    <w:rsid w:val="00C84F90"/>
    <w:rsid w:val="00C858DD"/>
    <w:rsid w:val="00C90A1B"/>
    <w:rsid w:val="00C93A2A"/>
    <w:rsid w:val="00C96DFF"/>
    <w:rsid w:val="00CA00E6"/>
    <w:rsid w:val="00CB2575"/>
    <w:rsid w:val="00CC1151"/>
    <w:rsid w:val="00CC1E93"/>
    <w:rsid w:val="00CC3B00"/>
    <w:rsid w:val="00CD11B3"/>
    <w:rsid w:val="00CD21E6"/>
    <w:rsid w:val="00CD2EF7"/>
    <w:rsid w:val="00CD5A24"/>
    <w:rsid w:val="00CE38B0"/>
    <w:rsid w:val="00CE3D5C"/>
    <w:rsid w:val="00CF49F7"/>
    <w:rsid w:val="00D00B8F"/>
    <w:rsid w:val="00D0135B"/>
    <w:rsid w:val="00D02317"/>
    <w:rsid w:val="00D0693F"/>
    <w:rsid w:val="00D06B22"/>
    <w:rsid w:val="00D107EB"/>
    <w:rsid w:val="00D10F87"/>
    <w:rsid w:val="00D11870"/>
    <w:rsid w:val="00D12C2A"/>
    <w:rsid w:val="00D14355"/>
    <w:rsid w:val="00D154AE"/>
    <w:rsid w:val="00D16E98"/>
    <w:rsid w:val="00D25653"/>
    <w:rsid w:val="00D26054"/>
    <w:rsid w:val="00D279B2"/>
    <w:rsid w:val="00D27A8D"/>
    <w:rsid w:val="00D30704"/>
    <w:rsid w:val="00D309C7"/>
    <w:rsid w:val="00D46D40"/>
    <w:rsid w:val="00D474C9"/>
    <w:rsid w:val="00D50238"/>
    <w:rsid w:val="00D50C4B"/>
    <w:rsid w:val="00D62366"/>
    <w:rsid w:val="00D73A15"/>
    <w:rsid w:val="00D76242"/>
    <w:rsid w:val="00D763B2"/>
    <w:rsid w:val="00D814E2"/>
    <w:rsid w:val="00D81D7C"/>
    <w:rsid w:val="00D81F11"/>
    <w:rsid w:val="00D85FCD"/>
    <w:rsid w:val="00D923D2"/>
    <w:rsid w:val="00D9497F"/>
    <w:rsid w:val="00DA0385"/>
    <w:rsid w:val="00DA13E5"/>
    <w:rsid w:val="00DA51F7"/>
    <w:rsid w:val="00DA5B04"/>
    <w:rsid w:val="00DA6B59"/>
    <w:rsid w:val="00DA6FB5"/>
    <w:rsid w:val="00DA7626"/>
    <w:rsid w:val="00DA7FAB"/>
    <w:rsid w:val="00DB1967"/>
    <w:rsid w:val="00DB4407"/>
    <w:rsid w:val="00DB7A71"/>
    <w:rsid w:val="00DC1500"/>
    <w:rsid w:val="00DC31BF"/>
    <w:rsid w:val="00DC4FDC"/>
    <w:rsid w:val="00DC74A6"/>
    <w:rsid w:val="00DD0497"/>
    <w:rsid w:val="00DD425A"/>
    <w:rsid w:val="00DD799D"/>
    <w:rsid w:val="00DE1BA3"/>
    <w:rsid w:val="00DE466C"/>
    <w:rsid w:val="00DE74D7"/>
    <w:rsid w:val="00DF3073"/>
    <w:rsid w:val="00DF323B"/>
    <w:rsid w:val="00DF3F0B"/>
    <w:rsid w:val="00DF568D"/>
    <w:rsid w:val="00E011C6"/>
    <w:rsid w:val="00E02197"/>
    <w:rsid w:val="00E030DD"/>
    <w:rsid w:val="00E036EF"/>
    <w:rsid w:val="00E04B25"/>
    <w:rsid w:val="00E063F3"/>
    <w:rsid w:val="00E106ED"/>
    <w:rsid w:val="00E11098"/>
    <w:rsid w:val="00E21790"/>
    <w:rsid w:val="00E24421"/>
    <w:rsid w:val="00E25C3B"/>
    <w:rsid w:val="00E32D1B"/>
    <w:rsid w:val="00E33853"/>
    <w:rsid w:val="00E35C28"/>
    <w:rsid w:val="00E3689C"/>
    <w:rsid w:val="00E369D2"/>
    <w:rsid w:val="00E36C55"/>
    <w:rsid w:val="00E376F1"/>
    <w:rsid w:val="00E37C20"/>
    <w:rsid w:val="00E41075"/>
    <w:rsid w:val="00E4253E"/>
    <w:rsid w:val="00E43031"/>
    <w:rsid w:val="00E45A33"/>
    <w:rsid w:val="00E472BD"/>
    <w:rsid w:val="00E511CD"/>
    <w:rsid w:val="00E51783"/>
    <w:rsid w:val="00E550B2"/>
    <w:rsid w:val="00E55679"/>
    <w:rsid w:val="00E55959"/>
    <w:rsid w:val="00E568D4"/>
    <w:rsid w:val="00E6078D"/>
    <w:rsid w:val="00E64493"/>
    <w:rsid w:val="00E64ABE"/>
    <w:rsid w:val="00E71605"/>
    <w:rsid w:val="00E9145D"/>
    <w:rsid w:val="00E967CA"/>
    <w:rsid w:val="00EA28C9"/>
    <w:rsid w:val="00EA7017"/>
    <w:rsid w:val="00EA7449"/>
    <w:rsid w:val="00EB1CB0"/>
    <w:rsid w:val="00EB49F7"/>
    <w:rsid w:val="00EC2764"/>
    <w:rsid w:val="00EC7272"/>
    <w:rsid w:val="00ED095D"/>
    <w:rsid w:val="00EE518D"/>
    <w:rsid w:val="00EE5A59"/>
    <w:rsid w:val="00F00032"/>
    <w:rsid w:val="00F105C6"/>
    <w:rsid w:val="00F13A0E"/>
    <w:rsid w:val="00F21502"/>
    <w:rsid w:val="00F32203"/>
    <w:rsid w:val="00F35AE3"/>
    <w:rsid w:val="00F379BB"/>
    <w:rsid w:val="00F41AA9"/>
    <w:rsid w:val="00F45B7D"/>
    <w:rsid w:val="00F463A8"/>
    <w:rsid w:val="00F46AA1"/>
    <w:rsid w:val="00F47A65"/>
    <w:rsid w:val="00F5116D"/>
    <w:rsid w:val="00F52C8C"/>
    <w:rsid w:val="00F53B68"/>
    <w:rsid w:val="00F54C62"/>
    <w:rsid w:val="00F70C34"/>
    <w:rsid w:val="00F758EB"/>
    <w:rsid w:val="00F77C7C"/>
    <w:rsid w:val="00F809DF"/>
    <w:rsid w:val="00F8640C"/>
    <w:rsid w:val="00F86698"/>
    <w:rsid w:val="00F870A1"/>
    <w:rsid w:val="00F92AF4"/>
    <w:rsid w:val="00F92B82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1F07"/>
    <w:rsid w:val="00FC622E"/>
    <w:rsid w:val="00FC65D9"/>
    <w:rsid w:val="00FD072C"/>
    <w:rsid w:val="00FD4CAF"/>
    <w:rsid w:val="00FE4B9E"/>
    <w:rsid w:val="00FE516F"/>
    <w:rsid w:val="00FE5E93"/>
    <w:rsid w:val="00FE6EFE"/>
    <w:rsid w:val="00FE762A"/>
    <w:rsid w:val="00FE7A21"/>
    <w:rsid w:val="00FF3ED1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8AD19"/>
  <w15:docId w15:val="{77C82D62-8CC4-4DF5-BF83-794A93E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F85"/>
    <w:pPr>
      <w:spacing w:after="200" w:line="276" w:lineRule="auto"/>
    </w:pPr>
    <w:rPr>
      <w:rFonts w:cs="Calibri"/>
      <w:lang w:val="uk-UA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basedOn w:val="a0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basedOn w:val="a0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Hyperlink"/>
    <w:unhideWhenUsed/>
    <w:rsid w:val="00D9497F"/>
    <w:rPr>
      <w:color w:val="0000FF"/>
      <w:u w:val="single"/>
    </w:rPr>
  </w:style>
  <w:style w:type="character" w:customStyle="1" w:styleId="fontstyle01">
    <w:name w:val="fontstyle01"/>
    <w:basedOn w:val="a0"/>
    <w:rsid w:val="006F3CD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F3CD3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F3CD3"/>
    <w:rPr>
      <w:rFonts w:ascii="TimesNewRoman" w:hAnsi="TimesNewRoman" w:hint="default"/>
      <w:b w:val="0"/>
      <w:bCs w:val="0"/>
      <w:i/>
      <w:iCs/>
      <w:color w:val="000000"/>
      <w:sz w:val="28"/>
      <w:szCs w:val="28"/>
    </w:rPr>
  </w:style>
  <w:style w:type="paragraph" w:styleId="af3">
    <w:name w:val="Revision"/>
    <w:hidden/>
    <w:uiPriority w:val="99"/>
    <w:semiHidden/>
    <w:rsid w:val="006D5944"/>
    <w:rPr>
      <w:rFonts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51CAC-E63F-41D3-ABEB-536EED93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1482</Words>
  <Characters>10459</Characters>
  <Application>Microsoft Office Word</Application>
  <DocSecurity>0</DocSecurity>
  <Lines>87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</vt:lpstr>
    </vt:vector>
  </TitlesOfParts>
  <Company>NERC</Company>
  <LinksUpToDate>false</LinksUpToDate>
  <CharactersWithSpaces>11918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Вікторія Морозова</dc:creator>
  <cp:lastModifiedBy>Тетяна Модна</cp:lastModifiedBy>
  <cp:revision>28</cp:revision>
  <cp:lastPrinted>2021-09-17T08:40:00Z</cp:lastPrinted>
  <dcterms:created xsi:type="dcterms:W3CDTF">2021-09-17T08:39:00Z</dcterms:created>
  <dcterms:modified xsi:type="dcterms:W3CDTF">2023-09-04T12:59:00Z</dcterms:modified>
</cp:coreProperties>
</file>