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044C" w:rsidRPr="00A8044C" w:rsidRDefault="00BC0FAC" w:rsidP="00A8044C">
      <w:pPr>
        <w:spacing w:before="150" w:after="150" w:line="240" w:lineRule="auto"/>
        <w:ind w:left="6521"/>
        <w:jc w:val="both"/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</w:pPr>
      <w:r w:rsidRPr="00BC0FA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br/>
      </w:r>
      <w:r w:rsidR="00A8044C" w:rsidRPr="00A8044C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Додаток</w:t>
      </w:r>
      <w:r w:rsidR="002811C7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1</w:t>
      </w:r>
    </w:p>
    <w:p w:rsidR="00BC0FAC" w:rsidRDefault="00D20404" w:rsidP="001667DA">
      <w:pPr>
        <w:spacing w:before="150" w:after="150" w:line="240" w:lineRule="auto"/>
        <w:ind w:left="6521"/>
        <w:jc w:val="both"/>
        <w:rPr>
          <w:rStyle w:val="rvts15"/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D20404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до </w:t>
      </w:r>
      <w:r w:rsidR="001667DA" w:rsidRPr="001667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Поряд</w:t>
      </w:r>
      <w:r w:rsidR="00C96BC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ку</w:t>
      </w:r>
      <w:r w:rsidR="001667DA" w:rsidRPr="001667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моніторингу ринк</w:t>
      </w:r>
      <w:r w:rsidR="00C96BC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у</w:t>
      </w:r>
      <w:r w:rsidR="001667DA" w:rsidRPr="001667DA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 xml:space="preserve"> </w:t>
      </w:r>
      <w:r w:rsidR="00C96BC0">
        <w:rPr>
          <w:rFonts w:ascii="Times New Roman" w:eastAsia="Times New Roman" w:hAnsi="Times New Roman" w:cs="Times New Roman"/>
          <w:color w:val="333333"/>
          <w:sz w:val="24"/>
          <w:szCs w:val="24"/>
          <w:lang w:eastAsia="uk-UA"/>
        </w:rPr>
        <w:t>теплової енергії</w:t>
      </w:r>
    </w:p>
    <w:p w:rsidR="00BC0FAC" w:rsidRDefault="00BC0FAC" w:rsidP="00BC0FAC">
      <w:pPr>
        <w:shd w:val="clear" w:color="auto" w:fill="FFFFFF"/>
        <w:spacing w:after="0"/>
        <w:ind w:right="-30"/>
        <w:jc w:val="both"/>
        <w:rPr>
          <w:rStyle w:val="rvts15"/>
          <w:rFonts w:ascii="Times New Roman" w:eastAsia="Times New Roman" w:hAnsi="Times New Roman" w:cs="Times New Roman"/>
          <w:sz w:val="24"/>
          <w:szCs w:val="24"/>
          <w:lang w:eastAsia="uk-UA"/>
        </w:rPr>
      </w:pPr>
    </w:p>
    <w:p w:rsidR="00BC0FAC" w:rsidRDefault="00BC0FAC" w:rsidP="000871C4">
      <w:pPr>
        <w:spacing w:before="120" w:after="0" w:line="240" w:lineRule="auto"/>
        <w:ind w:left="57"/>
        <w:contextualSpacing/>
        <w:jc w:val="center"/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</w:pPr>
    </w:p>
    <w:p w:rsidR="00F11AF7" w:rsidRPr="002811C7" w:rsidRDefault="002811C7" w:rsidP="000871C4">
      <w:pPr>
        <w:spacing w:before="120" w:after="0" w:line="240" w:lineRule="auto"/>
        <w:ind w:left="57"/>
        <w:contextualSpacing/>
        <w:jc w:val="center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2811C7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ІНДИКАТОРИ/ПОКАЗНИКИ</w:t>
      </w:r>
      <w:r w:rsidRPr="002811C7">
        <w:rPr>
          <w:rFonts w:ascii="Times New Roman" w:hAnsi="Times New Roman" w:cs="Times New Roman"/>
          <w:color w:val="333333"/>
        </w:rPr>
        <w:br/>
      </w:r>
      <w:r w:rsidRPr="002811C7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 xml:space="preserve">моніторингу </w:t>
      </w:r>
      <w:r w:rsidR="00C96BC0" w:rsidRPr="00C96BC0">
        <w:rPr>
          <w:rStyle w:val="rvts15"/>
          <w:rFonts w:ascii="Times New Roman" w:hAnsi="Times New Roman" w:cs="Times New Roman"/>
          <w:b/>
          <w:bCs/>
          <w:color w:val="333333"/>
          <w:sz w:val="28"/>
          <w:szCs w:val="28"/>
          <w:shd w:val="clear" w:color="auto" w:fill="FFFFFF"/>
        </w:rPr>
        <w:t>ринку теплової енергії</w:t>
      </w:r>
      <w:bookmarkStart w:id="0" w:name="_GoBack"/>
      <w:bookmarkEnd w:id="0"/>
    </w:p>
    <w:tbl>
      <w:tblPr>
        <w:tblW w:w="5299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652"/>
        <w:gridCol w:w="2901"/>
        <w:gridCol w:w="2106"/>
        <w:gridCol w:w="2539"/>
      </w:tblGrid>
      <w:tr w:rsidR="007B2293" w:rsidRPr="00822A09" w:rsidTr="008D5D70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293" w:rsidRPr="00822A09" w:rsidRDefault="007B2293" w:rsidP="008D5D70">
            <w:pPr>
              <w:spacing w:before="120"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bookmarkStart w:id="1" w:name="n77"/>
            <w:bookmarkEnd w:id="1"/>
            <w:r w:rsidRPr="00822A09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Предмет моніторингу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293" w:rsidRPr="00822A09" w:rsidRDefault="007B2293" w:rsidP="008D5D70">
            <w:pPr>
              <w:spacing w:before="120"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Індикатори/показники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B2293" w:rsidRPr="007B2293" w:rsidRDefault="007B2293" w:rsidP="008D5D70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Період моніторингу</w:t>
            </w:r>
          </w:p>
          <w:p w:rsidR="007B2293" w:rsidRPr="00BC0FAC" w:rsidRDefault="007B2293" w:rsidP="008D5D70">
            <w:pPr>
              <w:spacing w:before="120"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5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7B2293" w:rsidRPr="00822A09" w:rsidRDefault="007B2293" w:rsidP="008D5D70">
            <w:pPr>
              <w:spacing w:before="120" w:after="0" w:line="240" w:lineRule="auto"/>
              <w:ind w:left="57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Джерело інформації</w:t>
            </w: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  <w:r w:rsidRPr="00822A09">
              <w:rPr>
                <w:sz w:val="26"/>
                <w:szCs w:val="26"/>
              </w:rPr>
              <w:t>Рівень прозорості</w:t>
            </w:r>
          </w:p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  <w:r w:rsidRPr="00822A09">
              <w:rPr>
                <w:sz w:val="26"/>
                <w:szCs w:val="26"/>
              </w:rPr>
              <w:t>Виконання суб’єктами господарювання вимог</w:t>
            </w:r>
            <w:r w:rsidRPr="00C96BC0">
              <w:rPr>
                <w:sz w:val="26"/>
                <w:szCs w:val="26"/>
                <w:lang w:val="ru-RU"/>
              </w:rPr>
              <w:t xml:space="preserve"> </w:t>
            </w:r>
            <w:r w:rsidRPr="00822A09">
              <w:rPr>
                <w:sz w:val="26"/>
                <w:szCs w:val="26"/>
              </w:rPr>
              <w:t>нормативно</w:t>
            </w:r>
            <w:r w:rsidRPr="00C96BC0">
              <w:rPr>
                <w:sz w:val="26"/>
                <w:szCs w:val="26"/>
                <w:lang w:val="ru-RU"/>
              </w:rPr>
              <w:t>-</w:t>
            </w:r>
            <w:r w:rsidRPr="00822A09">
              <w:rPr>
                <w:sz w:val="26"/>
                <w:szCs w:val="26"/>
              </w:rPr>
              <w:t>правових актів  щодо надання доступу громадськості до інформації та виконання інших заходів, спрямованих на забезпечення рівня прозорості.</w:t>
            </w:r>
          </w:p>
        </w:tc>
        <w:tc>
          <w:tcPr>
            <w:tcW w:w="2106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B2293" w:rsidRPr="00FB5ED7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Календарний місяць</w:t>
            </w:r>
          </w:p>
        </w:tc>
        <w:tc>
          <w:tcPr>
            <w:tcW w:w="2539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7B2293" w:rsidRPr="007B2293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Дані (інформація)</w:t>
            </w:r>
            <w:r w:rsidR="00D17CD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надан</w:t>
            </w:r>
            <w:r w:rsidR="00D17CD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суб’єктами 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господарювання відповідно до форми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(Додаток 2)</w:t>
            </w:r>
            <w:r w:rsidR="00D17CD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та інш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джерел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а</w:t>
            </w:r>
            <w:r w:rsidR="00D17CD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визначен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і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пунктом 5 Порядк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у</w:t>
            </w:r>
          </w:p>
          <w:p w:rsidR="007B2293" w:rsidRPr="007B2293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здійснення Національною комісією, що здійснює державне регулювання у сферах енергетики та комунальних послуг, моніторингу ринків у сферах енергетики та комунальних послуг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, затвердженого  </w:t>
            </w:r>
          </w:p>
          <w:p w:rsidR="007B2293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постанов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ою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НКРЕКП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від 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14.09.2017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№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 </w:t>
            </w:r>
            <w:r w:rsidRPr="007B2293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1120</w:t>
            </w:r>
          </w:p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BC0FAC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Рівень тарифів на теплову енергію, її виробництво, транспортування, постачання, на послугу з постачання теплової енергії та послугу з постачання гарячої води 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09B" w:rsidRPr="0006409B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06409B">
              <w:rPr>
                <w:sz w:val="26"/>
                <w:szCs w:val="26"/>
              </w:rPr>
              <w:t>Рівень тарифів на теплову енергію, її виробництво, транспортування, постачання, на послугу з постачання теплової енергії та послугу з постачання гарячої води за категоріями споживачів</w:t>
            </w:r>
            <w:r>
              <w:rPr>
                <w:sz w:val="26"/>
                <w:szCs w:val="26"/>
              </w:rPr>
              <w:t>.</w:t>
            </w:r>
          </w:p>
          <w:p w:rsidR="007B2293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06409B">
              <w:rPr>
                <w:sz w:val="26"/>
                <w:szCs w:val="26"/>
              </w:rPr>
              <w:t>Рівень розрахунків споживачів за теплову енергію, послугу з постачання теплової енергії та послугу з постачання гарячої води.</w:t>
            </w:r>
          </w:p>
          <w:p w:rsidR="007B2293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</w:p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106" w:type="dxa"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5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C96BC0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  <w:lang w:val="ru-RU"/>
              </w:rPr>
            </w:pPr>
            <w:r w:rsidRPr="00BC0FAC">
              <w:rPr>
                <w:sz w:val="26"/>
                <w:szCs w:val="26"/>
              </w:rPr>
              <w:t xml:space="preserve">Розробка та реалізація інвестиційних програм та проектів, що підтримуються за </w:t>
            </w:r>
            <w:r w:rsidRPr="00BC0FAC">
              <w:rPr>
                <w:sz w:val="26"/>
                <w:szCs w:val="26"/>
              </w:rPr>
              <w:lastRenderedPageBreak/>
              <w:t xml:space="preserve">рахунок </w:t>
            </w:r>
            <w:r w:rsidR="00B02A6C" w:rsidRPr="00BC0FAC">
              <w:rPr>
                <w:sz w:val="26"/>
                <w:szCs w:val="26"/>
              </w:rPr>
              <w:t>міжнародн</w:t>
            </w:r>
            <w:r w:rsidR="00B02A6C">
              <w:rPr>
                <w:sz w:val="26"/>
                <w:szCs w:val="26"/>
              </w:rPr>
              <w:t>их</w:t>
            </w:r>
            <w:r w:rsidR="00B02A6C" w:rsidRPr="00BC0FAC">
              <w:rPr>
                <w:sz w:val="26"/>
                <w:szCs w:val="26"/>
              </w:rPr>
              <w:t xml:space="preserve"> </w:t>
            </w:r>
            <w:r w:rsidR="00B02A6C">
              <w:rPr>
                <w:sz w:val="26"/>
                <w:szCs w:val="26"/>
              </w:rPr>
              <w:t>фінансових організацій</w:t>
            </w:r>
          </w:p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09B" w:rsidRPr="0006409B" w:rsidRDefault="0006409B" w:rsidP="005E3DA7">
            <w:pPr>
              <w:pStyle w:val="a3"/>
              <w:spacing w:before="120"/>
              <w:ind w:left="57" w:right="57"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6409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 xml:space="preserve">Інформація щодо погоджених/схвалених інвестиційних програм суб’єктів </w:t>
            </w:r>
            <w:r w:rsidRPr="0006409B"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господарювання у сфері теплопостачання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6409B" w:rsidRPr="0006409B" w:rsidRDefault="0006409B" w:rsidP="005E3DA7">
            <w:pPr>
              <w:pStyle w:val="a3"/>
              <w:spacing w:before="120"/>
              <w:ind w:left="57" w:right="57"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6409B">
              <w:rPr>
                <w:rFonts w:eastAsiaTheme="minorHAnsi"/>
                <w:sz w:val="26"/>
                <w:szCs w:val="26"/>
                <w:lang w:eastAsia="en-US"/>
              </w:rPr>
              <w:t>Інформація щодо виконання погоджених/схвалених інвестиційн</w:t>
            </w:r>
            <w:r w:rsidR="00D17CD3">
              <w:rPr>
                <w:rFonts w:eastAsiaTheme="minorHAnsi"/>
                <w:sz w:val="26"/>
                <w:szCs w:val="26"/>
                <w:lang w:eastAsia="en-US"/>
              </w:rPr>
              <w:t>их</w:t>
            </w:r>
            <w:r w:rsidRPr="0006409B">
              <w:rPr>
                <w:rFonts w:eastAsiaTheme="minorHAnsi"/>
                <w:sz w:val="26"/>
                <w:szCs w:val="26"/>
                <w:lang w:eastAsia="en-US"/>
              </w:rPr>
              <w:t xml:space="preserve"> програми, у тому числі з урахуванням фактичних джерел фінансування інвестиційних програм за звітний період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06409B" w:rsidRPr="0006409B" w:rsidRDefault="0006409B" w:rsidP="005E3DA7">
            <w:pPr>
              <w:pStyle w:val="a3"/>
              <w:spacing w:before="120"/>
              <w:ind w:left="57" w:right="57" w:firstLine="284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 w:rsidRPr="0006409B">
              <w:rPr>
                <w:rFonts w:eastAsiaTheme="minorHAnsi"/>
                <w:sz w:val="26"/>
                <w:szCs w:val="26"/>
                <w:lang w:eastAsia="en-US"/>
              </w:rPr>
              <w:t>Інформація щодо проектів, які підтримуються за рахунок МФО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7B2293" w:rsidRPr="00822A09" w:rsidRDefault="0006409B" w:rsidP="005E3DA7">
            <w:pPr>
              <w:pStyle w:val="a3"/>
              <w:spacing w:before="120"/>
              <w:ind w:left="57" w:right="57" w:firstLine="284"/>
              <w:jc w:val="both"/>
              <w:rPr>
                <w:sz w:val="26"/>
                <w:szCs w:val="26"/>
              </w:rPr>
            </w:pPr>
            <w:r w:rsidRPr="0006409B">
              <w:rPr>
                <w:rFonts w:eastAsiaTheme="minorHAnsi"/>
                <w:sz w:val="26"/>
                <w:szCs w:val="26"/>
                <w:lang w:eastAsia="en-US"/>
              </w:rPr>
              <w:t>Інформація щодо виконання проектів, які підтримуються за рахунок МФО.</w:t>
            </w:r>
          </w:p>
        </w:tc>
        <w:tc>
          <w:tcPr>
            <w:tcW w:w="2106" w:type="dxa"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5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BC0FAC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  <w:r w:rsidRPr="00BC0FAC">
              <w:rPr>
                <w:sz w:val="26"/>
                <w:szCs w:val="26"/>
              </w:rPr>
              <w:lastRenderedPageBreak/>
              <w:t>Дотримання вимог щодо надійності та безперебійності виробництва, транспортування, постачання теплової енергії</w:t>
            </w:r>
            <w:r w:rsidR="0006409B">
              <w:rPr>
                <w:sz w:val="26"/>
                <w:szCs w:val="26"/>
              </w:rPr>
              <w:t>.</w:t>
            </w:r>
          </w:p>
          <w:p w:rsidR="007B2293" w:rsidRPr="00D46354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uk-UA"/>
              </w:rPr>
            </w:pP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09B" w:rsidRPr="0006409B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06409B">
              <w:rPr>
                <w:sz w:val="26"/>
                <w:szCs w:val="26"/>
              </w:rPr>
              <w:t>Наявність тенденції, що впливають на надійність забезпеченням джерел теплової енергії технологічним паливом.</w:t>
            </w:r>
          </w:p>
          <w:p w:rsidR="0006409B" w:rsidRPr="0006409B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06409B">
              <w:rPr>
                <w:sz w:val="26"/>
                <w:szCs w:val="26"/>
              </w:rPr>
              <w:t>Підтримка органами місцевого самоврядування у забезпечення безперебійності надання послуг суб’єкт</w:t>
            </w:r>
            <w:r w:rsidR="00D17CD3">
              <w:rPr>
                <w:sz w:val="26"/>
                <w:szCs w:val="26"/>
              </w:rPr>
              <w:t>ами</w:t>
            </w:r>
            <w:r w:rsidRPr="0006409B">
              <w:rPr>
                <w:sz w:val="26"/>
                <w:szCs w:val="26"/>
              </w:rPr>
              <w:t xml:space="preserve"> господарювання.</w:t>
            </w:r>
          </w:p>
          <w:p w:rsidR="007B2293" w:rsidRPr="00D46354" w:rsidRDefault="0006409B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trike/>
                <w:sz w:val="26"/>
                <w:szCs w:val="26"/>
                <w:lang w:eastAsia="uk-UA"/>
              </w:rPr>
            </w:pPr>
            <w:r w:rsidRPr="0006409B">
              <w:rPr>
                <w:rFonts w:ascii="Times New Roman" w:hAnsi="Times New Roman" w:cs="Times New Roman"/>
                <w:sz w:val="26"/>
                <w:szCs w:val="26"/>
              </w:rPr>
              <w:t>Кількість перерв теплопостачання.</w:t>
            </w:r>
          </w:p>
        </w:tc>
        <w:tc>
          <w:tcPr>
            <w:tcW w:w="2106" w:type="dxa"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5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  <w:r w:rsidRPr="00BC0FAC">
              <w:rPr>
                <w:sz w:val="26"/>
                <w:szCs w:val="26"/>
              </w:rPr>
              <w:t>Ефективн</w:t>
            </w:r>
            <w:r w:rsidR="00D17CD3">
              <w:rPr>
                <w:sz w:val="26"/>
                <w:szCs w:val="26"/>
              </w:rPr>
              <w:t>ість</w:t>
            </w:r>
            <w:r w:rsidRPr="00BC0FAC">
              <w:rPr>
                <w:sz w:val="26"/>
                <w:szCs w:val="26"/>
              </w:rPr>
              <w:t xml:space="preserve">  функціонування сфери теплопостачання та рівень конкуренції на ринку теплової енергії</w:t>
            </w:r>
          </w:p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09B" w:rsidRDefault="0006409B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6409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Структура ринку теплової енергії</w:t>
            </w:r>
            <w:r w:rsidR="004218F1" w:rsidRPr="004218F1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 xml:space="preserve"> в частині її споживання та виробництва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</w:t>
            </w:r>
          </w:p>
          <w:p w:rsidR="007B2293" w:rsidRPr="00822A09" w:rsidRDefault="0006409B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  <w:r w:rsidRPr="0006409B"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Показники ефективності виробництва,  транспортування та постачання теплової енергії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  <w:t>.</w:t>
            </w:r>
          </w:p>
        </w:tc>
        <w:tc>
          <w:tcPr>
            <w:tcW w:w="2106" w:type="dxa"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539" w:type="dxa"/>
            <w:vMerge/>
            <w:tcBorders>
              <w:left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</w:tr>
      <w:tr w:rsidR="007B2293" w:rsidRPr="00822A09" w:rsidTr="007B2293">
        <w:trPr>
          <w:trHeight w:val="315"/>
        </w:trPr>
        <w:tc>
          <w:tcPr>
            <w:tcW w:w="26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1A4343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contextualSpacing/>
              <w:jc w:val="both"/>
              <w:rPr>
                <w:sz w:val="26"/>
                <w:szCs w:val="26"/>
              </w:rPr>
            </w:pPr>
            <w:r w:rsidRPr="001A4343">
              <w:rPr>
                <w:sz w:val="26"/>
                <w:szCs w:val="26"/>
              </w:rPr>
              <w:t>Забезпечення захисту прав споживачів</w:t>
            </w:r>
          </w:p>
        </w:tc>
        <w:tc>
          <w:tcPr>
            <w:tcW w:w="29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6409B" w:rsidRPr="0054297F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54297F">
              <w:rPr>
                <w:sz w:val="26"/>
                <w:szCs w:val="26"/>
              </w:rPr>
              <w:t xml:space="preserve">Питомий показник кількості скарг/звернень  </w:t>
            </w:r>
            <w:r w:rsidRPr="0054297F">
              <w:rPr>
                <w:sz w:val="26"/>
                <w:szCs w:val="26"/>
              </w:rPr>
              <w:lastRenderedPageBreak/>
              <w:t>споживачі на кількість укладених договорів</w:t>
            </w:r>
            <w:r>
              <w:rPr>
                <w:sz w:val="26"/>
                <w:szCs w:val="26"/>
              </w:rPr>
              <w:t>.</w:t>
            </w:r>
          </w:p>
          <w:p w:rsidR="0006409B" w:rsidRPr="0054297F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54297F">
              <w:rPr>
                <w:sz w:val="26"/>
                <w:szCs w:val="26"/>
              </w:rPr>
              <w:t>Кількість вимірювань параметрів теплоносія на межі балансової належності</w:t>
            </w:r>
            <w:r>
              <w:rPr>
                <w:sz w:val="26"/>
                <w:szCs w:val="26"/>
              </w:rPr>
              <w:t>.</w:t>
            </w:r>
          </w:p>
          <w:p w:rsidR="0006409B" w:rsidRPr="0054297F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54297F">
              <w:rPr>
                <w:sz w:val="26"/>
                <w:szCs w:val="26"/>
              </w:rPr>
              <w:t>Рівень оснащеності вузлами комерційного обліку теплової енергії</w:t>
            </w:r>
            <w:r>
              <w:rPr>
                <w:sz w:val="26"/>
                <w:szCs w:val="26"/>
              </w:rPr>
              <w:t>.</w:t>
            </w:r>
          </w:p>
          <w:p w:rsidR="0006409B" w:rsidRPr="0054297F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  <w:r w:rsidRPr="0054297F">
              <w:rPr>
                <w:sz w:val="26"/>
                <w:szCs w:val="26"/>
              </w:rPr>
              <w:t>Статистика скарг споживачів.</w:t>
            </w:r>
          </w:p>
          <w:p w:rsidR="0006409B" w:rsidRPr="0054297F" w:rsidRDefault="0006409B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</w:p>
          <w:p w:rsidR="007B2293" w:rsidRPr="001A4343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</w:p>
          <w:p w:rsidR="007B2293" w:rsidRPr="001A4343" w:rsidRDefault="007B2293" w:rsidP="005E3DA7">
            <w:pPr>
              <w:spacing w:before="120" w:after="0" w:line="240" w:lineRule="auto"/>
              <w:ind w:left="57" w:right="57" w:firstLine="284"/>
              <w:contextualSpacing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uk-UA"/>
              </w:rPr>
            </w:pPr>
          </w:p>
        </w:tc>
        <w:tc>
          <w:tcPr>
            <w:tcW w:w="210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</w:p>
        </w:tc>
        <w:tc>
          <w:tcPr>
            <w:tcW w:w="2539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B2293" w:rsidRPr="00822A09" w:rsidRDefault="007B2293" w:rsidP="005E3DA7">
            <w:pPr>
              <w:pStyle w:val="rvps2"/>
              <w:shd w:val="clear" w:color="auto" w:fill="FFFFFF"/>
              <w:spacing w:before="120" w:beforeAutospacing="0" w:after="0" w:afterAutospacing="0"/>
              <w:ind w:left="57" w:right="57" w:firstLine="284"/>
              <w:jc w:val="both"/>
              <w:rPr>
                <w:sz w:val="26"/>
                <w:szCs w:val="26"/>
              </w:rPr>
            </w:pPr>
          </w:p>
        </w:tc>
      </w:tr>
    </w:tbl>
    <w:p w:rsidR="00FA76EE" w:rsidRDefault="00FA76EE" w:rsidP="005E3DA7">
      <w:pPr>
        <w:spacing w:before="120" w:after="0" w:line="240" w:lineRule="auto"/>
        <w:ind w:left="57" w:right="57" w:firstLine="284"/>
        <w:jc w:val="both"/>
      </w:pPr>
    </w:p>
    <w:sectPr w:rsidR="00FA76EE" w:rsidSect="005E3DA7">
      <w:headerReference w:type="default" r:id="rId7"/>
      <w:pgSz w:w="11906" w:h="16838"/>
      <w:pgMar w:top="850" w:right="850" w:bottom="850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6200" w:rsidRDefault="00516200" w:rsidP="005E3DA7">
      <w:pPr>
        <w:spacing w:after="0" w:line="240" w:lineRule="auto"/>
      </w:pPr>
      <w:r>
        <w:separator/>
      </w:r>
    </w:p>
  </w:endnote>
  <w:endnote w:type="continuationSeparator" w:id="0">
    <w:p w:rsidR="00516200" w:rsidRDefault="00516200" w:rsidP="005E3D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6200" w:rsidRDefault="00516200" w:rsidP="005E3DA7">
      <w:pPr>
        <w:spacing w:after="0" w:line="240" w:lineRule="auto"/>
      </w:pPr>
      <w:r>
        <w:separator/>
      </w:r>
    </w:p>
  </w:footnote>
  <w:footnote w:type="continuationSeparator" w:id="0">
    <w:p w:rsidR="00516200" w:rsidRDefault="00516200" w:rsidP="005E3D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5958967"/>
      <w:docPartObj>
        <w:docPartGallery w:val="Page Numbers (Top of Page)"/>
        <w:docPartUnique/>
      </w:docPartObj>
    </w:sdtPr>
    <w:sdtEndPr/>
    <w:sdtContent>
      <w:p w:rsidR="005E3DA7" w:rsidRDefault="005E3DA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96BC0">
          <w:rPr>
            <w:noProof/>
          </w:rPr>
          <w:t>3</w:t>
        </w:r>
        <w:r>
          <w:fldChar w:fldCharType="end"/>
        </w:r>
      </w:p>
    </w:sdtContent>
  </w:sdt>
  <w:p w:rsidR="005E3DA7" w:rsidRDefault="005E3DA7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52149F"/>
    <w:multiLevelType w:val="hybridMultilevel"/>
    <w:tmpl w:val="8CC4E0AE"/>
    <w:lvl w:ilvl="0" w:tplc="0422000F">
      <w:start w:val="1"/>
      <w:numFmt w:val="decimal"/>
      <w:lvlText w:val="%1."/>
      <w:lvlJc w:val="left"/>
      <w:pPr>
        <w:ind w:left="1170" w:hanging="360"/>
      </w:p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" w15:restartNumberingAfterBreak="0">
    <w:nsid w:val="6BAF584C"/>
    <w:multiLevelType w:val="hybridMultilevel"/>
    <w:tmpl w:val="516AA2E2"/>
    <w:lvl w:ilvl="0" w:tplc="B704A990">
      <w:start w:val="3"/>
      <w:numFmt w:val="decimal"/>
      <w:lvlText w:val="%1)"/>
      <w:lvlJc w:val="left"/>
      <w:pPr>
        <w:ind w:left="129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010" w:hanging="360"/>
      </w:pPr>
    </w:lvl>
    <w:lvl w:ilvl="2" w:tplc="0422001B" w:tentative="1">
      <w:start w:val="1"/>
      <w:numFmt w:val="lowerRoman"/>
      <w:lvlText w:val="%3."/>
      <w:lvlJc w:val="right"/>
      <w:pPr>
        <w:ind w:left="2730" w:hanging="180"/>
      </w:pPr>
    </w:lvl>
    <w:lvl w:ilvl="3" w:tplc="0422000F" w:tentative="1">
      <w:start w:val="1"/>
      <w:numFmt w:val="decimal"/>
      <w:lvlText w:val="%4."/>
      <w:lvlJc w:val="left"/>
      <w:pPr>
        <w:ind w:left="3450" w:hanging="360"/>
      </w:pPr>
    </w:lvl>
    <w:lvl w:ilvl="4" w:tplc="04220019" w:tentative="1">
      <w:start w:val="1"/>
      <w:numFmt w:val="lowerLetter"/>
      <w:lvlText w:val="%5."/>
      <w:lvlJc w:val="left"/>
      <w:pPr>
        <w:ind w:left="4170" w:hanging="360"/>
      </w:pPr>
    </w:lvl>
    <w:lvl w:ilvl="5" w:tplc="0422001B" w:tentative="1">
      <w:start w:val="1"/>
      <w:numFmt w:val="lowerRoman"/>
      <w:lvlText w:val="%6."/>
      <w:lvlJc w:val="right"/>
      <w:pPr>
        <w:ind w:left="4890" w:hanging="180"/>
      </w:pPr>
    </w:lvl>
    <w:lvl w:ilvl="6" w:tplc="0422000F" w:tentative="1">
      <w:start w:val="1"/>
      <w:numFmt w:val="decimal"/>
      <w:lvlText w:val="%7."/>
      <w:lvlJc w:val="left"/>
      <w:pPr>
        <w:ind w:left="5610" w:hanging="360"/>
      </w:pPr>
    </w:lvl>
    <w:lvl w:ilvl="7" w:tplc="04220019" w:tentative="1">
      <w:start w:val="1"/>
      <w:numFmt w:val="lowerLetter"/>
      <w:lvlText w:val="%8."/>
      <w:lvlJc w:val="left"/>
      <w:pPr>
        <w:ind w:left="6330" w:hanging="360"/>
      </w:pPr>
    </w:lvl>
    <w:lvl w:ilvl="8" w:tplc="0422001B" w:tentative="1">
      <w:start w:val="1"/>
      <w:numFmt w:val="lowerRoman"/>
      <w:lvlText w:val="%9."/>
      <w:lvlJc w:val="right"/>
      <w:pPr>
        <w:ind w:left="705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1AF7"/>
    <w:rsid w:val="00053F82"/>
    <w:rsid w:val="0006409B"/>
    <w:rsid w:val="000871C4"/>
    <w:rsid w:val="001667DA"/>
    <w:rsid w:val="001976CB"/>
    <w:rsid w:val="001A4343"/>
    <w:rsid w:val="002811C7"/>
    <w:rsid w:val="00286D86"/>
    <w:rsid w:val="002C0FCA"/>
    <w:rsid w:val="004218F1"/>
    <w:rsid w:val="004D1F40"/>
    <w:rsid w:val="00516200"/>
    <w:rsid w:val="005C4493"/>
    <w:rsid w:val="005E3DA7"/>
    <w:rsid w:val="00620BE3"/>
    <w:rsid w:val="00714BE5"/>
    <w:rsid w:val="007A1298"/>
    <w:rsid w:val="007B2293"/>
    <w:rsid w:val="00822A09"/>
    <w:rsid w:val="00871184"/>
    <w:rsid w:val="008D5D70"/>
    <w:rsid w:val="00A8044C"/>
    <w:rsid w:val="00B02A6C"/>
    <w:rsid w:val="00BC0FAC"/>
    <w:rsid w:val="00C128F1"/>
    <w:rsid w:val="00C96BC0"/>
    <w:rsid w:val="00CA5758"/>
    <w:rsid w:val="00CE0F97"/>
    <w:rsid w:val="00CE3275"/>
    <w:rsid w:val="00CF0FBD"/>
    <w:rsid w:val="00D17CD3"/>
    <w:rsid w:val="00D20404"/>
    <w:rsid w:val="00D46354"/>
    <w:rsid w:val="00DC7B55"/>
    <w:rsid w:val="00E70031"/>
    <w:rsid w:val="00F11AF7"/>
    <w:rsid w:val="00FA76EE"/>
    <w:rsid w:val="00FB5E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B3656C"/>
  <w15:chartTrackingRefBased/>
  <w15:docId w15:val="{07EAA640-E7E1-45C9-A2FF-FBAFA2108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14">
    <w:name w:val="rvps14"/>
    <w:basedOn w:val="a"/>
    <w:rsid w:val="00F1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7">
    <w:name w:val="rvps7"/>
    <w:basedOn w:val="a"/>
    <w:rsid w:val="00F1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a0"/>
    <w:rsid w:val="00F11AF7"/>
  </w:style>
  <w:style w:type="paragraph" w:customStyle="1" w:styleId="rvps12">
    <w:name w:val="rvps12"/>
    <w:basedOn w:val="a"/>
    <w:rsid w:val="00F11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82">
    <w:name w:val="rvts82"/>
    <w:basedOn w:val="a0"/>
    <w:rsid w:val="00F11AF7"/>
  </w:style>
  <w:style w:type="character" w:customStyle="1" w:styleId="rvts23">
    <w:name w:val="rvts23"/>
    <w:basedOn w:val="a0"/>
    <w:rsid w:val="00CE3275"/>
  </w:style>
  <w:style w:type="paragraph" w:customStyle="1" w:styleId="rvps2">
    <w:name w:val="rvps2"/>
    <w:basedOn w:val="a"/>
    <w:rsid w:val="00CE32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a3">
    <w:name w:val="List Paragraph"/>
    <w:basedOn w:val="a"/>
    <w:uiPriority w:val="34"/>
    <w:qFormat/>
    <w:rsid w:val="00CF0FB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4">
    <w:name w:val="header"/>
    <w:basedOn w:val="a"/>
    <w:link w:val="a5"/>
    <w:uiPriority w:val="99"/>
    <w:unhideWhenUsed/>
    <w:rsid w:val="005E3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5E3DA7"/>
  </w:style>
  <w:style w:type="paragraph" w:styleId="a6">
    <w:name w:val="footer"/>
    <w:basedOn w:val="a"/>
    <w:link w:val="a7"/>
    <w:uiPriority w:val="99"/>
    <w:unhideWhenUsed/>
    <w:rsid w:val="005E3DA7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5E3D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132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29336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2342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5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1738</Words>
  <Characters>991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Марія</dc:creator>
  <cp:keywords/>
  <dc:description/>
  <cp:lastModifiedBy>Євген Люлевич</cp:lastModifiedBy>
  <cp:revision>10</cp:revision>
  <dcterms:created xsi:type="dcterms:W3CDTF">2023-08-29T11:04:00Z</dcterms:created>
  <dcterms:modified xsi:type="dcterms:W3CDTF">2023-08-30T15:20:00Z</dcterms:modified>
</cp:coreProperties>
</file>