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616" w:rsidRPr="00C36616" w:rsidRDefault="000B27DB" w:rsidP="00C36616">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421441">
        <w:rPr>
          <w:rFonts w:ascii="Times New Roman" w:eastAsia="Times New Roman" w:hAnsi="Times New Roman"/>
          <w:b/>
          <w:bCs/>
          <w:color w:val="000000"/>
          <w:sz w:val="28"/>
          <w:szCs w:val="28"/>
          <w:lang w:val="uk-UA" w:eastAsia="ru-RU"/>
        </w:rPr>
        <w:t>Порівняльна таблиця до</w:t>
      </w:r>
      <w:r w:rsidR="00C36616">
        <w:rPr>
          <w:rFonts w:ascii="Times New Roman" w:eastAsia="Times New Roman" w:hAnsi="Times New Roman"/>
          <w:b/>
          <w:bCs/>
          <w:color w:val="000000"/>
          <w:sz w:val="28"/>
          <w:szCs w:val="28"/>
          <w:lang w:val="uk-UA" w:eastAsia="ru-RU"/>
        </w:rPr>
        <w:t xml:space="preserve"> </w:t>
      </w:r>
      <w:r w:rsidRPr="00421441">
        <w:rPr>
          <w:rFonts w:ascii="Times New Roman" w:eastAsia="Times New Roman" w:hAnsi="Times New Roman"/>
          <w:b/>
          <w:bCs/>
          <w:color w:val="000000"/>
          <w:sz w:val="28"/>
          <w:szCs w:val="28"/>
          <w:lang w:val="uk-UA" w:eastAsia="ru-RU"/>
        </w:rPr>
        <w:t xml:space="preserve"> </w:t>
      </w:r>
      <w:r w:rsidR="00C36616" w:rsidRPr="00C36616">
        <w:rPr>
          <w:rFonts w:ascii="Times New Roman" w:eastAsia="Times New Roman" w:hAnsi="Times New Roman"/>
          <w:b/>
          <w:bCs/>
          <w:color w:val="000000"/>
          <w:sz w:val="28"/>
          <w:szCs w:val="28"/>
          <w:lang w:val="uk-UA" w:eastAsia="ru-RU"/>
        </w:rPr>
        <w:t>про</w:t>
      </w:r>
      <w:r w:rsidR="004D7BBF">
        <w:rPr>
          <w:rFonts w:ascii="Times New Roman" w:eastAsia="Times New Roman" w:hAnsi="Times New Roman"/>
          <w:b/>
          <w:bCs/>
          <w:color w:val="000000"/>
          <w:sz w:val="28"/>
          <w:szCs w:val="28"/>
          <w:lang w:val="uk-UA" w:eastAsia="ru-RU"/>
        </w:rPr>
        <w:t>е</w:t>
      </w:r>
      <w:r w:rsidR="00C36616" w:rsidRPr="00C36616">
        <w:rPr>
          <w:rFonts w:ascii="Times New Roman" w:eastAsia="Times New Roman" w:hAnsi="Times New Roman"/>
          <w:b/>
          <w:bCs/>
          <w:color w:val="000000"/>
          <w:sz w:val="28"/>
          <w:szCs w:val="28"/>
          <w:lang w:val="uk-UA" w:eastAsia="ru-RU"/>
        </w:rPr>
        <w:t xml:space="preserve">кту рішення, що має ознаки регуляторного </w:t>
      </w:r>
    </w:p>
    <w:p w:rsidR="000B27DB" w:rsidRPr="00421441" w:rsidRDefault="00C36616" w:rsidP="00C36616">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Pr>
          <w:rFonts w:ascii="Times New Roman" w:eastAsia="Times New Roman" w:hAnsi="Times New Roman"/>
          <w:b/>
          <w:bCs/>
          <w:color w:val="000000"/>
          <w:sz w:val="28"/>
          <w:szCs w:val="28"/>
          <w:lang w:val="uk-UA" w:eastAsia="ru-RU"/>
        </w:rPr>
        <w:t>а</w:t>
      </w:r>
      <w:r w:rsidR="00A17FF8">
        <w:rPr>
          <w:rFonts w:ascii="Times New Roman" w:eastAsia="Times New Roman" w:hAnsi="Times New Roman"/>
          <w:b/>
          <w:bCs/>
          <w:color w:val="000000"/>
          <w:sz w:val="28"/>
          <w:szCs w:val="28"/>
          <w:lang w:val="uk-UA" w:eastAsia="ru-RU"/>
        </w:rPr>
        <w:t>кта</w:t>
      </w:r>
      <w:r>
        <w:rPr>
          <w:rFonts w:ascii="Times New Roman" w:eastAsia="Times New Roman" w:hAnsi="Times New Roman"/>
          <w:b/>
          <w:bCs/>
          <w:color w:val="000000"/>
          <w:sz w:val="28"/>
          <w:szCs w:val="28"/>
          <w:lang w:val="uk-UA" w:eastAsia="ru-RU"/>
        </w:rPr>
        <w:t>,</w:t>
      </w:r>
      <w:r w:rsidRPr="00C36616">
        <w:rPr>
          <w:rFonts w:ascii="Times New Roman" w:eastAsia="Times New Roman" w:hAnsi="Times New Roman"/>
          <w:b/>
          <w:bCs/>
          <w:color w:val="000000"/>
          <w:sz w:val="28"/>
          <w:szCs w:val="28"/>
          <w:lang w:val="uk-UA" w:eastAsia="ru-RU"/>
        </w:rPr>
        <w:t xml:space="preserve"> – </w:t>
      </w:r>
      <w:r w:rsidR="000B27DB" w:rsidRPr="00421441">
        <w:rPr>
          <w:rFonts w:ascii="Times New Roman" w:eastAsia="Times New Roman" w:hAnsi="Times New Roman"/>
          <w:b/>
          <w:bCs/>
          <w:color w:val="000000"/>
          <w:sz w:val="28"/>
          <w:szCs w:val="28"/>
          <w:lang w:val="uk-UA" w:eastAsia="ru-RU"/>
        </w:rPr>
        <w:t>про</w:t>
      </w:r>
      <w:r w:rsidR="004D7BBF">
        <w:rPr>
          <w:rFonts w:ascii="Times New Roman" w:eastAsia="Times New Roman" w:hAnsi="Times New Roman"/>
          <w:b/>
          <w:bCs/>
          <w:color w:val="000000"/>
          <w:sz w:val="28"/>
          <w:szCs w:val="28"/>
          <w:lang w:val="uk-UA" w:eastAsia="ru-RU"/>
        </w:rPr>
        <w:t>е</w:t>
      </w:r>
      <w:r w:rsidR="00BD7E65" w:rsidRPr="00421441">
        <w:rPr>
          <w:rFonts w:ascii="Times New Roman" w:eastAsia="Times New Roman" w:hAnsi="Times New Roman"/>
          <w:b/>
          <w:bCs/>
          <w:color w:val="000000"/>
          <w:sz w:val="28"/>
          <w:szCs w:val="28"/>
          <w:lang w:val="uk-UA" w:eastAsia="ru-RU"/>
        </w:rPr>
        <w:t xml:space="preserve">кту постанови НКРЕКП </w:t>
      </w:r>
    </w:p>
    <w:p w:rsidR="00BD7E65" w:rsidRPr="00421441" w:rsidRDefault="00BD7E65" w:rsidP="000B27DB">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421441">
        <w:rPr>
          <w:rFonts w:ascii="Times New Roman" w:eastAsia="Times New Roman" w:hAnsi="Times New Roman"/>
          <w:b/>
          <w:bCs/>
          <w:color w:val="000000"/>
          <w:sz w:val="28"/>
          <w:szCs w:val="28"/>
          <w:lang w:val="uk-UA" w:eastAsia="ru-RU"/>
        </w:rPr>
        <w:t>«</w:t>
      </w:r>
      <w:r w:rsidR="008F65B0" w:rsidRPr="008F65B0">
        <w:rPr>
          <w:rFonts w:ascii="Times New Roman" w:eastAsia="Times New Roman" w:hAnsi="Times New Roman"/>
          <w:b/>
          <w:sz w:val="28"/>
          <w:szCs w:val="28"/>
          <w:lang w:val="uk-UA" w:eastAsia="ru-RU"/>
        </w:rPr>
        <w:t xml:space="preserve">Про </w:t>
      </w:r>
      <w:r w:rsidR="00C1266E">
        <w:rPr>
          <w:rFonts w:ascii="Times New Roman" w:eastAsia="Times New Roman" w:hAnsi="Times New Roman"/>
          <w:b/>
          <w:sz w:val="28"/>
          <w:szCs w:val="28"/>
          <w:lang w:val="uk-UA" w:eastAsia="ru-RU"/>
        </w:rPr>
        <w:t>затвердження З</w:t>
      </w:r>
      <w:r w:rsidR="008F65B0" w:rsidRPr="008F65B0">
        <w:rPr>
          <w:rFonts w:ascii="Times New Roman" w:eastAsia="Times New Roman" w:hAnsi="Times New Roman"/>
          <w:b/>
          <w:sz w:val="28"/>
          <w:szCs w:val="28"/>
          <w:lang w:val="uk-UA" w:eastAsia="ru-RU"/>
        </w:rPr>
        <w:t>мін до постанови Національної комісії, що здійснює державне регулювання у сферах енергетики та комунальних послуг, від 14 вересня 2017 року № 1131</w:t>
      </w:r>
      <w:r w:rsidRPr="00421441">
        <w:rPr>
          <w:rFonts w:ascii="Times New Roman" w:eastAsia="Times New Roman" w:hAnsi="Times New Roman"/>
          <w:b/>
          <w:bCs/>
          <w:color w:val="000000"/>
          <w:sz w:val="28"/>
          <w:szCs w:val="28"/>
          <w:lang w:val="uk-UA" w:eastAsia="ru-RU"/>
        </w:rPr>
        <w:t>»</w:t>
      </w:r>
    </w:p>
    <w:p w:rsidR="00BD7E65" w:rsidRPr="00421441" w:rsidRDefault="00BD7E65" w:rsidP="00BD7E65">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6"/>
        <w:gridCol w:w="7676"/>
      </w:tblGrid>
      <w:tr w:rsidR="00421441" w:rsidRPr="00421441" w:rsidTr="00735906">
        <w:trPr>
          <w:trHeight w:val="303"/>
        </w:trPr>
        <w:tc>
          <w:tcPr>
            <w:tcW w:w="7676" w:type="dxa"/>
          </w:tcPr>
          <w:p w:rsidR="00421441" w:rsidRPr="00421441" w:rsidRDefault="00421441" w:rsidP="00421441">
            <w:pPr>
              <w:spacing w:after="0" w:line="240" w:lineRule="auto"/>
              <w:jc w:val="center"/>
              <w:rPr>
                <w:rFonts w:ascii="Baskerville Old Face" w:hAnsi="Baskerville Old Face"/>
                <w:lang w:val="uk-UA"/>
              </w:rPr>
            </w:pPr>
            <w:r w:rsidRPr="00421441">
              <w:rPr>
                <w:rFonts w:ascii="Times New Roman" w:hAnsi="Times New Roman"/>
                <w:b/>
                <w:sz w:val="24"/>
                <w:szCs w:val="24"/>
                <w:lang w:val="uk-UA"/>
              </w:rPr>
              <w:t>Зміст положення (норми) чинного акта законодавства</w:t>
            </w:r>
          </w:p>
        </w:tc>
        <w:tc>
          <w:tcPr>
            <w:tcW w:w="7676" w:type="dxa"/>
          </w:tcPr>
          <w:p w:rsidR="00421441" w:rsidRPr="00421441" w:rsidRDefault="00421441" w:rsidP="00421441">
            <w:pPr>
              <w:spacing w:after="0" w:line="240" w:lineRule="auto"/>
              <w:jc w:val="center"/>
              <w:rPr>
                <w:rFonts w:ascii="Baskerville Old Face" w:hAnsi="Baskerville Old Face"/>
                <w:lang w:val="uk-UA"/>
              </w:rPr>
            </w:pPr>
            <w:r w:rsidRPr="00421441">
              <w:rPr>
                <w:rFonts w:ascii="Times New Roman" w:hAnsi="Times New Roman"/>
                <w:b/>
                <w:sz w:val="24"/>
                <w:szCs w:val="24"/>
                <w:lang w:val="uk-UA"/>
              </w:rPr>
              <w:t>Зміст відповідного положення (норми) про</w:t>
            </w:r>
            <w:r w:rsidR="004D7BBF">
              <w:rPr>
                <w:rFonts w:ascii="Times New Roman" w:hAnsi="Times New Roman"/>
                <w:b/>
                <w:sz w:val="24"/>
                <w:szCs w:val="24"/>
                <w:lang w:val="uk-UA"/>
              </w:rPr>
              <w:t>е</w:t>
            </w:r>
            <w:r w:rsidRPr="00421441">
              <w:rPr>
                <w:rFonts w:ascii="Times New Roman" w:hAnsi="Times New Roman"/>
                <w:b/>
                <w:sz w:val="24"/>
                <w:szCs w:val="24"/>
                <w:lang w:val="uk-UA"/>
              </w:rPr>
              <w:t>кту акта</w:t>
            </w:r>
          </w:p>
        </w:tc>
      </w:tr>
      <w:tr w:rsidR="00B92D44" w:rsidRPr="00C1266E" w:rsidTr="006327AF">
        <w:tc>
          <w:tcPr>
            <w:tcW w:w="7676" w:type="dxa"/>
            <w:shd w:val="clear" w:color="auto" w:fill="auto"/>
          </w:tcPr>
          <w:p w:rsidR="002653FD" w:rsidRPr="00421441" w:rsidRDefault="00B92D44" w:rsidP="000B27DB">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t>ПОРЯДОК</w:t>
            </w:r>
            <w:r w:rsidRPr="00421441">
              <w:rPr>
                <w:rFonts w:ascii="Times New Roman" w:eastAsia="Times New Roman" w:hAnsi="Times New Roman"/>
                <w:color w:val="333333"/>
                <w:sz w:val="24"/>
                <w:szCs w:val="24"/>
                <w:lang w:val="uk-UA" w:eastAsia="uk-UA"/>
              </w:rPr>
              <w:br/>
            </w:r>
            <w:r w:rsidR="00675765" w:rsidRPr="00675765">
              <w:rPr>
                <w:rFonts w:ascii="Times New Roman" w:eastAsia="Times New Roman" w:hAnsi="Times New Roman"/>
                <w:b/>
                <w:bCs/>
                <w:color w:val="333333"/>
                <w:sz w:val="24"/>
                <w:szCs w:val="24"/>
                <w:lang w:val="uk-UA" w:eastAsia="uk-UA"/>
              </w:rPr>
              <w:t xml:space="preserve">розроблення, погодження та затвердження </w:t>
            </w:r>
            <w:r w:rsidR="00675765" w:rsidRPr="004055E2">
              <w:rPr>
                <w:rFonts w:ascii="Times New Roman" w:eastAsia="Times New Roman" w:hAnsi="Times New Roman"/>
                <w:b/>
                <w:bCs/>
                <w:color w:val="333333"/>
                <w:sz w:val="24"/>
                <w:szCs w:val="24"/>
                <w:lang w:val="uk-UA" w:eastAsia="uk-UA"/>
              </w:rPr>
              <w:t>інвестиційних програм</w:t>
            </w:r>
            <w:r w:rsidR="00675765" w:rsidRPr="00675765">
              <w:rPr>
                <w:rFonts w:ascii="Times New Roman" w:eastAsia="Times New Roman" w:hAnsi="Times New Roman"/>
                <w:b/>
                <w:bCs/>
                <w:color w:val="333333"/>
                <w:sz w:val="24"/>
                <w:szCs w:val="24"/>
                <w:lang w:val="uk-UA" w:eastAsia="uk-UA"/>
              </w:rPr>
              <w:t xml:space="preserve"> суб'єктів господарювання у сфері централізованого водопостачання та централізованого водовідведення, ліцензування діяльності яких здійснюється Національною комісією, що здійснює державне регулювання у сферах енергетики та комунальних послуг</w:t>
            </w:r>
          </w:p>
        </w:tc>
        <w:tc>
          <w:tcPr>
            <w:tcW w:w="7676" w:type="dxa"/>
            <w:shd w:val="clear" w:color="auto" w:fill="auto"/>
          </w:tcPr>
          <w:p w:rsidR="00B92D44" w:rsidRPr="00675765" w:rsidRDefault="000B27DB" w:rsidP="00C1266E">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t>ПОРЯДОК</w:t>
            </w:r>
            <w:r w:rsidR="002653FD" w:rsidRPr="00421441">
              <w:rPr>
                <w:rFonts w:ascii="Times New Roman" w:eastAsia="Times New Roman" w:hAnsi="Times New Roman"/>
                <w:color w:val="333333"/>
                <w:sz w:val="24"/>
                <w:szCs w:val="24"/>
                <w:lang w:val="uk-UA" w:eastAsia="uk-UA"/>
              </w:rPr>
              <w:br/>
            </w:r>
            <w:r w:rsidR="00675765" w:rsidRPr="00675765">
              <w:rPr>
                <w:rFonts w:ascii="Times New Roman" w:eastAsia="Times New Roman" w:hAnsi="Times New Roman"/>
                <w:b/>
                <w:bCs/>
                <w:color w:val="333333"/>
                <w:sz w:val="24"/>
                <w:szCs w:val="24"/>
                <w:lang w:val="uk-UA" w:eastAsia="uk-UA"/>
              </w:rPr>
              <w:t xml:space="preserve">розроблення, погодження та затвердження інвестиційних програм </w:t>
            </w:r>
            <w:r w:rsidR="00675765" w:rsidRPr="004055E2">
              <w:rPr>
                <w:rFonts w:ascii="Times New Roman" w:eastAsia="Times New Roman" w:hAnsi="Times New Roman"/>
                <w:b/>
                <w:bCs/>
                <w:i/>
                <w:color w:val="333333"/>
                <w:sz w:val="24"/>
                <w:szCs w:val="24"/>
                <w:lang w:val="uk-UA" w:eastAsia="uk-UA"/>
              </w:rPr>
              <w:t>(інвестиційних проектів)</w:t>
            </w:r>
            <w:r w:rsidR="00675765">
              <w:rPr>
                <w:rFonts w:ascii="Times New Roman" w:eastAsia="Times New Roman" w:hAnsi="Times New Roman"/>
                <w:b/>
                <w:bCs/>
                <w:color w:val="333333"/>
                <w:sz w:val="24"/>
                <w:szCs w:val="24"/>
                <w:lang w:val="uk-UA" w:eastAsia="uk-UA"/>
              </w:rPr>
              <w:t xml:space="preserve"> </w:t>
            </w:r>
            <w:r w:rsidR="00675765" w:rsidRPr="00675765">
              <w:rPr>
                <w:rFonts w:ascii="Times New Roman" w:eastAsia="Times New Roman" w:hAnsi="Times New Roman"/>
                <w:b/>
                <w:bCs/>
                <w:color w:val="333333"/>
                <w:sz w:val="24"/>
                <w:szCs w:val="24"/>
                <w:lang w:val="uk-UA" w:eastAsia="uk-UA"/>
              </w:rPr>
              <w:t>суб'єктів господарювання у сфері централізованого водопостачання та централізованого водовідведення, ліцензування діяльності яких здійснюється Національною комісією, що здійснює державне регулювання у сферах енергетики та комунальних послуг</w:t>
            </w:r>
            <w:r w:rsidR="00C1266E">
              <w:rPr>
                <w:rFonts w:ascii="Times New Roman" w:eastAsia="Times New Roman" w:hAnsi="Times New Roman"/>
                <w:b/>
                <w:bCs/>
                <w:color w:val="333333"/>
                <w:sz w:val="24"/>
                <w:szCs w:val="24"/>
                <w:lang w:val="uk-UA" w:eastAsia="uk-UA"/>
              </w:rPr>
              <w:t xml:space="preserve"> </w:t>
            </w:r>
          </w:p>
        </w:tc>
      </w:tr>
      <w:tr w:rsidR="000B27DB" w:rsidRPr="00C1266E" w:rsidTr="006327AF">
        <w:tc>
          <w:tcPr>
            <w:tcW w:w="7676" w:type="dxa"/>
            <w:shd w:val="clear" w:color="auto" w:fill="auto"/>
          </w:tcPr>
          <w:p w:rsidR="00B468F7" w:rsidRPr="00735906" w:rsidRDefault="00B468F7" w:rsidP="003246E3">
            <w:pPr>
              <w:shd w:val="clear" w:color="auto" w:fill="FFFFFF"/>
              <w:spacing w:after="0" w:line="240" w:lineRule="auto"/>
              <w:jc w:val="center"/>
              <w:rPr>
                <w:rFonts w:ascii="Times New Roman" w:eastAsia="Times New Roman" w:hAnsi="Times New Roman"/>
                <w:b/>
                <w:bCs/>
                <w:color w:val="333333"/>
                <w:sz w:val="6"/>
                <w:szCs w:val="6"/>
                <w:lang w:val="uk-UA" w:eastAsia="uk-UA"/>
              </w:rPr>
            </w:pPr>
            <w:bookmarkStart w:id="0" w:name="n179"/>
            <w:bookmarkStart w:id="1" w:name="n207"/>
            <w:bookmarkEnd w:id="0"/>
            <w:bookmarkEnd w:id="1"/>
          </w:p>
          <w:p w:rsidR="00B468F7" w:rsidRPr="00B468F7"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B468F7">
              <w:rPr>
                <w:rFonts w:ascii="Times New Roman" w:eastAsia="Times New Roman" w:hAnsi="Times New Roman"/>
                <w:b/>
                <w:bCs/>
                <w:color w:val="333333"/>
                <w:sz w:val="24"/>
                <w:szCs w:val="24"/>
                <w:lang w:val="uk-UA" w:eastAsia="uk-UA"/>
              </w:rPr>
              <w:t>1. Загальні положення</w:t>
            </w:r>
          </w:p>
          <w:p w:rsidR="00E965A9"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 w:name="n181"/>
            <w:bookmarkEnd w:id="2"/>
            <w:r w:rsidRPr="00B30DEC">
              <w:rPr>
                <w:rFonts w:ascii="Times New Roman" w:eastAsia="Times New Roman" w:hAnsi="Times New Roman"/>
                <w:color w:val="333333"/>
                <w:sz w:val="24"/>
                <w:szCs w:val="24"/>
                <w:lang w:val="uk-UA" w:eastAsia="uk-UA"/>
              </w:rPr>
              <w:t>1.</w:t>
            </w:r>
            <w:r w:rsidR="00675765">
              <w:rPr>
                <w:rFonts w:ascii="Times New Roman" w:eastAsia="Times New Roman" w:hAnsi="Times New Roman"/>
                <w:color w:val="333333"/>
                <w:sz w:val="24"/>
                <w:szCs w:val="24"/>
                <w:lang w:val="uk-UA" w:eastAsia="uk-UA"/>
              </w:rPr>
              <w:t>1</w:t>
            </w:r>
            <w:r w:rsidRPr="00B30DEC">
              <w:rPr>
                <w:rFonts w:ascii="Times New Roman" w:eastAsia="Times New Roman" w:hAnsi="Times New Roman"/>
                <w:color w:val="333333"/>
                <w:sz w:val="24"/>
                <w:szCs w:val="24"/>
                <w:lang w:val="uk-UA" w:eastAsia="uk-UA"/>
              </w:rPr>
              <w:t xml:space="preserve">. </w:t>
            </w:r>
            <w:bookmarkStart w:id="3" w:name="n182"/>
            <w:bookmarkStart w:id="4" w:name="n191"/>
            <w:bookmarkEnd w:id="3"/>
            <w:bookmarkEnd w:id="4"/>
            <w:r w:rsidR="00675765" w:rsidRPr="00675765">
              <w:rPr>
                <w:rFonts w:ascii="Times New Roman" w:eastAsia="Times New Roman" w:hAnsi="Times New Roman"/>
                <w:color w:val="333333"/>
                <w:sz w:val="24"/>
                <w:szCs w:val="24"/>
                <w:lang w:val="uk-UA" w:eastAsia="uk-UA"/>
              </w:rPr>
              <w:t xml:space="preserve">Цей Порядок установлює механізм розроблення, затвердження, погодження, схвалення та підтвердження виконання </w:t>
            </w:r>
            <w:r w:rsidR="00675765" w:rsidRPr="004055E2">
              <w:rPr>
                <w:rFonts w:ascii="Times New Roman" w:eastAsia="Times New Roman" w:hAnsi="Times New Roman"/>
                <w:color w:val="333333"/>
                <w:sz w:val="24"/>
                <w:szCs w:val="24"/>
                <w:lang w:val="uk-UA" w:eastAsia="uk-UA"/>
              </w:rPr>
              <w:t>інвестиційних програм</w:t>
            </w:r>
            <w:r w:rsidR="00675765" w:rsidRPr="00675765">
              <w:rPr>
                <w:rFonts w:ascii="Times New Roman" w:eastAsia="Times New Roman" w:hAnsi="Times New Roman"/>
                <w:color w:val="333333"/>
                <w:sz w:val="24"/>
                <w:szCs w:val="24"/>
                <w:lang w:val="uk-UA" w:eastAsia="uk-UA"/>
              </w:rPr>
              <w:t xml:space="preserve"> (далі - ІП) та планів розвитку систем централізованого водопостачання та централізованого водовідведення (далі - ПР) суб’єктів господарювання у сфері централізованого водопостачання та централізованого водовідведення з метою визначення обґрунтованості запланованих ними капіталовкладень та/або повернення коштів за кредитними угодами, узгодженими Національною комісією, що здійснює державне регулювання у сферах енергетики та комунальних послуг (далі - НКРЕКП), або взятих під державні гарантії, у тому числі до моменту затвердження цього Порядку, на виконання </w:t>
            </w:r>
            <w:r w:rsidR="00675765" w:rsidRPr="002E4B26">
              <w:rPr>
                <w:rFonts w:ascii="Times New Roman" w:eastAsia="Times New Roman" w:hAnsi="Times New Roman"/>
                <w:color w:val="333333"/>
                <w:sz w:val="24"/>
                <w:szCs w:val="24"/>
                <w:lang w:val="uk-UA" w:eastAsia="uk-UA"/>
              </w:rPr>
              <w:t>інвестиційних заходів,</w:t>
            </w:r>
            <w:r w:rsidR="00675765" w:rsidRPr="00675765">
              <w:rPr>
                <w:rFonts w:ascii="Times New Roman" w:eastAsia="Times New Roman" w:hAnsi="Times New Roman"/>
                <w:color w:val="333333"/>
                <w:sz w:val="24"/>
                <w:szCs w:val="24"/>
                <w:lang w:val="uk-UA" w:eastAsia="uk-UA"/>
              </w:rPr>
              <w:t xml:space="preserve"> що враховуються в тарифах на централізоване водопостачання та/або централізоване водовідведення, та інших залучених коштів, а також забезпечення цільового використання коштів цими суб’єктами.</w:t>
            </w:r>
          </w:p>
          <w:p w:rsidR="0079498B" w:rsidRPr="00B30DEC" w:rsidRDefault="0079498B" w:rsidP="0079498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79498B" w:rsidRPr="00B30DEC" w:rsidRDefault="0079498B" w:rsidP="0079498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30DEC">
              <w:rPr>
                <w:rFonts w:ascii="Times New Roman" w:eastAsia="Times New Roman" w:hAnsi="Times New Roman"/>
                <w:color w:val="333333"/>
                <w:sz w:val="24"/>
                <w:szCs w:val="24"/>
                <w:lang w:val="uk-UA" w:eastAsia="uk-UA"/>
              </w:rPr>
              <w:t>1.3. У цьому Порядку терміни вживаються в таких значеннях:</w:t>
            </w:r>
          </w:p>
          <w:p w:rsidR="0079498B" w:rsidRPr="00B30DEC" w:rsidRDefault="0079498B" w:rsidP="0079498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F33F62" w:rsidRDefault="0079498B" w:rsidP="009B2637">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9498B">
              <w:rPr>
                <w:rFonts w:ascii="Times New Roman" w:eastAsia="Times New Roman" w:hAnsi="Times New Roman"/>
                <w:color w:val="333333"/>
                <w:sz w:val="24"/>
                <w:szCs w:val="24"/>
                <w:lang w:val="uk-UA" w:eastAsia="uk-UA"/>
              </w:rPr>
              <w:t>виробничі інвестиції з прибутку -</w:t>
            </w:r>
            <w:r w:rsidR="008F65B0">
              <w:rPr>
                <w:rFonts w:ascii="Times New Roman" w:eastAsia="Times New Roman" w:hAnsi="Times New Roman"/>
                <w:color w:val="333333"/>
                <w:sz w:val="24"/>
                <w:szCs w:val="24"/>
                <w:lang w:val="uk-UA" w:eastAsia="uk-UA"/>
              </w:rPr>
              <w:t xml:space="preserve"> </w:t>
            </w:r>
            <w:r w:rsidRPr="0079498B">
              <w:rPr>
                <w:rFonts w:ascii="Times New Roman" w:eastAsia="Times New Roman" w:hAnsi="Times New Roman"/>
                <w:color w:val="333333"/>
                <w:sz w:val="24"/>
                <w:szCs w:val="24"/>
                <w:lang w:val="uk-UA" w:eastAsia="uk-UA"/>
              </w:rPr>
              <w:t xml:space="preserve">певна частка прибутку, що утворюється від господарської діяльності ліцензіата (у тому числі за рахунок досягнутих економічних ефектів після реалізації </w:t>
            </w:r>
            <w:r w:rsidRPr="004055E2">
              <w:rPr>
                <w:rFonts w:ascii="Times New Roman" w:eastAsia="Times New Roman" w:hAnsi="Times New Roman"/>
                <w:color w:val="333333"/>
                <w:sz w:val="24"/>
                <w:szCs w:val="24"/>
                <w:lang w:val="uk-UA" w:eastAsia="uk-UA"/>
              </w:rPr>
              <w:t>інвестиційної програми)</w:t>
            </w:r>
            <w:r w:rsidRPr="0079498B">
              <w:rPr>
                <w:rFonts w:ascii="Times New Roman" w:eastAsia="Times New Roman" w:hAnsi="Times New Roman"/>
                <w:color w:val="333333"/>
                <w:sz w:val="24"/>
                <w:szCs w:val="24"/>
                <w:lang w:val="uk-UA" w:eastAsia="uk-UA"/>
              </w:rPr>
              <w:t xml:space="preserve"> та направляється для фінансування заходів ІП та ПР, спрямованих на розвиток виробництва;</w:t>
            </w:r>
            <w:bookmarkStart w:id="5" w:name="n372"/>
            <w:bookmarkStart w:id="6" w:name="n369"/>
            <w:bookmarkStart w:id="7" w:name="n411"/>
            <w:bookmarkStart w:id="8" w:name="n380"/>
            <w:bookmarkStart w:id="9" w:name="n199"/>
            <w:bookmarkStart w:id="10" w:name="n200"/>
            <w:bookmarkEnd w:id="5"/>
            <w:bookmarkEnd w:id="6"/>
            <w:bookmarkEnd w:id="7"/>
            <w:bookmarkEnd w:id="8"/>
            <w:bookmarkEnd w:id="9"/>
            <w:bookmarkEnd w:id="10"/>
          </w:p>
          <w:p w:rsidR="00E20320" w:rsidRDefault="00E20320" w:rsidP="009B2637">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lastRenderedPageBreak/>
              <w:t>…</w:t>
            </w:r>
          </w:p>
          <w:p w:rsidR="00E20320" w:rsidRPr="00E20320" w:rsidRDefault="00E20320" w:rsidP="009B2637">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E20320">
              <w:rPr>
                <w:rFonts w:ascii="Times New Roman" w:eastAsia="Times New Roman" w:hAnsi="Times New Roman"/>
                <w:color w:val="333333"/>
                <w:sz w:val="24"/>
                <w:szCs w:val="24"/>
                <w:lang w:val="uk-UA" w:eastAsia="uk-UA"/>
              </w:rPr>
              <w:t>Інші терміни в цьому Порядку вживаються у значеннях, наведених у законах України «Про питну воду, питне водопостачання та водовідведення», «Про Національну комісію, що здійснює державне регулювання у сферах енергетики та комунальних послуг» та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затвердженому постановою Кабінету Міністрів України від 27 січня 2016 року № 70.</w:t>
            </w:r>
          </w:p>
        </w:tc>
        <w:tc>
          <w:tcPr>
            <w:tcW w:w="7676" w:type="dxa"/>
            <w:shd w:val="clear" w:color="auto" w:fill="auto"/>
          </w:tcPr>
          <w:p w:rsidR="000A56F5" w:rsidRPr="00735906" w:rsidRDefault="000A56F5" w:rsidP="003246E3">
            <w:pPr>
              <w:shd w:val="clear" w:color="auto" w:fill="FFFFFF"/>
              <w:spacing w:after="0" w:line="240" w:lineRule="auto"/>
              <w:jc w:val="center"/>
              <w:rPr>
                <w:rFonts w:ascii="Times New Roman" w:eastAsia="Times New Roman" w:hAnsi="Times New Roman"/>
                <w:b/>
                <w:bCs/>
                <w:color w:val="333333"/>
                <w:sz w:val="6"/>
                <w:szCs w:val="6"/>
                <w:lang w:val="uk-UA" w:eastAsia="uk-UA"/>
              </w:rPr>
            </w:pPr>
          </w:p>
          <w:p w:rsidR="00F33F62" w:rsidRPr="00421441" w:rsidRDefault="00F33F62" w:rsidP="003246E3">
            <w:pPr>
              <w:shd w:val="clear" w:color="auto" w:fill="FFFFFF"/>
              <w:spacing w:after="0" w:line="240" w:lineRule="auto"/>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b/>
                <w:bCs/>
                <w:color w:val="333333"/>
                <w:sz w:val="24"/>
                <w:szCs w:val="24"/>
                <w:lang w:val="uk-UA" w:eastAsia="uk-UA"/>
              </w:rPr>
              <w:t>1. Загальні положення</w:t>
            </w:r>
          </w:p>
          <w:p w:rsidR="00ED4426" w:rsidRDefault="00ED442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30DEC">
              <w:rPr>
                <w:rFonts w:ascii="Times New Roman" w:eastAsia="Times New Roman" w:hAnsi="Times New Roman"/>
                <w:color w:val="333333"/>
                <w:sz w:val="24"/>
                <w:szCs w:val="24"/>
                <w:lang w:val="uk-UA" w:eastAsia="uk-UA"/>
              </w:rPr>
              <w:t>1.</w:t>
            </w:r>
            <w:r>
              <w:rPr>
                <w:rFonts w:ascii="Times New Roman" w:eastAsia="Times New Roman" w:hAnsi="Times New Roman"/>
                <w:color w:val="333333"/>
                <w:sz w:val="24"/>
                <w:szCs w:val="24"/>
                <w:lang w:val="uk-UA" w:eastAsia="uk-UA"/>
              </w:rPr>
              <w:t>1</w:t>
            </w:r>
            <w:r w:rsidRPr="00B30DEC">
              <w:rPr>
                <w:rFonts w:ascii="Times New Roman" w:eastAsia="Times New Roman" w:hAnsi="Times New Roman"/>
                <w:color w:val="333333"/>
                <w:sz w:val="24"/>
                <w:szCs w:val="24"/>
                <w:lang w:val="uk-UA" w:eastAsia="uk-UA"/>
              </w:rPr>
              <w:t xml:space="preserve">. </w:t>
            </w:r>
            <w:r w:rsidRPr="00675765">
              <w:rPr>
                <w:rFonts w:ascii="Times New Roman" w:eastAsia="Times New Roman" w:hAnsi="Times New Roman"/>
                <w:color w:val="333333"/>
                <w:sz w:val="24"/>
                <w:szCs w:val="24"/>
                <w:lang w:val="uk-UA" w:eastAsia="uk-UA"/>
              </w:rPr>
              <w:t>Цей Порядок установлює механізм розроблення, затвердження, погодження, схвалення та підтвердження виконання інвестиційних програм</w:t>
            </w:r>
            <w:r>
              <w:rPr>
                <w:rFonts w:ascii="Times New Roman" w:eastAsia="Times New Roman" w:hAnsi="Times New Roman"/>
                <w:color w:val="333333"/>
                <w:sz w:val="24"/>
                <w:szCs w:val="24"/>
                <w:lang w:val="uk-UA" w:eastAsia="uk-UA"/>
              </w:rPr>
              <w:t xml:space="preserve"> </w:t>
            </w:r>
            <w:r w:rsidRPr="004055E2">
              <w:rPr>
                <w:rFonts w:ascii="Times New Roman" w:eastAsia="Times New Roman" w:hAnsi="Times New Roman"/>
                <w:b/>
                <w:i/>
                <w:color w:val="333333"/>
                <w:sz w:val="24"/>
                <w:szCs w:val="24"/>
                <w:lang w:val="uk-UA" w:eastAsia="uk-UA"/>
              </w:rPr>
              <w:t>(</w:t>
            </w:r>
            <w:r w:rsidRPr="004055E2">
              <w:rPr>
                <w:rFonts w:ascii="Times New Roman" w:eastAsia="Times New Roman" w:hAnsi="Times New Roman"/>
                <w:b/>
                <w:bCs/>
                <w:i/>
                <w:color w:val="333333"/>
                <w:sz w:val="24"/>
                <w:szCs w:val="24"/>
                <w:lang w:val="uk-UA" w:eastAsia="uk-UA"/>
              </w:rPr>
              <w:t>інвестиційних проектів)</w:t>
            </w:r>
            <w:r w:rsidRPr="00675765">
              <w:rPr>
                <w:rFonts w:ascii="Times New Roman" w:eastAsia="Times New Roman" w:hAnsi="Times New Roman"/>
                <w:color w:val="333333"/>
                <w:sz w:val="24"/>
                <w:szCs w:val="24"/>
                <w:lang w:val="uk-UA" w:eastAsia="uk-UA"/>
              </w:rPr>
              <w:t xml:space="preserve"> (далі - ІП) та планів розвитку систем централізованого водопостачання та централізованого водовідведення (далі - ПР) суб’єктів господарювання у сфері централізованого водопостачання та централізованого водовідведення з метою визначення обґрунтованості запланованих ними капіталовкладень та/або повернення коштів за кредитними угодами, узгодженими Національною комісією, що здійснює державне регулювання у сферах енергетики та комунальних послуг (далі - НКРЕКП), або взятих під державні гарантії, у тому числі до моменту затвердження цього Порядку, на виконання </w:t>
            </w:r>
            <w:r w:rsidRPr="001B6D52">
              <w:rPr>
                <w:rFonts w:ascii="Times New Roman" w:eastAsia="Times New Roman" w:hAnsi="Times New Roman"/>
                <w:color w:val="333333"/>
                <w:sz w:val="24"/>
                <w:szCs w:val="24"/>
                <w:lang w:val="uk-UA" w:eastAsia="uk-UA"/>
              </w:rPr>
              <w:t>інвестиційн</w:t>
            </w:r>
            <w:r w:rsidR="001B6D52" w:rsidRPr="001B6D52">
              <w:rPr>
                <w:rFonts w:ascii="Times New Roman" w:eastAsia="Times New Roman" w:hAnsi="Times New Roman"/>
                <w:color w:val="333333"/>
                <w:sz w:val="24"/>
                <w:szCs w:val="24"/>
                <w:lang w:val="uk-UA" w:eastAsia="uk-UA"/>
              </w:rPr>
              <w:t>их</w:t>
            </w:r>
            <w:r w:rsidRPr="001B6D52">
              <w:rPr>
                <w:rFonts w:ascii="Times New Roman" w:eastAsia="Times New Roman" w:hAnsi="Times New Roman"/>
                <w:color w:val="333333"/>
                <w:sz w:val="24"/>
                <w:szCs w:val="24"/>
                <w:lang w:val="uk-UA" w:eastAsia="uk-UA"/>
              </w:rPr>
              <w:t xml:space="preserve"> </w:t>
            </w:r>
            <w:r w:rsidR="001B6D52" w:rsidRPr="001B6D52">
              <w:rPr>
                <w:rFonts w:ascii="Times New Roman" w:eastAsia="Times New Roman" w:hAnsi="Times New Roman"/>
                <w:color w:val="333333"/>
                <w:sz w:val="24"/>
                <w:szCs w:val="24"/>
                <w:lang w:val="uk-UA" w:eastAsia="uk-UA"/>
              </w:rPr>
              <w:t>заходів</w:t>
            </w:r>
            <w:r w:rsidRPr="001B6D52">
              <w:rPr>
                <w:rFonts w:ascii="Times New Roman" w:eastAsia="Times New Roman" w:hAnsi="Times New Roman"/>
                <w:color w:val="333333"/>
                <w:sz w:val="24"/>
                <w:szCs w:val="24"/>
                <w:lang w:val="uk-UA" w:eastAsia="uk-UA"/>
              </w:rPr>
              <w:t>,</w:t>
            </w:r>
            <w:r w:rsidRPr="00675765">
              <w:rPr>
                <w:rFonts w:ascii="Times New Roman" w:eastAsia="Times New Roman" w:hAnsi="Times New Roman"/>
                <w:color w:val="333333"/>
                <w:sz w:val="24"/>
                <w:szCs w:val="24"/>
                <w:lang w:val="uk-UA" w:eastAsia="uk-UA"/>
              </w:rPr>
              <w:t xml:space="preserve"> що враховуються в тарифах на централізоване водопостачання та/або централізоване водовідведення, та інших залучених коштів, а також забезпечення цільового використання коштів цими суб’єктами.</w:t>
            </w:r>
          </w:p>
          <w:p w:rsidR="00B30DEC" w:rsidRPr="00B30DEC" w:rsidRDefault="00B30DE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B30DEC" w:rsidRPr="00B30DEC" w:rsidRDefault="00B30DE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30DEC">
              <w:rPr>
                <w:rFonts w:ascii="Times New Roman" w:eastAsia="Times New Roman" w:hAnsi="Times New Roman"/>
                <w:color w:val="333333"/>
                <w:sz w:val="24"/>
                <w:szCs w:val="24"/>
                <w:lang w:val="uk-UA" w:eastAsia="uk-UA"/>
              </w:rPr>
              <w:t>1.3. У цьому Порядку терміни вживаються в таких значеннях:</w:t>
            </w:r>
          </w:p>
          <w:p w:rsidR="00B30DEC" w:rsidRPr="00B30DEC" w:rsidRDefault="00B30DE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9B2637" w:rsidRDefault="0079498B" w:rsidP="009F089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9498B">
              <w:rPr>
                <w:rFonts w:ascii="Times New Roman" w:eastAsia="Times New Roman" w:hAnsi="Times New Roman"/>
                <w:color w:val="333333"/>
                <w:sz w:val="24"/>
                <w:szCs w:val="24"/>
                <w:lang w:val="uk-UA" w:eastAsia="uk-UA"/>
              </w:rPr>
              <w:t>виробничі інвестиції з прибутку -</w:t>
            </w:r>
            <w:r w:rsidR="008F65B0">
              <w:rPr>
                <w:rFonts w:ascii="Times New Roman" w:eastAsia="Times New Roman" w:hAnsi="Times New Roman"/>
                <w:color w:val="333333"/>
                <w:sz w:val="24"/>
                <w:szCs w:val="24"/>
                <w:lang w:val="uk-UA" w:eastAsia="uk-UA"/>
              </w:rPr>
              <w:t xml:space="preserve"> </w:t>
            </w:r>
            <w:r w:rsidRPr="0079498B">
              <w:rPr>
                <w:rFonts w:ascii="Times New Roman" w:eastAsia="Times New Roman" w:hAnsi="Times New Roman"/>
                <w:color w:val="333333"/>
                <w:sz w:val="24"/>
                <w:szCs w:val="24"/>
                <w:lang w:val="uk-UA" w:eastAsia="uk-UA"/>
              </w:rPr>
              <w:t>певна частка прибутку, що утворюється від господарської діяльності ліцензіата (у тому числі за рахунок досягнутих економічних ефектів після реалізації інвестиційної програми</w:t>
            </w:r>
            <w:r>
              <w:rPr>
                <w:rFonts w:ascii="Times New Roman" w:eastAsia="Times New Roman" w:hAnsi="Times New Roman"/>
                <w:color w:val="333333"/>
                <w:sz w:val="24"/>
                <w:szCs w:val="24"/>
                <w:lang w:val="uk-UA" w:eastAsia="uk-UA"/>
              </w:rPr>
              <w:t xml:space="preserve"> </w:t>
            </w:r>
            <w:r w:rsidRPr="004055E2">
              <w:rPr>
                <w:rFonts w:ascii="Times New Roman" w:eastAsia="Times New Roman" w:hAnsi="Times New Roman"/>
                <w:b/>
                <w:i/>
                <w:color w:val="333333"/>
                <w:sz w:val="24"/>
                <w:szCs w:val="24"/>
                <w:lang w:val="uk-UA" w:eastAsia="uk-UA"/>
              </w:rPr>
              <w:t>(інвестиційного проекту)</w:t>
            </w:r>
            <w:r w:rsidRPr="00C8287C">
              <w:rPr>
                <w:rFonts w:ascii="Times New Roman" w:eastAsia="Times New Roman" w:hAnsi="Times New Roman"/>
                <w:color w:val="333333"/>
                <w:sz w:val="24"/>
                <w:szCs w:val="24"/>
                <w:lang w:val="uk-UA" w:eastAsia="uk-UA"/>
              </w:rPr>
              <w:t>)</w:t>
            </w:r>
            <w:r w:rsidRPr="0079498B">
              <w:rPr>
                <w:rFonts w:ascii="Times New Roman" w:eastAsia="Times New Roman" w:hAnsi="Times New Roman"/>
                <w:color w:val="333333"/>
                <w:sz w:val="24"/>
                <w:szCs w:val="24"/>
                <w:lang w:val="uk-UA" w:eastAsia="uk-UA"/>
              </w:rPr>
              <w:t xml:space="preserve"> та направляється для фінансування заходів ІП та ПР, спря</w:t>
            </w:r>
            <w:r w:rsidR="009F089E">
              <w:rPr>
                <w:rFonts w:ascii="Times New Roman" w:eastAsia="Times New Roman" w:hAnsi="Times New Roman"/>
                <w:color w:val="333333"/>
                <w:sz w:val="24"/>
                <w:szCs w:val="24"/>
                <w:lang w:val="uk-UA" w:eastAsia="uk-UA"/>
              </w:rPr>
              <w:t>мованих на розвиток виробництва;</w:t>
            </w:r>
          </w:p>
          <w:p w:rsidR="00E20320" w:rsidRDefault="00E20320" w:rsidP="009F089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lastRenderedPageBreak/>
              <w:t>…</w:t>
            </w:r>
          </w:p>
          <w:p w:rsidR="00E20320" w:rsidRPr="009F089E" w:rsidRDefault="00E20320" w:rsidP="009F089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E20320">
              <w:rPr>
                <w:rFonts w:ascii="Times New Roman" w:eastAsia="Times New Roman" w:hAnsi="Times New Roman"/>
                <w:color w:val="333333"/>
                <w:sz w:val="24"/>
                <w:szCs w:val="24"/>
                <w:lang w:val="uk-UA" w:eastAsia="uk-UA"/>
              </w:rPr>
              <w:t>Інші терміни в цьому Порядку вживаються у значеннях, наведених у з</w:t>
            </w:r>
            <w:r>
              <w:rPr>
                <w:rFonts w:ascii="Times New Roman" w:eastAsia="Times New Roman" w:hAnsi="Times New Roman"/>
                <w:color w:val="333333"/>
                <w:sz w:val="24"/>
                <w:szCs w:val="24"/>
                <w:lang w:val="uk-UA" w:eastAsia="uk-UA"/>
              </w:rPr>
              <w:t>аконах України «</w:t>
            </w:r>
            <w:r w:rsidRPr="00E20320">
              <w:rPr>
                <w:rFonts w:ascii="Times New Roman" w:eastAsia="Times New Roman" w:hAnsi="Times New Roman"/>
                <w:b/>
                <w:i/>
                <w:color w:val="333333"/>
                <w:sz w:val="24"/>
                <w:szCs w:val="24"/>
                <w:lang w:val="uk-UA" w:eastAsia="uk-UA"/>
              </w:rPr>
              <w:t xml:space="preserve">Про питну воду та </w:t>
            </w:r>
            <w:r w:rsidRPr="00E20320">
              <w:rPr>
                <w:rFonts w:ascii="Times New Roman" w:eastAsia="Times New Roman" w:hAnsi="Times New Roman"/>
                <w:b/>
                <w:i/>
                <w:color w:val="333333"/>
                <w:sz w:val="24"/>
                <w:szCs w:val="24"/>
                <w:lang w:val="uk-UA" w:eastAsia="uk-UA"/>
              </w:rPr>
              <w:t xml:space="preserve">питне </w:t>
            </w:r>
            <w:r w:rsidRPr="00E20320">
              <w:rPr>
                <w:rFonts w:ascii="Times New Roman" w:eastAsia="Times New Roman" w:hAnsi="Times New Roman"/>
                <w:b/>
                <w:i/>
                <w:color w:val="333333"/>
                <w:sz w:val="24"/>
                <w:szCs w:val="24"/>
                <w:lang w:val="uk-UA" w:eastAsia="uk-UA"/>
              </w:rPr>
              <w:t>водопостачання</w:t>
            </w:r>
            <w:r w:rsidRPr="00E20320">
              <w:rPr>
                <w:rFonts w:ascii="Times New Roman" w:eastAsia="Times New Roman" w:hAnsi="Times New Roman"/>
                <w:color w:val="333333"/>
                <w:sz w:val="24"/>
                <w:szCs w:val="24"/>
                <w:lang w:val="uk-UA" w:eastAsia="uk-UA"/>
              </w:rPr>
              <w:t>», «Про Національну комісію, що здійснює державне регулювання у сферах енергетики та комунальних послуг» та Порядку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затвердженому постановою Кабінету Міністрів України від 27 січня 2016 року № 70.</w:t>
            </w:r>
          </w:p>
        </w:tc>
      </w:tr>
      <w:tr w:rsidR="002E54B5" w:rsidRPr="008F65B0" w:rsidTr="006327AF">
        <w:tc>
          <w:tcPr>
            <w:tcW w:w="7676" w:type="dxa"/>
            <w:shd w:val="clear" w:color="auto" w:fill="auto"/>
          </w:tcPr>
          <w:p w:rsidR="00722D93"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57426A">
              <w:rPr>
                <w:rFonts w:ascii="Times New Roman" w:eastAsia="Times New Roman" w:hAnsi="Times New Roman"/>
                <w:b/>
                <w:bCs/>
                <w:color w:val="333333"/>
                <w:sz w:val="24"/>
                <w:szCs w:val="24"/>
                <w:lang w:val="uk-UA" w:eastAsia="uk-UA"/>
              </w:rPr>
              <w:lastRenderedPageBreak/>
              <w:t xml:space="preserve">2. </w:t>
            </w:r>
            <w:r w:rsidR="009B2637" w:rsidRPr="009B2637">
              <w:rPr>
                <w:rFonts w:ascii="Times New Roman" w:eastAsia="Times New Roman" w:hAnsi="Times New Roman"/>
                <w:b/>
                <w:bCs/>
                <w:color w:val="333333"/>
                <w:sz w:val="24"/>
                <w:szCs w:val="24"/>
                <w:lang w:val="uk-UA" w:eastAsia="uk-UA"/>
              </w:rPr>
              <w:t>Розроблення планів розвитку, інвестиційних програм</w:t>
            </w:r>
          </w:p>
          <w:p w:rsidR="009B2637" w:rsidRDefault="009B263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722D93" w:rsidRPr="00B468F7" w:rsidRDefault="00722D9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1" w:name="n418"/>
            <w:bookmarkStart w:id="12" w:name="n230"/>
            <w:bookmarkEnd w:id="11"/>
            <w:bookmarkEnd w:id="12"/>
            <w:r w:rsidRPr="00722D93">
              <w:rPr>
                <w:rFonts w:ascii="Times New Roman" w:eastAsia="Times New Roman" w:hAnsi="Times New Roman"/>
                <w:color w:val="333333"/>
                <w:sz w:val="24"/>
                <w:szCs w:val="24"/>
                <w:lang w:val="uk-UA" w:eastAsia="uk-UA"/>
              </w:rPr>
              <w:t>2.</w:t>
            </w:r>
            <w:r w:rsidR="002620CB">
              <w:rPr>
                <w:rFonts w:ascii="Times New Roman" w:eastAsia="Times New Roman" w:hAnsi="Times New Roman"/>
                <w:color w:val="333333"/>
                <w:sz w:val="24"/>
                <w:szCs w:val="24"/>
                <w:lang w:val="uk-UA" w:eastAsia="uk-UA"/>
              </w:rPr>
              <w:t>2</w:t>
            </w:r>
            <w:r w:rsidRPr="00722D93">
              <w:rPr>
                <w:rFonts w:ascii="Times New Roman" w:eastAsia="Times New Roman" w:hAnsi="Times New Roman"/>
                <w:color w:val="333333"/>
                <w:sz w:val="24"/>
                <w:szCs w:val="24"/>
                <w:lang w:val="uk-UA" w:eastAsia="uk-UA"/>
              </w:rPr>
              <w:t xml:space="preserve">. </w:t>
            </w:r>
            <w:r w:rsidR="002620CB" w:rsidRPr="002620CB">
              <w:rPr>
                <w:rFonts w:ascii="Times New Roman" w:eastAsia="Times New Roman" w:hAnsi="Times New Roman"/>
                <w:color w:val="333333"/>
                <w:sz w:val="24"/>
                <w:szCs w:val="24"/>
                <w:lang w:val="uk-UA" w:eastAsia="uk-UA"/>
              </w:rPr>
              <w:t>ПР формується відповідно до вимог цього Порядку із зазначенням обсягів та джерел фінансування заходів (без урахування ПДВ) і має містити:</w:t>
            </w:r>
          </w:p>
          <w:p w:rsidR="002620CB" w:rsidRDefault="002620C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2620CB" w:rsidRDefault="002620C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2620CB">
              <w:rPr>
                <w:rFonts w:ascii="Times New Roman" w:eastAsia="Times New Roman" w:hAnsi="Times New Roman"/>
                <w:color w:val="333333"/>
                <w:sz w:val="24"/>
                <w:szCs w:val="24"/>
                <w:lang w:val="uk-UA" w:eastAsia="uk-UA"/>
              </w:rPr>
              <w:t xml:space="preserve">4) план розвитку (фінансовий план довгострокової </w:t>
            </w:r>
            <w:r w:rsidRPr="004055E2">
              <w:rPr>
                <w:rFonts w:ascii="Times New Roman" w:eastAsia="Times New Roman" w:hAnsi="Times New Roman"/>
                <w:color w:val="333333"/>
                <w:sz w:val="24"/>
                <w:szCs w:val="24"/>
                <w:lang w:val="uk-UA" w:eastAsia="uk-UA"/>
              </w:rPr>
              <w:t>інвестиційної програми</w:t>
            </w:r>
            <w:r w:rsidRPr="002620CB">
              <w:rPr>
                <w:rFonts w:ascii="Times New Roman" w:eastAsia="Times New Roman" w:hAnsi="Times New Roman"/>
                <w:color w:val="333333"/>
                <w:sz w:val="24"/>
                <w:szCs w:val="24"/>
                <w:lang w:val="uk-UA" w:eastAsia="uk-UA"/>
              </w:rPr>
              <w:t>) (додаток 4);</w:t>
            </w:r>
          </w:p>
          <w:p w:rsidR="002620CB" w:rsidRDefault="009C057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9C057A" w:rsidRPr="009C057A" w:rsidRDefault="009C057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2.3. </w:t>
            </w:r>
            <w:r w:rsidRPr="009C057A">
              <w:rPr>
                <w:rFonts w:ascii="Times New Roman" w:eastAsia="Times New Roman" w:hAnsi="Times New Roman"/>
                <w:color w:val="333333"/>
                <w:sz w:val="24"/>
                <w:szCs w:val="24"/>
                <w:lang w:val="uk-UA" w:eastAsia="uk-UA"/>
              </w:rPr>
              <w:t>ІП формується відповідно до вимог цього Порядку із зазначенням обсягів та джерел фінансування заходів (без урахування ПДВ) і має містити:</w:t>
            </w:r>
          </w:p>
          <w:p w:rsidR="009C057A" w:rsidRDefault="009C057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9C057A" w:rsidRDefault="009C057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9C057A">
              <w:rPr>
                <w:rFonts w:ascii="Times New Roman" w:eastAsia="Times New Roman" w:hAnsi="Times New Roman"/>
                <w:color w:val="333333"/>
                <w:sz w:val="24"/>
                <w:szCs w:val="24"/>
                <w:lang w:val="uk-UA" w:eastAsia="uk-UA"/>
              </w:rPr>
              <w:t xml:space="preserve">2) заяву щодо схвалення </w:t>
            </w:r>
            <w:r w:rsidRPr="00933823">
              <w:rPr>
                <w:rFonts w:ascii="Times New Roman" w:eastAsia="Times New Roman" w:hAnsi="Times New Roman"/>
                <w:color w:val="333333"/>
                <w:sz w:val="24"/>
                <w:szCs w:val="24"/>
                <w:lang w:val="uk-UA" w:eastAsia="uk-UA"/>
              </w:rPr>
              <w:t>інвестиційної програми</w:t>
            </w:r>
            <w:r w:rsidRPr="009C057A">
              <w:rPr>
                <w:rFonts w:ascii="Times New Roman" w:eastAsia="Times New Roman" w:hAnsi="Times New Roman"/>
                <w:color w:val="333333"/>
                <w:sz w:val="24"/>
                <w:szCs w:val="24"/>
                <w:lang w:val="uk-UA" w:eastAsia="uk-UA"/>
              </w:rPr>
              <w:t xml:space="preserve"> (додаток 2);</w:t>
            </w:r>
          </w:p>
          <w:p w:rsidR="00883D3B" w:rsidRDefault="00883D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883D3B" w:rsidRDefault="00883D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883D3B" w:rsidRDefault="00883D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883D3B">
              <w:rPr>
                <w:rFonts w:ascii="Times New Roman" w:eastAsia="Times New Roman" w:hAnsi="Times New Roman"/>
                <w:color w:val="333333"/>
                <w:sz w:val="24"/>
                <w:szCs w:val="24"/>
                <w:lang w:val="uk-UA" w:eastAsia="uk-UA"/>
              </w:rPr>
              <w:t xml:space="preserve">4) план розвитку (фінансовий план довгострокової </w:t>
            </w:r>
            <w:r w:rsidRPr="00C8287C">
              <w:rPr>
                <w:rFonts w:ascii="Times New Roman" w:eastAsia="Times New Roman" w:hAnsi="Times New Roman"/>
                <w:color w:val="333333"/>
                <w:sz w:val="24"/>
                <w:szCs w:val="24"/>
                <w:lang w:val="uk-UA" w:eastAsia="uk-UA"/>
              </w:rPr>
              <w:t>інвестиційної програми)</w:t>
            </w:r>
            <w:r w:rsidRPr="00883D3B">
              <w:rPr>
                <w:rFonts w:ascii="Times New Roman" w:eastAsia="Times New Roman" w:hAnsi="Times New Roman"/>
                <w:color w:val="333333"/>
                <w:sz w:val="24"/>
                <w:szCs w:val="24"/>
                <w:lang w:val="uk-UA" w:eastAsia="uk-UA"/>
              </w:rPr>
              <w:t xml:space="preserve"> (додаток 4);</w:t>
            </w:r>
          </w:p>
          <w:p w:rsidR="006118D4" w:rsidRDefault="006118D4"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118D4" w:rsidRDefault="00C8287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8) </w:t>
            </w:r>
            <w:r w:rsidRPr="00C8287C">
              <w:rPr>
                <w:rFonts w:ascii="Times New Roman" w:eastAsia="Times New Roman" w:hAnsi="Times New Roman"/>
                <w:color w:val="333333"/>
                <w:sz w:val="24"/>
                <w:szCs w:val="24"/>
                <w:lang w:val="uk-UA" w:eastAsia="uk-UA"/>
              </w:rPr>
              <w:t>опис заходів річного інвестиційного плану використання коштів у першому році ПР, який має містити:</w:t>
            </w:r>
          </w:p>
          <w:p w:rsidR="006118D4" w:rsidRDefault="006118D4"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C121AF" w:rsidRPr="00E65FFF" w:rsidRDefault="00C121AF" w:rsidP="00C121AF">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E65FFF">
              <w:rPr>
                <w:rFonts w:ascii="Times New Roman" w:eastAsia="Times New Roman" w:hAnsi="Times New Roman"/>
                <w:color w:val="333333"/>
                <w:sz w:val="24"/>
                <w:szCs w:val="24"/>
                <w:lang w:val="uk-UA" w:eastAsia="uk-UA"/>
              </w:rPr>
              <w:t xml:space="preserve">визначення строку окупності та економічного ефекту від упровадження заходів (у випадку неможливості -надати обґрунтовані пояснення) з наданням детального розрахунку з посиланнями на конкретні пункти відповідної нормативної документації, довідкової </w:t>
            </w:r>
            <w:r w:rsidRPr="00E65FFF">
              <w:rPr>
                <w:rFonts w:ascii="Times New Roman" w:eastAsia="Times New Roman" w:hAnsi="Times New Roman"/>
                <w:color w:val="333333"/>
                <w:sz w:val="24"/>
                <w:szCs w:val="24"/>
                <w:lang w:val="uk-UA" w:eastAsia="uk-UA"/>
              </w:rPr>
              <w:lastRenderedPageBreak/>
              <w:t>технічної літератури, експлуатаційної документації тощо, а саме визначення економії паливно-енергетичних ресурсів, економічного ефекту (тис. грн), строку окупності (місяців) тощо з використанням даних форм звітності за попередній до базового період, необхідних для їх розрахунків;</w:t>
            </w: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121AF" w:rsidRDefault="00C121AF"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6118D4" w:rsidRDefault="006118D4"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6118D4">
              <w:rPr>
                <w:rFonts w:ascii="Times New Roman" w:eastAsia="Times New Roman" w:hAnsi="Times New Roman"/>
                <w:color w:val="333333"/>
                <w:sz w:val="24"/>
                <w:szCs w:val="24"/>
                <w:lang w:val="uk-UA" w:eastAsia="uk-UA"/>
              </w:rPr>
              <w:t xml:space="preserve">обґрунтування вартості запланованих заходів, матеріальних ресурсів тощо з наданням комерційних пропозицій (не менше двох), у яких мають бути вказані обрані цінові пропозиції та у разі зазначення вартості в іноземній валюті курс обміну з прив’язкою до дати, єдиної для всієї </w:t>
            </w:r>
            <w:r w:rsidRPr="00C8287C">
              <w:rPr>
                <w:rFonts w:ascii="Times New Roman" w:eastAsia="Times New Roman" w:hAnsi="Times New Roman"/>
                <w:color w:val="333333"/>
                <w:sz w:val="24"/>
                <w:szCs w:val="24"/>
                <w:lang w:val="uk-UA" w:eastAsia="uk-UA"/>
              </w:rPr>
              <w:t>інвестиційної програми</w:t>
            </w:r>
            <w:r w:rsidRPr="006118D4">
              <w:rPr>
                <w:rFonts w:ascii="Times New Roman" w:eastAsia="Times New Roman" w:hAnsi="Times New Roman"/>
                <w:color w:val="333333"/>
                <w:sz w:val="24"/>
                <w:szCs w:val="24"/>
                <w:lang w:val="uk-UA" w:eastAsia="uk-UA"/>
              </w:rPr>
              <w:t xml:space="preserve">, загальною вартістю однотипного обладнання та/або матеріалів за </w:t>
            </w:r>
            <w:r w:rsidRPr="00C8287C">
              <w:rPr>
                <w:rFonts w:ascii="Times New Roman" w:eastAsia="Times New Roman" w:hAnsi="Times New Roman"/>
                <w:color w:val="333333"/>
                <w:sz w:val="24"/>
                <w:szCs w:val="24"/>
                <w:lang w:val="uk-UA" w:eastAsia="uk-UA"/>
              </w:rPr>
              <w:t>інвестиційною програмою</w:t>
            </w:r>
            <w:r w:rsidRPr="006118D4">
              <w:rPr>
                <w:rFonts w:ascii="Times New Roman" w:eastAsia="Times New Roman" w:hAnsi="Times New Roman"/>
                <w:color w:val="333333"/>
                <w:sz w:val="24"/>
                <w:szCs w:val="24"/>
                <w:lang w:val="uk-UA" w:eastAsia="uk-UA"/>
              </w:rPr>
              <w:t xml:space="preserve"> більше 20 тис. грн (без ПДВ) (у разі наявності єдиного заводу-виробника ліцензіат має надати відповідне обґрунтування). Пропозиції повинні містити дані щодо комплектації обладнання, бути засвідчені належним чином (дата, підпис тощо) та містити реквізити постачальника обладнання (матеріалів). Такі матеріали повинні бути узагальнені та надані в табличному вигляді;</w:t>
            </w:r>
          </w:p>
          <w:p w:rsidR="008F6B24" w:rsidRDefault="008F6B24"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E466F4" w:rsidRDefault="00E466F4" w:rsidP="00E466F4">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bookmarkStart w:id="13" w:name="_GoBack"/>
            <w:bookmarkEnd w:id="13"/>
          </w:p>
          <w:p w:rsidR="009C2C49" w:rsidRDefault="000A567E" w:rsidP="00E466F4">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E466F4" w:rsidRDefault="000A567E"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0A567E">
              <w:rPr>
                <w:rFonts w:ascii="Times New Roman" w:eastAsia="Times New Roman" w:hAnsi="Times New Roman"/>
                <w:color w:val="333333"/>
                <w:sz w:val="24"/>
                <w:szCs w:val="24"/>
                <w:lang w:val="uk-UA" w:eastAsia="uk-UA"/>
              </w:rPr>
              <w:t xml:space="preserve">затверджений в установленому порядку зведений кошторисний розрахунок вартості будівництва об’єкта, спорудження якого </w:t>
            </w:r>
            <w:r w:rsidRPr="000A567E">
              <w:rPr>
                <w:rFonts w:ascii="Times New Roman" w:eastAsia="Times New Roman" w:hAnsi="Times New Roman"/>
                <w:color w:val="333333"/>
                <w:sz w:val="24"/>
                <w:szCs w:val="24"/>
                <w:lang w:val="uk-UA" w:eastAsia="uk-UA"/>
              </w:rPr>
              <w:lastRenderedPageBreak/>
              <w:t xml:space="preserve">передбачено </w:t>
            </w:r>
            <w:r w:rsidRPr="0028516B">
              <w:rPr>
                <w:rFonts w:ascii="Times New Roman" w:eastAsia="Times New Roman" w:hAnsi="Times New Roman"/>
                <w:color w:val="333333"/>
                <w:sz w:val="24"/>
                <w:szCs w:val="24"/>
                <w:lang w:val="uk-UA" w:eastAsia="uk-UA"/>
              </w:rPr>
              <w:t>інвестиційною програмою</w:t>
            </w:r>
            <w:r w:rsidRPr="000A567E">
              <w:rPr>
                <w:rFonts w:ascii="Times New Roman" w:eastAsia="Times New Roman" w:hAnsi="Times New Roman"/>
                <w:color w:val="333333"/>
                <w:sz w:val="24"/>
                <w:szCs w:val="24"/>
                <w:lang w:val="uk-UA" w:eastAsia="uk-UA"/>
              </w:rPr>
              <w:t xml:space="preserve"> на планований період, відомості ресурсів до нього, а також локальний кошторис;</w:t>
            </w:r>
          </w:p>
          <w:p w:rsidR="000A567E" w:rsidRDefault="00E22EE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8F6B24" w:rsidRDefault="008F6B24"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2.7. </w:t>
            </w:r>
            <w:r w:rsidRPr="008F6B24">
              <w:rPr>
                <w:rFonts w:ascii="Times New Roman" w:eastAsia="Times New Roman" w:hAnsi="Times New Roman"/>
                <w:color w:val="333333"/>
                <w:sz w:val="24"/>
                <w:szCs w:val="24"/>
                <w:lang w:val="uk-UA" w:eastAsia="uk-UA"/>
              </w:rPr>
              <w:t xml:space="preserve">Планування заходів ІП та річного інвестиційного плану використання коштів у першому році ПР у першу чергу базується на заходах, передбачених актуальною (за строками) схемою оптимізації роботи систем ЦВВ, та результативних показниках. При цьому заходи </w:t>
            </w:r>
            <w:r w:rsidRPr="00793EF4">
              <w:rPr>
                <w:rFonts w:ascii="Times New Roman" w:eastAsia="Times New Roman" w:hAnsi="Times New Roman"/>
                <w:color w:val="333333"/>
                <w:sz w:val="24"/>
                <w:szCs w:val="24"/>
                <w:lang w:val="uk-UA" w:eastAsia="uk-UA"/>
              </w:rPr>
              <w:t>інвестиційної програми</w:t>
            </w:r>
            <w:r w:rsidRPr="008F6B24">
              <w:rPr>
                <w:rFonts w:ascii="Times New Roman" w:eastAsia="Times New Roman" w:hAnsi="Times New Roman"/>
                <w:color w:val="333333"/>
                <w:sz w:val="24"/>
                <w:szCs w:val="24"/>
                <w:lang w:val="uk-UA" w:eastAsia="uk-UA"/>
              </w:rPr>
              <w:t xml:space="preserve"> можуть конкретизувати і уточнювати заходи, передбачені схемою оптимізації.</w:t>
            </w:r>
          </w:p>
          <w:p w:rsidR="00A77202" w:rsidRDefault="00A77202"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793EF4" w:rsidRDefault="00A77202"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2.11. </w:t>
            </w:r>
          </w:p>
          <w:p w:rsidR="00A77202" w:rsidRDefault="00A77202"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3B0A8E" w:rsidRDefault="00A77202" w:rsidP="00622510">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A77202">
              <w:rPr>
                <w:rFonts w:ascii="Times New Roman" w:eastAsia="Times New Roman" w:hAnsi="Times New Roman"/>
                <w:color w:val="333333"/>
                <w:sz w:val="24"/>
                <w:szCs w:val="24"/>
                <w:lang w:val="uk-UA" w:eastAsia="uk-UA"/>
              </w:rPr>
              <w:t xml:space="preserve">У засобах масової інформації за місцем виконання </w:t>
            </w:r>
            <w:r w:rsidRPr="00793EF4">
              <w:rPr>
                <w:rFonts w:ascii="Times New Roman" w:eastAsia="Times New Roman" w:hAnsi="Times New Roman"/>
                <w:color w:val="333333"/>
                <w:sz w:val="24"/>
                <w:szCs w:val="24"/>
                <w:lang w:val="uk-UA" w:eastAsia="uk-UA"/>
              </w:rPr>
              <w:t xml:space="preserve">інвестиційної програми </w:t>
            </w:r>
            <w:r w:rsidRPr="00A77202">
              <w:rPr>
                <w:rFonts w:ascii="Times New Roman" w:eastAsia="Times New Roman" w:hAnsi="Times New Roman"/>
                <w:color w:val="333333"/>
                <w:sz w:val="24"/>
                <w:szCs w:val="24"/>
                <w:lang w:val="uk-UA" w:eastAsia="uk-UA"/>
              </w:rPr>
              <w:t xml:space="preserve">розміщуються інформаційне повідомлення про розроблені </w:t>
            </w:r>
            <w:proofErr w:type="spellStart"/>
            <w:r w:rsidRPr="00A77202">
              <w:rPr>
                <w:rFonts w:ascii="Times New Roman" w:eastAsia="Times New Roman" w:hAnsi="Times New Roman"/>
                <w:color w:val="333333"/>
                <w:sz w:val="24"/>
                <w:szCs w:val="24"/>
                <w:lang w:val="uk-UA" w:eastAsia="uk-UA"/>
              </w:rPr>
              <w:t>проєкти</w:t>
            </w:r>
            <w:proofErr w:type="spellEnd"/>
            <w:r w:rsidRPr="00A77202">
              <w:rPr>
                <w:rFonts w:ascii="Times New Roman" w:eastAsia="Times New Roman" w:hAnsi="Times New Roman"/>
                <w:color w:val="333333"/>
                <w:sz w:val="24"/>
                <w:szCs w:val="24"/>
                <w:lang w:val="uk-UA" w:eastAsia="uk-UA"/>
              </w:rPr>
              <w:t xml:space="preserve"> ПР та ІП, інформація про порядок подання до них зауважень та пропозицій.</w:t>
            </w:r>
          </w:p>
          <w:p w:rsidR="00CC049A" w:rsidRPr="003F2314" w:rsidRDefault="00AD5EBD" w:rsidP="00CC049A">
            <w:pPr>
              <w:shd w:val="clear" w:color="auto" w:fill="FFFFFF"/>
              <w:spacing w:after="0" w:line="240" w:lineRule="auto"/>
              <w:ind w:firstLine="450"/>
              <w:jc w:val="both"/>
              <w:rPr>
                <w:rFonts w:ascii="Times New Roman" w:eastAsia="Times New Roman" w:hAnsi="Times New Roman"/>
                <w:color w:val="333333"/>
                <w:sz w:val="24"/>
                <w:szCs w:val="24"/>
                <w:lang w:val="uk-UA"/>
              </w:rPr>
            </w:pPr>
            <w:r>
              <w:rPr>
                <w:rFonts w:ascii="Times New Roman" w:eastAsia="Times New Roman" w:hAnsi="Times New Roman"/>
                <w:color w:val="333333"/>
                <w:sz w:val="24"/>
                <w:szCs w:val="24"/>
                <w:lang w:val="uk-UA"/>
              </w:rPr>
              <w:t>…</w:t>
            </w:r>
          </w:p>
        </w:tc>
        <w:tc>
          <w:tcPr>
            <w:tcW w:w="7676" w:type="dxa"/>
            <w:shd w:val="clear" w:color="auto" w:fill="auto"/>
          </w:tcPr>
          <w:p w:rsidR="00F33F62" w:rsidRPr="00421441" w:rsidRDefault="00F33F62"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lastRenderedPageBreak/>
              <w:t xml:space="preserve">2. </w:t>
            </w:r>
            <w:r w:rsidR="009B2637" w:rsidRPr="009B2637">
              <w:rPr>
                <w:rFonts w:ascii="Times New Roman" w:eastAsia="Times New Roman" w:hAnsi="Times New Roman"/>
                <w:b/>
                <w:bCs/>
                <w:color w:val="333333"/>
                <w:sz w:val="24"/>
                <w:szCs w:val="24"/>
                <w:lang w:val="uk-UA" w:eastAsia="uk-UA"/>
              </w:rPr>
              <w:t>Розроблення планів розвитку, інвестиційних програм</w:t>
            </w:r>
            <w:r w:rsidR="009B2637">
              <w:rPr>
                <w:rFonts w:ascii="Times New Roman" w:eastAsia="Times New Roman" w:hAnsi="Times New Roman"/>
                <w:b/>
                <w:bCs/>
                <w:color w:val="333333"/>
                <w:sz w:val="24"/>
                <w:szCs w:val="24"/>
                <w:lang w:val="uk-UA" w:eastAsia="uk-UA"/>
              </w:rPr>
              <w:t xml:space="preserve"> </w:t>
            </w:r>
            <w:r w:rsidR="009B2637" w:rsidRPr="004055E2">
              <w:rPr>
                <w:rFonts w:ascii="Times New Roman" w:eastAsia="Times New Roman" w:hAnsi="Times New Roman"/>
                <w:b/>
                <w:bCs/>
                <w:i/>
                <w:color w:val="333333"/>
                <w:sz w:val="24"/>
                <w:szCs w:val="24"/>
                <w:lang w:val="uk-UA" w:eastAsia="uk-UA"/>
              </w:rPr>
              <w:t>(інвестиційних проектів)</w:t>
            </w:r>
          </w:p>
          <w:p w:rsidR="000A56F5" w:rsidRPr="000A56F5" w:rsidRDefault="00F33F62" w:rsidP="003246E3">
            <w:pPr>
              <w:shd w:val="clear" w:color="auto" w:fill="FFFFFF"/>
              <w:spacing w:after="0" w:line="240" w:lineRule="auto"/>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        …</w:t>
            </w:r>
          </w:p>
          <w:p w:rsidR="000A56F5" w:rsidRDefault="004055E2"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2.2</w:t>
            </w:r>
            <w:r w:rsidR="000A56F5" w:rsidRPr="000A56F5">
              <w:rPr>
                <w:rFonts w:ascii="Times New Roman" w:eastAsia="Times New Roman" w:hAnsi="Times New Roman"/>
                <w:color w:val="333333"/>
                <w:sz w:val="24"/>
                <w:szCs w:val="24"/>
                <w:lang w:val="uk-UA" w:eastAsia="uk-UA"/>
              </w:rPr>
              <w:t xml:space="preserve">. </w:t>
            </w:r>
            <w:r w:rsidR="002620CB" w:rsidRPr="002620CB">
              <w:rPr>
                <w:rFonts w:ascii="Times New Roman" w:eastAsia="Times New Roman" w:hAnsi="Times New Roman"/>
                <w:color w:val="333333"/>
                <w:sz w:val="24"/>
                <w:szCs w:val="24"/>
                <w:lang w:val="uk-UA" w:eastAsia="uk-UA"/>
              </w:rPr>
              <w:t>ПР формується відповідно до вимог цього Порядку із зазначенням обсягів та джерел фінансування заходів (без урахування ПДВ) і має містити:</w:t>
            </w:r>
          </w:p>
          <w:p w:rsidR="002620CB" w:rsidRDefault="002620C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2620CB" w:rsidRDefault="002620CB" w:rsidP="002620C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2620CB">
              <w:rPr>
                <w:rFonts w:ascii="Times New Roman" w:eastAsia="Times New Roman" w:hAnsi="Times New Roman"/>
                <w:color w:val="333333"/>
                <w:sz w:val="24"/>
                <w:szCs w:val="24"/>
                <w:lang w:val="uk-UA" w:eastAsia="uk-UA"/>
              </w:rPr>
              <w:t xml:space="preserve">4) план розвитку (фінансовий план довгострокової </w:t>
            </w:r>
            <w:r w:rsidRPr="004055E2">
              <w:rPr>
                <w:rFonts w:ascii="Times New Roman" w:eastAsia="Times New Roman" w:hAnsi="Times New Roman"/>
                <w:color w:val="333333"/>
                <w:sz w:val="24"/>
                <w:szCs w:val="24"/>
                <w:lang w:val="uk-UA" w:eastAsia="uk-UA"/>
              </w:rPr>
              <w:t>інвестиційної програми</w:t>
            </w:r>
            <w:r w:rsidRPr="004055E2">
              <w:rPr>
                <w:rFonts w:ascii="Times New Roman" w:eastAsia="Times New Roman" w:hAnsi="Times New Roman"/>
                <w:b/>
                <w:i/>
                <w:color w:val="333333"/>
                <w:sz w:val="24"/>
                <w:szCs w:val="24"/>
                <w:lang w:val="uk-UA" w:eastAsia="uk-UA"/>
              </w:rPr>
              <w:t xml:space="preserve"> (інвестиційного проекту</w:t>
            </w:r>
            <w:r w:rsidRPr="004055E2">
              <w:rPr>
                <w:rFonts w:ascii="Times New Roman" w:eastAsia="Times New Roman" w:hAnsi="Times New Roman"/>
                <w:color w:val="333333"/>
                <w:sz w:val="24"/>
                <w:szCs w:val="24"/>
                <w:lang w:val="uk-UA" w:eastAsia="uk-UA"/>
              </w:rPr>
              <w:t>)</w:t>
            </w:r>
            <w:r w:rsidRPr="002620CB">
              <w:rPr>
                <w:rFonts w:ascii="Times New Roman" w:eastAsia="Times New Roman" w:hAnsi="Times New Roman"/>
                <w:color w:val="333333"/>
                <w:sz w:val="24"/>
                <w:szCs w:val="24"/>
                <w:lang w:val="uk-UA" w:eastAsia="uk-UA"/>
              </w:rPr>
              <w:t xml:space="preserve"> (додаток 4);</w:t>
            </w:r>
          </w:p>
          <w:p w:rsidR="002620CB" w:rsidRDefault="009C057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9C057A" w:rsidRPr="009C057A" w:rsidRDefault="009C057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2.3. </w:t>
            </w:r>
            <w:r w:rsidRPr="009C057A">
              <w:rPr>
                <w:rFonts w:ascii="Times New Roman" w:eastAsia="Times New Roman" w:hAnsi="Times New Roman"/>
                <w:color w:val="333333"/>
                <w:sz w:val="24"/>
                <w:szCs w:val="24"/>
                <w:lang w:val="uk-UA" w:eastAsia="uk-UA"/>
              </w:rPr>
              <w:t>ІП формується відповідно до вимог цього Порядку із зазначенням обсягів та джерел фінансування заходів (без урахування ПДВ) і має містити:</w:t>
            </w:r>
          </w:p>
          <w:p w:rsidR="00F722A7" w:rsidRDefault="009C057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9C057A" w:rsidRDefault="009C057A" w:rsidP="009C057A">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9C057A">
              <w:rPr>
                <w:rFonts w:ascii="Times New Roman" w:eastAsia="Times New Roman" w:hAnsi="Times New Roman"/>
                <w:color w:val="333333"/>
                <w:sz w:val="24"/>
                <w:szCs w:val="24"/>
                <w:lang w:val="uk-UA" w:eastAsia="uk-UA"/>
              </w:rPr>
              <w:t xml:space="preserve">2) заяву щодо схвалення </w:t>
            </w:r>
            <w:r w:rsidRPr="00933823">
              <w:rPr>
                <w:rFonts w:ascii="Times New Roman" w:eastAsia="Times New Roman" w:hAnsi="Times New Roman"/>
                <w:color w:val="333333"/>
                <w:sz w:val="24"/>
                <w:szCs w:val="24"/>
                <w:lang w:val="uk-UA" w:eastAsia="uk-UA"/>
              </w:rPr>
              <w:t>інвестиційної програми</w:t>
            </w:r>
            <w:r>
              <w:rPr>
                <w:rFonts w:ascii="Times New Roman" w:eastAsia="Times New Roman" w:hAnsi="Times New Roman"/>
                <w:color w:val="333333"/>
                <w:sz w:val="24"/>
                <w:szCs w:val="24"/>
                <w:lang w:val="uk-UA" w:eastAsia="uk-UA"/>
              </w:rPr>
              <w:t xml:space="preserve"> </w:t>
            </w:r>
            <w:r w:rsidRPr="00933823">
              <w:rPr>
                <w:rFonts w:ascii="Times New Roman" w:eastAsia="Times New Roman" w:hAnsi="Times New Roman"/>
                <w:b/>
                <w:i/>
                <w:color w:val="333333"/>
                <w:sz w:val="24"/>
                <w:szCs w:val="24"/>
                <w:lang w:val="uk-UA" w:eastAsia="uk-UA"/>
              </w:rPr>
              <w:t>(інвестиційного проекту)</w:t>
            </w:r>
            <w:r w:rsidRPr="009C057A">
              <w:rPr>
                <w:rFonts w:ascii="Times New Roman" w:eastAsia="Times New Roman" w:hAnsi="Times New Roman"/>
                <w:color w:val="333333"/>
                <w:sz w:val="24"/>
                <w:szCs w:val="24"/>
                <w:lang w:val="uk-UA" w:eastAsia="uk-UA"/>
              </w:rPr>
              <w:t xml:space="preserve"> (додаток 2);</w:t>
            </w:r>
          </w:p>
          <w:p w:rsidR="00883D3B" w:rsidRDefault="00883D3B" w:rsidP="009C057A">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883D3B" w:rsidRPr="002620CB" w:rsidRDefault="00883D3B" w:rsidP="009C057A">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883D3B">
              <w:rPr>
                <w:rFonts w:ascii="Times New Roman" w:eastAsia="Times New Roman" w:hAnsi="Times New Roman"/>
                <w:color w:val="333333"/>
                <w:sz w:val="24"/>
                <w:szCs w:val="24"/>
                <w:lang w:val="uk-UA" w:eastAsia="uk-UA"/>
              </w:rPr>
              <w:t>4) план розвитку (фінансовий план довгострокової інвестиційної програми</w:t>
            </w:r>
            <w:r>
              <w:rPr>
                <w:rFonts w:ascii="Times New Roman" w:eastAsia="Times New Roman" w:hAnsi="Times New Roman"/>
                <w:color w:val="333333"/>
                <w:sz w:val="24"/>
                <w:szCs w:val="24"/>
                <w:lang w:val="uk-UA" w:eastAsia="uk-UA"/>
              </w:rPr>
              <w:t xml:space="preserve"> </w:t>
            </w:r>
            <w:r w:rsidRPr="00C8287C">
              <w:rPr>
                <w:rFonts w:ascii="Times New Roman" w:eastAsia="Times New Roman" w:hAnsi="Times New Roman"/>
                <w:b/>
                <w:i/>
                <w:color w:val="333333"/>
                <w:sz w:val="24"/>
                <w:szCs w:val="24"/>
                <w:lang w:val="uk-UA" w:eastAsia="uk-UA"/>
              </w:rPr>
              <w:t>(інвестиційного проекту)</w:t>
            </w:r>
            <w:r w:rsidRPr="00C8287C">
              <w:rPr>
                <w:rFonts w:ascii="Times New Roman" w:eastAsia="Times New Roman" w:hAnsi="Times New Roman"/>
                <w:color w:val="333333"/>
                <w:sz w:val="24"/>
                <w:szCs w:val="24"/>
                <w:lang w:val="uk-UA" w:eastAsia="uk-UA"/>
              </w:rPr>
              <w:t>)</w:t>
            </w:r>
            <w:r w:rsidRPr="00883D3B">
              <w:rPr>
                <w:rFonts w:ascii="Times New Roman" w:eastAsia="Times New Roman" w:hAnsi="Times New Roman"/>
                <w:color w:val="333333"/>
                <w:sz w:val="24"/>
                <w:szCs w:val="24"/>
                <w:lang w:val="uk-UA" w:eastAsia="uk-UA"/>
              </w:rPr>
              <w:t xml:space="preserve"> (додаток 4);</w:t>
            </w:r>
          </w:p>
          <w:p w:rsidR="006118D4" w:rsidRDefault="006118D4" w:rsidP="006118D4">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118D4" w:rsidRDefault="00C8287C" w:rsidP="006118D4">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8) </w:t>
            </w:r>
            <w:r w:rsidRPr="00C8287C">
              <w:rPr>
                <w:rFonts w:ascii="Times New Roman" w:eastAsia="Times New Roman" w:hAnsi="Times New Roman"/>
                <w:color w:val="333333"/>
                <w:sz w:val="24"/>
                <w:szCs w:val="24"/>
                <w:lang w:val="uk-UA" w:eastAsia="uk-UA"/>
              </w:rPr>
              <w:t>опис заходів річного інвестиційного плану використання коштів у першому році ПР, який має містити:</w:t>
            </w:r>
          </w:p>
          <w:p w:rsidR="006118D4" w:rsidRDefault="006118D4" w:rsidP="006118D4">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C121AF" w:rsidRPr="00B44FE1" w:rsidRDefault="00C121AF" w:rsidP="00C121AF">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C811DB">
              <w:rPr>
                <w:rFonts w:ascii="Times New Roman" w:eastAsia="Times New Roman" w:hAnsi="Times New Roman"/>
                <w:color w:val="333333"/>
                <w:sz w:val="24"/>
                <w:szCs w:val="24"/>
                <w:lang w:val="uk-UA" w:eastAsia="uk-UA"/>
              </w:rPr>
              <w:t>визначення строку окупності та економічного ефекту від упровадження з</w:t>
            </w:r>
            <w:r w:rsidR="00B03610">
              <w:rPr>
                <w:rFonts w:ascii="Times New Roman" w:eastAsia="Times New Roman" w:hAnsi="Times New Roman"/>
                <w:color w:val="333333"/>
                <w:sz w:val="24"/>
                <w:szCs w:val="24"/>
                <w:lang w:val="uk-UA" w:eastAsia="uk-UA"/>
              </w:rPr>
              <w:t xml:space="preserve">аходів (у випадку неможливості </w:t>
            </w:r>
            <w:r w:rsidRPr="00C811DB">
              <w:rPr>
                <w:rFonts w:ascii="Times New Roman" w:eastAsia="Times New Roman" w:hAnsi="Times New Roman"/>
                <w:color w:val="333333"/>
                <w:sz w:val="24"/>
                <w:szCs w:val="24"/>
                <w:lang w:val="uk-UA" w:eastAsia="uk-UA"/>
              </w:rPr>
              <w:t xml:space="preserve">надати обґрунтовані пояснення) з наданням детального розрахунку з посиланнями на конкретні пункти відповідної нормативної документації, довідкової </w:t>
            </w:r>
            <w:r w:rsidRPr="00C811DB">
              <w:rPr>
                <w:rFonts w:ascii="Times New Roman" w:eastAsia="Times New Roman" w:hAnsi="Times New Roman"/>
                <w:color w:val="333333"/>
                <w:sz w:val="24"/>
                <w:szCs w:val="24"/>
                <w:lang w:val="uk-UA" w:eastAsia="uk-UA"/>
              </w:rPr>
              <w:lastRenderedPageBreak/>
              <w:t xml:space="preserve">технічної літератури, експлуатаційної документації тощо, а саме визначення економії паливно-енергетичних ресурсів, економічного ефекту (тис. грн), строку окупності (місяців) тощо з використанням даних форм звітності за попередній до базового період, необхідних для їх розрахунків. </w:t>
            </w:r>
            <w:r w:rsidRPr="00B44FE1">
              <w:rPr>
                <w:rFonts w:ascii="Times New Roman" w:eastAsia="Times New Roman" w:hAnsi="Times New Roman"/>
                <w:b/>
                <w:i/>
                <w:color w:val="333333"/>
                <w:sz w:val="24"/>
                <w:szCs w:val="24"/>
                <w:lang w:val="uk-UA" w:eastAsia="uk-UA"/>
              </w:rPr>
              <w:t xml:space="preserve">Економічний ефект складається з економії енергетичних </w:t>
            </w:r>
            <w:r w:rsidR="00B44FE1">
              <w:rPr>
                <w:rFonts w:ascii="Times New Roman" w:eastAsia="Times New Roman" w:hAnsi="Times New Roman"/>
                <w:b/>
                <w:i/>
                <w:color w:val="333333"/>
                <w:sz w:val="24"/>
                <w:szCs w:val="24"/>
                <w:lang w:val="uk-UA" w:eastAsia="uk-UA"/>
              </w:rPr>
              <w:t>і</w:t>
            </w:r>
            <w:r w:rsidRPr="00B44FE1">
              <w:rPr>
                <w:rFonts w:ascii="Times New Roman" w:eastAsia="Times New Roman" w:hAnsi="Times New Roman"/>
                <w:b/>
                <w:i/>
                <w:color w:val="333333"/>
                <w:sz w:val="24"/>
                <w:szCs w:val="24"/>
                <w:lang w:val="uk-UA" w:eastAsia="uk-UA"/>
              </w:rPr>
              <w:t xml:space="preserve"> трудових ресурсів, зменшення втрат та витрат питної води на технологічні потреби, інших факторів. Складові економічного ефекту визначаються із розрахунку на рік відповідно до наданої </w:t>
            </w:r>
            <w:proofErr w:type="spellStart"/>
            <w:r w:rsidRPr="00B44FE1">
              <w:rPr>
                <w:rFonts w:ascii="Times New Roman" w:eastAsia="Times New Roman" w:hAnsi="Times New Roman"/>
                <w:b/>
                <w:i/>
                <w:color w:val="333333"/>
                <w:sz w:val="24"/>
                <w:szCs w:val="24"/>
                <w:lang w:val="uk-UA" w:eastAsia="uk-UA"/>
              </w:rPr>
              <w:t>проєктно</w:t>
            </w:r>
            <w:proofErr w:type="spellEnd"/>
            <w:r w:rsidRPr="00B44FE1">
              <w:rPr>
                <w:rFonts w:ascii="Times New Roman" w:eastAsia="Times New Roman" w:hAnsi="Times New Roman"/>
                <w:b/>
                <w:i/>
                <w:color w:val="333333"/>
                <w:sz w:val="24"/>
                <w:szCs w:val="24"/>
                <w:lang w:val="uk-UA" w:eastAsia="uk-UA"/>
              </w:rPr>
              <w:t>-ко</w:t>
            </w:r>
            <w:r w:rsidR="005B74C4">
              <w:rPr>
                <w:rFonts w:ascii="Times New Roman" w:eastAsia="Times New Roman" w:hAnsi="Times New Roman"/>
                <w:b/>
                <w:i/>
                <w:color w:val="333333"/>
                <w:sz w:val="24"/>
                <w:szCs w:val="24"/>
                <w:lang w:val="uk-UA" w:eastAsia="uk-UA"/>
              </w:rPr>
              <w:t xml:space="preserve">шторисної документації. У разі </w:t>
            </w:r>
            <w:r w:rsidRPr="00B44FE1">
              <w:rPr>
                <w:rFonts w:ascii="Times New Roman" w:eastAsia="Times New Roman" w:hAnsi="Times New Roman"/>
                <w:b/>
                <w:i/>
                <w:color w:val="333333"/>
                <w:sz w:val="24"/>
                <w:szCs w:val="24"/>
                <w:lang w:val="uk-UA" w:eastAsia="uk-UA"/>
              </w:rPr>
              <w:t xml:space="preserve">відсутності </w:t>
            </w:r>
            <w:proofErr w:type="spellStart"/>
            <w:r w:rsidRPr="00B44FE1">
              <w:rPr>
                <w:rFonts w:ascii="Times New Roman" w:eastAsia="Times New Roman" w:hAnsi="Times New Roman"/>
                <w:b/>
                <w:i/>
                <w:color w:val="333333"/>
                <w:sz w:val="24"/>
                <w:szCs w:val="24"/>
                <w:lang w:val="uk-UA" w:eastAsia="uk-UA"/>
              </w:rPr>
              <w:t>проєктно</w:t>
            </w:r>
            <w:proofErr w:type="spellEnd"/>
            <w:r w:rsidRPr="00B44FE1">
              <w:rPr>
                <w:rFonts w:ascii="Times New Roman" w:eastAsia="Times New Roman" w:hAnsi="Times New Roman"/>
                <w:b/>
                <w:i/>
                <w:color w:val="333333"/>
                <w:sz w:val="24"/>
                <w:szCs w:val="24"/>
                <w:lang w:val="uk-UA" w:eastAsia="uk-UA"/>
              </w:rPr>
              <w:t>-кошторисної документації економічний ефект визначається з розрахунку:</w:t>
            </w:r>
          </w:p>
          <w:p w:rsidR="00C121AF" w:rsidRPr="00B44FE1" w:rsidRDefault="00C121AF" w:rsidP="00C121AF">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B44FE1">
              <w:rPr>
                <w:rFonts w:ascii="Times New Roman" w:eastAsia="Times New Roman" w:hAnsi="Times New Roman"/>
                <w:b/>
                <w:i/>
                <w:color w:val="333333"/>
                <w:sz w:val="24"/>
                <w:szCs w:val="24"/>
                <w:lang w:val="uk-UA" w:eastAsia="uk-UA"/>
              </w:rPr>
              <w:t>економії паливно-енергетичних ресурсів з використанням</w:t>
            </w:r>
            <w:r w:rsidR="005B74C4">
              <w:rPr>
                <w:rFonts w:ascii="Times New Roman" w:eastAsia="Times New Roman" w:hAnsi="Times New Roman"/>
                <w:b/>
                <w:i/>
                <w:color w:val="333333"/>
                <w:sz w:val="24"/>
                <w:szCs w:val="24"/>
                <w:lang w:val="uk-UA" w:eastAsia="uk-UA"/>
              </w:rPr>
              <w:t xml:space="preserve"> їх</w:t>
            </w:r>
            <w:r w:rsidRPr="00B44FE1">
              <w:rPr>
                <w:rFonts w:ascii="Times New Roman" w:eastAsia="Times New Roman" w:hAnsi="Times New Roman"/>
                <w:b/>
                <w:i/>
                <w:color w:val="333333"/>
                <w:sz w:val="24"/>
                <w:szCs w:val="24"/>
                <w:lang w:val="uk-UA" w:eastAsia="uk-UA"/>
              </w:rPr>
              <w:t xml:space="preserve"> середньозваженої ціни,</w:t>
            </w:r>
          </w:p>
          <w:p w:rsidR="00C121AF" w:rsidRPr="00B44FE1" w:rsidRDefault="00C121AF" w:rsidP="00C121AF">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B44FE1">
              <w:rPr>
                <w:rFonts w:ascii="Times New Roman" w:eastAsia="Times New Roman" w:hAnsi="Times New Roman"/>
                <w:b/>
                <w:i/>
                <w:color w:val="333333"/>
                <w:sz w:val="24"/>
                <w:szCs w:val="24"/>
                <w:lang w:val="uk-UA" w:eastAsia="uk-UA"/>
              </w:rPr>
              <w:t>зменшення втрат та витрат питної води на технологічні потреби з урахуванням середньозваженого чинного тарифу на централізоване водопостачання,</w:t>
            </w:r>
          </w:p>
          <w:p w:rsidR="00C121AF" w:rsidRPr="00C121AF" w:rsidRDefault="00C121AF" w:rsidP="006118D4">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B44FE1">
              <w:rPr>
                <w:rFonts w:ascii="Times New Roman" w:eastAsia="Times New Roman" w:hAnsi="Times New Roman"/>
                <w:b/>
                <w:i/>
                <w:color w:val="333333"/>
                <w:sz w:val="24"/>
                <w:szCs w:val="24"/>
                <w:lang w:val="uk-UA" w:eastAsia="uk-UA"/>
              </w:rPr>
              <w:t>зменшення обсягів придбання води в інших суб’єктів господарювання з урахуванням тарифу на централізоване водопостачання для споживачів, які є суб’єктами господарювання у сфері централізованого водопостачання;</w:t>
            </w:r>
          </w:p>
          <w:p w:rsidR="009C057A" w:rsidRDefault="009C2C49" w:rsidP="00E466F4">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r w:rsidRPr="006118D4">
              <w:rPr>
                <w:rFonts w:ascii="Times New Roman" w:eastAsia="Times New Roman" w:hAnsi="Times New Roman"/>
                <w:color w:val="333333"/>
                <w:sz w:val="24"/>
                <w:szCs w:val="24"/>
                <w:lang w:val="uk-UA" w:eastAsia="uk-UA"/>
              </w:rPr>
              <w:t xml:space="preserve">обґрунтування вартості запланованих заходів, матеріальних ресурсів тощо з наданням комерційних пропозицій (не менше двох), у яких мають бути вказані обрані цінові пропозиції та у разі зазначення вартості в іноземній валюті курс обміну з прив’язкою до дати, єдиної для всієї </w:t>
            </w:r>
            <w:r w:rsidRPr="00C8287C">
              <w:rPr>
                <w:rFonts w:ascii="Times New Roman" w:eastAsia="Times New Roman" w:hAnsi="Times New Roman"/>
                <w:color w:val="333333"/>
                <w:sz w:val="24"/>
                <w:szCs w:val="24"/>
                <w:lang w:val="uk-UA" w:eastAsia="uk-UA"/>
              </w:rPr>
              <w:t>інвестиційної програми</w:t>
            </w:r>
            <w:r>
              <w:rPr>
                <w:rFonts w:ascii="Times New Roman" w:eastAsia="Times New Roman" w:hAnsi="Times New Roman"/>
                <w:b/>
                <w:i/>
                <w:color w:val="333333"/>
                <w:sz w:val="24"/>
                <w:szCs w:val="24"/>
                <w:lang w:val="uk-UA" w:eastAsia="uk-UA"/>
              </w:rPr>
              <w:t xml:space="preserve"> </w:t>
            </w:r>
            <w:r w:rsidRPr="00C8287C">
              <w:rPr>
                <w:rFonts w:ascii="Times New Roman" w:eastAsia="Times New Roman" w:hAnsi="Times New Roman"/>
                <w:b/>
                <w:i/>
                <w:color w:val="333333"/>
                <w:sz w:val="24"/>
                <w:szCs w:val="24"/>
                <w:lang w:val="uk-UA" w:eastAsia="uk-UA"/>
              </w:rPr>
              <w:t>(інвестиційного проекту)</w:t>
            </w:r>
            <w:r w:rsidRPr="00C8287C">
              <w:rPr>
                <w:rFonts w:ascii="Times New Roman" w:eastAsia="Times New Roman" w:hAnsi="Times New Roman"/>
                <w:color w:val="333333"/>
                <w:sz w:val="24"/>
                <w:szCs w:val="24"/>
                <w:lang w:val="uk-UA" w:eastAsia="uk-UA"/>
              </w:rPr>
              <w:t>,</w:t>
            </w:r>
            <w:r w:rsidRPr="006118D4">
              <w:rPr>
                <w:rFonts w:ascii="Times New Roman" w:eastAsia="Times New Roman" w:hAnsi="Times New Roman"/>
                <w:color w:val="333333"/>
                <w:sz w:val="24"/>
                <w:szCs w:val="24"/>
                <w:lang w:val="uk-UA" w:eastAsia="uk-UA"/>
              </w:rPr>
              <w:t xml:space="preserve"> загальною вартістю однотипного обладнання та/або матеріалів за </w:t>
            </w:r>
            <w:r w:rsidRPr="00C8287C">
              <w:rPr>
                <w:rFonts w:ascii="Times New Roman" w:eastAsia="Times New Roman" w:hAnsi="Times New Roman"/>
                <w:color w:val="333333"/>
                <w:sz w:val="24"/>
                <w:szCs w:val="24"/>
                <w:lang w:val="uk-UA" w:eastAsia="uk-UA"/>
              </w:rPr>
              <w:t>інвестиційною програмою</w:t>
            </w:r>
            <w:r>
              <w:rPr>
                <w:rFonts w:ascii="Times New Roman" w:eastAsia="Times New Roman" w:hAnsi="Times New Roman"/>
                <w:b/>
                <w:i/>
                <w:color w:val="333333"/>
                <w:sz w:val="24"/>
                <w:szCs w:val="24"/>
                <w:lang w:val="uk-UA" w:eastAsia="uk-UA"/>
              </w:rPr>
              <w:t xml:space="preserve"> </w:t>
            </w:r>
            <w:r w:rsidRPr="00923601">
              <w:rPr>
                <w:rFonts w:ascii="Times New Roman" w:eastAsia="Times New Roman" w:hAnsi="Times New Roman"/>
                <w:b/>
                <w:i/>
                <w:color w:val="333333"/>
                <w:sz w:val="24"/>
                <w:szCs w:val="24"/>
                <w:lang w:val="uk-UA" w:eastAsia="uk-UA"/>
              </w:rPr>
              <w:t>(інвестиційним проектом)</w:t>
            </w:r>
            <w:r w:rsidRPr="006118D4">
              <w:rPr>
                <w:rFonts w:ascii="Times New Roman" w:eastAsia="Times New Roman" w:hAnsi="Times New Roman"/>
                <w:color w:val="333333"/>
                <w:sz w:val="24"/>
                <w:szCs w:val="24"/>
                <w:lang w:val="uk-UA" w:eastAsia="uk-UA"/>
              </w:rPr>
              <w:t xml:space="preserve"> більше 20 тис. грн (без ПДВ) (у разі наявності єдиного заводу-виробника ліцензіат має надати відповідне обґрунтування). Пропозиції повинні містити дані щодо комплектації обладнання, бути засвідчені належним чином (дата, підпис тощо) та містити реквізити постачальника обладнання (матеріалів). Такі матеріали повинні бути узагальнені та надані в табличному вигляді;</w:t>
            </w:r>
          </w:p>
          <w:p w:rsidR="00E466F4" w:rsidRDefault="00E466F4" w:rsidP="00E466F4">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p>
          <w:p w:rsidR="000A567E" w:rsidRDefault="000A567E" w:rsidP="00E466F4">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0A567E" w:rsidRDefault="000A567E" w:rsidP="00E466F4">
            <w:pPr>
              <w:shd w:val="clear" w:color="auto" w:fill="FFFFFF"/>
              <w:spacing w:after="0" w:line="240" w:lineRule="auto"/>
              <w:ind w:firstLine="448"/>
              <w:jc w:val="both"/>
              <w:rPr>
                <w:rFonts w:ascii="Times New Roman" w:eastAsia="Times New Roman" w:hAnsi="Times New Roman"/>
                <w:color w:val="333333"/>
                <w:sz w:val="24"/>
                <w:szCs w:val="24"/>
                <w:lang w:val="uk-UA" w:eastAsia="uk-UA"/>
              </w:rPr>
            </w:pPr>
            <w:r w:rsidRPr="000A567E">
              <w:rPr>
                <w:rFonts w:ascii="Times New Roman" w:eastAsia="Times New Roman" w:hAnsi="Times New Roman"/>
                <w:color w:val="333333"/>
                <w:sz w:val="24"/>
                <w:szCs w:val="24"/>
                <w:lang w:val="uk-UA" w:eastAsia="uk-UA"/>
              </w:rPr>
              <w:t xml:space="preserve">затверджений в установленому порядку зведений кошторисний розрахунок вартості будівництва об’єкта, спорудження якого передбачено </w:t>
            </w:r>
            <w:r w:rsidRPr="0028516B">
              <w:rPr>
                <w:rFonts w:ascii="Times New Roman" w:eastAsia="Times New Roman" w:hAnsi="Times New Roman"/>
                <w:color w:val="333333"/>
                <w:sz w:val="24"/>
                <w:szCs w:val="24"/>
                <w:lang w:val="uk-UA" w:eastAsia="uk-UA"/>
              </w:rPr>
              <w:t>інвестиційною програмою</w:t>
            </w:r>
            <w:r>
              <w:rPr>
                <w:rFonts w:ascii="Times New Roman" w:eastAsia="Times New Roman" w:hAnsi="Times New Roman"/>
                <w:b/>
                <w:i/>
                <w:color w:val="333333"/>
                <w:sz w:val="24"/>
                <w:szCs w:val="24"/>
                <w:lang w:val="uk-UA" w:eastAsia="uk-UA"/>
              </w:rPr>
              <w:t xml:space="preserve"> </w:t>
            </w:r>
            <w:r w:rsidRPr="0028516B">
              <w:rPr>
                <w:rFonts w:ascii="Times New Roman" w:eastAsia="Times New Roman" w:hAnsi="Times New Roman"/>
                <w:b/>
                <w:i/>
                <w:color w:val="333333"/>
                <w:sz w:val="24"/>
                <w:szCs w:val="24"/>
                <w:lang w:val="uk-UA" w:eastAsia="uk-UA"/>
              </w:rPr>
              <w:t>(інвестиційним проектом)</w:t>
            </w:r>
            <w:r w:rsidRPr="000A567E">
              <w:rPr>
                <w:rFonts w:ascii="Times New Roman" w:eastAsia="Times New Roman" w:hAnsi="Times New Roman"/>
                <w:color w:val="333333"/>
                <w:sz w:val="24"/>
                <w:szCs w:val="24"/>
                <w:lang w:val="uk-UA" w:eastAsia="uk-UA"/>
              </w:rPr>
              <w:t xml:space="preserve"> на </w:t>
            </w:r>
            <w:r w:rsidRPr="000A567E">
              <w:rPr>
                <w:rFonts w:ascii="Times New Roman" w:eastAsia="Times New Roman" w:hAnsi="Times New Roman"/>
                <w:color w:val="333333"/>
                <w:sz w:val="24"/>
                <w:szCs w:val="24"/>
                <w:lang w:val="uk-UA" w:eastAsia="uk-UA"/>
              </w:rPr>
              <w:lastRenderedPageBreak/>
              <w:t>планований період, відомості ресурсів до нього, а також локальний кошторис;</w:t>
            </w:r>
          </w:p>
          <w:p w:rsidR="009C2C49" w:rsidRDefault="00E22EE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9C2C49" w:rsidRDefault="008F6B24"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2.7. </w:t>
            </w:r>
            <w:r w:rsidRPr="008F6B24">
              <w:rPr>
                <w:rFonts w:ascii="Times New Roman" w:eastAsia="Times New Roman" w:hAnsi="Times New Roman"/>
                <w:color w:val="333333"/>
                <w:sz w:val="24"/>
                <w:szCs w:val="24"/>
                <w:lang w:val="uk-UA" w:eastAsia="uk-UA"/>
              </w:rPr>
              <w:t xml:space="preserve">Планування заходів ІП та річного інвестиційного плану використання коштів у першому році ПР у першу чергу базується на заходах, передбачених актуальною (за строками) схемою оптимізації роботи систем ЦВВ, та результативних показниках. При цьому заходи </w:t>
            </w:r>
            <w:r w:rsidRPr="00793EF4">
              <w:rPr>
                <w:rFonts w:ascii="Times New Roman" w:eastAsia="Times New Roman" w:hAnsi="Times New Roman"/>
                <w:color w:val="333333"/>
                <w:sz w:val="24"/>
                <w:szCs w:val="24"/>
                <w:lang w:val="uk-UA" w:eastAsia="uk-UA"/>
              </w:rPr>
              <w:t>інвестиційної програми</w:t>
            </w:r>
            <w:r>
              <w:rPr>
                <w:rFonts w:ascii="Times New Roman" w:eastAsia="Times New Roman" w:hAnsi="Times New Roman"/>
                <w:b/>
                <w:i/>
                <w:color w:val="333333"/>
                <w:sz w:val="24"/>
                <w:szCs w:val="24"/>
                <w:lang w:val="uk-UA" w:eastAsia="uk-UA"/>
              </w:rPr>
              <w:t xml:space="preserve"> </w:t>
            </w:r>
            <w:r w:rsidRPr="00793EF4">
              <w:rPr>
                <w:rFonts w:ascii="Times New Roman" w:eastAsia="Times New Roman" w:hAnsi="Times New Roman"/>
                <w:b/>
                <w:i/>
                <w:color w:val="333333"/>
                <w:sz w:val="24"/>
                <w:szCs w:val="24"/>
                <w:lang w:val="uk-UA" w:eastAsia="uk-UA"/>
              </w:rPr>
              <w:t>(інвестиційного проекту)</w:t>
            </w:r>
            <w:r w:rsidRPr="008F6B24">
              <w:rPr>
                <w:rFonts w:ascii="Times New Roman" w:eastAsia="Times New Roman" w:hAnsi="Times New Roman"/>
                <w:color w:val="333333"/>
                <w:sz w:val="24"/>
                <w:szCs w:val="24"/>
                <w:lang w:val="uk-UA" w:eastAsia="uk-UA"/>
              </w:rPr>
              <w:t xml:space="preserve"> можуть конкретизувати і уточнювати заходи, передбачені схемою оптимізації.</w:t>
            </w:r>
          </w:p>
          <w:p w:rsidR="008F6B24" w:rsidRDefault="00A77202"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793EF4" w:rsidRDefault="00A77202" w:rsidP="00A77202">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2.11. </w:t>
            </w:r>
          </w:p>
          <w:p w:rsidR="00A77202" w:rsidRDefault="00A77202" w:rsidP="00A77202">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327AF" w:rsidRDefault="00A77202" w:rsidP="00622510">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A77202">
              <w:rPr>
                <w:rFonts w:ascii="Times New Roman" w:eastAsia="Times New Roman" w:hAnsi="Times New Roman"/>
                <w:color w:val="333333"/>
                <w:sz w:val="24"/>
                <w:szCs w:val="24"/>
                <w:lang w:val="uk-UA" w:eastAsia="uk-UA"/>
              </w:rPr>
              <w:t xml:space="preserve">У засобах масової інформації за місцем виконання </w:t>
            </w:r>
            <w:r w:rsidRPr="00793EF4">
              <w:rPr>
                <w:rFonts w:ascii="Times New Roman" w:eastAsia="Times New Roman" w:hAnsi="Times New Roman"/>
                <w:color w:val="333333"/>
                <w:sz w:val="24"/>
                <w:szCs w:val="24"/>
                <w:lang w:val="uk-UA" w:eastAsia="uk-UA"/>
              </w:rPr>
              <w:t>інвестиційної програми</w:t>
            </w:r>
            <w:r>
              <w:rPr>
                <w:rFonts w:ascii="Times New Roman" w:eastAsia="Times New Roman" w:hAnsi="Times New Roman"/>
                <w:b/>
                <w:i/>
                <w:color w:val="333333"/>
                <w:sz w:val="24"/>
                <w:szCs w:val="24"/>
                <w:lang w:val="uk-UA" w:eastAsia="uk-UA"/>
              </w:rPr>
              <w:t xml:space="preserve"> </w:t>
            </w:r>
            <w:r w:rsidRPr="00793EF4">
              <w:rPr>
                <w:rFonts w:ascii="Times New Roman" w:eastAsia="Times New Roman" w:hAnsi="Times New Roman"/>
                <w:b/>
                <w:i/>
                <w:color w:val="333333"/>
                <w:sz w:val="24"/>
                <w:szCs w:val="24"/>
                <w:lang w:val="uk-UA" w:eastAsia="uk-UA"/>
              </w:rPr>
              <w:t>(інвестиційного проекту)</w:t>
            </w:r>
            <w:r w:rsidRPr="00A77202">
              <w:rPr>
                <w:rFonts w:ascii="Times New Roman" w:eastAsia="Times New Roman" w:hAnsi="Times New Roman"/>
                <w:color w:val="333333"/>
                <w:sz w:val="24"/>
                <w:szCs w:val="24"/>
                <w:lang w:val="uk-UA" w:eastAsia="uk-UA"/>
              </w:rPr>
              <w:t xml:space="preserve"> розміщуються інформаційне повідомлення про розроблені </w:t>
            </w:r>
            <w:proofErr w:type="spellStart"/>
            <w:r w:rsidRPr="00A77202">
              <w:rPr>
                <w:rFonts w:ascii="Times New Roman" w:eastAsia="Times New Roman" w:hAnsi="Times New Roman"/>
                <w:color w:val="333333"/>
                <w:sz w:val="24"/>
                <w:szCs w:val="24"/>
                <w:lang w:val="uk-UA" w:eastAsia="uk-UA"/>
              </w:rPr>
              <w:t>проєкти</w:t>
            </w:r>
            <w:proofErr w:type="spellEnd"/>
            <w:r w:rsidRPr="00A77202">
              <w:rPr>
                <w:rFonts w:ascii="Times New Roman" w:eastAsia="Times New Roman" w:hAnsi="Times New Roman"/>
                <w:color w:val="333333"/>
                <w:sz w:val="24"/>
                <w:szCs w:val="24"/>
                <w:lang w:val="uk-UA" w:eastAsia="uk-UA"/>
              </w:rPr>
              <w:t xml:space="preserve"> ПР та ІП, інформація про порядок подання до них зауважень та пропозицій.</w:t>
            </w:r>
          </w:p>
          <w:p w:rsidR="00CC049A" w:rsidRPr="00421441" w:rsidRDefault="00AD5EBD" w:rsidP="00622510">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tc>
      </w:tr>
      <w:tr w:rsidR="002E54B5" w:rsidRPr="00964DB7" w:rsidTr="006327AF">
        <w:tc>
          <w:tcPr>
            <w:tcW w:w="7676" w:type="dxa"/>
            <w:shd w:val="clear" w:color="auto" w:fill="auto"/>
          </w:tcPr>
          <w:p w:rsidR="00B468F7" w:rsidRPr="00AD5EBD"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bookmarkStart w:id="14" w:name="n276"/>
            <w:bookmarkStart w:id="15" w:name="n394"/>
            <w:bookmarkStart w:id="16" w:name="n281"/>
            <w:bookmarkEnd w:id="14"/>
            <w:bookmarkEnd w:id="15"/>
            <w:bookmarkEnd w:id="16"/>
            <w:r w:rsidRPr="00731BB7">
              <w:rPr>
                <w:rFonts w:ascii="Times New Roman" w:eastAsia="Times New Roman" w:hAnsi="Times New Roman"/>
                <w:b/>
                <w:bCs/>
                <w:color w:val="333333"/>
                <w:sz w:val="24"/>
                <w:szCs w:val="24"/>
                <w:lang w:val="uk-UA" w:eastAsia="uk-UA"/>
              </w:rPr>
              <w:lastRenderedPageBreak/>
              <w:t xml:space="preserve">3. </w:t>
            </w:r>
            <w:r w:rsidR="00116BE2" w:rsidRPr="00116BE2">
              <w:rPr>
                <w:rFonts w:ascii="Times New Roman" w:eastAsia="Times New Roman" w:hAnsi="Times New Roman"/>
                <w:b/>
                <w:bCs/>
                <w:color w:val="333333"/>
                <w:sz w:val="24"/>
                <w:szCs w:val="24"/>
                <w:lang w:val="uk-UA" w:eastAsia="uk-UA"/>
              </w:rPr>
              <w:t xml:space="preserve">Затвердження та погодження планів розвитку, </w:t>
            </w:r>
            <w:r w:rsidR="00116BE2" w:rsidRPr="00AD5EBD">
              <w:rPr>
                <w:rFonts w:ascii="Times New Roman" w:eastAsia="Times New Roman" w:hAnsi="Times New Roman"/>
                <w:b/>
                <w:bCs/>
                <w:color w:val="333333"/>
                <w:sz w:val="24"/>
                <w:szCs w:val="24"/>
                <w:lang w:val="uk-UA" w:eastAsia="uk-UA"/>
              </w:rPr>
              <w:t>інвестиційних програм</w:t>
            </w:r>
          </w:p>
          <w:p w:rsidR="0073243B" w:rsidRPr="00CD71EB" w:rsidRDefault="000B6D8C" w:rsidP="000B6D8C">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bookmarkStart w:id="17" w:name="n267"/>
            <w:bookmarkEnd w:id="17"/>
          </w:p>
        </w:tc>
        <w:tc>
          <w:tcPr>
            <w:tcW w:w="7676" w:type="dxa"/>
            <w:shd w:val="clear" w:color="auto" w:fill="auto"/>
          </w:tcPr>
          <w:p w:rsidR="00731BB7" w:rsidRDefault="00731BB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731BB7">
              <w:rPr>
                <w:rFonts w:ascii="Times New Roman" w:eastAsia="Times New Roman" w:hAnsi="Times New Roman"/>
                <w:b/>
                <w:bCs/>
                <w:color w:val="333333"/>
                <w:sz w:val="24"/>
                <w:szCs w:val="24"/>
                <w:lang w:val="uk-UA" w:eastAsia="uk-UA"/>
              </w:rPr>
              <w:t xml:space="preserve">3. </w:t>
            </w:r>
            <w:r w:rsidR="00116BE2" w:rsidRPr="00116BE2">
              <w:rPr>
                <w:rFonts w:ascii="Times New Roman" w:eastAsia="Times New Roman" w:hAnsi="Times New Roman"/>
                <w:b/>
                <w:bCs/>
                <w:color w:val="333333"/>
                <w:sz w:val="24"/>
                <w:szCs w:val="24"/>
                <w:lang w:val="uk-UA" w:eastAsia="uk-UA"/>
              </w:rPr>
              <w:t>Затвердження та погодження планів розвитку, інвестиційних програм</w:t>
            </w:r>
            <w:r w:rsidR="00116BE2">
              <w:rPr>
                <w:rFonts w:ascii="Times New Roman" w:eastAsia="Times New Roman" w:hAnsi="Times New Roman"/>
                <w:b/>
                <w:bCs/>
                <w:color w:val="333333"/>
                <w:sz w:val="24"/>
                <w:szCs w:val="24"/>
                <w:lang w:val="uk-UA" w:eastAsia="uk-UA"/>
              </w:rPr>
              <w:t xml:space="preserve"> </w:t>
            </w:r>
            <w:r w:rsidR="00116BE2" w:rsidRPr="00AD5EBD">
              <w:rPr>
                <w:rFonts w:ascii="Times New Roman" w:eastAsia="Times New Roman" w:hAnsi="Times New Roman"/>
                <w:b/>
                <w:i/>
                <w:color w:val="333333"/>
                <w:sz w:val="24"/>
                <w:szCs w:val="24"/>
                <w:lang w:val="uk-UA" w:eastAsia="uk-UA"/>
              </w:rPr>
              <w:t>(інвестиційних проектів)</w:t>
            </w:r>
          </w:p>
          <w:p w:rsidR="00C36616" w:rsidRPr="00421441" w:rsidRDefault="000B6D8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tc>
      </w:tr>
      <w:tr w:rsidR="002E54B5" w:rsidRPr="00B468F7" w:rsidTr="006327AF">
        <w:tc>
          <w:tcPr>
            <w:tcW w:w="7676" w:type="dxa"/>
            <w:shd w:val="clear" w:color="auto" w:fill="auto"/>
          </w:tcPr>
          <w:p w:rsidR="008C7C51"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bookmarkStart w:id="18" w:name="n407"/>
            <w:bookmarkEnd w:id="18"/>
            <w:r w:rsidRPr="008C7C51">
              <w:rPr>
                <w:rFonts w:ascii="Times New Roman" w:eastAsia="Times New Roman" w:hAnsi="Times New Roman"/>
                <w:b/>
                <w:bCs/>
                <w:color w:val="333333"/>
                <w:sz w:val="24"/>
                <w:szCs w:val="24"/>
                <w:lang w:val="uk-UA" w:eastAsia="uk-UA"/>
              </w:rPr>
              <w:t xml:space="preserve">4. </w:t>
            </w:r>
            <w:r w:rsidR="00B709FE" w:rsidRPr="00B709FE">
              <w:rPr>
                <w:rFonts w:ascii="Times New Roman" w:eastAsia="Times New Roman" w:hAnsi="Times New Roman"/>
                <w:b/>
                <w:bCs/>
                <w:color w:val="333333"/>
                <w:sz w:val="24"/>
                <w:szCs w:val="24"/>
                <w:lang w:val="uk-UA" w:eastAsia="uk-UA"/>
              </w:rPr>
              <w:t xml:space="preserve">Розгляд планів розвитку, </w:t>
            </w:r>
            <w:r w:rsidR="00B709FE" w:rsidRPr="00CD697F">
              <w:rPr>
                <w:rFonts w:ascii="Times New Roman" w:eastAsia="Times New Roman" w:hAnsi="Times New Roman"/>
                <w:b/>
                <w:bCs/>
                <w:color w:val="333333"/>
                <w:sz w:val="24"/>
                <w:szCs w:val="24"/>
                <w:lang w:val="uk-UA" w:eastAsia="uk-UA"/>
              </w:rPr>
              <w:t>інвестиційних програм</w:t>
            </w:r>
            <w:r w:rsidR="00B709FE" w:rsidRPr="00B709FE">
              <w:rPr>
                <w:rFonts w:ascii="Times New Roman" w:eastAsia="Times New Roman" w:hAnsi="Times New Roman"/>
                <w:b/>
                <w:bCs/>
                <w:color w:val="333333"/>
                <w:sz w:val="24"/>
                <w:szCs w:val="24"/>
                <w:lang w:val="uk-UA" w:eastAsia="uk-UA"/>
              </w:rPr>
              <w:t xml:space="preserve"> НКРЕКП</w:t>
            </w:r>
          </w:p>
          <w:p w:rsidR="004C5F8D" w:rsidRPr="008C7C51" w:rsidRDefault="004C5F8D"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2E54B5" w:rsidRPr="00055494" w:rsidRDefault="004C5F8D" w:rsidP="004C5F8D">
            <w:pPr>
              <w:shd w:val="clear" w:color="auto" w:fill="FFFFFF"/>
              <w:spacing w:after="0" w:line="240" w:lineRule="auto"/>
              <w:ind w:firstLine="450"/>
              <w:jc w:val="both"/>
              <w:rPr>
                <w:rFonts w:ascii="Times New Roman" w:hAnsi="Times New Roman"/>
                <w:color w:val="333333"/>
                <w:sz w:val="24"/>
                <w:szCs w:val="24"/>
              </w:rPr>
            </w:pPr>
            <w:bookmarkStart w:id="19" w:name="n341"/>
            <w:bookmarkEnd w:id="19"/>
            <w:r>
              <w:rPr>
                <w:rFonts w:ascii="Times New Roman" w:eastAsia="Times New Roman" w:hAnsi="Times New Roman"/>
                <w:color w:val="333333"/>
                <w:sz w:val="24"/>
                <w:szCs w:val="24"/>
                <w:lang w:val="uk-UA" w:eastAsia="uk-UA"/>
              </w:rPr>
              <w:t>…</w:t>
            </w:r>
            <w:bookmarkStart w:id="20" w:name="n460"/>
            <w:bookmarkEnd w:id="20"/>
          </w:p>
        </w:tc>
        <w:tc>
          <w:tcPr>
            <w:tcW w:w="7676" w:type="dxa"/>
            <w:shd w:val="clear" w:color="auto" w:fill="auto"/>
          </w:tcPr>
          <w:p w:rsidR="006D5471" w:rsidRDefault="006D5471"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8C7C51">
              <w:rPr>
                <w:rFonts w:ascii="Times New Roman" w:eastAsia="Times New Roman" w:hAnsi="Times New Roman"/>
                <w:b/>
                <w:bCs/>
                <w:color w:val="333333"/>
                <w:sz w:val="24"/>
                <w:szCs w:val="24"/>
                <w:lang w:val="uk-UA" w:eastAsia="uk-UA"/>
              </w:rPr>
              <w:t xml:space="preserve">4. </w:t>
            </w:r>
            <w:r w:rsidR="00B709FE" w:rsidRPr="00B709FE">
              <w:rPr>
                <w:rFonts w:ascii="Times New Roman" w:eastAsia="Times New Roman" w:hAnsi="Times New Roman"/>
                <w:b/>
                <w:bCs/>
                <w:color w:val="333333"/>
                <w:sz w:val="24"/>
                <w:szCs w:val="24"/>
                <w:lang w:val="uk-UA" w:eastAsia="uk-UA"/>
              </w:rPr>
              <w:t xml:space="preserve">Розгляд планів розвитку, інвестиційних програм </w:t>
            </w:r>
            <w:r w:rsidR="00B709FE" w:rsidRPr="00CD697F">
              <w:rPr>
                <w:rFonts w:ascii="Times New Roman" w:eastAsia="Times New Roman" w:hAnsi="Times New Roman"/>
                <w:b/>
                <w:i/>
                <w:color w:val="333333"/>
                <w:sz w:val="24"/>
                <w:szCs w:val="24"/>
                <w:lang w:val="uk-UA" w:eastAsia="uk-UA"/>
              </w:rPr>
              <w:t>(інвестиційних проектів)</w:t>
            </w:r>
            <w:r w:rsidR="00B709FE">
              <w:rPr>
                <w:rFonts w:ascii="Times New Roman" w:eastAsia="Times New Roman" w:hAnsi="Times New Roman"/>
                <w:b/>
                <w:i/>
                <w:color w:val="333333"/>
                <w:sz w:val="24"/>
                <w:szCs w:val="24"/>
                <w:lang w:val="uk-UA" w:eastAsia="uk-UA"/>
              </w:rPr>
              <w:t xml:space="preserve"> </w:t>
            </w:r>
            <w:r w:rsidR="00B709FE" w:rsidRPr="00B709FE">
              <w:rPr>
                <w:rFonts w:ascii="Times New Roman" w:eastAsia="Times New Roman" w:hAnsi="Times New Roman"/>
                <w:b/>
                <w:bCs/>
                <w:color w:val="333333"/>
                <w:sz w:val="24"/>
                <w:szCs w:val="24"/>
                <w:lang w:val="uk-UA" w:eastAsia="uk-UA"/>
              </w:rPr>
              <w:t>НКРЕКП</w:t>
            </w:r>
          </w:p>
          <w:p w:rsidR="002E54B5" w:rsidRPr="00B462F3" w:rsidRDefault="004C5F8D" w:rsidP="004C5F8D">
            <w:pPr>
              <w:shd w:val="clear" w:color="auto" w:fill="FFFFFF"/>
              <w:spacing w:after="0" w:line="240" w:lineRule="auto"/>
              <w:ind w:firstLine="450"/>
              <w:jc w:val="both"/>
              <w:rPr>
                <w:rFonts w:ascii="Times New Roman" w:hAnsi="Times New Roman"/>
                <w:i/>
                <w:color w:val="000000"/>
                <w:sz w:val="24"/>
                <w:szCs w:val="24"/>
                <w:highlight w:val="green"/>
                <w:lang w:val="uk-UA" w:eastAsia="uk-UA"/>
              </w:rPr>
            </w:pPr>
            <w:r>
              <w:rPr>
                <w:rFonts w:ascii="Times New Roman" w:eastAsia="Times New Roman" w:hAnsi="Times New Roman"/>
                <w:color w:val="333333"/>
                <w:sz w:val="24"/>
                <w:szCs w:val="24"/>
                <w:lang w:val="uk-UA" w:eastAsia="uk-UA"/>
              </w:rPr>
              <w:t>…</w:t>
            </w:r>
          </w:p>
        </w:tc>
      </w:tr>
      <w:tr w:rsidR="00B468F7" w:rsidRPr="00B468F7" w:rsidTr="006327AF">
        <w:tc>
          <w:tcPr>
            <w:tcW w:w="7676" w:type="dxa"/>
            <w:shd w:val="clear" w:color="auto" w:fill="auto"/>
          </w:tcPr>
          <w:p w:rsidR="00B468F7"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504605">
              <w:rPr>
                <w:rFonts w:ascii="Times New Roman" w:eastAsia="Times New Roman" w:hAnsi="Times New Roman"/>
                <w:b/>
                <w:bCs/>
                <w:color w:val="333333"/>
                <w:sz w:val="24"/>
                <w:szCs w:val="24"/>
                <w:lang w:val="uk-UA" w:eastAsia="uk-UA"/>
              </w:rPr>
              <w:t xml:space="preserve">5. </w:t>
            </w:r>
            <w:r w:rsidR="00811628" w:rsidRPr="00811628">
              <w:rPr>
                <w:rFonts w:ascii="Times New Roman" w:eastAsia="Times New Roman" w:hAnsi="Times New Roman"/>
                <w:b/>
                <w:bCs/>
                <w:color w:val="333333"/>
                <w:sz w:val="24"/>
                <w:szCs w:val="24"/>
                <w:lang w:val="uk-UA" w:eastAsia="uk-UA"/>
              </w:rPr>
              <w:t>Внесення змін до планів розвитку, інвестиційних програм</w:t>
            </w:r>
          </w:p>
          <w:p w:rsidR="00811628" w:rsidRDefault="00811628" w:rsidP="00811628">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504605" w:rsidRPr="00504605" w:rsidRDefault="00504605"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B468F7" w:rsidRPr="00811628" w:rsidRDefault="00811628" w:rsidP="003246E3">
            <w:pPr>
              <w:shd w:val="clear" w:color="auto" w:fill="FFFFFF"/>
              <w:spacing w:after="0" w:line="240" w:lineRule="auto"/>
              <w:ind w:firstLine="450"/>
              <w:jc w:val="both"/>
              <w:rPr>
                <w:rFonts w:ascii="Times New Roman" w:hAnsi="Times New Roman"/>
                <w:color w:val="333333"/>
                <w:sz w:val="24"/>
                <w:szCs w:val="24"/>
                <w:lang w:val="uk-UA"/>
              </w:rPr>
            </w:pPr>
            <w:bookmarkStart w:id="21" w:name="n352"/>
            <w:bookmarkEnd w:id="21"/>
            <w:r w:rsidRPr="00811628">
              <w:rPr>
                <w:rFonts w:ascii="Times New Roman" w:hAnsi="Times New Roman"/>
                <w:color w:val="333333"/>
                <w:sz w:val="24"/>
                <w:szCs w:val="24"/>
                <w:lang w:val="uk-UA"/>
              </w:rPr>
              <w:t xml:space="preserve">5.3. У разі зміни обсягів фінансування на виконання заходів з незалежних від ліцензіата причин у розмірі до 5 % від запланованої загальної суми на такі заходи ліцензіат може самостійно зробити перерозподіл фінансування між окремими заходами в рамках одного розділу </w:t>
            </w:r>
            <w:r w:rsidRPr="00CD697F">
              <w:rPr>
                <w:rFonts w:ascii="Times New Roman" w:hAnsi="Times New Roman"/>
                <w:color w:val="333333"/>
                <w:sz w:val="24"/>
                <w:szCs w:val="24"/>
                <w:lang w:val="uk-UA"/>
              </w:rPr>
              <w:t>інвестиційної програми</w:t>
            </w:r>
            <w:r w:rsidRPr="00811628">
              <w:rPr>
                <w:rFonts w:ascii="Times New Roman" w:hAnsi="Times New Roman"/>
                <w:b/>
                <w:i/>
                <w:color w:val="333333"/>
                <w:sz w:val="24"/>
                <w:szCs w:val="24"/>
                <w:lang w:val="uk-UA"/>
              </w:rPr>
              <w:t>.</w:t>
            </w:r>
          </w:p>
          <w:p w:rsidR="00B468F7" w:rsidRPr="00A3425A" w:rsidRDefault="00504605" w:rsidP="001A780E">
            <w:pPr>
              <w:shd w:val="clear" w:color="auto" w:fill="FFFFFF"/>
              <w:spacing w:after="0" w:line="240" w:lineRule="auto"/>
              <w:ind w:firstLine="450"/>
              <w:jc w:val="both"/>
              <w:rPr>
                <w:rFonts w:ascii="Times New Roman" w:hAnsi="Times New Roman"/>
                <w:color w:val="333333"/>
                <w:sz w:val="24"/>
                <w:szCs w:val="24"/>
              </w:rPr>
            </w:pPr>
            <w:bookmarkStart w:id="22" w:name="n353"/>
            <w:bookmarkEnd w:id="22"/>
            <w:r>
              <w:rPr>
                <w:rFonts w:ascii="Times New Roman" w:hAnsi="Times New Roman"/>
                <w:color w:val="333333"/>
                <w:sz w:val="24"/>
                <w:szCs w:val="24"/>
                <w:lang w:val="uk-UA"/>
              </w:rPr>
              <w:t>…</w:t>
            </w:r>
            <w:bookmarkStart w:id="23" w:name="n481"/>
            <w:bookmarkStart w:id="24" w:name="n355"/>
            <w:bookmarkEnd w:id="23"/>
            <w:bookmarkEnd w:id="24"/>
          </w:p>
        </w:tc>
        <w:tc>
          <w:tcPr>
            <w:tcW w:w="7676" w:type="dxa"/>
            <w:shd w:val="clear" w:color="auto" w:fill="auto"/>
          </w:tcPr>
          <w:p w:rsidR="00504605" w:rsidRDefault="00504605" w:rsidP="003246E3">
            <w:pPr>
              <w:shd w:val="clear" w:color="auto" w:fill="FFFFFF"/>
              <w:spacing w:after="0" w:line="240" w:lineRule="auto"/>
              <w:jc w:val="center"/>
              <w:rPr>
                <w:rFonts w:ascii="Times New Roman" w:eastAsia="Times New Roman" w:hAnsi="Times New Roman"/>
                <w:b/>
                <w:i/>
                <w:color w:val="333333"/>
                <w:sz w:val="24"/>
                <w:szCs w:val="24"/>
                <w:lang w:val="uk-UA" w:eastAsia="uk-UA"/>
              </w:rPr>
            </w:pPr>
            <w:r w:rsidRPr="00504605">
              <w:rPr>
                <w:rFonts w:ascii="Times New Roman" w:eastAsia="Times New Roman" w:hAnsi="Times New Roman"/>
                <w:b/>
                <w:bCs/>
                <w:color w:val="333333"/>
                <w:sz w:val="24"/>
                <w:szCs w:val="24"/>
                <w:lang w:val="uk-UA" w:eastAsia="uk-UA"/>
              </w:rPr>
              <w:t xml:space="preserve">5. </w:t>
            </w:r>
            <w:r w:rsidR="00811628" w:rsidRPr="00811628">
              <w:rPr>
                <w:rFonts w:ascii="Times New Roman" w:eastAsia="Times New Roman" w:hAnsi="Times New Roman"/>
                <w:b/>
                <w:bCs/>
                <w:color w:val="333333"/>
                <w:sz w:val="24"/>
                <w:szCs w:val="24"/>
                <w:lang w:val="uk-UA" w:eastAsia="uk-UA"/>
              </w:rPr>
              <w:t>Внесення змін до планів розвитку, інвестиційних програм</w:t>
            </w:r>
            <w:r w:rsidR="00811628">
              <w:rPr>
                <w:rFonts w:ascii="Times New Roman" w:eastAsia="Times New Roman" w:hAnsi="Times New Roman"/>
                <w:b/>
                <w:bCs/>
                <w:color w:val="333333"/>
                <w:sz w:val="24"/>
                <w:szCs w:val="24"/>
                <w:lang w:val="uk-UA" w:eastAsia="uk-UA"/>
              </w:rPr>
              <w:t xml:space="preserve"> </w:t>
            </w:r>
            <w:r w:rsidR="00811628" w:rsidRPr="00CD697F">
              <w:rPr>
                <w:rFonts w:ascii="Times New Roman" w:eastAsia="Times New Roman" w:hAnsi="Times New Roman"/>
                <w:b/>
                <w:i/>
                <w:color w:val="333333"/>
                <w:sz w:val="24"/>
                <w:szCs w:val="24"/>
                <w:lang w:val="uk-UA" w:eastAsia="uk-UA"/>
              </w:rPr>
              <w:t>(інвестиційних проектів)</w:t>
            </w:r>
          </w:p>
          <w:p w:rsidR="00811628" w:rsidRDefault="00811628" w:rsidP="00811628">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504605" w:rsidRPr="00811628" w:rsidRDefault="00504605" w:rsidP="003246E3">
            <w:pPr>
              <w:shd w:val="clear" w:color="auto" w:fill="FFFFFF"/>
              <w:spacing w:after="0" w:line="240" w:lineRule="auto"/>
              <w:ind w:firstLine="450"/>
              <w:jc w:val="both"/>
              <w:rPr>
                <w:rFonts w:ascii="Times New Roman" w:hAnsi="Times New Roman"/>
                <w:color w:val="333333"/>
                <w:sz w:val="24"/>
                <w:szCs w:val="24"/>
                <w:lang w:val="uk-UA"/>
              </w:rPr>
            </w:pPr>
            <w:r w:rsidRPr="00811628">
              <w:rPr>
                <w:rFonts w:ascii="Times New Roman" w:hAnsi="Times New Roman"/>
                <w:color w:val="333333"/>
                <w:sz w:val="24"/>
                <w:szCs w:val="24"/>
                <w:lang w:val="uk-UA"/>
              </w:rPr>
              <w:t>5.</w:t>
            </w:r>
            <w:r w:rsidR="00811628">
              <w:rPr>
                <w:rFonts w:ascii="Times New Roman" w:hAnsi="Times New Roman"/>
                <w:color w:val="333333"/>
                <w:sz w:val="24"/>
                <w:szCs w:val="24"/>
                <w:lang w:val="uk-UA"/>
              </w:rPr>
              <w:t>3</w:t>
            </w:r>
            <w:r w:rsidRPr="00811628">
              <w:rPr>
                <w:rFonts w:ascii="Times New Roman" w:hAnsi="Times New Roman"/>
                <w:color w:val="333333"/>
                <w:sz w:val="24"/>
                <w:szCs w:val="24"/>
                <w:lang w:val="uk-UA"/>
              </w:rPr>
              <w:t xml:space="preserve">. </w:t>
            </w:r>
            <w:r w:rsidR="00811628" w:rsidRPr="00811628">
              <w:rPr>
                <w:rFonts w:ascii="Times New Roman" w:hAnsi="Times New Roman"/>
                <w:color w:val="333333"/>
                <w:sz w:val="24"/>
                <w:szCs w:val="24"/>
                <w:lang w:val="uk-UA"/>
              </w:rPr>
              <w:t xml:space="preserve">У разі зміни обсягів фінансування на виконання заходів з незалежних від ліцензіата причин у розмірі до 5 % від запланованої загальної суми на такі заходи ліцензіат може самостійно зробити перерозподіл фінансування між окремими заходами в рамках одного розділу </w:t>
            </w:r>
            <w:r w:rsidR="00811628" w:rsidRPr="00CD697F">
              <w:rPr>
                <w:rFonts w:ascii="Times New Roman" w:hAnsi="Times New Roman"/>
                <w:color w:val="333333"/>
                <w:sz w:val="24"/>
                <w:szCs w:val="24"/>
                <w:lang w:val="uk-UA"/>
              </w:rPr>
              <w:t>інвестиційної програми</w:t>
            </w:r>
            <w:r w:rsidR="00811628">
              <w:rPr>
                <w:rFonts w:ascii="Times New Roman" w:hAnsi="Times New Roman"/>
                <w:b/>
                <w:i/>
                <w:color w:val="333333"/>
                <w:sz w:val="24"/>
                <w:szCs w:val="24"/>
                <w:lang w:val="uk-UA"/>
              </w:rPr>
              <w:t xml:space="preserve"> </w:t>
            </w:r>
            <w:r w:rsidR="00811628" w:rsidRPr="00CD697F">
              <w:rPr>
                <w:rFonts w:ascii="Times New Roman" w:eastAsia="Times New Roman" w:hAnsi="Times New Roman"/>
                <w:b/>
                <w:i/>
                <w:color w:val="333333"/>
                <w:sz w:val="24"/>
                <w:szCs w:val="24"/>
                <w:lang w:val="uk-UA" w:eastAsia="uk-UA"/>
              </w:rPr>
              <w:t>(інвестиційного проекту)</w:t>
            </w:r>
            <w:r w:rsidR="00811628" w:rsidRPr="00811628">
              <w:rPr>
                <w:rFonts w:ascii="Times New Roman" w:hAnsi="Times New Roman"/>
                <w:b/>
                <w:i/>
                <w:color w:val="333333"/>
                <w:sz w:val="24"/>
                <w:szCs w:val="24"/>
                <w:lang w:val="uk-UA"/>
              </w:rPr>
              <w:t>.</w:t>
            </w:r>
          </w:p>
          <w:p w:rsidR="00B468F7" w:rsidRDefault="00504605" w:rsidP="001A780E">
            <w:pPr>
              <w:shd w:val="clear" w:color="auto" w:fill="FFFFFF"/>
              <w:spacing w:after="0" w:line="240" w:lineRule="auto"/>
              <w:ind w:firstLine="450"/>
              <w:jc w:val="both"/>
              <w:rPr>
                <w:rFonts w:ascii="Times New Roman" w:hAnsi="Times New Roman"/>
                <w:color w:val="333333"/>
                <w:sz w:val="24"/>
                <w:szCs w:val="24"/>
                <w:lang w:val="uk-UA"/>
              </w:rPr>
            </w:pPr>
            <w:r w:rsidRPr="0007313A">
              <w:rPr>
                <w:rFonts w:ascii="Times New Roman" w:hAnsi="Times New Roman"/>
                <w:color w:val="333333"/>
                <w:sz w:val="24"/>
                <w:szCs w:val="24"/>
                <w:lang w:val="uk-UA"/>
              </w:rPr>
              <w:t>…</w:t>
            </w:r>
          </w:p>
          <w:p w:rsidR="00CD697F" w:rsidRPr="00A3425A" w:rsidRDefault="00CD697F" w:rsidP="001A780E">
            <w:pPr>
              <w:shd w:val="clear" w:color="auto" w:fill="FFFFFF"/>
              <w:spacing w:after="0" w:line="240" w:lineRule="auto"/>
              <w:ind w:firstLine="450"/>
              <w:jc w:val="both"/>
              <w:rPr>
                <w:rFonts w:ascii="Times New Roman" w:hAnsi="Times New Roman"/>
                <w:color w:val="333333"/>
                <w:sz w:val="24"/>
                <w:szCs w:val="24"/>
              </w:rPr>
            </w:pPr>
          </w:p>
        </w:tc>
      </w:tr>
      <w:tr w:rsidR="001A780E" w:rsidRPr="00B468F7" w:rsidTr="006327AF">
        <w:tc>
          <w:tcPr>
            <w:tcW w:w="7676" w:type="dxa"/>
            <w:shd w:val="clear" w:color="auto" w:fill="auto"/>
          </w:tcPr>
          <w:p w:rsidR="001A780E" w:rsidRDefault="001A780E"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Pr>
                <w:rFonts w:ascii="Times New Roman" w:eastAsia="Times New Roman" w:hAnsi="Times New Roman"/>
                <w:b/>
                <w:bCs/>
                <w:color w:val="333333"/>
                <w:sz w:val="24"/>
                <w:szCs w:val="24"/>
                <w:lang w:val="uk-UA" w:eastAsia="uk-UA"/>
              </w:rPr>
              <w:t>6</w:t>
            </w:r>
            <w:r w:rsidRPr="00504605">
              <w:rPr>
                <w:rFonts w:ascii="Times New Roman" w:eastAsia="Times New Roman" w:hAnsi="Times New Roman"/>
                <w:b/>
                <w:bCs/>
                <w:color w:val="333333"/>
                <w:sz w:val="24"/>
                <w:szCs w:val="24"/>
                <w:lang w:val="uk-UA" w:eastAsia="uk-UA"/>
              </w:rPr>
              <w:t xml:space="preserve">. </w:t>
            </w:r>
            <w:r w:rsidRPr="001A780E">
              <w:rPr>
                <w:rFonts w:ascii="Times New Roman" w:eastAsia="Times New Roman" w:hAnsi="Times New Roman"/>
                <w:b/>
                <w:bCs/>
                <w:color w:val="333333"/>
                <w:sz w:val="24"/>
                <w:szCs w:val="24"/>
                <w:lang w:val="uk-UA" w:eastAsia="uk-UA"/>
              </w:rPr>
              <w:t>Виконання ІП (річних інвестиційних планів використання коштів у першому році ПР)</w:t>
            </w:r>
          </w:p>
          <w:p w:rsidR="006D659B" w:rsidRDefault="006D659B" w:rsidP="006D659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D659B" w:rsidRPr="00811628" w:rsidRDefault="006D659B" w:rsidP="006D659B">
            <w:pPr>
              <w:shd w:val="clear" w:color="auto" w:fill="FFFFFF"/>
              <w:spacing w:after="0" w:line="240" w:lineRule="auto"/>
              <w:ind w:firstLine="450"/>
              <w:jc w:val="both"/>
              <w:rPr>
                <w:rFonts w:ascii="Times New Roman" w:hAnsi="Times New Roman"/>
                <w:color w:val="333333"/>
                <w:sz w:val="24"/>
                <w:szCs w:val="24"/>
                <w:lang w:val="uk-UA"/>
              </w:rPr>
            </w:pPr>
            <w:r>
              <w:rPr>
                <w:rFonts w:ascii="Times New Roman" w:hAnsi="Times New Roman"/>
                <w:color w:val="333333"/>
                <w:sz w:val="24"/>
                <w:szCs w:val="24"/>
                <w:lang w:val="uk-UA"/>
              </w:rPr>
              <w:lastRenderedPageBreak/>
              <w:t>6</w:t>
            </w:r>
            <w:r w:rsidRPr="00811628">
              <w:rPr>
                <w:rFonts w:ascii="Times New Roman" w:hAnsi="Times New Roman"/>
                <w:color w:val="333333"/>
                <w:sz w:val="24"/>
                <w:szCs w:val="24"/>
                <w:lang w:val="uk-UA"/>
              </w:rPr>
              <w:t>.</w:t>
            </w:r>
            <w:r>
              <w:rPr>
                <w:rFonts w:ascii="Times New Roman" w:hAnsi="Times New Roman"/>
                <w:color w:val="333333"/>
                <w:sz w:val="24"/>
                <w:szCs w:val="24"/>
                <w:lang w:val="uk-UA"/>
              </w:rPr>
              <w:t>7</w:t>
            </w:r>
            <w:r w:rsidRPr="00811628">
              <w:rPr>
                <w:rFonts w:ascii="Times New Roman" w:hAnsi="Times New Roman"/>
                <w:color w:val="333333"/>
                <w:sz w:val="24"/>
                <w:szCs w:val="24"/>
                <w:lang w:val="uk-UA"/>
              </w:rPr>
              <w:t xml:space="preserve">. </w:t>
            </w:r>
            <w:r w:rsidRPr="001A780E">
              <w:rPr>
                <w:rFonts w:ascii="Times New Roman" w:hAnsi="Times New Roman"/>
                <w:color w:val="333333"/>
                <w:sz w:val="24"/>
                <w:szCs w:val="24"/>
                <w:lang w:val="uk-UA"/>
              </w:rPr>
              <w:t xml:space="preserve">У разі недофінансування заходів ІП (річного інвестиційного плану використання коштів у першому році ПР) звітного періоду з причин, незалежних від ліцензіата, ліцензіат може продовжити фінансування цих заходів до 30 січня наступного року за рахунок коштів, отриманих як джерело фінансування </w:t>
            </w:r>
            <w:r w:rsidRPr="00B521A2">
              <w:rPr>
                <w:rFonts w:ascii="Times New Roman" w:hAnsi="Times New Roman"/>
                <w:color w:val="333333"/>
                <w:sz w:val="24"/>
                <w:szCs w:val="24"/>
                <w:lang w:val="uk-UA"/>
              </w:rPr>
              <w:t>інвестиційної програми</w:t>
            </w:r>
            <w:r w:rsidRPr="001A780E">
              <w:rPr>
                <w:rFonts w:ascii="Times New Roman" w:hAnsi="Times New Roman"/>
                <w:color w:val="333333"/>
                <w:sz w:val="24"/>
                <w:szCs w:val="24"/>
                <w:lang w:val="uk-UA"/>
              </w:rPr>
              <w:t xml:space="preserve"> звітного періоду.</w:t>
            </w:r>
          </w:p>
          <w:p w:rsidR="006D659B" w:rsidRDefault="006D659B" w:rsidP="006D659B">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D659B" w:rsidRPr="00504605" w:rsidRDefault="006D659B"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tc>
        <w:tc>
          <w:tcPr>
            <w:tcW w:w="7676" w:type="dxa"/>
            <w:shd w:val="clear" w:color="auto" w:fill="auto"/>
          </w:tcPr>
          <w:p w:rsidR="001A780E" w:rsidRDefault="001A780E"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Pr>
                <w:rFonts w:ascii="Times New Roman" w:eastAsia="Times New Roman" w:hAnsi="Times New Roman"/>
                <w:b/>
                <w:bCs/>
                <w:color w:val="333333"/>
                <w:sz w:val="24"/>
                <w:szCs w:val="24"/>
                <w:lang w:val="uk-UA" w:eastAsia="uk-UA"/>
              </w:rPr>
              <w:lastRenderedPageBreak/>
              <w:t>6</w:t>
            </w:r>
            <w:r w:rsidRPr="00504605">
              <w:rPr>
                <w:rFonts w:ascii="Times New Roman" w:eastAsia="Times New Roman" w:hAnsi="Times New Roman"/>
                <w:b/>
                <w:bCs/>
                <w:color w:val="333333"/>
                <w:sz w:val="24"/>
                <w:szCs w:val="24"/>
                <w:lang w:val="uk-UA" w:eastAsia="uk-UA"/>
              </w:rPr>
              <w:t xml:space="preserve">. </w:t>
            </w:r>
            <w:r w:rsidRPr="001A780E">
              <w:rPr>
                <w:rFonts w:ascii="Times New Roman" w:eastAsia="Times New Roman" w:hAnsi="Times New Roman"/>
                <w:b/>
                <w:bCs/>
                <w:color w:val="333333"/>
                <w:sz w:val="24"/>
                <w:szCs w:val="24"/>
                <w:lang w:val="uk-UA" w:eastAsia="uk-UA"/>
              </w:rPr>
              <w:t>Виконання ІП (річних інвестиційних планів використання коштів у першому році ПР)</w:t>
            </w:r>
          </w:p>
          <w:p w:rsidR="001A780E" w:rsidRDefault="001A780E" w:rsidP="001A780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1A780E" w:rsidRPr="00811628" w:rsidRDefault="001A780E" w:rsidP="001A780E">
            <w:pPr>
              <w:shd w:val="clear" w:color="auto" w:fill="FFFFFF"/>
              <w:spacing w:after="0" w:line="240" w:lineRule="auto"/>
              <w:ind w:firstLine="450"/>
              <w:jc w:val="both"/>
              <w:rPr>
                <w:rFonts w:ascii="Times New Roman" w:hAnsi="Times New Roman"/>
                <w:color w:val="333333"/>
                <w:sz w:val="24"/>
                <w:szCs w:val="24"/>
                <w:lang w:val="uk-UA"/>
              </w:rPr>
            </w:pPr>
            <w:r>
              <w:rPr>
                <w:rFonts w:ascii="Times New Roman" w:hAnsi="Times New Roman"/>
                <w:color w:val="333333"/>
                <w:sz w:val="24"/>
                <w:szCs w:val="24"/>
                <w:lang w:val="uk-UA"/>
              </w:rPr>
              <w:lastRenderedPageBreak/>
              <w:t>6</w:t>
            </w:r>
            <w:r w:rsidRPr="00811628">
              <w:rPr>
                <w:rFonts w:ascii="Times New Roman" w:hAnsi="Times New Roman"/>
                <w:color w:val="333333"/>
                <w:sz w:val="24"/>
                <w:szCs w:val="24"/>
                <w:lang w:val="uk-UA"/>
              </w:rPr>
              <w:t>.</w:t>
            </w:r>
            <w:r>
              <w:rPr>
                <w:rFonts w:ascii="Times New Roman" w:hAnsi="Times New Roman"/>
                <w:color w:val="333333"/>
                <w:sz w:val="24"/>
                <w:szCs w:val="24"/>
                <w:lang w:val="uk-UA"/>
              </w:rPr>
              <w:t>7</w:t>
            </w:r>
            <w:r w:rsidRPr="00811628">
              <w:rPr>
                <w:rFonts w:ascii="Times New Roman" w:hAnsi="Times New Roman"/>
                <w:color w:val="333333"/>
                <w:sz w:val="24"/>
                <w:szCs w:val="24"/>
                <w:lang w:val="uk-UA"/>
              </w:rPr>
              <w:t xml:space="preserve">. </w:t>
            </w:r>
            <w:r w:rsidRPr="001A780E">
              <w:rPr>
                <w:rFonts w:ascii="Times New Roman" w:hAnsi="Times New Roman"/>
                <w:color w:val="333333"/>
                <w:sz w:val="24"/>
                <w:szCs w:val="24"/>
                <w:lang w:val="uk-UA"/>
              </w:rPr>
              <w:t xml:space="preserve">У разі недофінансування заходів ІП (річного інвестиційного плану використання коштів у першому році ПР) звітного періоду з причин, незалежних від ліцензіата, ліцензіат може продовжити фінансування цих заходів до 30 січня наступного року за рахунок коштів, отриманих як джерело фінансування інвестиційної програми </w:t>
            </w:r>
            <w:r w:rsidRPr="00B521A2">
              <w:rPr>
                <w:rFonts w:ascii="Times New Roman" w:eastAsia="Times New Roman" w:hAnsi="Times New Roman"/>
                <w:b/>
                <w:i/>
                <w:color w:val="333333"/>
                <w:sz w:val="24"/>
                <w:szCs w:val="24"/>
                <w:lang w:val="uk-UA" w:eastAsia="uk-UA"/>
              </w:rPr>
              <w:t>(інвестиційного проекту)</w:t>
            </w:r>
            <w:r>
              <w:rPr>
                <w:rFonts w:ascii="Times New Roman" w:hAnsi="Times New Roman"/>
                <w:b/>
                <w:i/>
                <w:color w:val="333333"/>
                <w:sz w:val="24"/>
                <w:szCs w:val="24"/>
                <w:lang w:val="uk-UA"/>
              </w:rPr>
              <w:t xml:space="preserve"> </w:t>
            </w:r>
            <w:r w:rsidRPr="001A780E">
              <w:rPr>
                <w:rFonts w:ascii="Times New Roman" w:hAnsi="Times New Roman"/>
                <w:color w:val="333333"/>
                <w:sz w:val="24"/>
                <w:szCs w:val="24"/>
                <w:lang w:val="uk-UA"/>
              </w:rPr>
              <w:t>звітного періоду.</w:t>
            </w:r>
          </w:p>
          <w:p w:rsidR="00BE125E" w:rsidRDefault="00BE125E" w:rsidP="00BE125E">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BE125E" w:rsidRPr="00504605" w:rsidRDefault="00BE125E" w:rsidP="001A780E">
            <w:pPr>
              <w:shd w:val="clear" w:color="auto" w:fill="FFFFFF"/>
              <w:spacing w:after="0" w:line="240" w:lineRule="auto"/>
              <w:jc w:val="center"/>
              <w:rPr>
                <w:rFonts w:ascii="Times New Roman" w:eastAsia="Times New Roman" w:hAnsi="Times New Roman"/>
                <w:b/>
                <w:bCs/>
                <w:color w:val="333333"/>
                <w:sz w:val="24"/>
                <w:szCs w:val="24"/>
                <w:lang w:val="uk-UA" w:eastAsia="uk-UA"/>
              </w:rPr>
            </w:pPr>
          </w:p>
        </w:tc>
      </w:tr>
    </w:tbl>
    <w:p w:rsidR="007D3FC5" w:rsidRPr="00421441" w:rsidRDefault="007D3FC5" w:rsidP="00D561FC">
      <w:pPr>
        <w:rPr>
          <w:lang w:val="uk-UA"/>
        </w:rPr>
      </w:pPr>
    </w:p>
    <w:sectPr w:rsidR="007D3FC5" w:rsidRPr="00421441" w:rsidSect="009F784D">
      <w:pgSz w:w="16838" w:h="11906" w:orient="landscape"/>
      <w:pgMar w:top="851" w:right="85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675B8"/>
    <w:multiLevelType w:val="multilevel"/>
    <w:tmpl w:val="48D22372"/>
    <w:lvl w:ilvl="0">
      <w:start w:val="1"/>
      <w:numFmt w:val="decimal"/>
      <w:lvlText w:val="%1."/>
      <w:lvlJc w:val="left"/>
      <w:pPr>
        <w:ind w:left="990" w:hanging="990"/>
      </w:pPr>
      <w:rPr>
        <w:rFonts w:hint="default"/>
      </w:rPr>
    </w:lvl>
    <w:lvl w:ilvl="1">
      <w:start w:val="1"/>
      <w:numFmt w:val="decimal"/>
      <w:lvlText w:val="%1.%2."/>
      <w:lvlJc w:val="left"/>
      <w:pPr>
        <w:ind w:left="1440" w:hanging="990"/>
      </w:pPr>
      <w:rPr>
        <w:rFonts w:hint="default"/>
      </w:rPr>
    </w:lvl>
    <w:lvl w:ilvl="2">
      <w:start w:val="1"/>
      <w:numFmt w:val="decimal"/>
      <w:lvlText w:val="%1.%2.%3."/>
      <w:lvlJc w:val="left"/>
      <w:pPr>
        <w:ind w:left="1890" w:hanging="990"/>
      </w:pPr>
      <w:rPr>
        <w:rFonts w:hint="default"/>
      </w:rPr>
    </w:lvl>
    <w:lvl w:ilvl="3">
      <w:start w:val="1"/>
      <w:numFmt w:val="decimal"/>
      <w:lvlText w:val="%1.%2.%3.%4."/>
      <w:lvlJc w:val="left"/>
      <w:pPr>
        <w:ind w:left="2340" w:hanging="99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 w15:restartNumberingAfterBreak="0">
    <w:nsid w:val="7FD557CA"/>
    <w:multiLevelType w:val="hybridMultilevel"/>
    <w:tmpl w:val="4D02CFD6"/>
    <w:lvl w:ilvl="0" w:tplc="61C8D58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65"/>
    <w:rsid w:val="0000398A"/>
    <w:rsid w:val="000040D1"/>
    <w:rsid w:val="00006EA9"/>
    <w:rsid w:val="000076BE"/>
    <w:rsid w:val="0001787E"/>
    <w:rsid w:val="00026F92"/>
    <w:rsid w:val="000307EA"/>
    <w:rsid w:val="000432A5"/>
    <w:rsid w:val="00045B57"/>
    <w:rsid w:val="0005165C"/>
    <w:rsid w:val="00055494"/>
    <w:rsid w:val="0007313A"/>
    <w:rsid w:val="00075C96"/>
    <w:rsid w:val="00077960"/>
    <w:rsid w:val="00093F38"/>
    <w:rsid w:val="000A567E"/>
    <w:rsid w:val="000A56F5"/>
    <w:rsid w:val="000A718E"/>
    <w:rsid w:val="000B27DB"/>
    <w:rsid w:val="000B6D8C"/>
    <w:rsid w:val="000C69CD"/>
    <w:rsid w:val="000D3323"/>
    <w:rsid w:val="000E6049"/>
    <w:rsid w:val="000F17E3"/>
    <w:rsid w:val="000F3456"/>
    <w:rsid w:val="000F6E28"/>
    <w:rsid w:val="00101BD3"/>
    <w:rsid w:val="00102E91"/>
    <w:rsid w:val="00113131"/>
    <w:rsid w:val="00116BE2"/>
    <w:rsid w:val="00124B8D"/>
    <w:rsid w:val="0012554A"/>
    <w:rsid w:val="00131801"/>
    <w:rsid w:val="0013324E"/>
    <w:rsid w:val="00133EA1"/>
    <w:rsid w:val="00144241"/>
    <w:rsid w:val="0014571B"/>
    <w:rsid w:val="0014789A"/>
    <w:rsid w:val="0015493D"/>
    <w:rsid w:val="00157C33"/>
    <w:rsid w:val="00167EBE"/>
    <w:rsid w:val="00174041"/>
    <w:rsid w:val="001770F4"/>
    <w:rsid w:val="001861B2"/>
    <w:rsid w:val="00186302"/>
    <w:rsid w:val="00191A8E"/>
    <w:rsid w:val="00194B0F"/>
    <w:rsid w:val="001A780E"/>
    <w:rsid w:val="001B1016"/>
    <w:rsid w:val="001B6D52"/>
    <w:rsid w:val="001C00CD"/>
    <w:rsid w:val="001D2783"/>
    <w:rsid w:val="001D79A2"/>
    <w:rsid w:val="001F18E9"/>
    <w:rsid w:val="001F231E"/>
    <w:rsid w:val="001F2B30"/>
    <w:rsid w:val="001F728E"/>
    <w:rsid w:val="002005A5"/>
    <w:rsid w:val="0022476E"/>
    <w:rsid w:val="00240B67"/>
    <w:rsid w:val="002413C4"/>
    <w:rsid w:val="002500DE"/>
    <w:rsid w:val="002514EF"/>
    <w:rsid w:val="002534B7"/>
    <w:rsid w:val="00253AE7"/>
    <w:rsid w:val="002620CB"/>
    <w:rsid w:val="002653FD"/>
    <w:rsid w:val="0027491F"/>
    <w:rsid w:val="0027559C"/>
    <w:rsid w:val="00276B9A"/>
    <w:rsid w:val="0028516B"/>
    <w:rsid w:val="002855E0"/>
    <w:rsid w:val="002911F6"/>
    <w:rsid w:val="002A6DED"/>
    <w:rsid w:val="002B0FA5"/>
    <w:rsid w:val="002B727B"/>
    <w:rsid w:val="002C3B36"/>
    <w:rsid w:val="002D2E76"/>
    <w:rsid w:val="002E4B26"/>
    <w:rsid w:val="002E54B5"/>
    <w:rsid w:val="002E76EC"/>
    <w:rsid w:val="002E780A"/>
    <w:rsid w:val="002F62EF"/>
    <w:rsid w:val="00301373"/>
    <w:rsid w:val="00302FE4"/>
    <w:rsid w:val="00303F15"/>
    <w:rsid w:val="00303F8B"/>
    <w:rsid w:val="00313CD2"/>
    <w:rsid w:val="0032284B"/>
    <w:rsid w:val="003246E3"/>
    <w:rsid w:val="00324818"/>
    <w:rsid w:val="0034211C"/>
    <w:rsid w:val="00347805"/>
    <w:rsid w:val="00390723"/>
    <w:rsid w:val="003A091C"/>
    <w:rsid w:val="003A1EC6"/>
    <w:rsid w:val="003A772C"/>
    <w:rsid w:val="003B0A8E"/>
    <w:rsid w:val="003B0B1F"/>
    <w:rsid w:val="003B52FD"/>
    <w:rsid w:val="003C548C"/>
    <w:rsid w:val="003D3912"/>
    <w:rsid w:val="003D4C88"/>
    <w:rsid w:val="003E0584"/>
    <w:rsid w:val="003E5543"/>
    <w:rsid w:val="003F014A"/>
    <w:rsid w:val="003F2314"/>
    <w:rsid w:val="003F6F1E"/>
    <w:rsid w:val="004017F3"/>
    <w:rsid w:val="00402458"/>
    <w:rsid w:val="004055E2"/>
    <w:rsid w:val="004127AE"/>
    <w:rsid w:val="00413485"/>
    <w:rsid w:val="0042124A"/>
    <w:rsid w:val="00421441"/>
    <w:rsid w:val="00434367"/>
    <w:rsid w:val="00443306"/>
    <w:rsid w:val="00464762"/>
    <w:rsid w:val="00464D33"/>
    <w:rsid w:val="0047366B"/>
    <w:rsid w:val="00487763"/>
    <w:rsid w:val="0049176C"/>
    <w:rsid w:val="00492593"/>
    <w:rsid w:val="00497704"/>
    <w:rsid w:val="004A152F"/>
    <w:rsid w:val="004B4D57"/>
    <w:rsid w:val="004C1042"/>
    <w:rsid w:val="004C2FA3"/>
    <w:rsid w:val="004C5F8D"/>
    <w:rsid w:val="004D453E"/>
    <w:rsid w:val="004D5505"/>
    <w:rsid w:val="004D763A"/>
    <w:rsid w:val="004D7BBF"/>
    <w:rsid w:val="004E512E"/>
    <w:rsid w:val="004E5F0C"/>
    <w:rsid w:val="004F0919"/>
    <w:rsid w:val="004F79BA"/>
    <w:rsid w:val="005023D9"/>
    <w:rsid w:val="00504605"/>
    <w:rsid w:val="00510073"/>
    <w:rsid w:val="0051373F"/>
    <w:rsid w:val="00533A2A"/>
    <w:rsid w:val="00547404"/>
    <w:rsid w:val="00551652"/>
    <w:rsid w:val="00560A2E"/>
    <w:rsid w:val="00571426"/>
    <w:rsid w:val="005717B0"/>
    <w:rsid w:val="0057426A"/>
    <w:rsid w:val="0057673C"/>
    <w:rsid w:val="00580D0A"/>
    <w:rsid w:val="00583762"/>
    <w:rsid w:val="00584E77"/>
    <w:rsid w:val="005857D3"/>
    <w:rsid w:val="005B1597"/>
    <w:rsid w:val="005B74C4"/>
    <w:rsid w:val="005C0F46"/>
    <w:rsid w:val="005C2B2A"/>
    <w:rsid w:val="005C59E5"/>
    <w:rsid w:val="005E2ADC"/>
    <w:rsid w:val="005E4379"/>
    <w:rsid w:val="005E4A37"/>
    <w:rsid w:val="00602567"/>
    <w:rsid w:val="00607AE3"/>
    <w:rsid w:val="006118D4"/>
    <w:rsid w:val="00614FB2"/>
    <w:rsid w:val="00621AE0"/>
    <w:rsid w:val="00622079"/>
    <w:rsid w:val="00622510"/>
    <w:rsid w:val="0063225E"/>
    <w:rsid w:val="006327AF"/>
    <w:rsid w:val="00634813"/>
    <w:rsid w:val="00637B79"/>
    <w:rsid w:val="00640A2F"/>
    <w:rsid w:val="00651141"/>
    <w:rsid w:val="00656773"/>
    <w:rsid w:val="0065681F"/>
    <w:rsid w:val="006678D3"/>
    <w:rsid w:val="006716B6"/>
    <w:rsid w:val="00673EE6"/>
    <w:rsid w:val="00675201"/>
    <w:rsid w:val="0067564E"/>
    <w:rsid w:val="00675765"/>
    <w:rsid w:val="00675C8B"/>
    <w:rsid w:val="00686176"/>
    <w:rsid w:val="006A041A"/>
    <w:rsid w:val="006A2C22"/>
    <w:rsid w:val="006A52DE"/>
    <w:rsid w:val="006B3BA8"/>
    <w:rsid w:val="006B488E"/>
    <w:rsid w:val="006C10E0"/>
    <w:rsid w:val="006C1EC4"/>
    <w:rsid w:val="006C77FF"/>
    <w:rsid w:val="006D5471"/>
    <w:rsid w:val="006D659B"/>
    <w:rsid w:val="006D6C8F"/>
    <w:rsid w:val="006D73FE"/>
    <w:rsid w:val="006E412C"/>
    <w:rsid w:val="006E51CC"/>
    <w:rsid w:val="006E685E"/>
    <w:rsid w:val="006E713B"/>
    <w:rsid w:val="006F1870"/>
    <w:rsid w:val="006F1E3C"/>
    <w:rsid w:val="006F5955"/>
    <w:rsid w:val="007070F6"/>
    <w:rsid w:val="00713A90"/>
    <w:rsid w:val="00716161"/>
    <w:rsid w:val="00722D93"/>
    <w:rsid w:val="00731BB7"/>
    <w:rsid w:val="0073243B"/>
    <w:rsid w:val="00735906"/>
    <w:rsid w:val="00735B4B"/>
    <w:rsid w:val="00735D6C"/>
    <w:rsid w:val="00744756"/>
    <w:rsid w:val="007538C8"/>
    <w:rsid w:val="007575C8"/>
    <w:rsid w:val="007733CA"/>
    <w:rsid w:val="00774EFA"/>
    <w:rsid w:val="007754C6"/>
    <w:rsid w:val="007769D6"/>
    <w:rsid w:val="00780792"/>
    <w:rsid w:val="0078745E"/>
    <w:rsid w:val="00790B49"/>
    <w:rsid w:val="00793EF4"/>
    <w:rsid w:val="0079498B"/>
    <w:rsid w:val="007A751C"/>
    <w:rsid w:val="007C2D53"/>
    <w:rsid w:val="007C4101"/>
    <w:rsid w:val="007C7130"/>
    <w:rsid w:val="007D0D63"/>
    <w:rsid w:val="007D3FC5"/>
    <w:rsid w:val="007E2D4E"/>
    <w:rsid w:val="007E64B6"/>
    <w:rsid w:val="007F787E"/>
    <w:rsid w:val="00801DF1"/>
    <w:rsid w:val="00804179"/>
    <w:rsid w:val="00811628"/>
    <w:rsid w:val="00821AA1"/>
    <w:rsid w:val="00825B14"/>
    <w:rsid w:val="008439E0"/>
    <w:rsid w:val="00851334"/>
    <w:rsid w:val="00851555"/>
    <w:rsid w:val="00856B71"/>
    <w:rsid w:val="0086689F"/>
    <w:rsid w:val="00871434"/>
    <w:rsid w:val="00874B7C"/>
    <w:rsid w:val="00883D3B"/>
    <w:rsid w:val="0089078C"/>
    <w:rsid w:val="00892B78"/>
    <w:rsid w:val="008A066C"/>
    <w:rsid w:val="008A0CB4"/>
    <w:rsid w:val="008B330D"/>
    <w:rsid w:val="008B631D"/>
    <w:rsid w:val="008C2DAB"/>
    <w:rsid w:val="008C7C51"/>
    <w:rsid w:val="008C7FC1"/>
    <w:rsid w:val="008D3CD3"/>
    <w:rsid w:val="008D3F24"/>
    <w:rsid w:val="008E125D"/>
    <w:rsid w:val="008E36FE"/>
    <w:rsid w:val="008E62D3"/>
    <w:rsid w:val="008E65D4"/>
    <w:rsid w:val="008F43B9"/>
    <w:rsid w:val="008F65B0"/>
    <w:rsid w:val="008F6911"/>
    <w:rsid w:val="008F6B24"/>
    <w:rsid w:val="00923601"/>
    <w:rsid w:val="00924409"/>
    <w:rsid w:val="00933823"/>
    <w:rsid w:val="009344BE"/>
    <w:rsid w:val="009359B2"/>
    <w:rsid w:val="0094492E"/>
    <w:rsid w:val="009459B2"/>
    <w:rsid w:val="009555BA"/>
    <w:rsid w:val="00957F10"/>
    <w:rsid w:val="00960C96"/>
    <w:rsid w:val="00962582"/>
    <w:rsid w:val="00964DB7"/>
    <w:rsid w:val="009657CB"/>
    <w:rsid w:val="009858A9"/>
    <w:rsid w:val="009951FA"/>
    <w:rsid w:val="00996B60"/>
    <w:rsid w:val="009970AD"/>
    <w:rsid w:val="009B2637"/>
    <w:rsid w:val="009B471E"/>
    <w:rsid w:val="009B4B58"/>
    <w:rsid w:val="009C057A"/>
    <w:rsid w:val="009C2C49"/>
    <w:rsid w:val="009D4C70"/>
    <w:rsid w:val="009D6F8C"/>
    <w:rsid w:val="009D73E9"/>
    <w:rsid w:val="009E3763"/>
    <w:rsid w:val="009F089E"/>
    <w:rsid w:val="009F4827"/>
    <w:rsid w:val="009F784D"/>
    <w:rsid w:val="00A014CF"/>
    <w:rsid w:val="00A03162"/>
    <w:rsid w:val="00A072ED"/>
    <w:rsid w:val="00A122DD"/>
    <w:rsid w:val="00A17FF8"/>
    <w:rsid w:val="00A3116E"/>
    <w:rsid w:val="00A324AD"/>
    <w:rsid w:val="00A3425A"/>
    <w:rsid w:val="00A3482E"/>
    <w:rsid w:val="00A36D80"/>
    <w:rsid w:val="00A40CD4"/>
    <w:rsid w:val="00A44EB1"/>
    <w:rsid w:val="00A513DA"/>
    <w:rsid w:val="00A54FFA"/>
    <w:rsid w:val="00A55791"/>
    <w:rsid w:val="00A564D2"/>
    <w:rsid w:val="00A63B19"/>
    <w:rsid w:val="00A65E63"/>
    <w:rsid w:val="00A74220"/>
    <w:rsid w:val="00A77202"/>
    <w:rsid w:val="00A8088D"/>
    <w:rsid w:val="00A80ABE"/>
    <w:rsid w:val="00A9503B"/>
    <w:rsid w:val="00A96A35"/>
    <w:rsid w:val="00A97955"/>
    <w:rsid w:val="00A97F9D"/>
    <w:rsid w:val="00AA0542"/>
    <w:rsid w:val="00AA197E"/>
    <w:rsid w:val="00AB0C46"/>
    <w:rsid w:val="00AC0CDA"/>
    <w:rsid w:val="00AC2C8E"/>
    <w:rsid w:val="00AD5EBD"/>
    <w:rsid w:val="00AD5FD9"/>
    <w:rsid w:val="00AF098A"/>
    <w:rsid w:val="00AF2213"/>
    <w:rsid w:val="00B03610"/>
    <w:rsid w:val="00B11CFF"/>
    <w:rsid w:val="00B17661"/>
    <w:rsid w:val="00B216D4"/>
    <w:rsid w:val="00B228D1"/>
    <w:rsid w:val="00B26962"/>
    <w:rsid w:val="00B26CAB"/>
    <w:rsid w:val="00B30DEC"/>
    <w:rsid w:val="00B36F98"/>
    <w:rsid w:val="00B44FE1"/>
    <w:rsid w:val="00B462F3"/>
    <w:rsid w:val="00B46366"/>
    <w:rsid w:val="00B468F7"/>
    <w:rsid w:val="00B521A2"/>
    <w:rsid w:val="00B56522"/>
    <w:rsid w:val="00B67973"/>
    <w:rsid w:val="00B709FE"/>
    <w:rsid w:val="00B725ED"/>
    <w:rsid w:val="00B73B0B"/>
    <w:rsid w:val="00B81301"/>
    <w:rsid w:val="00B818A1"/>
    <w:rsid w:val="00B82ED0"/>
    <w:rsid w:val="00B84FD6"/>
    <w:rsid w:val="00B92D44"/>
    <w:rsid w:val="00B947D7"/>
    <w:rsid w:val="00B970C1"/>
    <w:rsid w:val="00B9767D"/>
    <w:rsid w:val="00BA018E"/>
    <w:rsid w:val="00BA6598"/>
    <w:rsid w:val="00BA748C"/>
    <w:rsid w:val="00BC1E61"/>
    <w:rsid w:val="00BC244A"/>
    <w:rsid w:val="00BC26FF"/>
    <w:rsid w:val="00BC6C51"/>
    <w:rsid w:val="00BD7E65"/>
    <w:rsid w:val="00BE125E"/>
    <w:rsid w:val="00BE2DB2"/>
    <w:rsid w:val="00BE41A1"/>
    <w:rsid w:val="00BE7681"/>
    <w:rsid w:val="00BF1291"/>
    <w:rsid w:val="00BF5C62"/>
    <w:rsid w:val="00C00F8D"/>
    <w:rsid w:val="00C109D5"/>
    <w:rsid w:val="00C12143"/>
    <w:rsid w:val="00C121AF"/>
    <w:rsid w:val="00C1266E"/>
    <w:rsid w:val="00C12CBE"/>
    <w:rsid w:val="00C27F99"/>
    <w:rsid w:val="00C36616"/>
    <w:rsid w:val="00C41462"/>
    <w:rsid w:val="00C43012"/>
    <w:rsid w:val="00C4368D"/>
    <w:rsid w:val="00C44CE0"/>
    <w:rsid w:val="00C53925"/>
    <w:rsid w:val="00C53F80"/>
    <w:rsid w:val="00C550F1"/>
    <w:rsid w:val="00C56A73"/>
    <w:rsid w:val="00C715D2"/>
    <w:rsid w:val="00C7510F"/>
    <w:rsid w:val="00C75375"/>
    <w:rsid w:val="00C76C5C"/>
    <w:rsid w:val="00C81802"/>
    <w:rsid w:val="00C8287C"/>
    <w:rsid w:val="00C8715C"/>
    <w:rsid w:val="00C969BE"/>
    <w:rsid w:val="00CB375E"/>
    <w:rsid w:val="00CC049A"/>
    <w:rsid w:val="00CD0E90"/>
    <w:rsid w:val="00CD697F"/>
    <w:rsid w:val="00CD71EB"/>
    <w:rsid w:val="00CE2FA9"/>
    <w:rsid w:val="00CF107A"/>
    <w:rsid w:val="00CF2376"/>
    <w:rsid w:val="00CF324D"/>
    <w:rsid w:val="00CF3F87"/>
    <w:rsid w:val="00CF741F"/>
    <w:rsid w:val="00CF7897"/>
    <w:rsid w:val="00D12F8D"/>
    <w:rsid w:val="00D2553D"/>
    <w:rsid w:val="00D30276"/>
    <w:rsid w:val="00D364FA"/>
    <w:rsid w:val="00D475E0"/>
    <w:rsid w:val="00D56022"/>
    <w:rsid w:val="00D561FC"/>
    <w:rsid w:val="00D65AA3"/>
    <w:rsid w:val="00D72CB8"/>
    <w:rsid w:val="00D74A8C"/>
    <w:rsid w:val="00D75C41"/>
    <w:rsid w:val="00D807C2"/>
    <w:rsid w:val="00D813CD"/>
    <w:rsid w:val="00D97C19"/>
    <w:rsid w:val="00DA3C41"/>
    <w:rsid w:val="00DA7AF9"/>
    <w:rsid w:val="00DB43A0"/>
    <w:rsid w:val="00DB7EC6"/>
    <w:rsid w:val="00DC2887"/>
    <w:rsid w:val="00DC5344"/>
    <w:rsid w:val="00DD44B5"/>
    <w:rsid w:val="00DE0E99"/>
    <w:rsid w:val="00DE2653"/>
    <w:rsid w:val="00DE442B"/>
    <w:rsid w:val="00DF5924"/>
    <w:rsid w:val="00DF702D"/>
    <w:rsid w:val="00E07AC7"/>
    <w:rsid w:val="00E20320"/>
    <w:rsid w:val="00E20852"/>
    <w:rsid w:val="00E22AB3"/>
    <w:rsid w:val="00E22EE7"/>
    <w:rsid w:val="00E301AF"/>
    <w:rsid w:val="00E31F4E"/>
    <w:rsid w:val="00E35188"/>
    <w:rsid w:val="00E3597B"/>
    <w:rsid w:val="00E44B31"/>
    <w:rsid w:val="00E44D14"/>
    <w:rsid w:val="00E466F4"/>
    <w:rsid w:val="00E5656E"/>
    <w:rsid w:val="00E6378F"/>
    <w:rsid w:val="00E75248"/>
    <w:rsid w:val="00E752E9"/>
    <w:rsid w:val="00E85BED"/>
    <w:rsid w:val="00E9522D"/>
    <w:rsid w:val="00E965A9"/>
    <w:rsid w:val="00EA0B8E"/>
    <w:rsid w:val="00EA4D62"/>
    <w:rsid w:val="00EA5A63"/>
    <w:rsid w:val="00EA710F"/>
    <w:rsid w:val="00EC06F7"/>
    <w:rsid w:val="00EC0D7F"/>
    <w:rsid w:val="00ED330A"/>
    <w:rsid w:val="00ED4426"/>
    <w:rsid w:val="00ED5E8B"/>
    <w:rsid w:val="00EF1BB3"/>
    <w:rsid w:val="00EF3836"/>
    <w:rsid w:val="00EF5FAD"/>
    <w:rsid w:val="00EF6879"/>
    <w:rsid w:val="00F01CBE"/>
    <w:rsid w:val="00F02FF3"/>
    <w:rsid w:val="00F147AE"/>
    <w:rsid w:val="00F151FD"/>
    <w:rsid w:val="00F15781"/>
    <w:rsid w:val="00F15F9E"/>
    <w:rsid w:val="00F2003D"/>
    <w:rsid w:val="00F264AA"/>
    <w:rsid w:val="00F33F62"/>
    <w:rsid w:val="00F46C05"/>
    <w:rsid w:val="00F50EA0"/>
    <w:rsid w:val="00F577BF"/>
    <w:rsid w:val="00F60D25"/>
    <w:rsid w:val="00F6263B"/>
    <w:rsid w:val="00F64050"/>
    <w:rsid w:val="00F6573D"/>
    <w:rsid w:val="00F71E34"/>
    <w:rsid w:val="00F722A7"/>
    <w:rsid w:val="00F74B3E"/>
    <w:rsid w:val="00F758CE"/>
    <w:rsid w:val="00F76A5A"/>
    <w:rsid w:val="00F83E21"/>
    <w:rsid w:val="00FB4503"/>
    <w:rsid w:val="00FC2F8C"/>
    <w:rsid w:val="00FD3A9B"/>
    <w:rsid w:val="00FD3EA7"/>
    <w:rsid w:val="00FE35DF"/>
    <w:rsid w:val="00FE4C34"/>
    <w:rsid w:val="00FF2C91"/>
    <w:rsid w:val="00FF3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EE32E"/>
  <w15:docId w15:val="{B7410D93-436E-4D61-A8F6-DE53489D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7D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7E65"/>
    <w:pPr>
      <w:spacing w:after="0" w:line="240" w:lineRule="auto"/>
    </w:pPr>
    <w:rPr>
      <w:rFonts w:ascii="Tahoma" w:hAnsi="Tahoma"/>
      <w:sz w:val="16"/>
      <w:szCs w:val="16"/>
    </w:rPr>
  </w:style>
  <w:style w:type="character" w:customStyle="1" w:styleId="a4">
    <w:name w:val="Текст у виносці Знак"/>
    <w:link w:val="a3"/>
    <w:uiPriority w:val="99"/>
    <w:semiHidden/>
    <w:rsid w:val="00BD7E65"/>
    <w:rPr>
      <w:rFonts w:ascii="Tahoma" w:eastAsia="Calibri" w:hAnsi="Tahoma" w:cs="Tahoma"/>
      <w:sz w:val="16"/>
      <w:szCs w:val="16"/>
    </w:rPr>
  </w:style>
  <w:style w:type="paragraph" w:customStyle="1" w:styleId="body">
    <w:name w:val="body"/>
    <w:basedOn w:val="a"/>
    <w:rsid w:val="001B10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6">
    <w:name w:val="rvps6"/>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rsid w:val="00B92D44"/>
  </w:style>
  <w:style w:type="paragraph" w:customStyle="1" w:styleId="rvps7">
    <w:name w:val="rvps7"/>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15">
    <w:name w:val="rvts15"/>
    <w:rsid w:val="00B92D44"/>
  </w:style>
  <w:style w:type="paragraph" w:customStyle="1" w:styleId="rvps2">
    <w:name w:val="rvps2"/>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6">
    <w:name w:val="rvts46"/>
    <w:rsid w:val="00B92D44"/>
  </w:style>
  <w:style w:type="character" w:customStyle="1" w:styleId="rvts11">
    <w:name w:val="rvts11"/>
    <w:rsid w:val="00B92D44"/>
  </w:style>
  <w:style w:type="character" w:styleId="a5">
    <w:name w:val="Hyperlink"/>
    <w:uiPriority w:val="99"/>
    <w:semiHidden/>
    <w:unhideWhenUsed/>
    <w:rsid w:val="00B92D44"/>
    <w:rPr>
      <w:color w:val="0000FF"/>
      <w:u w:val="single"/>
    </w:rPr>
  </w:style>
  <w:style w:type="character" w:customStyle="1" w:styleId="rvts40">
    <w:name w:val="rvts40"/>
    <w:rsid w:val="00B92D44"/>
  </w:style>
  <w:style w:type="paragraph" w:customStyle="1" w:styleId="rvps12">
    <w:name w:val="rvps12"/>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11">
    <w:name w:val="rvps11"/>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14">
    <w:name w:val="rvps14"/>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37">
    <w:name w:val="rvts37"/>
    <w:rsid w:val="00B92D44"/>
  </w:style>
  <w:style w:type="paragraph" w:styleId="a6">
    <w:name w:val="annotation text"/>
    <w:basedOn w:val="a"/>
    <w:link w:val="a7"/>
    <w:uiPriority w:val="99"/>
    <w:semiHidden/>
    <w:unhideWhenUsed/>
    <w:rsid w:val="003E5543"/>
    <w:pPr>
      <w:spacing w:after="160" w:line="240" w:lineRule="auto"/>
    </w:pPr>
    <w:rPr>
      <w:sz w:val="20"/>
      <w:szCs w:val="20"/>
    </w:rPr>
  </w:style>
  <w:style w:type="character" w:customStyle="1" w:styleId="a7">
    <w:name w:val="Текст примітки Знак"/>
    <w:link w:val="a6"/>
    <w:uiPriority w:val="99"/>
    <w:semiHidden/>
    <w:rsid w:val="003E5543"/>
    <w:rPr>
      <w:lang w:eastAsia="en-US"/>
    </w:rPr>
  </w:style>
  <w:style w:type="character" w:styleId="a8">
    <w:name w:val="annotation reference"/>
    <w:semiHidden/>
    <w:unhideWhenUsed/>
    <w:rsid w:val="003E5543"/>
    <w:rPr>
      <w:sz w:val="16"/>
      <w:szCs w:val="16"/>
    </w:rPr>
  </w:style>
  <w:style w:type="character" w:styleId="a9">
    <w:name w:val="Placeholder Text"/>
    <w:basedOn w:val="a0"/>
    <w:uiPriority w:val="99"/>
    <w:semiHidden/>
    <w:rsid w:val="003F014A"/>
    <w:rPr>
      <w:color w:val="808080"/>
    </w:rPr>
  </w:style>
  <w:style w:type="paragraph" w:styleId="aa">
    <w:name w:val="List Paragraph"/>
    <w:basedOn w:val="a"/>
    <w:uiPriority w:val="34"/>
    <w:qFormat/>
    <w:rsid w:val="00B30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92750">
      <w:bodyDiv w:val="1"/>
      <w:marLeft w:val="0"/>
      <w:marRight w:val="0"/>
      <w:marTop w:val="0"/>
      <w:marBottom w:val="0"/>
      <w:divBdr>
        <w:top w:val="none" w:sz="0" w:space="0" w:color="auto"/>
        <w:left w:val="none" w:sz="0" w:space="0" w:color="auto"/>
        <w:bottom w:val="none" w:sz="0" w:space="0" w:color="auto"/>
        <w:right w:val="none" w:sz="0" w:space="0" w:color="auto"/>
      </w:divBdr>
    </w:div>
    <w:div w:id="299581182">
      <w:bodyDiv w:val="1"/>
      <w:marLeft w:val="0"/>
      <w:marRight w:val="0"/>
      <w:marTop w:val="0"/>
      <w:marBottom w:val="0"/>
      <w:divBdr>
        <w:top w:val="none" w:sz="0" w:space="0" w:color="auto"/>
        <w:left w:val="none" w:sz="0" w:space="0" w:color="auto"/>
        <w:bottom w:val="none" w:sz="0" w:space="0" w:color="auto"/>
        <w:right w:val="none" w:sz="0" w:space="0" w:color="auto"/>
      </w:divBdr>
      <w:divsChild>
        <w:div w:id="235095766">
          <w:marLeft w:val="0"/>
          <w:marRight w:val="0"/>
          <w:marTop w:val="0"/>
          <w:marBottom w:val="150"/>
          <w:divBdr>
            <w:top w:val="none" w:sz="0" w:space="0" w:color="auto"/>
            <w:left w:val="none" w:sz="0" w:space="0" w:color="auto"/>
            <w:bottom w:val="none" w:sz="0" w:space="0" w:color="auto"/>
            <w:right w:val="none" w:sz="0" w:space="0" w:color="auto"/>
          </w:divBdr>
        </w:div>
        <w:div w:id="358972353">
          <w:marLeft w:val="0"/>
          <w:marRight w:val="0"/>
          <w:marTop w:val="0"/>
          <w:marBottom w:val="150"/>
          <w:divBdr>
            <w:top w:val="none" w:sz="0" w:space="0" w:color="auto"/>
            <w:left w:val="none" w:sz="0" w:space="0" w:color="auto"/>
            <w:bottom w:val="none" w:sz="0" w:space="0" w:color="auto"/>
            <w:right w:val="none" w:sz="0" w:space="0" w:color="auto"/>
          </w:divBdr>
        </w:div>
        <w:div w:id="734936091">
          <w:marLeft w:val="0"/>
          <w:marRight w:val="0"/>
          <w:marTop w:val="0"/>
          <w:marBottom w:val="150"/>
          <w:divBdr>
            <w:top w:val="none" w:sz="0" w:space="0" w:color="auto"/>
            <w:left w:val="none" w:sz="0" w:space="0" w:color="auto"/>
            <w:bottom w:val="none" w:sz="0" w:space="0" w:color="auto"/>
            <w:right w:val="none" w:sz="0" w:space="0" w:color="auto"/>
          </w:divBdr>
        </w:div>
        <w:div w:id="1105272019">
          <w:marLeft w:val="0"/>
          <w:marRight w:val="0"/>
          <w:marTop w:val="0"/>
          <w:marBottom w:val="150"/>
          <w:divBdr>
            <w:top w:val="none" w:sz="0" w:space="0" w:color="auto"/>
            <w:left w:val="none" w:sz="0" w:space="0" w:color="auto"/>
            <w:bottom w:val="none" w:sz="0" w:space="0" w:color="auto"/>
            <w:right w:val="none" w:sz="0" w:space="0" w:color="auto"/>
          </w:divBdr>
        </w:div>
      </w:divsChild>
    </w:div>
    <w:div w:id="505634510">
      <w:bodyDiv w:val="1"/>
      <w:marLeft w:val="0"/>
      <w:marRight w:val="0"/>
      <w:marTop w:val="0"/>
      <w:marBottom w:val="0"/>
      <w:divBdr>
        <w:top w:val="none" w:sz="0" w:space="0" w:color="auto"/>
        <w:left w:val="none" w:sz="0" w:space="0" w:color="auto"/>
        <w:bottom w:val="none" w:sz="0" w:space="0" w:color="auto"/>
        <w:right w:val="none" w:sz="0" w:space="0" w:color="auto"/>
      </w:divBdr>
    </w:div>
    <w:div w:id="560096026">
      <w:bodyDiv w:val="1"/>
      <w:marLeft w:val="0"/>
      <w:marRight w:val="0"/>
      <w:marTop w:val="0"/>
      <w:marBottom w:val="0"/>
      <w:divBdr>
        <w:top w:val="none" w:sz="0" w:space="0" w:color="auto"/>
        <w:left w:val="none" w:sz="0" w:space="0" w:color="auto"/>
        <w:bottom w:val="none" w:sz="0" w:space="0" w:color="auto"/>
        <w:right w:val="none" w:sz="0" w:space="0" w:color="auto"/>
      </w:divBdr>
    </w:div>
    <w:div w:id="1626812369">
      <w:bodyDiv w:val="1"/>
      <w:marLeft w:val="0"/>
      <w:marRight w:val="0"/>
      <w:marTop w:val="0"/>
      <w:marBottom w:val="0"/>
      <w:divBdr>
        <w:top w:val="none" w:sz="0" w:space="0" w:color="auto"/>
        <w:left w:val="none" w:sz="0" w:space="0" w:color="auto"/>
        <w:bottom w:val="none" w:sz="0" w:space="0" w:color="auto"/>
        <w:right w:val="none" w:sz="0" w:space="0" w:color="auto"/>
      </w:divBdr>
      <w:divsChild>
        <w:div w:id="101195884">
          <w:marLeft w:val="0"/>
          <w:marRight w:val="0"/>
          <w:marTop w:val="0"/>
          <w:marBottom w:val="150"/>
          <w:divBdr>
            <w:top w:val="none" w:sz="0" w:space="0" w:color="auto"/>
            <w:left w:val="none" w:sz="0" w:space="0" w:color="auto"/>
            <w:bottom w:val="none" w:sz="0" w:space="0" w:color="auto"/>
            <w:right w:val="none" w:sz="0" w:space="0" w:color="auto"/>
          </w:divBdr>
        </w:div>
        <w:div w:id="175996195">
          <w:marLeft w:val="0"/>
          <w:marRight w:val="0"/>
          <w:marTop w:val="0"/>
          <w:marBottom w:val="150"/>
          <w:divBdr>
            <w:top w:val="none" w:sz="0" w:space="0" w:color="auto"/>
            <w:left w:val="none" w:sz="0" w:space="0" w:color="auto"/>
            <w:bottom w:val="none" w:sz="0" w:space="0" w:color="auto"/>
            <w:right w:val="none" w:sz="0" w:space="0" w:color="auto"/>
          </w:divBdr>
        </w:div>
        <w:div w:id="681665645">
          <w:marLeft w:val="0"/>
          <w:marRight w:val="0"/>
          <w:marTop w:val="0"/>
          <w:marBottom w:val="150"/>
          <w:divBdr>
            <w:top w:val="none" w:sz="0" w:space="0" w:color="auto"/>
            <w:left w:val="none" w:sz="0" w:space="0" w:color="auto"/>
            <w:bottom w:val="none" w:sz="0" w:space="0" w:color="auto"/>
            <w:right w:val="none" w:sz="0" w:space="0" w:color="auto"/>
          </w:divBdr>
        </w:div>
        <w:div w:id="1507477745">
          <w:marLeft w:val="0"/>
          <w:marRight w:val="0"/>
          <w:marTop w:val="0"/>
          <w:marBottom w:val="150"/>
          <w:divBdr>
            <w:top w:val="none" w:sz="0" w:space="0" w:color="auto"/>
            <w:left w:val="none" w:sz="0" w:space="0" w:color="auto"/>
            <w:bottom w:val="none" w:sz="0" w:space="0" w:color="auto"/>
            <w:right w:val="none" w:sz="0" w:space="0" w:color="auto"/>
          </w:divBdr>
        </w:div>
      </w:divsChild>
    </w:div>
    <w:div w:id="1983731474">
      <w:bodyDiv w:val="1"/>
      <w:marLeft w:val="0"/>
      <w:marRight w:val="0"/>
      <w:marTop w:val="0"/>
      <w:marBottom w:val="0"/>
      <w:divBdr>
        <w:top w:val="none" w:sz="0" w:space="0" w:color="auto"/>
        <w:left w:val="none" w:sz="0" w:space="0" w:color="auto"/>
        <w:bottom w:val="none" w:sz="0" w:space="0" w:color="auto"/>
        <w:right w:val="none" w:sz="0" w:space="0" w:color="auto"/>
      </w:divBdr>
      <w:divsChild>
        <w:div w:id="46153753">
          <w:marLeft w:val="0"/>
          <w:marRight w:val="0"/>
          <w:marTop w:val="0"/>
          <w:marBottom w:val="150"/>
          <w:divBdr>
            <w:top w:val="none" w:sz="0" w:space="0" w:color="auto"/>
            <w:left w:val="none" w:sz="0" w:space="0" w:color="auto"/>
            <w:bottom w:val="none" w:sz="0" w:space="0" w:color="auto"/>
            <w:right w:val="none" w:sz="0" w:space="0" w:color="auto"/>
          </w:divBdr>
        </w:div>
        <w:div w:id="216285969">
          <w:marLeft w:val="0"/>
          <w:marRight w:val="0"/>
          <w:marTop w:val="0"/>
          <w:marBottom w:val="150"/>
          <w:divBdr>
            <w:top w:val="none" w:sz="0" w:space="0" w:color="auto"/>
            <w:left w:val="none" w:sz="0" w:space="0" w:color="auto"/>
            <w:bottom w:val="none" w:sz="0" w:space="0" w:color="auto"/>
            <w:right w:val="none" w:sz="0" w:space="0" w:color="auto"/>
          </w:divBdr>
        </w:div>
        <w:div w:id="1695840112">
          <w:marLeft w:val="0"/>
          <w:marRight w:val="0"/>
          <w:marTop w:val="0"/>
          <w:marBottom w:val="150"/>
          <w:divBdr>
            <w:top w:val="none" w:sz="0" w:space="0" w:color="auto"/>
            <w:left w:val="none" w:sz="0" w:space="0" w:color="auto"/>
            <w:bottom w:val="none" w:sz="0" w:space="0" w:color="auto"/>
            <w:right w:val="none" w:sz="0" w:space="0" w:color="auto"/>
          </w:divBdr>
        </w:div>
        <w:div w:id="209265692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B1C2C-E493-46AB-9D37-42FD76CF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1976</Words>
  <Characters>11266</Characters>
  <Application>Microsoft Office Word</Application>
  <DocSecurity>0</DocSecurity>
  <Lines>93</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13216</CharactersWithSpaces>
  <SharedDoc>false</SharedDoc>
  <HLinks>
    <vt:vector size="30" baseType="variant">
      <vt:variant>
        <vt:i4>3014696</vt:i4>
      </vt:variant>
      <vt:variant>
        <vt:i4>15</vt:i4>
      </vt:variant>
      <vt:variant>
        <vt:i4>0</vt:i4>
      </vt:variant>
      <vt:variant>
        <vt:i4>5</vt:i4>
      </vt:variant>
      <vt:variant>
        <vt:lpwstr>https://zakon.rada.gov.ua/laws/show/z0593-16/print</vt:lpwstr>
      </vt:variant>
      <vt:variant>
        <vt:lpwstr>n349</vt:lpwstr>
      </vt:variant>
      <vt:variant>
        <vt:i4>2490408</vt:i4>
      </vt:variant>
      <vt:variant>
        <vt:i4>12</vt:i4>
      </vt:variant>
      <vt:variant>
        <vt:i4>0</vt:i4>
      </vt:variant>
      <vt:variant>
        <vt:i4>5</vt:i4>
      </vt:variant>
      <vt:variant>
        <vt:lpwstr>https://zakon.rada.gov.ua/laws/show/z0593-16/print</vt:lpwstr>
      </vt:variant>
      <vt:variant>
        <vt:lpwstr>n341</vt:lpwstr>
      </vt:variant>
      <vt:variant>
        <vt:i4>3014696</vt:i4>
      </vt:variant>
      <vt:variant>
        <vt:i4>9</vt:i4>
      </vt:variant>
      <vt:variant>
        <vt:i4>0</vt:i4>
      </vt:variant>
      <vt:variant>
        <vt:i4>5</vt:i4>
      </vt:variant>
      <vt:variant>
        <vt:lpwstr>https://zakon.rada.gov.ua/laws/show/z0593-16/print</vt:lpwstr>
      </vt:variant>
      <vt:variant>
        <vt:lpwstr>n349</vt:lpwstr>
      </vt:variant>
      <vt:variant>
        <vt:i4>2490408</vt:i4>
      </vt:variant>
      <vt:variant>
        <vt:i4>6</vt:i4>
      </vt:variant>
      <vt:variant>
        <vt:i4>0</vt:i4>
      </vt:variant>
      <vt:variant>
        <vt:i4>5</vt:i4>
      </vt:variant>
      <vt:variant>
        <vt:lpwstr>https://zakon.rada.gov.ua/laws/show/z0593-16/print</vt:lpwstr>
      </vt:variant>
      <vt:variant>
        <vt:lpwstr>n341</vt:lpwstr>
      </vt:variant>
      <vt:variant>
        <vt:i4>2359341</vt:i4>
      </vt:variant>
      <vt:variant>
        <vt:i4>0</vt:i4>
      </vt:variant>
      <vt:variant>
        <vt:i4>0</vt:i4>
      </vt:variant>
      <vt:variant>
        <vt:i4>5</vt:i4>
      </vt:variant>
      <vt:variant>
        <vt:lpwstr>https://zakon.rada.gov.ua/laws/show/z0593-16/print</vt:lpwstr>
      </vt:variant>
      <vt:variant>
        <vt:lpwstr>n212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Монастирук Богдан Валерійович</dc:creator>
  <cp:lastModifiedBy>Богдан Монастирук</cp:lastModifiedBy>
  <cp:revision>75</cp:revision>
  <cp:lastPrinted>2023-02-17T10:56:00Z</cp:lastPrinted>
  <dcterms:created xsi:type="dcterms:W3CDTF">2023-07-04T09:01:00Z</dcterms:created>
  <dcterms:modified xsi:type="dcterms:W3CDTF">2023-08-29T10:21:00Z</dcterms:modified>
</cp:coreProperties>
</file>