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F5F" w:rsidRPr="00C50285" w:rsidRDefault="00575F5F" w:rsidP="00C50285">
      <w:pPr>
        <w:spacing w:after="0" w:line="240" w:lineRule="auto"/>
        <w:ind w:firstLine="709"/>
        <w:jc w:val="center"/>
        <w:rPr>
          <w:rFonts w:ascii="Times New Roman" w:hAnsi="Times New Roman" w:cs="Times New Roman"/>
          <w:b/>
          <w:sz w:val="28"/>
          <w:szCs w:val="28"/>
        </w:rPr>
      </w:pPr>
      <w:r w:rsidRPr="00C50285">
        <w:rPr>
          <w:rFonts w:ascii="Times New Roman" w:hAnsi="Times New Roman" w:cs="Times New Roman"/>
          <w:b/>
          <w:sz w:val="28"/>
          <w:szCs w:val="28"/>
        </w:rPr>
        <w:t xml:space="preserve">Порівняльна таблиця до </w:t>
      </w:r>
      <w:proofErr w:type="spellStart"/>
      <w:r w:rsidRPr="00C50285">
        <w:rPr>
          <w:rFonts w:ascii="Times New Roman" w:hAnsi="Times New Roman" w:cs="Times New Roman"/>
          <w:b/>
          <w:sz w:val="28"/>
          <w:szCs w:val="28"/>
        </w:rPr>
        <w:t>проєкту</w:t>
      </w:r>
      <w:proofErr w:type="spellEnd"/>
      <w:r w:rsidRPr="00C50285">
        <w:rPr>
          <w:rFonts w:ascii="Times New Roman" w:hAnsi="Times New Roman" w:cs="Times New Roman"/>
          <w:b/>
          <w:sz w:val="28"/>
          <w:szCs w:val="28"/>
        </w:rPr>
        <w:t xml:space="preserve"> постанови НКРЕКП</w:t>
      </w:r>
    </w:p>
    <w:p w:rsidR="00F124CA" w:rsidRPr="00C50285" w:rsidRDefault="00575F5F" w:rsidP="00C50285">
      <w:pPr>
        <w:spacing w:after="0" w:line="240" w:lineRule="auto"/>
        <w:ind w:firstLine="709"/>
        <w:jc w:val="center"/>
        <w:rPr>
          <w:rFonts w:ascii="Times New Roman" w:hAnsi="Times New Roman" w:cs="Times New Roman"/>
          <w:b/>
          <w:sz w:val="28"/>
          <w:szCs w:val="28"/>
        </w:rPr>
      </w:pPr>
      <w:r w:rsidRPr="00C50285">
        <w:rPr>
          <w:rFonts w:ascii="Times New Roman" w:hAnsi="Times New Roman" w:cs="Times New Roman"/>
          <w:b/>
          <w:bCs/>
          <w:sz w:val="28"/>
          <w:szCs w:val="28"/>
        </w:rPr>
        <w:t>«</w:t>
      </w:r>
      <w:r w:rsidR="00EE1106" w:rsidRPr="00C50285">
        <w:rPr>
          <w:rFonts w:ascii="Times New Roman" w:hAnsi="Times New Roman" w:cs="Times New Roman"/>
          <w:b/>
          <w:sz w:val="28"/>
          <w:szCs w:val="27"/>
        </w:rPr>
        <w:t xml:space="preserve">Про </w:t>
      </w:r>
      <w:r w:rsidR="001835A6">
        <w:rPr>
          <w:rFonts w:ascii="Times New Roman" w:hAnsi="Times New Roman" w:cs="Times New Roman"/>
          <w:b/>
          <w:sz w:val="28"/>
          <w:szCs w:val="27"/>
        </w:rPr>
        <w:t>внесення змін до Кодексу газорозподільних систем</w:t>
      </w:r>
      <w:r w:rsidRPr="00C50285">
        <w:rPr>
          <w:rFonts w:ascii="Times New Roman" w:hAnsi="Times New Roman" w:cs="Times New Roman"/>
          <w:b/>
          <w:sz w:val="28"/>
          <w:szCs w:val="28"/>
        </w:rPr>
        <w:t>»</w:t>
      </w:r>
      <w:r w:rsidR="00F124CA" w:rsidRPr="00C50285">
        <w:rPr>
          <w:rFonts w:ascii="Times New Roman" w:hAnsi="Times New Roman" w:cs="Times New Roman"/>
          <w:b/>
          <w:sz w:val="28"/>
          <w:szCs w:val="28"/>
        </w:rPr>
        <w:t xml:space="preserve">, що має ознаки регуляторного </w:t>
      </w:r>
      <w:proofErr w:type="spellStart"/>
      <w:r w:rsidR="00F124CA" w:rsidRPr="00C50285">
        <w:rPr>
          <w:rFonts w:ascii="Times New Roman" w:hAnsi="Times New Roman" w:cs="Times New Roman"/>
          <w:b/>
          <w:sz w:val="28"/>
          <w:szCs w:val="28"/>
        </w:rPr>
        <w:t>акта</w:t>
      </w:r>
      <w:proofErr w:type="spellEnd"/>
    </w:p>
    <w:p w:rsidR="00DF0C3E" w:rsidRPr="00C50285" w:rsidRDefault="00DF0C3E" w:rsidP="00C50285">
      <w:pPr>
        <w:spacing w:after="0" w:line="240" w:lineRule="auto"/>
        <w:ind w:firstLine="709"/>
        <w:rPr>
          <w:rFonts w:ascii="Times New Roman" w:hAnsi="Times New Roman" w:cs="Times New Roman"/>
        </w:rPr>
      </w:pPr>
    </w:p>
    <w:tbl>
      <w:tblPr>
        <w:tblStyle w:val="a3"/>
        <w:tblW w:w="0" w:type="auto"/>
        <w:tblLook w:val="04A0" w:firstRow="1" w:lastRow="0" w:firstColumn="1" w:lastColumn="0" w:noHBand="0" w:noVBand="1"/>
      </w:tblPr>
      <w:tblGrid>
        <w:gridCol w:w="7564"/>
        <w:gridCol w:w="7564"/>
      </w:tblGrid>
      <w:tr w:rsidR="00C50285" w:rsidRPr="00C50285" w:rsidTr="00364413">
        <w:tc>
          <w:tcPr>
            <w:tcW w:w="7564" w:type="dxa"/>
          </w:tcPr>
          <w:p w:rsidR="00984185" w:rsidRPr="00C50285" w:rsidRDefault="00575F5F" w:rsidP="00C50285">
            <w:pPr>
              <w:tabs>
                <w:tab w:val="left" w:pos="252"/>
                <w:tab w:val="center" w:pos="3674"/>
              </w:tabs>
              <w:ind w:firstLine="709"/>
              <w:jc w:val="center"/>
              <w:rPr>
                <w:rFonts w:ascii="Times New Roman" w:hAnsi="Times New Roman" w:cs="Times New Roman"/>
                <w:b/>
                <w:i/>
                <w:sz w:val="24"/>
                <w:szCs w:val="24"/>
              </w:rPr>
            </w:pPr>
            <w:bookmarkStart w:id="0" w:name="_Hlk70060069"/>
            <w:r w:rsidRPr="00C50285">
              <w:rPr>
                <w:rFonts w:ascii="Times New Roman" w:hAnsi="Times New Roman" w:cs="Times New Roman"/>
                <w:b/>
                <w:i/>
                <w:sz w:val="24"/>
                <w:szCs w:val="24"/>
              </w:rPr>
              <w:t xml:space="preserve">ПОЛОЖЕННЯ ДІЮЧОЇ </w:t>
            </w:r>
            <w:r w:rsidR="00C02591" w:rsidRPr="00C50285">
              <w:rPr>
                <w:rFonts w:ascii="Times New Roman" w:hAnsi="Times New Roman" w:cs="Times New Roman"/>
                <w:b/>
                <w:i/>
                <w:sz w:val="24"/>
                <w:szCs w:val="24"/>
              </w:rPr>
              <w:t xml:space="preserve">РЕДАКЦІЇ </w:t>
            </w:r>
          </w:p>
          <w:p w:rsidR="00575F5F" w:rsidRPr="00C50285" w:rsidRDefault="00C02591" w:rsidP="00C50285">
            <w:pPr>
              <w:tabs>
                <w:tab w:val="left" w:pos="252"/>
                <w:tab w:val="center" w:pos="3674"/>
              </w:tabs>
              <w:ind w:firstLine="709"/>
              <w:jc w:val="center"/>
              <w:rPr>
                <w:rFonts w:ascii="Times New Roman" w:hAnsi="Times New Roman" w:cs="Times New Roman"/>
                <w:b/>
                <w:sz w:val="24"/>
                <w:szCs w:val="24"/>
              </w:rPr>
            </w:pPr>
            <w:r w:rsidRPr="00C50285">
              <w:rPr>
                <w:rFonts w:ascii="Times New Roman" w:hAnsi="Times New Roman" w:cs="Times New Roman"/>
                <w:b/>
                <w:i/>
                <w:sz w:val="24"/>
                <w:szCs w:val="24"/>
              </w:rPr>
              <w:t>НОРМАТИВНО-ПРАВОВОГО АКТА</w:t>
            </w:r>
          </w:p>
        </w:tc>
        <w:tc>
          <w:tcPr>
            <w:tcW w:w="7564" w:type="dxa"/>
          </w:tcPr>
          <w:p w:rsidR="00575F5F" w:rsidRPr="00C50285" w:rsidRDefault="00575F5F" w:rsidP="00C50285">
            <w:pPr>
              <w:ind w:firstLine="709"/>
              <w:jc w:val="center"/>
              <w:rPr>
                <w:rFonts w:ascii="Times New Roman" w:hAnsi="Times New Roman" w:cs="Times New Roman"/>
                <w:b/>
                <w:sz w:val="24"/>
                <w:szCs w:val="24"/>
              </w:rPr>
            </w:pPr>
            <w:r w:rsidRPr="00C50285">
              <w:rPr>
                <w:rFonts w:ascii="Times New Roman" w:eastAsia="Times New Roman" w:hAnsi="Times New Roman" w:cs="Times New Roman"/>
                <w:b/>
                <w:i/>
                <w:sz w:val="24"/>
                <w:szCs w:val="24"/>
                <w:lang w:eastAsia="uk-UA"/>
              </w:rPr>
              <w:t>ЗМІСТ ПОЛОЖЕНЬ ПРОЄКТУ ПОСТАНОВИ</w:t>
            </w:r>
          </w:p>
        </w:tc>
      </w:tr>
      <w:tr w:rsidR="00C50285" w:rsidRPr="00C50285" w:rsidTr="00364413">
        <w:tc>
          <w:tcPr>
            <w:tcW w:w="7564" w:type="dxa"/>
          </w:tcPr>
          <w:p w:rsidR="009249D7" w:rsidRPr="00C50285" w:rsidRDefault="00066703" w:rsidP="00C50285">
            <w:pPr>
              <w:tabs>
                <w:tab w:val="left" w:pos="252"/>
                <w:tab w:val="center" w:pos="3674"/>
              </w:tabs>
              <w:ind w:firstLine="709"/>
              <w:jc w:val="center"/>
              <w:rPr>
                <w:rFonts w:ascii="Times New Roman" w:hAnsi="Times New Roman" w:cs="Times New Roman"/>
                <w:b/>
                <w:i/>
                <w:sz w:val="24"/>
                <w:szCs w:val="24"/>
              </w:rPr>
            </w:pPr>
            <w:r w:rsidRPr="00C50285">
              <w:rPr>
                <w:rFonts w:ascii="Times New Roman" w:hAnsi="Times New Roman" w:cs="Times New Roman"/>
                <w:b/>
                <w:i/>
                <w:sz w:val="24"/>
                <w:szCs w:val="24"/>
              </w:rPr>
              <w:t>КОДЕКС Г</w:t>
            </w:r>
            <w:r w:rsidR="001835A6">
              <w:rPr>
                <w:rFonts w:ascii="Times New Roman" w:hAnsi="Times New Roman" w:cs="Times New Roman"/>
                <w:b/>
                <w:i/>
                <w:sz w:val="24"/>
                <w:szCs w:val="24"/>
              </w:rPr>
              <w:t>АЗОРОЗПОДІЛЬН</w:t>
            </w:r>
            <w:r w:rsidR="002F78C9">
              <w:rPr>
                <w:rFonts w:ascii="Times New Roman" w:hAnsi="Times New Roman" w:cs="Times New Roman"/>
                <w:b/>
                <w:i/>
                <w:sz w:val="24"/>
                <w:szCs w:val="24"/>
              </w:rPr>
              <w:t>ИХ</w:t>
            </w:r>
            <w:r w:rsidRPr="00C50285">
              <w:rPr>
                <w:rFonts w:ascii="Times New Roman" w:hAnsi="Times New Roman" w:cs="Times New Roman"/>
                <w:b/>
                <w:i/>
                <w:sz w:val="24"/>
                <w:szCs w:val="24"/>
              </w:rPr>
              <w:t xml:space="preserve"> СИСТЕМИ</w:t>
            </w:r>
          </w:p>
        </w:tc>
        <w:tc>
          <w:tcPr>
            <w:tcW w:w="7564" w:type="dxa"/>
          </w:tcPr>
          <w:p w:rsidR="009249D7" w:rsidRPr="00C50285" w:rsidRDefault="00066703" w:rsidP="00C50285">
            <w:pPr>
              <w:ind w:firstLine="709"/>
              <w:jc w:val="center"/>
              <w:rPr>
                <w:rFonts w:ascii="Times New Roman" w:eastAsia="Times New Roman" w:hAnsi="Times New Roman" w:cs="Times New Roman"/>
                <w:b/>
                <w:i/>
                <w:sz w:val="24"/>
                <w:szCs w:val="24"/>
                <w:lang w:eastAsia="uk-UA"/>
              </w:rPr>
            </w:pPr>
            <w:r w:rsidRPr="00C50285">
              <w:rPr>
                <w:rFonts w:ascii="Times New Roman" w:eastAsia="Times New Roman" w:hAnsi="Times New Roman" w:cs="Times New Roman"/>
                <w:b/>
                <w:i/>
                <w:sz w:val="24"/>
                <w:szCs w:val="24"/>
                <w:lang w:eastAsia="uk-UA"/>
              </w:rPr>
              <w:t xml:space="preserve">ЗМІНИ ДО КОДЕКСУ </w:t>
            </w:r>
            <w:r w:rsidR="001835A6">
              <w:rPr>
                <w:rFonts w:ascii="Times New Roman" w:eastAsia="Times New Roman" w:hAnsi="Times New Roman" w:cs="Times New Roman"/>
                <w:b/>
                <w:i/>
                <w:sz w:val="24"/>
                <w:szCs w:val="24"/>
                <w:lang w:eastAsia="uk-UA"/>
              </w:rPr>
              <w:t>ГАЗОРОЗПОДІЛЬН</w:t>
            </w:r>
            <w:r w:rsidR="002F78C9">
              <w:rPr>
                <w:rFonts w:ascii="Times New Roman" w:eastAsia="Times New Roman" w:hAnsi="Times New Roman" w:cs="Times New Roman"/>
                <w:b/>
                <w:i/>
                <w:sz w:val="24"/>
                <w:szCs w:val="24"/>
                <w:lang w:eastAsia="uk-UA"/>
              </w:rPr>
              <w:t>ИХ</w:t>
            </w:r>
            <w:r w:rsidRPr="00C50285">
              <w:rPr>
                <w:rFonts w:ascii="Times New Roman" w:eastAsia="Times New Roman" w:hAnsi="Times New Roman" w:cs="Times New Roman"/>
                <w:b/>
                <w:i/>
                <w:sz w:val="24"/>
                <w:szCs w:val="24"/>
                <w:lang w:eastAsia="uk-UA"/>
              </w:rPr>
              <w:t xml:space="preserve"> СИСТЕМ</w:t>
            </w:r>
            <w:bookmarkStart w:id="1" w:name="_GoBack"/>
            <w:bookmarkEnd w:id="1"/>
          </w:p>
        </w:tc>
      </w:tr>
      <w:tr w:rsidR="00C50285" w:rsidRPr="00C50285" w:rsidTr="00364413">
        <w:tc>
          <w:tcPr>
            <w:tcW w:w="7564" w:type="dxa"/>
          </w:tcPr>
          <w:p w:rsidR="00A66458" w:rsidRPr="001835A6" w:rsidRDefault="001835A6" w:rsidP="00C50285">
            <w:pPr>
              <w:tabs>
                <w:tab w:val="left" w:pos="252"/>
                <w:tab w:val="center" w:pos="3674"/>
              </w:tabs>
              <w:ind w:firstLine="709"/>
              <w:jc w:val="center"/>
              <w:rPr>
                <w:rFonts w:ascii="Times New Roman" w:hAnsi="Times New Roman" w:cs="Times New Roman"/>
                <w:b/>
                <w:i/>
                <w:sz w:val="28"/>
                <w:szCs w:val="28"/>
              </w:rPr>
            </w:pPr>
            <w:r w:rsidRPr="001835A6">
              <w:rPr>
                <w:rFonts w:ascii="Times New Roman" w:hAnsi="Times New Roman" w:cs="Times New Roman"/>
                <w:b/>
                <w:i/>
                <w:sz w:val="28"/>
                <w:szCs w:val="28"/>
              </w:rPr>
              <w:t>VI. Комерційні умови доступу до газорозподільної системи для отримання/передачі природного газу</w:t>
            </w:r>
          </w:p>
        </w:tc>
        <w:tc>
          <w:tcPr>
            <w:tcW w:w="7564" w:type="dxa"/>
          </w:tcPr>
          <w:p w:rsidR="00A66458" w:rsidRPr="00C50285" w:rsidRDefault="001835A6" w:rsidP="00C50285">
            <w:pPr>
              <w:ind w:firstLine="709"/>
              <w:jc w:val="center"/>
              <w:rPr>
                <w:rFonts w:ascii="Times New Roman" w:eastAsia="Times New Roman" w:hAnsi="Times New Roman" w:cs="Times New Roman"/>
                <w:b/>
                <w:i/>
                <w:sz w:val="24"/>
                <w:szCs w:val="24"/>
                <w:lang w:eastAsia="uk-UA"/>
              </w:rPr>
            </w:pPr>
            <w:r w:rsidRPr="001835A6">
              <w:rPr>
                <w:rFonts w:ascii="Times New Roman" w:hAnsi="Times New Roman" w:cs="Times New Roman"/>
                <w:b/>
                <w:i/>
                <w:sz w:val="28"/>
                <w:szCs w:val="28"/>
              </w:rPr>
              <w:t>VI. Комерційні умови доступу до газорозподільної системи для отримання/передачі природного газу</w:t>
            </w:r>
          </w:p>
        </w:tc>
      </w:tr>
      <w:tr w:rsidR="00C50285" w:rsidRPr="00C50285" w:rsidTr="00364413">
        <w:tc>
          <w:tcPr>
            <w:tcW w:w="7564" w:type="dxa"/>
          </w:tcPr>
          <w:p w:rsidR="00A66458" w:rsidRPr="001835A6" w:rsidRDefault="001835A6" w:rsidP="00C50285">
            <w:pPr>
              <w:tabs>
                <w:tab w:val="left" w:pos="252"/>
                <w:tab w:val="center" w:pos="3674"/>
              </w:tabs>
              <w:ind w:firstLine="709"/>
              <w:jc w:val="center"/>
              <w:rPr>
                <w:rFonts w:ascii="Times New Roman" w:hAnsi="Times New Roman" w:cs="Times New Roman"/>
                <w:b/>
                <w:i/>
                <w:sz w:val="28"/>
                <w:szCs w:val="28"/>
              </w:rPr>
            </w:pPr>
            <w:r w:rsidRPr="001835A6">
              <w:rPr>
                <w:rFonts w:ascii="Times New Roman" w:hAnsi="Times New Roman" w:cs="Times New Roman"/>
                <w:b/>
                <w:i/>
                <w:sz w:val="28"/>
                <w:szCs w:val="28"/>
              </w:rPr>
              <w:t>6. Порядок розрахунків за договором розподілу природного газу</w:t>
            </w:r>
          </w:p>
        </w:tc>
        <w:tc>
          <w:tcPr>
            <w:tcW w:w="7564" w:type="dxa"/>
          </w:tcPr>
          <w:p w:rsidR="00A66458" w:rsidRPr="001835A6" w:rsidRDefault="001835A6" w:rsidP="00C50285">
            <w:pPr>
              <w:ind w:firstLine="709"/>
              <w:jc w:val="center"/>
              <w:rPr>
                <w:rFonts w:ascii="Times New Roman" w:hAnsi="Times New Roman" w:cs="Times New Roman"/>
                <w:b/>
                <w:i/>
                <w:sz w:val="28"/>
                <w:szCs w:val="28"/>
              </w:rPr>
            </w:pPr>
            <w:r w:rsidRPr="001835A6">
              <w:rPr>
                <w:rFonts w:ascii="Times New Roman" w:hAnsi="Times New Roman" w:cs="Times New Roman"/>
                <w:b/>
                <w:i/>
                <w:sz w:val="28"/>
                <w:szCs w:val="28"/>
              </w:rPr>
              <w:t>6. Порядок розрахунків за договором розподілу природного газу</w:t>
            </w:r>
          </w:p>
        </w:tc>
      </w:tr>
      <w:tr w:rsidR="00430E5C" w:rsidRPr="00C50285" w:rsidTr="00364413">
        <w:tc>
          <w:tcPr>
            <w:tcW w:w="7564" w:type="dxa"/>
          </w:tcPr>
          <w:p w:rsidR="001835A6" w:rsidRPr="002F78C9" w:rsidRDefault="001835A6" w:rsidP="002F78C9">
            <w:pPr>
              <w:shd w:val="clear" w:color="auto" w:fill="FFFFFF"/>
              <w:ind w:firstLine="448"/>
              <w:jc w:val="both"/>
              <w:rPr>
                <w:rFonts w:ascii="Times New Roman" w:eastAsia="Times New Roman" w:hAnsi="Times New Roman" w:cs="Times New Roman"/>
                <w:sz w:val="24"/>
                <w:szCs w:val="24"/>
                <w:lang w:val="en-US" w:eastAsia="uk-UA"/>
              </w:rPr>
            </w:pPr>
            <w:r w:rsidRPr="001835A6">
              <w:rPr>
                <w:rFonts w:ascii="Times New Roman" w:eastAsia="Times New Roman" w:hAnsi="Times New Roman" w:cs="Times New Roman"/>
                <w:sz w:val="24"/>
                <w:szCs w:val="24"/>
                <w:lang w:eastAsia="uk-UA"/>
              </w:rPr>
              <w:t xml:space="preserve">2. </w:t>
            </w:r>
            <w:r w:rsidR="002F78C9">
              <w:rPr>
                <w:rFonts w:ascii="Times New Roman" w:eastAsia="Times New Roman" w:hAnsi="Times New Roman" w:cs="Times New Roman"/>
                <w:sz w:val="24"/>
                <w:szCs w:val="24"/>
                <w:lang w:eastAsia="uk-UA"/>
              </w:rPr>
              <w:t>…</w:t>
            </w:r>
          </w:p>
          <w:p w:rsidR="001835A6" w:rsidRPr="00311137" w:rsidRDefault="001835A6" w:rsidP="001835A6">
            <w:pPr>
              <w:shd w:val="clear" w:color="auto" w:fill="FFFFFF"/>
              <w:ind w:firstLine="448"/>
              <w:jc w:val="both"/>
              <w:rPr>
                <w:rFonts w:ascii="Times New Roman" w:eastAsia="Times New Roman" w:hAnsi="Times New Roman" w:cs="Times New Roman"/>
                <w:sz w:val="24"/>
                <w:szCs w:val="24"/>
                <w:lang w:eastAsia="uk-UA"/>
              </w:rPr>
            </w:pPr>
            <w:bookmarkStart w:id="2" w:name="n2214"/>
            <w:bookmarkEnd w:id="2"/>
            <w:r w:rsidRPr="001835A6">
              <w:rPr>
                <w:rFonts w:ascii="Times New Roman" w:eastAsia="Times New Roman" w:hAnsi="Times New Roman" w:cs="Times New Roman"/>
                <w:sz w:val="24"/>
                <w:szCs w:val="24"/>
                <w:lang w:eastAsia="uk-UA"/>
              </w:rPr>
              <w:t xml:space="preserve">314 </w:t>
            </w:r>
            <w:proofErr w:type="spellStart"/>
            <w:r w:rsidRPr="001835A6">
              <w:rPr>
                <w:rFonts w:ascii="Times New Roman" w:eastAsia="Times New Roman" w:hAnsi="Times New Roman" w:cs="Times New Roman"/>
                <w:sz w:val="24"/>
                <w:szCs w:val="24"/>
                <w:lang w:eastAsia="uk-UA"/>
              </w:rPr>
              <w:t>куб.м</w:t>
            </w:r>
            <w:proofErr w:type="spellEnd"/>
            <w:r w:rsidRPr="001835A6">
              <w:rPr>
                <w:rFonts w:ascii="Times New Roman" w:eastAsia="Times New Roman" w:hAnsi="Times New Roman" w:cs="Times New Roman"/>
                <w:sz w:val="24"/>
                <w:szCs w:val="24"/>
                <w:lang w:eastAsia="uk-UA"/>
              </w:rPr>
              <w:t xml:space="preserve">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1835A6" w:rsidRPr="00311137" w:rsidRDefault="001835A6" w:rsidP="001835A6">
            <w:pPr>
              <w:shd w:val="clear" w:color="auto" w:fill="FFFFFF"/>
              <w:ind w:firstLine="448"/>
              <w:jc w:val="both"/>
              <w:rPr>
                <w:rFonts w:ascii="Times New Roman" w:eastAsia="Times New Roman" w:hAnsi="Times New Roman" w:cs="Times New Roman"/>
                <w:b/>
                <w:i/>
                <w:sz w:val="24"/>
                <w:szCs w:val="24"/>
                <w:lang w:eastAsia="uk-UA"/>
              </w:rPr>
            </w:pPr>
          </w:p>
          <w:p w:rsidR="001835A6" w:rsidRPr="00311137" w:rsidRDefault="001835A6" w:rsidP="001835A6">
            <w:pPr>
              <w:shd w:val="clear" w:color="auto" w:fill="FFFFFF"/>
              <w:ind w:firstLine="448"/>
              <w:jc w:val="both"/>
              <w:rPr>
                <w:rFonts w:ascii="Times New Roman" w:eastAsia="Times New Roman" w:hAnsi="Times New Roman" w:cs="Times New Roman"/>
                <w:b/>
                <w:i/>
                <w:sz w:val="24"/>
                <w:szCs w:val="24"/>
                <w:lang w:eastAsia="uk-UA"/>
              </w:rPr>
            </w:pPr>
          </w:p>
          <w:p w:rsidR="001835A6" w:rsidRPr="00311137" w:rsidRDefault="001835A6" w:rsidP="001835A6">
            <w:pPr>
              <w:shd w:val="clear" w:color="auto" w:fill="FFFFFF"/>
              <w:ind w:firstLine="448"/>
              <w:jc w:val="both"/>
              <w:rPr>
                <w:rFonts w:ascii="Times New Roman" w:eastAsia="Times New Roman" w:hAnsi="Times New Roman" w:cs="Times New Roman"/>
                <w:b/>
                <w:i/>
                <w:sz w:val="24"/>
                <w:szCs w:val="24"/>
                <w:lang w:eastAsia="uk-UA"/>
              </w:rPr>
            </w:pPr>
          </w:p>
          <w:p w:rsidR="001835A6" w:rsidRPr="00311137" w:rsidRDefault="001835A6" w:rsidP="001835A6">
            <w:pPr>
              <w:shd w:val="clear" w:color="auto" w:fill="FFFFFF"/>
              <w:ind w:firstLine="448"/>
              <w:jc w:val="both"/>
              <w:rPr>
                <w:rFonts w:ascii="Times New Roman" w:eastAsia="Times New Roman" w:hAnsi="Times New Roman" w:cs="Times New Roman"/>
                <w:b/>
                <w:i/>
                <w:sz w:val="24"/>
                <w:szCs w:val="24"/>
                <w:lang w:eastAsia="uk-UA"/>
              </w:rPr>
            </w:pPr>
            <w:r w:rsidRPr="00311137">
              <w:rPr>
                <w:rFonts w:ascii="Times New Roman" w:eastAsia="Times New Roman" w:hAnsi="Times New Roman" w:cs="Times New Roman"/>
                <w:b/>
                <w:i/>
                <w:sz w:val="24"/>
                <w:szCs w:val="24"/>
                <w:lang w:eastAsia="uk-UA"/>
              </w:rPr>
              <w:t>Положення відсутнє</w:t>
            </w:r>
          </w:p>
          <w:p w:rsidR="001835A6" w:rsidRPr="001835A6" w:rsidRDefault="001835A6" w:rsidP="001835A6">
            <w:pPr>
              <w:shd w:val="clear" w:color="auto" w:fill="FFFFFF"/>
              <w:ind w:firstLine="448"/>
              <w:jc w:val="both"/>
              <w:rPr>
                <w:rFonts w:ascii="Times New Roman" w:eastAsia="Times New Roman" w:hAnsi="Times New Roman" w:cs="Times New Roman"/>
                <w:b/>
                <w:i/>
                <w:sz w:val="24"/>
                <w:szCs w:val="24"/>
                <w:lang w:eastAsia="uk-UA"/>
              </w:rPr>
            </w:pPr>
          </w:p>
          <w:p w:rsidR="001835A6" w:rsidRPr="00311137" w:rsidRDefault="001835A6" w:rsidP="001835A6">
            <w:pPr>
              <w:shd w:val="clear" w:color="auto" w:fill="FFFFFF"/>
              <w:ind w:firstLine="448"/>
              <w:jc w:val="both"/>
              <w:rPr>
                <w:rFonts w:ascii="Times New Roman" w:eastAsia="Times New Roman" w:hAnsi="Times New Roman" w:cs="Times New Roman"/>
                <w:sz w:val="24"/>
                <w:szCs w:val="24"/>
                <w:lang w:eastAsia="uk-UA"/>
              </w:rPr>
            </w:pPr>
            <w:bookmarkStart w:id="3" w:name="n2210"/>
            <w:bookmarkStart w:id="4" w:name="n2232"/>
            <w:bookmarkEnd w:id="3"/>
            <w:bookmarkEnd w:id="4"/>
          </w:p>
          <w:p w:rsidR="001835A6" w:rsidRPr="00311137" w:rsidRDefault="001835A6" w:rsidP="001835A6">
            <w:pPr>
              <w:shd w:val="clear" w:color="auto" w:fill="FFFFFF"/>
              <w:ind w:firstLine="448"/>
              <w:jc w:val="both"/>
              <w:rPr>
                <w:rFonts w:ascii="Times New Roman" w:eastAsia="Times New Roman" w:hAnsi="Times New Roman" w:cs="Times New Roman"/>
                <w:sz w:val="24"/>
                <w:szCs w:val="24"/>
                <w:lang w:eastAsia="uk-UA"/>
              </w:rPr>
            </w:pPr>
          </w:p>
          <w:p w:rsidR="001835A6" w:rsidRPr="00311137" w:rsidRDefault="001835A6" w:rsidP="001835A6">
            <w:pPr>
              <w:shd w:val="clear" w:color="auto" w:fill="FFFFFF"/>
              <w:ind w:firstLine="448"/>
              <w:jc w:val="both"/>
              <w:rPr>
                <w:rFonts w:ascii="Times New Roman" w:eastAsia="Times New Roman" w:hAnsi="Times New Roman" w:cs="Times New Roman"/>
                <w:sz w:val="24"/>
                <w:szCs w:val="24"/>
                <w:lang w:eastAsia="uk-UA"/>
              </w:rPr>
            </w:pPr>
          </w:p>
          <w:p w:rsidR="001835A6" w:rsidRPr="00311137" w:rsidRDefault="001835A6" w:rsidP="001835A6">
            <w:pPr>
              <w:shd w:val="clear" w:color="auto" w:fill="FFFFFF"/>
              <w:jc w:val="both"/>
              <w:rPr>
                <w:rFonts w:ascii="Times New Roman" w:eastAsia="Times New Roman" w:hAnsi="Times New Roman" w:cs="Times New Roman"/>
                <w:sz w:val="24"/>
                <w:szCs w:val="24"/>
                <w:lang w:eastAsia="uk-UA"/>
              </w:rPr>
            </w:pPr>
          </w:p>
          <w:p w:rsidR="00430E5C" w:rsidRPr="00311137" w:rsidRDefault="002F78C9" w:rsidP="001835A6">
            <w:pPr>
              <w:shd w:val="clear" w:color="auto" w:fill="FFFFFF"/>
              <w:ind w:firstLine="448"/>
              <w:jc w:val="both"/>
              <w:rPr>
                <w:rFonts w:ascii="Times New Roman" w:eastAsia="Times New Roman" w:hAnsi="Times New Roman" w:cs="Times New Roman"/>
                <w:sz w:val="24"/>
                <w:szCs w:val="24"/>
                <w:lang w:eastAsia="uk-UA"/>
              </w:rPr>
            </w:pPr>
            <w:bookmarkStart w:id="5" w:name="n1505"/>
            <w:bookmarkEnd w:id="5"/>
            <w:r>
              <w:rPr>
                <w:rFonts w:ascii="Times New Roman" w:eastAsia="Times New Roman" w:hAnsi="Times New Roman" w:cs="Times New Roman"/>
                <w:sz w:val="24"/>
                <w:szCs w:val="24"/>
                <w:lang w:eastAsia="uk-UA"/>
              </w:rPr>
              <w:t>…</w:t>
            </w:r>
          </w:p>
        </w:tc>
        <w:tc>
          <w:tcPr>
            <w:tcW w:w="7564" w:type="dxa"/>
          </w:tcPr>
          <w:p w:rsidR="001835A6" w:rsidRPr="002F78C9" w:rsidRDefault="001835A6" w:rsidP="002F78C9">
            <w:pPr>
              <w:shd w:val="clear" w:color="auto" w:fill="FFFFFF"/>
              <w:ind w:firstLine="448"/>
              <w:jc w:val="both"/>
              <w:rPr>
                <w:rFonts w:ascii="Times New Roman" w:eastAsia="Times New Roman" w:hAnsi="Times New Roman" w:cs="Times New Roman"/>
                <w:sz w:val="24"/>
                <w:szCs w:val="24"/>
                <w:lang w:eastAsia="uk-UA"/>
              </w:rPr>
            </w:pPr>
            <w:r w:rsidRPr="001835A6">
              <w:rPr>
                <w:rFonts w:ascii="Times New Roman" w:eastAsia="Times New Roman" w:hAnsi="Times New Roman" w:cs="Times New Roman"/>
                <w:sz w:val="24"/>
                <w:szCs w:val="24"/>
                <w:lang w:eastAsia="uk-UA"/>
              </w:rPr>
              <w:t xml:space="preserve">2. </w:t>
            </w:r>
            <w:r w:rsidR="002F78C9">
              <w:rPr>
                <w:rFonts w:ascii="Times New Roman" w:eastAsia="Times New Roman" w:hAnsi="Times New Roman" w:cs="Times New Roman"/>
                <w:sz w:val="24"/>
                <w:szCs w:val="24"/>
                <w:lang w:eastAsia="uk-UA"/>
              </w:rPr>
              <w:t>…</w:t>
            </w:r>
          </w:p>
          <w:p w:rsidR="001835A6" w:rsidRPr="001835A6" w:rsidRDefault="001835A6" w:rsidP="001835A6">
            <w:pPr>
              <w:shd w:val="clear" w:color="auto" w:fill="FFFFFF"/>
              <w:ind w:firstLine="448"/>
              <w:jc w:val="both"/>
              <w:rPr>
                <w:rFonts w:ascii="Times New Roman" w:eastAsia="Times New Roman" w:hAnsi="Times New Roman" w:cs="Times New Roman"/>
                <w:sz w:val="24"/>
                <w:szCs w:val="24"/>
                <w:lang w:eastAsia="uk-UA"/>
              </w:rPr>
            </w:pPr>
            <w:r w:rsidRPr="001835A6">
              <w:rPr>
                <w:rFonts w:ascii="Times New Roman" w:eastAsia="Times New Roman" w:hAnsi="Times New Roman" w:cs="Times New Roman"/>
                <w:sz w:val="24"/>
                <w:szCs w:val="24"/>
                <w:lang w:eastAsia="uk-UA"/>
              </w:rPr>
              <w:t xml:space="preserve">314 </w:t>
            </w:r>
            <w:proofErr w:type="spellStart"/>
            <w:r w:rsidRPr="001835A6">
              <w:rPr>
                <w:rFonts w:ascii="Times New Roman" w:eastAsia="Times New Roman" w:hAnsi="Times New Roman" w:cs="Times New Roman"/>
                <w:sz w:val="24"/>
                <w:szCs w:val="24"/>
                <w:lang w:eastAsia="uk-UA"/>
              </w:rPr>
              <w:t>куб.м</w:t>
            </w:r>
            <w:proofErr w:type="spellEnd"/>
            <w:r w:rsidRPr="001835A6">
              <w:rPr>
                <w:rFonts w:ascii="Times New Roman" w:eastAsia="Times New Roman" w:hAnsi="Times New Roman" w:cs="Times New Roman"/>
                <w:sz w:val="24"/>
                <w:szCs w:val="24"/>
                <w:lang w:eastAsia="uk-UA"/>
              </w:rPr>
              <w:t xml:space="preserve">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1835A6" w:rsidRPr="00311137" w:rsidRDefault="001835A6" w:rsidP="001835A6">
            <w:pPr>
              <w:shd w:val="clear" w:color="auto" w:fill="FFFFFF"/>
              <w:ind w:firstLine="448"/>
              <w:jc w:val="both"/>
              <w:rPr>
                <w:rFonts w:ascii="Times New Roman" w:eastAsia="Times New Roman" w:hAnsi="Times New Roman" w:cs="Times New Roman"/>
                <w:sz w:val="24"/>
                <w:szCs w:val="24"/>
                <w:lang w:eastAsia="uk-UA"/>
              </w:rPr>
            </w:pPr>
          </w:p>
          <w:p w:rsidR="001835A6" w:rsidRPr="00311137" w:rsidRDefault="001835A6" w:rsidP="001835A6">
            <w:pPr>
              <w:pStyle w:val="rvps2"/>
              <w:shd w:val="clear" w:color="auto" w:fill="FFFFFF"/>
              <w:spacing w:before="0" w:beforeAutospacing="0" w:after="0" w:afterAutospacing="0"/>
              <w:ind w:firstLine="450"/>
              <w:jc w:val="both"/>
              <w:rPr>
                <w:b/>
              </w:rPr>
            </w:pPr>
            <w:r w:rsidRPr="00311137">
              <w:rPr>
                <w:b/>
              </w:rPr>
              <w:t xml:space="preserve">Для цілей визначення мінімального розміру річної замовленої потужності побутових споживачів відповідно до цього пункту Оператор ГРМ не враховує 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річна замовлена потужність об’єкта побутового споживача визначається на рівні 39 </w:t>
            </w:r>
            <w:proofErr w:type="spellStart"/>
            <w:r w:rsidRPr="00311137">
              <w:rPr>
                <w:b/>
              </w:rPr>
              <w:t>куб.м</w:t>
            </w:r>
            <w:proofErr w:type="spellEnd"/>
            <w:r w:rsidRPr="00311137">
              <w:rPr>
                <w:b/>
              </w:rPr>
              <w:t>.</w:t>
            </w:r>
          </w:p>
          <w:p w:rsidR="001835A6" w:rsidRPr="00311137" w:rsidRDefault="001835A6" w:rsidP="001835A6">
            <w:pPr>
              <w:shd w:val="clear" w:color="auto" w:fill="FFFFFF"/>
              <w:ind w:firstLine="448"/>
              <w:jc w:val="both"/>
              <w:rPr>
                <w:rFonts w:ascii="Times New Roman" w:eastAsia="Times New Roman" w:hAnsi="Times New Roman" w:cs="Times New Roman"/>
                <w:sz w:val="24"/>
                <w:szCs w:val="24"/>
                <w:lang w:eastAsia="uk-UA"/>
              </w:rPr>
            </w:pPr>
          </w:p>
          <w:p w:rsidR="00430E5C" w:rsidRPr="00311137" w:rsidRDefault="002F78C9" w:rsidP="001835A6">
            <w:pPr>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uk-UA"/>
              </w:rPr>
              <w:t>…</w:t>
            </w:r>
          </w:p>
        </w:tc>
      </w:tr>
      <w:tr w:rsidR="00C50285" w:rsidRPr="00C50285" w:rsidTr="00364413">
        <w:tc>
          <w:tcPr>
            <w:tcW w:w="7564" w:type="dxa"/>
          </w:tcPr>
          <w:p w:rsidR="001835A6" w:rsidRPr="002F78C9" w:rsidRDefault="001835A6" w:rsidP="002F78C9">
            <w:pPr>
              <w:pStyle w:val="rvps2"/>
              <w:shd w:val="clear" w:color="auto" w:fill="FFFFFF"/>
              <w:spacing w:before="0" w:beforeAutospacing="0" w:after="0" w:afterAutospacing="0"/>
              <w:ind w:firstLine="709"/>
              <w:jc w:val="both"/>
              <w:rPr>
                <w:color w:val="333333"/>
              </w:rPr>
            </w:pPr>
            <w:r>
              <w:rPr>
                <w:color w:val="333333"/>
              </w:rPr>
              <w:t xml:space="preserve">3. У разі здійснення споживачем, що не є побутовим, замовлення річної </w:t>
            </w:r>
            <w:r w:rsidRPr="001835A6">
              <w:t>потужності відповідно до </w:t>
            </w:r>
            <w:hyperlink r:id="rId8" w:anchor="n2234" w:history="1">
              <w:r w:rsidRPr="001835A6">
                <w:rPr>
                  <w:rStyle w:val="ae"/>
                  <w:color w:val="auto"/>
                  <w:u w:val="none"/>
                </w:rPr>
                <w:t xml:space="preserve">абзацу </w:t>
              </w:r>
              <w:r w:rsidRPr="001835A6">
                <w:rPr>
                  <w:rStyle w:val="ae"/>
                  <w:i/>
                  <w:color w:val="auto"/>
                  <w:u w:val="none"/>
                </w:rPr>
                <w:t>десятого</w:t>
              </w:r>
              <w:r w:rsidRPr="001835A6">
                <w:rPr>
                  <w:rStyle w:val="ae"/>
                  <w:color w:val="auto"/>
                  <w:u w:val="none"/>
                </w:rPr>
                <w:t xml:space="preserve"> пункту 2</w:t>
              </w:r>
            </w:hyperlink>
            <w:r w:rsidRPr="001835A6">
              <w:t> або </w:t>
            </w:r>
            <w:hyperlink r:id="rId9" w:anchor="n2252" w:history="1">
              <w:r w:rsidRPr="001835A6">
                <w:rPr>
                  <w:rStyle w:val="ae"/>
                  <w:color w:val="auto"/>
                  <w:u w:val="none"/>
                </w:rPr>
                <w:t>абзацу другого</w:t>
              </w:r>
            </w:hyperlink>
            <w:r w:rsidRPr="001835A6">
              <w:t xml:space="preserve"> пункту 5 цієї глави споживач, що не є побутовим, має право одноразово з 10 липня по 15 вересня </w:t>
            </w:r>
            <w:r>
              <w:rPr>
                <w:color w:val="333333"/>
              </w:rPr>
              <w:t>розрахункового календарного року подати Оператору ГРМ заявку на уточнення (збільшення/зменшення) величини замовленої річної потужності сумарно по всіх його об’єктах у газорозподільній зоні відповідного Оператора ГРМ на поточний календарний рік.</w:t>
            </w:r>
          </w:p>
          <w:p w:rsidR="001835A6" w:rsidRDefault="002F78C9" w:rsidP="001835A6">
            <w:pPr>
              <w:pStyle w:val="rvps2"/>
              <w:shd w:val="clear" w:color="auto" w:fill="FFFFFF"/>
              <w:spacing w:before="0" w:beforeAutospacing="0" w:after="0" w:afterAutospacing="0"/>
              <w:ind w:firstLine="709"/>
              <w:jc w:val="both"/>
            </w:pPr>
            <w:r>
              <w:t>…</w:t>
            </w:r>
          </w:p>
          <w:p w:rsidR="002F78C9" w:rsidRDefault="002F78C9" w:rsidP="001835A6">
            <w:pPr>
              <w:pStyle w:val="rvps2"/>
              <w:shd w:val="clear" w:color="auto" w:fill="FFFFFF"/>
              <w:spacing w:before="0" w:beforeAutospacing="0" w:after="0" w:afterAutospacing="0"/>
              <w:ind w:firstLine="709"/>
              <w:jc w:val="both"/>
            </w:pPr>
          </w:p>
          <w:p w:rsidR="001835A6" w:rsidRPr="001835A6" w:rsidRDefault="001835A6" w:rsidP="001835A6">
            <w:pPr>
              <w:pStyle w:val="rvps2"/>
              <w:shd w:val="clear" w:color="auto" w:fill="FFFFFF"/>
              <w:spacing w:before="0" w:beforeAutospacing="0" w:after="0" w:afterAutospacing="0"/>
              <w:ind w:firstLine="709"/>
              <w:jc w:val="both"/>
              <w:rPr>
                <w:b/>
                <w:i/>
              </w:rPr>
            </w:pPr>
            <w:r w:rsidRPr="001835A6">
              <w:rPr>
                <w:b/>
                <w:i/>
              </w:rPr>
              <w:lastRenderedPageBreak/>
              <w:t>Положення відсутнє</w:t>
            </w:r>
          </w:p>
        </w:tc>
        <w:tc>
          <w:tcPr>
            <w:tcW w:w="7564" w:type="dxa"/>
          </w:tcPr>
          <w:p w:rsidR="001835A6" w:rsidRDefault="001835A6" w:rsidP="001835A6">
            <w:pPr>
              <w:pStyle w:val="rvps2"/>
              <w:shd w:val="clear" w:color="auto" w:fill="FFFFFF"/>
              <w:spacing w:before="0" w:beforeAutospacing="0" w:after="0" w:afterAutospacing="0"/>
              <w:ind w:firstLine="709"/>
              <w:jc w:val="both"/>
              <w:rPr>
                <w:color w:val="333333"/>
              </w:rPr>
            </w:pPr>
            <w:r>
              <w:rPr>
                <w:color w:val="333333"/>
              </w:rPr>
              <w:lastRenderedPageBreak/>
              <w:t xml:space="preserve">3. У разі здійснення споживачем, що не є побутовим, замовлення річної потужності відповідно </w:t>
            </w:r>
            <w:r w:rsidRPr="001835A6">
              <w:t>до </w:t>
            </w:r>
            <w:hyperlink r:id="rId10" w:anchor="n2234" w:history="1">
              <w:r w:rsidRPr="001835A6">
                <w:rPr>
                  <w:rStyle w:val="ae"/>
                  <w:color w:val="auto"/>
                  <w:u w:val="none"/>
                </w:rPr>
                <w:t xml:space="preserve">абзацу </w:t>
              </w:r>
              <w:r w:rsidRPr="001835A6">
                <w:rPr>
                  <w:rStyle w:val="ae"/>
                  <w:b/>
                  <w:color w:val="auto"/>
                  <w:u w:val="none"/>
                </w:rPr>
                <w:t>одинадцятого</w:t>
              </w:r>
              <w:r w:rsidRPr="001835A6">
                <w:rPr>
                  <w:rStyle w:val="ae"/>
                  <w:color w:val="auto"/>
                  <w:u w:val="none"/>
                </w:rPr>
                <w:t xml:space="preserve"> пункту 2</w:t>
              </w:r>
            </w:hyperlink>
            <w:r w:rsidRPr="001835A6">
              <w:t> або </w:t>
            </w:r>
            <w:hyperlink r:id="rId11" w:anchor="n2252" w:history="1">
              <w:r w:rsidRPr="001835A6">
                <w:rPr>
                  <w:rStyle w:val="ae"/>
                  <w:color w:val="auto"/>
                  <w:u w:val="none"/>
                </w:rPr>
                <w:t>абзацу другого</w:t>
              </w:r>
            </w:hyperlink>
            <w:r w:rsidRPr="001835A6">
              <w:t> пункту 5 цієї глави споживач, що не є побутовим, має право одноразово з 10 липня</w:t>
            </w:r>
            <w:r>
              <w:rPr>
                <w:color w:val="333333"/>
              </w:rPr>
              <w:t xml:space="preserve"> по 15 вересня розрахункового календарного року подати Оператору ГРМ заявку на уточнення (збільшення/зменшення) величини замовленої річної потужності сумарно по всіх його об’єктах у газорозподільній зоні відповідного Оператора ГРМ на поточний календарний рік.</w:t>
            </w:r>
          </w:p>
          <w:p w:rsidR="002F78C9" w:rsidRDefault="002F78C9" w:rsidP="00311137">
            <w:pPr>
              <w:pStyle w:val="rvps2"/>
              <w:shd w:val="clear" w:color="auto" w:fill="FFFFFF"/>
              <w:spacing w:before="0" w:beforeAutospacing="0" w:after="0" w:afterAutospacing="0"/>
              <w:ind w:firstLine="709"/>
              <w:jc w:val="both"/>
              <w:rPr>
                <w:color w:val="333333"/>
              </w:rPr>
            </w:pPr>
            <w:bookmarkStart w:id="6" w:name="n2240"/>
            <w:bookmarkEnd w:id="6"/>
            <w:r>
              <w:rPr>
                <w:color w:val="333333"/>
              </w:rPr>
              <w:t>…</w:t>
            </w:r>
          </w:p>
          <w:p w:rsidR="00EE64BF" w:rsidRPr="00311137" w:rsidRDefault="001835A6" w:rsidP="00311137">
            <w:pPr>
              <w:pStyle w:val="rvps2"/>
              <w:shd w:val="clear" w:color="auto" w:fill="FFFFFF"/>
              <w:spacing w:before="0" w:beforeAutospacing="0" w:after="0" w:afterAutospacing="0"/>
              <w:ind w:firstLine="709"/>
              <w:jc w:val="both"/>
              <w:rPr>
                <w:b/>
                <w:color w:val="333333"/>
              </w:rPr>
            </w:pPr>
            <w:r>
              <w:rPr>
                <w:b/>
                <w:color w:val="333333"/>
              </w:rPr>
              <w:lastRenderedPageBreak/>
              <w:t xml:space="preserve">У </w:t>
            </w:r>
            <w:r w:rsidRPr="00D043E0">
              <w:rPr>
                <w:b/>
                <w:color w:val="333333"/>
              </w:rPr>
              <w:t>випадк</w:t>
            </w:r>
            <w:r>
              <w:rPr>
                <w:b/>
                <w:color w:val="333333"/>
              </w:rPr>
              <w:t>ах</w:t>
            </w:r>
            <w:r w:rsidRPr="00D043E0">
              <w:rPr>
                <w:b/>
                <w:color w:val="333333"/>
              </w:rPr>
              <w:t xml:space="preserve"> переукладення договору розподілу природного газу у зв’язку з початком провадження господарської діяльності з розподілу природного газу на території місцезнаходження об’єкта газопостачання споживача іншим Оператором ГРМ</w:t>
            </w:r>
            <w:r>
              <w:rPr>
                <w:b/>
                <w:color w:val="333333"/>
              </w:rPr>
              <w:t xml:space="preserve"> та якщо річна замовлена потужність споживача визначалась відповідно до </w:t>
            </w:r>
            <w:r w:rsidRPr="00222379">
              <w:rPr>
                <w:b/>
                <w:color w:val="333333"/>
              </w:rPr>
              <w:t xml:space="preserve">абзацу </w:t>
            </w:r>
            <w:r w:rsidR="00311137">
              <w:rPr>
                <w:b/>
                <w:color w:val="333333"/>
              </w:rPr>
              <w:t>одинадцятого</w:t>
            </w:r>
            <w:r w:rsidRPr="00222379">
              <w:rPr>
                <w:b/>
                <w:color w:val="333333"/>
              </w:rPr>
              <w:t xml:space="preserve"> пункту 2 або абзацу другого пункту 5 цієї глави</w:t>
            </w:r>
            <w:r>
              <w:rPr>
                <w:b/>
                <w:color w:val="333333"/>
              </w:rPr>
              <w:t>, новий Оператор ГРМ враховує обсяги використання такої потужності споживачем з початку календарного року.</w:t>
            </w:r>
          </w:p>
        </w:tc>
      </w:tr>
      <w:tr w:rsidR="00C50285" w:rsidRPr="00C50285" w:rsidTr="00364413">
        <w:tc>
          <w:tcPr>
            <w:tcW w:w="7564" w:type="dxa"/>
          </w:tcPr>
          <w:p w:rsidR="00311137" w:rsidRPr="00311137" w:rsidRDefault="00311137" w:rsidP="002F78C9">
            <w:pPr>
              <w:pStyle w:val="rvps2"/>
              <w:shd w:val="clear" w:color="auto" w:fill="FFFFFF"/>
              <w:spacing w:before="0" w:beforeAutospacing="0" w:after="0" w:afterAutospacing="0"/>
              <w:ind w:firstLine="448"/>
              <w:jc w:val="both"/>
            </w:pPr>
            <w:r w:rsidRPr="00311137">
              <w:lastRenderedPageBreak/>
              <w:t xml:space="preserve">4. </w:t>
            </w:r>
            <w:r w:rsidR="002F78C9">
              <w:t>…</w:t>
            </w:r>
          </w:p>
          <w:p w:rsidR="00311137" w:rsidRPr="00311137" w:rsidRDefault="00311137" w:rsidP="00311137">
            <w:pPr>
              <w:pStyle w:val="rvps2"/>
              <w:shd w:val="clear" w:color="auto" w:fill="FFFFFF"/>
              <w:spacing w:before="0" w:beforeAutospacing="0" w:after="0" w:afterAutospacing="0"/>
              <w:ind w:firstLine="448"/>
              <w:jc w:val="both"/>
            </w:pPr>
            <w:bookmarkStart w:id="7" w:name="n2220"/>
            <w:bookmarkStart w:id="8" w:name="n2218"/>
            <w:bookmarkEnd w:id="7"/>
            <w:bookmarkEnd w:id="8"/>
            <w:r w:rsidRPr="00311137">
              <w:t xml:space="preserve">314 </w:t>
            </w:r>
            <w:proofErr w:type="spellStart"/>
            <w:r w:rsidRPr="00311137">
              <w:t>куб.м</w:t>
            </w:r>
            <w:proofErr w:type="spellEnd"/>
            <w:r w:rsidRPr="00311137">
              <w:t xml:space="preserve">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311137" w:rsidRPr="00311137" w:rsidRDefault="00311137" w:rsidP="00311137">
            <w:pPr>
              <w:pStyle w:val="rvps2"/>
              <w:shd w:val="clear" w:color="auto" w:fill="FFFFFF"/>
              <w:spacing w:before="0" w:beforeAutospacing="0" w:after="0" w:afterAutospacing="0"/>
              <w:ind w:firstLine="448"/>
              <w:jc w:val="both"/>
              <w:rPr>
                <w:b/>
              </w:rPr>
            </w:pPr>
            <w:bookmarkStart w:id="9" w:name="n2221"/>
            <w:bookmarkStart w:id="10" w:name="n2246"/>
            <w:bookmarkEnd w:id="9"/>
            <w:bookmarkEnd w:id="10"/>
          </w:p>
          <w:p w:rsidR="00311137" w:rsidRPr="00311137" w:rsidRDefault="00311137" w:rsidP="00311137">
            <w:pPr>
              <w:pStyle w:val="rvps2"/>
              <w:shd w:val="clear" w:color="auto" w:fill="FFFFFF"/>
              <w:spacing w:before="0" w:beforeAutospacing="0" w:after="0" w:afterAutospacing="0"/>
              <w:ind w:firstLine="448"/>
              <w:jc w:val="both"/>
              <w:rPr>
                <w:b/>
              </w:rPr>
            </w:pPr>
          </w:p>
          <w:p w:rsidR="002F78C9" w:rsidRDefault="002F78C9" w:rsidP="00311137">
            <w:pPr>
              <w:pStyle w:val="rvps2"/>
              <w:shd w:val="clear" w:color="auto" w:fill="FFFFFF"/>
              <w:spacing w:before="0" w:beforeAutospacing="0" w:after="0" w:afterAutospacing="0"/>
              <w:ind w:firstLine="448"/>
              <w:jc w:val="both"/>
              <w:rPr>
                <w:b/>
                <w:i/>
              </w:rPr>
            </w:pPr>
          </w:p>
          <w:p w:rsidR="00311137" w:rsidRPr="00311137" w:rsidRDefault="00311137" w:rsidP="00311137">
            <w:pPr>
              <w:pStyle w:val="rvps2"/>
              <w:shd w:val="clear" w:color="auto" w:fill="FFFFFF"/>
              <w:spacing w:before="0" w:beforeAutospacing="0" w:after="0" w:afterAutospacing="0"/>
              <w:ind w:firstLine="448"/>
              <w:jc w:val="both"/>
              <w:rPr>
                <w:b/>
                <w:i/>
              </w:rPr>
            </w:pPr>
            <w:r w:rsidRPr="00311137">
              <w:rPr>
                <w:b/>
                <w:i/>
              </w:rPr>
              <w:t>Положення відсутнє</w:t>
            </w:r>
          </w:p>
          <w:p w:rsidR="00311137" w:rsidRPr="00311137" w:rsidRDefault="00311137" w:rsidP="00311137">
            <w:pPr>
              <w:pStyle w:val="rvps2"/>
              <w:shd w:val="clear" w:color="auto" w:fill="FFFFFF"/>
              <w:spacing w:before="0" w:beforeAutospacing="0" w:after="0" w:afterAutospacing="0"/>
              <w:ind w:firstLine="448"/>
              <w:jc w:val="both"/>
            </w:pPr>
          </w:p>
          <w:p w:rsidR="00311137" w:rsidRPr="00311137" w:rsidRDefault="00311137" w:rsidP="00311137">
            <w:pPr>
              <w:pStyle w:val="rvps2"/>
              <w:shd w:val="clear" w:color="auto" w:fill="FFFFFF"/>
              <w:spacing w:before="0" w:beforeAutospacing="0" w:after="0" w:afterAutospacing="0"/>
              <w:ind w:firstLine="448"/>
              <w:jc w:val="both"/>
            </w:pPr>
          </w:p>
          <w:p w:rsidR="00311137" w:rsidRPr="00311137" w:rsidRDefault="00311137" w:rsidP="00311137">
            <w:pPr>
              <w:pStyle w:val="rvps2"/>
              <w:shd w:val="clear" w:color="auto" w:fill="FFFFFF"/>
              <w:spacing w:before="0" w:beforeAutospacing="0" w:after="0" w:afterAutospacing="0"/>
              <w:ind w:firstLine="448"/>
              <w:jc w:val="both"/>
            </w:pPr>
          </w:p>
          <w:p w:rsidR="00A66458" w:rsidRPr="00311137" w:rsidRDefault="002F78C9" w:rsidP="00311137">
            <w:pPr>
              <w:pStyle w:val="rvps2"/>
              <w:shd w:val="clear" w:color="auto" w:fill="FFFFFF"/>
              <w:spacing w:before="0" w:beforeAutospacing="0" w:after="0" w:afterAutospacing="0"/>
              <w:ind w:firstLine="448"/>
              <w:jc w:val="both"/>
            </w:pPr>
            <w:r>
              <w:t>…</w:t>
            </w:r>
          </w:p>
        </w:tc>
        <w:tc>
          <w:tcPr>
            <w:tcW w:w="7564" w:type="dxa"/>
          </w:tcPr>
          <w:p w:rsidR="00311137" w:rsidRPr="00311137" w:rsidRDefault="00311137" w:rsidP="002F78C9">
            <w:pPr>
              <w:pStyle w:val="rvps2"/>
              <w:shd w:val="clear" w:color="auto" w:fill="FFFFFF"/>
              <w:spacing w:before="0" w:beforeAutospacing="0" w:after="0" w:afterAutospacing="0"/>
              <w:ind w:firstLine="448"/>
              <w:jc w:val="both"/>
            </w:pPr>
            <w:r w:rsidRPr="00311137">
              <w:t xml:space="preserve">4. </w:t>
            </w:r>
            <w:r w:rsidR="002F78C9">
              <w:t>…</w:t>
            </w:r>
          </w:p>
          <w:p w:rsidR="00311137" w:rsidRPr="00311137" w:rsidRDefault="00311137" w:rsidP="00311137">
            <w:pPr>
              <w:pStyle w:val="rvps2"/>
              <w:shd w:val="clear" w:color="auto" w:fill="FFFFFF"/>
              <w:spacing w:before="0" w:beforeAutospacing="0" w:after="0" w:afterAutospacing="0"/>
              <w:ind w:firstLine="448"/>
              <w:jc w:val="both"/>
            </w:pPr>
            <w:r w:rsidRPr="00311137">
              <w:t xml:space="preserve">314 </w:t>
            </w:r>
            <w:proofErr w:type="spellStart"/>
            <w:r w:rsidRPr="00311137">
              <w:t>куб.м</w:t>
            </w:r>
            <w:proofErr w:type="spellEnd"/>
            <w:r w:rsidRPr="00311137">
              <w:t xml:space="preserve">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311137" w:rsidRPr="00311137" w:rsidRDefault="00311137" w:rsidP="00311137">
            <w:pPr>
              <w:pStyle w:val="rvps2"/>
              <w:shd w:val="clear" w:color="auto" w:fill="FFFFFF"/>
              <w:spacing w:before="0" w:beforeAutospacing="0" w:after="0" w:afterAutospacing="0"/>
              <w:ind w:firstLine="448"/>
              <w:jc w:val="both"/>
              <w:rPr>
                <w:b/>
              </w:rPr>
            </w:pPr>
            <w:r w:rsidRPr="00311137">
              <w:rPr>
                <w:b/>
              </w:rPr>
              <w:t xml:space="preserve">Для цілей визначення річної замовленої потужності нових побутових споживачів та/або їх об’єктів відповідно до цього пункту Оператор ГРМ не враховує 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річна замовлена потужність об’єкта побутового споживача визначається на рівні 39 </w:t>
            </w:r>
            <w:proofErr w:type="spellStart"/>
            <w:r w:rsidRPr="00311137">
              <w:rPr>
                <w:b/>
              </w:rPr>
              <w:t>куб.м</w:t>
            </w:r>
            <w:proofErr w:type="spellEnd"/>
            <w:r w:rsidRPr="00311137">
              <w:rPr>
                <w:b/>
              </w:rPr>
              <w:t>.</w:t>
            </w:r>
          </w:p>
          <w:p w:rsidR="000473F4" w:rsidRPr="00311137" w:rsidRDefault="002F78C9" w:rsidP="00311137">
            <w:pPr>
              <w:pStyle w:val="rvps2"/>
              <w:shd w:val="clear" w:color="auto" w:fill="FFFFFF"/>
              <w:spacing w:before="0" w:beforeAutospacing="0" w:after="0" w:afterAutospacing="0"/>
              <w:ind w:firstLine="448"/>
              <w:jc w:val="both"/>
            </w:pPr>
            <w:r>
              <w:t>…</w:t>
            </w:r>
          </w:p>
        </w:tc>
      </w:tr>
      <w:tr w:rsidR="00C857B2" w:rsidRPr="00C50285" w:rsidTr="00364413">
        <w:tc>
          <w:tcPr>
            <w:tcW w:w="7564" w:type="dxa"/>
          </w:tcPr>
          <w:p w:rsidR="00311137" w:rsidRPr="002F78C9" w:rsidRDefault="00311137" w:rsidP="002F78C9">
            <w:pPr>
              <w:pStyle w:val="rvps2"/>
              <w:shd w:val="clear" w:color="auto" w:fill="FFFFFF"/>
              <w:spacing w:before="0" w:beforeAutospacing="0" w:after="0" w:afterAutospacing="0"/>
              <w:ind w:firstLine="709"/>
              <w:jc w:val="both"/>
            </w:pPr>
            <w:r w:rsidRPr="00311137">
              <w:t xml:space="preserve">9. </w:t>
            </w:r>
            <w:r w:rsidR="002F78C9">
              <w:t>…</w:t>
            </w:r>
          </w:p>
          <w:p w:rsidR="00311137" w:rsidRPr="002F78C9" w:rsidRDefault="002F78C9" w:rsidP="00311137">
            <w:pPr>
              <w:pStyle w:val="rvps2"/>
              <w:shd w:val="clear" w:color="auto" w:fill="FFFFFF"/>
              <w:spacing w:before="0" w:beforeAutospacing="0" w:after="0" w:afterAutospacing="0"/>
              <w:ind w:firstLine="709"/>
              <w:jc w:val="both"/>
            </w:pPr>
            <w:r w:rsidRPr="00311137">
              <w:t xml:space="preserve">Якщо на дату розірвання договору розподілу природного газу або вилучення об’єкта споживача із заяви-приєднання до умов договору розподілу природного газу фактичний обсяг споживання сумарно по всіх об’єктах цього споживача або об’єкту, який було вилучено із заяви-приєднання до умов договору розподілу природного газу, буде перевищувати оплачену річну замовлену потужність поточного календарного року з урахуванням місяця, у якому розірваний договір або вилучений об’єкт із заяви-приєднання, споживач зобов’язаний у десятиденний строк з дня виставлення рахунку сплатити Оператору ГРМ різницю між вартістю фактично використаної потужності та вартістю оплаченої річної замовленої потужності. При цьому за наявності двох і більше об’єктів споживача величина оплаченої вартості річної потужності по об’єкту визначається </w:t>
            </w:r>
            <w:proofErr w:type="spellStart"/>
            <w:r w:rsidRPr="00311137">
              <w:t>пропорційно</w:t>
            </w:r>
            <w:proofErr w:type="spellEnd"/>
            <w:r w:rsidRPr="00311137">
              <w:t xml:space="preserve"> розміру річної </w:t>
            </w:r>
            <w:r w:rsidRPr="00311137">
              <w:lastRenderedPageBreak/>
              <w:t>замовленої потужності такого об’єкта до загального розміру річної замовленої потужності цього споживача.</w:t>
            </w:r>
          </w:p>
          <w:p w:rsidR="00311137" w:rsidRPr="002F78C9" w:rsidRDefault="00311137" w:rsidP="00311137">
            <w:pPr>
              <w:pStyle w:val="rvps2"/>
              <w:shd w:val="clear" w:color="auto" w:fill="FFFFFF"/>
              <w:spacing w:before="0" w:beforeAutospacing="0" w:after="0" w:afterAutospacing="0"/>
              <w:ind w:firstLine="709"/>
              <w:jc w:val="both"/>
            </w:pPr>
          </w:p>
          <w:p w:rsidR="002F78C9" w:rsidRDefault="002F78C9" w:rsidP="00311137">
            <w:pPr>
              <w:pStyle w:val="rvps2"/>
              <w:shd w:val="clear" w:color="auto" w:fill="FFFFFF"/>
              <w:spacing w:before="0" w:beforeAutospacing="0" w:after="0" w:afterAutospacing="0"/>
              <w:ind w:firstLine="709"/>
              <w:jc w:val="both"/>
            </w:pPr>
          </w:p>
          <w:p w:rsidR="002F78C9" w:rsidRDefault="002F78C9" w:rsidP="00311137">
            <w:pPr>
              <w:pStyle w:val="rvps2"/>
              <w:shd w:val="clear" w:color="auto" w:fill="FFFFFF"/>
              <w:spacing w:before="0" w:beforeAutospacing="0" w:after="0" w:afterAutospacing="0"/>
              <w:ind w:firstLine="709"/>
              <w:jc w:val="both"/>
            </w:pPr>
          </w:p>
          <w:p w:rsidR="002F78C9" w:rsidRDefault="002F78C9" w:rsidP="00311137">
            <w:pPr>
              <w:pStyle w:val="rvps2"/>
              <w:shd w:val="clear" w:color="auto" w:fill="FFFFFF"/>
              <w:spacing w:before="0" w:beforeAutospacing="0" w:after="0" w:afterAutospacing="0"/>
              <w:ind w:firstLine="709"/>
              <w:jc w:val="both"/>
            </w:pPr>
          </w:p>
          <w:p w:rsidR="002F78C9" w:rsidRDefault="002F78C9" w:rsidP="00311137">
            <w:pPr>
              <w:pStyle w:val="rvps2"/>
              <w:shd w:val="clear" w:color="auto" w:fill="FFFFFF"/>
              <w:spacing w:before="0" w:beforeAutospacing="0" w:after="0" w:afterAutospacing="0"/>
              <w:ind w:firstLine="709"/>
              <w:jc w:val="both"/>
            </w:pPr>
          </w:p>
          <w:p w:rsidR="00311137" w:rsidRPr="002F78C9" w:rsidRDefault="00311137" w:rsidP="00311137">
            <w:pPr>
              <w:pStyle w:val="rvps2"/>
              <w:shd w:val="clear" w:color="auto" w:fill="FFFFFF"/>
              <w:spacing w:before="0" w:beforeAutospacing="0" w:after="0" w:afterAutospacing="0"/>
              <w:ind w:firstLine="709"/>
              <w:jc w:val="both"/>
            </w:pPr>
            <w:r w:rsidRPr="002F78C9">
              <w:t>…</w:t>
            </w:r>
          </w:p>
        </w:tc>
        <w:tc>
          <w:tcPr>
            <w:tcW w:w="7564" w:type="dxa"/>
          </w:tcPr>
          <w:p w:rsidR="00311137" w:rsidRPr="00311137" w:rsidRDefault="00311137" w:rsidP="002F78C9">
            <w:pPr>
              <w:pStyle w:val="rvps2"/>
              <w:shd w:val="clear" w:color="auto" w:fill="FFFFFF"/>
              <w:spacing w:before="0" w:beforeAutospacing="0" w:after="0" w:afterAutospacing="0"/>
              <w:ind w:firstLine="709"/>
              <w:jc w:val="both"/>
            </w:pPr>
            <w:r w:rsidRPr="00311137">
              <w:lastRenderedPageBreak/>
              <w:t xml:space="preserve">9. </w:t>
            </w:r>
            <w:r w:rsidR="002F78C9">
              <w:t>…</w:t>
            </w:r>
          </w:p>
          <w:p w:rsidR="00311137" w:rsidRPr="00311137" w:rsidRDefault="00311137" w:rsidP="00311137">
            <w:pPr>
              <w:pStyle w:val="rvps2"/>
              <w:shd w:val="clear" w:color="auto" w:fill="FFFFFF"/>
              <w:spacing w:before="0" w:beforeAutospacing="0" w:after="0" w:afterAutospacing="0"/>
              <w:ind w:firstLine="709"/>
              <w:jc w:val="both"/>
              <w:rPr>
                <w:b/>
              </w:rPr>
            </w:pPr>
            <w:r w:rsidRPr="00311137">
              <w:t xml:space="preserve">Якщо на дату розірвання договору розподілу природного газу або вилучення об’єкта споживача із заяви-приєднання до умов договору розподілу природного газу фактичний обсяг споживання сумарно по всіх об’єктах цього споживача або об’єкту, який було вилучено із заяви-приєднання до умов договору розподілу природного газу, буде перевищувати оплачену річну замовлену потужність поточного календарного року з урахуванням місяця, у якому розірваний договір або вилучений об’єкт із заяви-приєднання, споживач зобов’язаний у десятиденний строк з дня виставлення рахунку сплатити Оператору ГРМ різницю між вартістю фактично використаної потужності та вартістю оплаченої річної замовленої потужності. При цьому за наявності двох і більше об’єктів споживача величина оплаченої вартості річної потужності по об’єкту визначається </w:t>
            </w:r>
            <w:proofErr w:type="spellStart"/>
            <w:r w:rsidRPr="00311137">
              <w:t>пропорційно</w:t>
            </w:r>
            <w:proofErr w:type="spellEnd"/>
            <w:r w:rsidRPr="00311137">
              <w:t xml:space="preserve"> розміру річної замовленої потужності такого об’єкта до загального розміру річної </w:t>
            </w:r>
            <w:r w:rsidRPr="00311137">
              <w:lastRenderedPageBreak/>
              <w:t xml:space="preserve">замовленої потужності цього споживача. </w:t>
            </w:r>
            <w:r w:rsidRPr="00311137">
              <w:rPr>
                <w:b/>
              </w:rPr>
              <w:t>Положення цього абзацу не поширюються на споживачів, річна замовлена потужність яких визначалась Оператором ГРМ за замовчуванням та на випадки переукладення договору розподілу природного газу у зв’язку з початком провадження господарської діяльності з розподілу природного газу на території місцезнаходження об’єкта газопостачання споживача іншим Оператором ГРМ.</w:t>
            </w:r>
          </w:p>
          <w:p w:rsidR="00C857B2" w:rsidRPr="00311137" w:rsidRDefault="00311137" w:rsidP="00311137">
            <w:pPr>
              <w:ind w:firstLine="709"/>
              <w:jc w:val="both"/>
              <w:rPr>
                <w:rFonts w:ascii="Times New Roman" w:eastAsia="Times New Roman" w:hAnsi="Times New Roman" w:cs="Times New Roman"/>
                <w:sz w:val="24"/>
                <w:szCs w:val="24"/>
                <w:lang w:eastAsia="uk-UA"/>
              </w:rPr>
            </w:pPr>
            <w:r w:rsidRPr="00311137">
              <w:rPr>
                <w:rFonts w:ascii="Times New Roman" w:eastAsia="Times New Roman" w:hAnsi="Times New Roman" w:cs="Times New Roman"/>
                <w:sz w:val="24"/>
                <w:szCs w:val="24"/>
                <w:lang w:eastAsia="uk-UA"/>
              </w:rPr>
              <w:t>…</w:t>
            </w:r>
          </w:p>
        </w:tc>
      </w:tr>
      <w:bookmarkEnd w:id="0"/>
    </w:tbl>
    <w:p w:rsidR="005B6BE8" w:rsidRDefault="005B6BE8"/>
    <w:p w:rsidR="00F5617D" w:rsidRDefault="00F5617D"/>
    <w:p w:rsidR="00F5617D" w:rsidRPr="00F5617D" w:rsidRDefault="00F5617D" w:rsidP="00F5617D">
      <w:pPr>
        <w:spacing w:after="0"/>
        <w:rPr>
          <w:rFonts w:ascii="Times New Roman" w:hAnsi="Times New Roman" w:cs="Times New Roman"/>
          <w:b/>
          <w:sz w:val="28"/>
          <w:szCs w:val="28"/>
        </w:rPr>
      </w:pPr>
      <w:r w:rsidRPr="00F5617D">
        <w:rPr>
          <w:rFonts w:ascii="Times New Roman" w:hAnsi="Times New Roman" w:cs="Times New Roman"/>
          <w:b/>
          <w:sz w:val="28"/>
          <w:szCs w:val="28"/>
        </w:rPr>
        <w:t xml:space="preserve">Директор </w:t>
      </w:r>
      <w:r w:rsidR="00DD1FC5">
        <w:rPr>
          <w:rFonts w:ascii="Times New Roman" w:hAnsi="Times New Roman" w:cs="Times New Roman"/>
          <w:b/>
          <w:sz w:val="28"/>
          <w:szCs w:val="28"/>
        </w:rPr>
        <w:t>Д</w:t>
      </w:r>
      <w:r w:rsidRPr="00F5617D">
        <w:rPr>
          <w:rFonts w:ascii="Times New Roman" w:hAnsi="Times New Roman" w:cs="Times New Roman"/>
          <w:b/>
          <w:sz w:val="28"/>
          <w:szCs w:val="28"/>
        </w:rPr>
        <w:t>епартаменту із регулювання</w:t>
      </w:r>
    </w:p>
    <w:p w:rsidR="00F5617D" w:rsidRPr="00F5617D" w:rsidRDefault="008D29A2" w:rsidP="00F5617D">
      <w:pPr>
        <w:spacing w:after="0"/>
        <w:rPr>
          <w:rFonts w:ascii="Times New Roman" w:hAnsi="Times New Roman" w:cs="Times New Roman"/>
          <w:b/>
          <w:sz w:val="28"/>
          <w:szCs w:val="28"/>
        </w:rPr>
      </w:pPr>
      <w:r>
        <w:rPr>
          <w:rFonts w:ascii="Times New Roman" w:hAnsi="Times New Roman" w:cs="Times New Roman"/>
          <w:b/>
          <w:sz w:val="28"/>
          <w:szCs w:val="28"/>
        </w:rPr>
        <w:t>в</w:t>
      </w:r>
      <w:r w:rsidR="00F5617D" w:rsidRPr="00F5617D">
        <w:rPr>
          <w:rFonts w:ascii="Times New Roman" w:hAnsi="Times New Roman" w:cs="Times New Roman"/>
          <w:b/>
          <w:sz w:val="28"/>
          <w:szCs w:val="28"/>
        </w:rPr>
        <w:t xml:space="preserve">ідносин у нафтогазовій сфері </w:t>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t xml:space="preserve">      Олександр КОСЯНЧУК</w:t>
      </w:r>
    </w:p>
    <w:sectPr w:rsidR="00F5617D" w:rsidRPr="00F5617D" w:rsidSect="00C50285">
      <w:footerReference w:type="default" r:id="rId12"/>
      <w:pgSz w:w="16838" w:h="11906" w:orient="landscape"/>
      <w:pgMar w:top="709"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7F5" w:rsidRDefault="005337F5" w:rsidP="00E11718">
      <w:pPr>
        <w:spacing w:after="0" w:line="240" w:lineRule="auto"/>
      </w:pPr>
      <w:r>
        <w:separator/>
      </w:r>
    </w:p>
  </w:endnote>
  <w:endnote w:type="continuationSeparator" w:id="0">
    <w:p w:rsidR="005337F5" w:rsidRDefault="005337F5" w:rsidP="00E1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7733284"/>
      <w:docPartObj>
        <w:docPartGallery w:val="Page Numbers (Bottom of Page)"/>
        <w:docPartUnique/>
      </w:docPartObj>
    </w:sdtPr>
    <w:sdtEndPr/>
    <w:sdtContent>
      <w:p w:rsidR="00364413" w:rsidRDefault="00364413">
        <w:pPr>
          <w:pStyle w:val="a9"/>
          <w:jc w:val="center"/>
        </w:pPr>
        <w:r>
          <w:fldChar w:fldCharType="begin"/>
        </w:r>
        <w:r>
          <w:instrText>PAGE   \* MERGEFORMAT</w:instrText>
        </w:r>
        <w:r>
          <w:fldChar w:fldCharType="separate"/>
        </w:r>
        <w:r w:rsidR="0097161C">
          <w:rPr>
            <w:noProof/>
          </w:rPr>
          <w:t>27</w:t>
        </w:r>
        <w:r>
          <w:fldChar w:fldCharType="end"/>
        </w:r>
      </w:p>
    </w:sdtContent>
  </w:sdt>
  <w:p w:rsidR="00364413" w:rsidRDefault="0036441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7F5" w:rsidRDefault="005337F5" w:rsidP="00E11718">
      <w:pPr>
        <w:spacing w:after="0" w:line="240" w:lineRule="auto"/>
      </w:pPr>
      <w:r>
        <w:separator/>
      </w:r>
    </w:p>
  </w:footnote>
  <w:footnote w:type="continuationSeparator" w:id="0">
    <w:p w:rsidR="005337F5" w:rsidRDefault="005337F5" w:rsidP="00E117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E29CE"/>
    <w:multiLevelType w:val="hybridMultilevel"/>
    <w:tmpl w:val="2B7CA59A"/>
    <w:lvl w:ilvl="0" w:tplc="FFE6A2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31C4514"/>
    <w:multiLevelType w:val="hybridMultilevel"/>
    <w:tmpl w:val="9E6C238E"/>
    <w:lvl w:ilvl="0" w:tplc="E18EC726">
      <w:start w:val="1"/>
      <w:numFmt w:val="decimal"/>
      <w:lvlText w:val="%1)"/>
      <w:lvlJc w:val="left"/>
      <w:pPr>
        <w:ind w:left="1290" w:hanging="57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71174386"/>
    <w:multiLevelType w:val="hybridMultilevel"/>
    <w:tmpl w:val="C8D0462E"/>
    <w:lvl w:ilvl="0" w:tplc="16E25ABE">
      <w:start w:val="1"/>
      <w:numFmt w:val="decimal"/>
      <w:lvlText w:val="%1)"/>
      <w:lvlJc w:val="left"/>
      <w:pPr>
        <w:ind w:left="1065" w:hanging="615"/>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 w15:restartNumberingAfterBreak="0">
    <w:nsid w:val="7C2859C9"/>
    <w:multiLevelType w:val="hybridMultilevel"/>
    <w:tmpl w:val="7F2A115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D54"/>
    <w:rsid w:val="00001653"/>
    <w:rsid w:val="000125C4"/>
    <w:rsid w:val="000306FC"/>
    <w:rsid w:val="00040347"/>
    <w:rsid w:val="000473F4"/>
    <w:rsid w:val="00056943"/>
    <w:rsid w:val="00066703"/>
    <w:rsid w:val="000A3268"/>
    <w:rsid w:val="000F1516"/>
    <w:rsid w:val="0010486D"/>
    <w:rsid w:val="001371D7"/>
    <w:rsid w:val="00143CE1"/>
    <w:rsid w:val="00162159"/>
    <w:rsid w:val="001835A6"/>
    <w:rsid w:val="0019486F"/>
    <w:rsid w:val="001B1DBF"/>
    <w:rsid w:val="001B24FA"/>
    <w:rsid w:val="00203924"/>
    <w:rsid w:val="00203A35"/>
    <w:rsid w:val="00260498"/>
    <w:rsid w:val="002674EA"/>
    <w:rsid w:val="0027573D"/>
    <w:rsid w:val="00284CCB"/>
    <w:rsid w:val="002C0707"/>
    <w:rsid w:val="002C1250"/>
    <w:rsid w:val="002E74D3"/>
    <w:rsid w:val="002F118B"/>
    <w:rsid w:val="002F175E"/>
    <w:rsid w:val="002F78C9"/>
    <w:rsid w:val="00311137"/>
    <w:rsid w:val="00317BFD"/>
    <w:rsid w:val="00333535"/>
    <w:rsid w:val="00351033"/>
    <w:rsid w:val="00364413"/>
    <w:rsid w:val="00373BF6"/>
    <w:rsid w:val="00375C50"/>
    <w:rsid w:val="003863A6"/>
    <w:rsid w:val="003A7D21"/>
    <w:rsid w:val="003F6883"/>
    <w:rsid w:val="00426679"/>
    <w:rsid w:val="00430E5C"/>
    <w:rsid w:val="004A20B8"/>
    <w:rsid w:val="004B1575"/>
    <w:rsid w:val="004C5621"/>
    <w:rsid w:val="004F5091"/>
    <w:rsid w:val="0050110D"/>
    <w:rsid w:val="00515E08"/>
    <w:rsid w:val="005337F5"/>
    <w:rsid w:val="00560DD9"/>
    <w:rsid w:val="0056221E"/>
    <w:rsid w:val="00575F5F"/>
    <w:rsid w:val="00582C1E"/>
    <w:rsid w:val="005845EA"/>
    <w:rsid w:val="005A2729"/>
    <w:rsid w:val="005B135E"/>
    <w:rsid w:val="005B384E"/>
    <w:rsid w:val="005B6BE8"/>
    <w:rsid w:val="005C2B4C"/>
    <w:rsid w:val="005D0508"/>
    <w:rsid w:val="005E5AAE"/>
    <w:rsid w:val="00601953"/>
    <w:rsid w:val="00615F2F"/>
    <w:rsid w:val="00623038"/>
    <w:rsid w:val="00636CD8"/>
    <w:rsid w:val="0065051E"/>
    <w:rsid w:val="00651865"/>
    <w:rsid w:val="006556EE"/>
    <w:rsid w:val="00685C85"/>
    <w:rsid w:val="00697683"/>
    <w:rsid w:val="006A6857"/>
    <w:rsid w:val="006B7110"/>
    <w:rsid w:val="006D27E2"/>
    <w:rsid w:val="006E2917"/>
    <w:rsid w:val="007227F8"/>
    <w:rsid w:val="0075422C"/>
    <w:rsid w:val="007569D4"/>
    <w:rsid w:val="00756BC0"/>
    <w:rsid w:val="0078175E"/>
    <w:rsid w:val="00795B61"/>
    <w:rsid w:val="007B31ED"/>
    <w:rsid w:val="007C482F"/>
    <w:rsid w:val="007D0105"/>
    <w:rsid w:val="007E05BC"/>
    <w:rsid w:val="007E1B1F"/>
    <w:rsid w:val="00811DAC"/>
    <w:rsid w:val="0082458A"/>
    <w:rsid w:val="00845F8D"/>
    <w:rsid w:val="008472A0"/>
    <w:rsid w:val="00847BD8"/>
    <w:rsid w:val="00851940"/>
    <w:rsid w:val="00853327"/>
    <w:rsid w:val="008553A5"/>
    <w:rsid w:val="00875330"/>
    <w:rsid w:val="00892D3D"/>
    <w:rsid w:val="008C1E93"/>
    <w:rsid w:val="008D29A2"/>
    <w:rsid w:val="008D3059"/>
    <w:rsid w:val="008D7C0E"/>
    <w:rsid w:val="008E04F7"/>
    <w:rsid w:val="009249D7"/>
    <w:rsid w:val="0093178E"/>
    <w:rsid w:val="0094278F"/>
    <w:rsid w:val="0094608F"/>
    <w:rsid w:val="00957D54"/>
    <w:rsid w:val="0097161C"/>
    <w:rsid w:val="009728F2"/>
    <w:rsid w:val="00976E81"/>
    <w:rsid w:val="00984185"/>
    <w:rsid w:val="009878B6"/>
    <w:rsid w:val="00990EDC"/>
    <w:rsid w:val="00991EF1"/>
    <w:rsid w:val="009C2C4C"/>
    <w:rsid w:val="00A06141"/>
    <w:rsid w:val="00A109E7"/>
    <w:rsid w:val="00A1773D"/>
    <w:rsid w:val="00A22F60"/>
    <w:rsid w:val="00A24E86"/>
    <w:rsid w:val="00A45E1E"/>
    <w:rsid w:val="00A65192"/>
    <w:rsid w:val="00A66458"/>
    <w:rsid w:val="00A86C26"/>
    <w:rsid w:val="00A93102"/>
    <w:rsid w:val="00AA10A7"/>
    <w:rsid w:val="00AA2F28"/>
    <w:rsid w:val="00AA6219"/>
    <w:rsid w:val="00AB1438"/>
    <w:rsid w:val="00AB2A41"/>
    <w:rsid w:val="00AB4AB5"/>
    <w:rsid w:val="00AB6233"/>
    <w:rsid w:val="00AD507C"/>
    <w:rsid w:val="00AE0E5C"/>
    <w:rsid w:val="00AE40B3"/>
    <w:rsid w:val="00AF38E6"/>
    <w:rsid w:val="00B047AE"/>
    <w:rsid w:val="00B10DA8"/>
    <w:rsid w:val="00B10E74"/>
    <w:rsid w:val="00B247CA"/>
    <w:rsid w:val="00B4497C"/>
    <w:rsid w:val="00B669C4"/>
    <w:rsid w:val="00B84FBB"/>
    <w:rsid w:val="00BD5749"/>
    <w:rsid w:val="00BE3FBC"/>
    <w:rsid w:val="00BF0DB0"/>
    <w:rsid w:val="00C02591"/>
    <w:rsid w:val="00C02B24"/>
    <w:rsid w:val="00C121D8"/>
    <w:rsid w:val="00C1250F"/>
    <w:rsid w:val="00C13877"/>
    <w:rsid w:val="00C142B6"/>
    <w:rsid w:val="00C14C23"/>
    <w:rsid w:val="00C246D5"/>
    <w:rsid w:val="00C26C55"/>
    <w:rsid w:val="00C32FEE"/>
    <w:rsid w:val="00C4610E"/>
    <w:rsid w:val="00C50285"/>
    <w:rsid w:val="00C51ED2"/>
    <w:rsid w:val="00C6085A"/>
    <w:rsid w:val="00C74028"/>
    <w:rsid w:val="00C857B2"/>
    <w:rsid w:val="00CB023E"/>
    <w:rsid w:val="00CB1329"/>
    <w:rsid w:val="00CB240D"/>
    <w:rsid w:val="00CB73BE"/>
    <w:rsid w:val="00CC6E1B"/>
    <w:rsid w:val="00CD1C4E"/>
    <w:rsid w:val="00CD42CB"/>
    <w:rsid w:val="00CD6A9D"/>
    <w:rsid w:val="00CF2796"/>
    <w:rsid w:val="00D07BEC"/>
    <w:rsid w:val="00D231FC"/>
    <w:rsid w:val="00D26909"/>
    <w:rsid w:val="00D371C1"/>
    <w:rsid w:val="00D42C3F"/>
    <w:rsid w:val="00D46AB5"/>
    <w:rsid w:val="00D71827"/>
    <w:rsid w:val="00D92D5C"/>
    <w:rsid w:val="00D976CD"/>
    <w:rsid w:val="00DA41D6"/>
    <w:rsid w:val="00DA4FC7"/>
    <w:rsid w:val="00DB028D"/>
    <w:rsid w:val="00DB60D5"/>
    <w:rsid w:val="00DC1306"/>
    <w:rsid w:val="00DC2853"/>
    <w:rsid w:val="00DD1FC5"/>
    <w:rsid w:val="00DE0410"/>
    <w:rsid w:val="00DE0B66"/>
    <w:rsid w:val="00DF0C3E"/>
    <w:rsid w:val="00DF1081"/>
    <w:rsid w:val="00DF1FCC"/>
    <w:rsid w:val="00E11718"/>
    <w:rsid w:val="00E16944"/>
    <w:rsid w:val="00E3750D"/>
    <w:rsid w:val="00E44EEB"/>
    <w:rsid w:val="00E5249F"/>
    <w:rsid w:val="00E664F6"/>
    <w:rsid w:val="00E74986"/>
    <w:rsid w:val="00EA4EF9"/>
    <w:rsid w:val="00EA65EB"/>
    <w:rsid w:val="00EE1106"/>
    <w:rsid w:val="00EE2D21"/>
    <w:rsid w:val="00EE3A8C"/>
    <w:rsid w:val="00EE64BF"/>
    <w:rsid w:val="00EF2EC0"/>
    <w:rsid w:val="00EF7F8B"/>
    <w:rsid w:val="00F046DB"/>
    <w:rsid w:val="00F07C0A"/>
    <w:rsid w:val="00F124CA"/>
    <w:rsid w:val="00F14037"/>
    <w:rsid w:val="00F1722E"/>
    <w:rsid w:val="00F267B2"/>
    <w:rsid w:val="00F33AA8"/>
    <w:rsid w:val="00F345C1"/>
    <w:rsid w:val="00F5617D"/>
    <w:rsid w:val="00F616A4"/>
    <w:rsid w:val="00F62C32"/>
    <w:rsid w:val="00F75B73"/>
    <w:rsid w:val="00F8148E"/>
    <w:rsid w:val="00F853F8"/>
    <w:rsid w:val="00FA6C98"/>
    <w:rsid w:val="00FB4365"/>
    <w:rsid w:val="00FC3F0B"/>
    <w:rsid w:val="00FF54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F7F18"/>
  <w15:chartTrackingRefBased/>
  <w15:docId w15:val="{8E38946D-B3FE-4EDA-8B48-1860F6FEB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2F28"/>
  </w:style>
  <w:style w:type="paragraph" w:styleId="3">
    <w:name w:val="heading 3"/>
    <w:basedOn w:val="a"/>
    <w:link w:val="30"/>
    <w:uiPriority w:val="9"/>
    <w:unhideWhenUsed/>
    <w:qFormat/>
    <w:rsid w:val="00E11718"/>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75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75F5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E44EEB"/>
    <w:pPr>
      <w:ind w:left="720"/>
      <w:contextualSpacing/>
    </w:pPr>
  </w:style>
  <w:style w:type="paragraph" w:styleId="a5">
    <w:name w:val="Balloon Text"/>
    <w:basedOn w:val="a"/>
    <w:link w:val="a6"/>
    <w:uiPriority w:val="99"/>
    <w:semiHidden/>
    <w:unhideWhenUsed/>
    <w:rsid w:val="0004034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40347"/>
    <w:rPr>
      <w:rFonts w:ascii="Segoe UI" w:hAnsi="Segoe UI" w:cs="Segoe UI"/>
      <w:sz w:val="18"/>
      <w:szCs w:val="18"/>
    </w:rPr>
  </w:style>
  <w:style w:type="paragraph" w:styleId="a7">
    <w:name w:val="header"/>
    <w:basedOn w:val="a"/>
    <w:link w:val="a8"/>
    <w:uiPriority w:val="99"/>
    <w:unhideWhenUsed/>
    <w:rsid w:val="00E11718"/>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E11718"/>
  </w:style>
  <w:style w:type="paragraph" w:styleId="a9">
    <w:name w:val="footer"/>
    <w:basedOn w:val="a"/>
    <w:link w:val="aa"/>
    <w:uiPriority w:val="99"/>
    <w:unhideWhenUsed/>
    <w:rsid w:val="00E11718"/>
    <w:pPr>
      <w:tabs>
        <w:tab w:val="center" w:pos="4819"/>
        <w:tab w:val="right" w:pos="9639"/>
      </w:tabs>
      <w:spacing w:after="0" w:line="240" w:lineRule="auto"/>
    </w:pPr>
  </w:style>
  <w:style w:type="character" w:customStyle="1" w:styleId="aa">
    <w:name w:val="Нижній колонтитул Знак"/>
    <w:basedOn w:val="a0"/>
    <w:link w:val="a9"/>
    <w:uiPriority w:val="99"/>
    <w:rsid w:val="00E11718"/>
  </w:style>
  <w:style w:type="character" w:customStyle="1" w:styleId="30">
    <w:name w:val="Заголовок 3 Знак"/>
    <w:basedOn w:val="a0"/>
    <w:link w:val="3"/>
    <w:uiPriority w:val="9"/>
    <w:rsid w:val="00E11718"/>
    <w:rPr>
      <w:rFonts w:ascii="Times New Roman" w:eastAsiaTheme="minorEastAsia" w:hAnsi="Times New Roman" w:cs="Times New Roman"/>
      <w:b/>
      <w:bCs/>
      <w:sz w:val="27"/>
      <w:szCs w:val="27"/>
      <w:lang w:eastAsia="uk-UA"/>
    </w:rPr>
  </w:style>
  <w:style w:type="paragraph" w:styleId="ab">
    <w:name w:val="annotation text"/>
    <w:basedOn w:val="a"/>
    <w:link w:val="ac"/>
    <w:uiPriority w:val="99"/>
    <w:semiHidden/>
    <w:unhideWhenUsed/>
    <w:rsid w:val="00E11718"/>
    <w:pPr>
      <w:spacing w:after="0" w:line="240" w:lineRule="auto"/>
    </w:pPr>
    <w:rPr>
      <w:rFonts w:ascii="Times New Roman" w:eastAsiaTheme="minorEastAsia" w:hAnsi="Times New Roman" w:cs="Times New Roman"/>
      <w:sz w:val="20"/>
      <w:szCs w:val="20"/>
      <w:lang w:eastAsia="uk-UA"/>
    </w:rPr>
  </w:style>
  <w:style w:type="character" w:customStyle="1" w:styleId="ac">
    <w:name w:val="Текст примітки Знак"/>
    <w:basedOn w:val="a0"/>
    <w:link w:val="ab"/>
    <w:uiPriority w:val="99"/>
    <w:semiHidden/>
    <w:rsid w:val="00E11718"/>
    <w:rPr>
      <w:rFonts w:ascii="Times New Roman" w:eastAsiaTheme="minorEastAsia" w:hAnsi="Times New Roman" w:cs="Times New Roman"/>
      <w:sz w:val="20"/>
      <w:szCs w:val="20"/>
      <w:lang w:eastAsia="uk-UA"/>
    </w:rPr>
  </w:style>
  <w:style w:type="character" w:styleId="ad">
    <w:name w:val="annotation reference"/>
    <w:basedOn w:val="a0"/>
    <w:uiPriority w:val="99"/>
    <w:semiHidden/>
    <w:unhideWhenUsed/>
    <w:rsid w:val="00E11718"/>
    <w:rPr>
      <w:sz w:val="16"/>
      <w:szCs w:val="16"/>
    </w:rPr>
  </w:style>
  <w:style w:type="character" w:styleId="ae">
    <w:name w:val="Hyperlink"/>
    <w:basedOn w:val="a0"/>
    <w:uiPriority w:val="99"/>
    <w:semiHidden/>
    <w:unhideWhenUsed/>
    <w:rsid w:val="00E11718"/>
    <w:rPr>
      <w:color w:val="0000FF"/>
      <w:u w:val="single"/>
    </w:rPr>
  </w:style>
  <w:style w:type="paragraph" w:styleId="af">
    <w:name w:val="Normal (Web)"/>
    <w:basedOn w:val="a"/>
    <w:uiPriority w:val="99"/>
    <w:unhideWhenUsed/>
    <w:rsid w:val="00E11718"/>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f0">
    <w:name w:val="annotation subject"/>
    <w:basedOn w:val="ab"/>
    <w:next w:val="ab"/>
    <w:link w:val="af1"/>
    <w:uiPriority w:val="99"/>
    <w:semiHidden/>
    <w:unhideWhenUsed/>
    <w:rsid w:val="00CC6E1B"/>
    <w:pPr>
      <w:spacing w:after="160"/>
    </w:pPr>
    <w:rPr>
      <w:rFonts w:asciiTheme="minorHAnsi" w:eastAsiaTheme="minorHAnsi" w:hAnsiTheme="minorHAnsi" w:cstheme="minorBidi"/>
      <w:b/>
      <w:bCs/>
      <w:lang w:eastAsia="en-US"/>
    </w:rPr>
  </w:style>
  <w:style w:type="character" w:customStyle="1" w:styleId="af1">
    <w:name w:val="Тема примітки Знак"/>
    <w:basedOn w:val="ac"/>
    <w:link w:val="af0"/>
    <w:uiPriority w:val="99"/>
    <w:semiHidden/>
    <w:rsid w:val="00CC6E1B"/>
    <w:rPr>
      <w:rFonts w:ascii="Times New Roman" w:eastAsiaTheme="minorEastAsia" w:hAnsi="Times New Roman" w:cs="Times New Roman"/>
      <w:b/>
      <w:bCs/>
      <w:sz w:val="20"/>
      <w:szCs w:val="20"/>
      <w:lang w:eastAsia="uk-UA"/>
    </w:rPr>
  </w:style>
  <w:style w:type="paragraph" w:styleId="af2">
    <w:name w:val="Title"/>
    <w:basedOn w:val="a"/>
    <w:next w:val="a"/>
    <w:link w:val="af3"/>
    <w:rsid w:val="004B1575"/>
    <w:pPr>
      <w:keepNext/>
      <w:keepLines/>
      <w:spacing w:before="480" w:after="120"/>
    </w:pPr>
    <w:rPr>
      <w:rFonts w:ascii="Calibri" w:eastAsia="Calibri" w:hAnsi="Calibri" w:cs="Times New Roman"/>
      <w:b/>
      <w:sz w:val="72"/>
      <w:szCs w:val="72"/>
      <w:lang w:eastAsia="x-none"/>
    </w:rPr>
  </w:style>
  <w:style w:type="character" w:customStyle="1" w:styleId="af3">
    <w:name w:val="Назва Знак"/>
    <w:basedOn w:val="a0"/>
    <w:link w:val="af2"/>
    <w:rsid w:val="004B1575"/>
    <w:rPr>
      <w:rFonts w:ascii="Calibri" w:eastAsia="Calibri" w:hAnsi="Calibri" w:cs="Times New Roman"/>
      <w:b/>
      <w:sz w:val="72"/>
      <w:szCs w:val="72"/>
      <w:lang w:eastAsia="x-none"/>
    </w:rPr>
  </w:style>
  <w:style w:type="paragraph" w:styleId="af4">
    <w:name w:val="Body Text Indent"/>
    <w:basedOn w:val="a"/>
    <w:link w:val="af5"/>
    <w:rsid w:val="009728F2"/>
    <w:pPr>
      <w:spacing w:after="0" w:line="240" w:lineRule="auto"/>
      <w:ind w:firstLine="708"/>
      <w:jc w:val="both"/>
    </w:pPr>
    <w:rPr>
      <w:rFonts w:ascii="Times New Roman" w:eastAsia="Calibri" w:hAnsi="Times New Roman" w:cs="Times New Roman"/>
      <w:sz w:val="20"/>
      <w:szCs w:val="20"/>
      <w:lang w:eastAsia="ru-RU"/>
    </w:rPr>
  </w:style>
  <w:style w:type="character" w:customStyle="1" w:styleId="af5">
    <w:name w:val="Основний текст з відступом Знак"/>
    <w:basedOn w:val="a0"/>
    <w:link w:val="af4"/>
    <w:rsid w:val="009728F2"/>
    <w:rPr>
      <w:rFonts w:ascii="Times New Roman" w:eastAsia="Calibri" w:hAnsi="Times New Roman" w:cs="Times New Roman"/>
      <w:sz w:val="20"/>
      <w:szCs w:val="20"/>
      <w:lang w:eastAsia="ru-RU"/>
    </w:rPr>
  </w:style>
  <w:style w:type="paragraph" w:customStyle="1" w:styleId="tj">
    <w:name w:val="tj"/>
    <w:basedOn w:val="a"/>
    <w:rsid w:val="009728F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rsid w:val="00972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0716">
      <w:bodyDiv w:val="1"/>
      <w:marLeft w:val="0"/>
      <w:marRight w:val="0"/>
      <w:marTop w:val="0"/>
      <w:marBottom w:val="0"/>
      <w:divBdr>
        <w:top w:val="none" w:sz="0" w:space="0" w:color="auto"/>
        <w:left w:val="none" w:sz="0" w:space="0" w:color="auto"/>
        <w:bottom w:val="none" w:sz="0" w:space="0" w:color="auto"/>
        <w:right w:val="none" w:sz="0" w:space="0" w:color="auto"/>
      </w:divBdr>
    </w:div>
    <w:div w:id="45838249">
      <w:bodyDiv w:val="1"/>
      <w:marLeft w:val="0"/>
      <w:marRight w:val="0"/>
      <w:marTop w:val="0"/>
      <w:marBottom w:val="0"/>
      <w:divBdr>
        <w:top w:val="none" w:sz="0" w:space="0" w:color="auto"/>
        <w:left w:val="none" w:sz="0" w:space="0" w:color="auto"/>
        <w:bottom w:val="none" w:sz="0" w:space="0" w:color="auto"/>
        <w:right w:val="none" w:sz="0" w:space="0" w:color="auto"/>
      </w:divBdr>
    </w:div>
    <w:div w:id="144661373">
      <w:bodyDiv w:val="1"/>
      <w:marLeft w:val="0"/>
      <w:marRight w:val="0"/>
      <w:marTop w:val="0"/>
      <w:marBottom w:val="0"/>
      <w:divBdr>
        <w:top w:val="none" w:sz="0" w:space="0" w:color="auto"/>
        <w:left w:val="none" w:sz="0" w:space="0" w:color="auto"/>
        <w:bottom w:val="none" w:sz="0" w:space="0" w:color="auto"/>
        <w:right w:val="none" w:sz="0" w:space="0" w:color="auto"/>
      </w:divBdr>
    </w:div>
    <w:div w:id="208497766">
      <w:bodyDiv w:val="1"/>
      <w:marLeft w:val="0"/>
      <w:marRight w:val="0"/>
      <w:marTop w:val="0"/>
      <w:marBottom w:val="0"/>
      <w:divBdr>
        <w:top w:val="none" w:sz="0" w:space="0" w:color="auto"/>
        <w:left w:val="none" w:sz="0" w:space="0" w:color="auto"/>
        <w:bottom w:val="none" w:sz="0" w:space="0" w:color="auto"/>
        <w:right w:val="none" w:sz="0" w:space="0" w:color="auto"/>
      </w:divBdr>
    </w:div>
    <w:div w:id="297534046">
      <w:bodyDiv w:val="1"/>
      <w:marLeft w:val="0"/>
      <w:marRight w:val="0"/>
      <w:marTop w:val="0"/>
      <w:marBottom w:val="0"/>
      <w:divBdr>
        <w:top w:val="none" w:sz="0" w:space="0" w:color="auto"/>
        <w:left w:val="none" w:sz="0" w:space="0" w:color="auto"/>
        <w:bottom w:val="none" w:sz="0" w:space="0" w:color="auto"/>
        <w:right w:val="none" w:sz="0" w:space="0" w:color="auto"/>
      </w:divBdr>
    </w:div>
    <w:div w:id="300423375">
      <w:bodyDiv w:val="1"/>
      <w:marLeft w:val="0"/>
      <w:marRight w:val="0"/>
      <w:marTop w:val="0"/>
      <w:marBottom w:val="0"/>
      <w:divBdr>
        <w:top w:val="none" w:sz="0" w:space="0" w:color="auto"/>
        <w:left w:val="none" w:sz="0" w:space="0" w:color="auto"/>
        <w:bottom w:val="none" w:sz="0" w:space="0" w:color="auto"/>
        <w:right w:val="none" w:sz="0" w:space="0" w:color="auto"/>
      </w:divBdr>
    </w:div>
    <w:div w:id="433088383">
      <w:bodyDiv w:val="1"/>
      <w:marLeft w:val="0"/>
      <w:marRight w:val="0"/>
      <w:marTop w:val="0"/>
      <w:marBottom w:val="0"/>
      <w:divBdr>
        <w:top w:val="none" w:sz="0" w:space="0" w:color="auto"/>
        <w:left w:val="none" w:sz="0" w:space="0" w:color="auto"/>
        <w:bottom w:val="none" w:sz="0" w:space="0" w:color="auto"/>
        <w:right w:val="none" w:sz="0" w:space="0" w:color="auto"/>
      </w:divBdr>
    </w:div>
    <w:div w:id="566839785">
      <w:bodyDiv w:val="1"/>
      <w:marLeft w:val="0"/>
      <w:marRight w:val="0"/>
      <w:marTop w:val="0"/>
      <w:marBottom w:val="0"/>
      <w:divBdr>
        <w:top w:val="none" w:sz="0" w:space="0" w:color="auto"/>
        <w:left w:val="none" w:sz="0" w:space="0" w:color="auto"/>
        <w:bottom w:val="none" w:sz="0" w:space="0" w:color="auto"/>
        <w:right w:val="none" w:sz="0" w:space="0" w:color="auto"/>
      </w:divBdr>
    </w:div>
    <w:div w:id="737367730">
      <w:bodyDiv w:val="1"/>
      <w:marLeft w:val="0"/>
      <w:marRight w:val="0"/>
      <w:marTop w:val="0"/>
      <w:marBottom w:val="0"/>
      <w:divBdr>
        <w:top w:val="none" w:sz="0" w:space="0" w:color="auto"/>
        <w:left w:val="none" w:sz="0" w:space="0" w:color="auto"/>
        <w:bottom w:val="none" w:sz="0" w:space="0" w:color="auto"/>
        <w:right w:val="none" w:sz="0" w:space="0" w:color="auto"/>
      </w:divBdr>
    </w:div>
    <w:div w:id="864440253">
      <w:bodyDiv w:val="1"/>
      <w:marLeft w:val="0"/>
      <w:marRight w:val="0"/>
      <w:marTop w:val="0"/>
      <w:marBottom w:val="0"/>
      <w:divBdr>
        <w:top w:val="none" w:sz="0" w:space="0" w:color="auto"/>
        <w:left w:val="none" w:sz="0" w:space="0" w:color="auto"/>
        <w:bottom w:val="none" w:sz="0" w:space="0" w:color="auto"/>
        <w:right w:val="none" w:sz="0" w:space="0" w:color="auto"/>
      </w:divBdr>
      <w:divsChild>
        <w:div w:id="425425563">
          <w:marLeft w:val="0"/>
          <w:marRight w:val="0"/>
          <w:marTop w:val="0"/>
          <w:marBottom w:val="0"/>
          <w:divBdr>
            <w:top w:val="none" w:sz="0" w:space="0" w:color="auto"/>
            <w:left w:val="none" w:sz="0" w:space="0" w:color="auto"/>
            <w:bottom w:val="none" w:sz="0" w:space="0" w:color="auto"/>
            <w:right w:val="none" w:sz="0" w:space="0" w:color="auto"/>
          </w:divBdr>
          <w:divsChild>
            <w:div w:id="126191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3097">
      <w:bodyDiv w:val="1"/>
      <w:marLeft w:val="0"/>
      <w:marRight w:val="0"/>
      <w:marTop w:val="0"/>
      <w:marBottom w:val="0"/>
      <w:divBdr>
        <w:top w:val="none" w:sz="0" w:space="0" w:color="auto"/>
        <w:left w:val="none" w:sz="0" w:space="0" w:color="auto"/>
        <w:bottom w:val="none" w:sz="0" w:space="0" w:color="auto"/>
        <w:right w:val="none" w:sz="0" w:space="0" w:color="auto"/>
      </w:divBdr>
    </w:div>
    <w:div w:id="973948344">
      <w:bodyDiv w:val="1"/>
      <w:marLeft w:val="0"/>
      <w:marRight w:val="0"/>
      <w:marTop w:val="0"/>
      <w:marBottom w:val="0"/>
      <w:divBdr>
        <w:top w:val="none" w:sz="0" w:space="0" w:color="auto"/>
        <w:left w:val="none" w:sz="0" w:space="0" w:color="auto"/>
        <w:bottom w:val="none" w:sz="0" w:space="0" w:color="auto"/>
        <w:right w:val="none" w:sz="0" w:space="0" w:color="auto"/>
      </w:divBdr>
    </w:div>
    <w:div w:id="1023241075">
      <w:bodyDiv w:val="1"/>
      <w:marLeft w:val="0"/>
      <w:marRight w:val="0"/>
      <w:marTop w:val="0"/>
      <w:marBottom w:val="0"/>
      <w:divBdr>
        <w:top w:val="none" w:sz="0" w:space="0" w:color="auto"/>
        <w:left w:val="none" w:sz="0" w:space="0" w:color="auto"/>
        <w:bottom w:val="none" w:sz="0" w:space="0" w:color="auto"/>
        <w:right w:val="none" w:sz="0" w:space="0" w:color="auto"/>
      </w:divBdr>
    </w:div>
    <w:div w:id="1070350110">
      <w:bodyDiv w:val="1"/>
      <w:marLeft w:val="0"/>
      <w:marRight w:val="0"/>
      <w:marTop w:val="0"/>
      <w:marBottom w:val="0"/>
      <w:divBdr>
        <w:top w:val="none" w:sz="0" w:space="0" w:color="auto"/>
        <w:left w:val="none" w:sz="0" w:space="0" w:color="auto"/>
        <w:bottom w:val="none" w:sz="0" w:space="0" w:color="auto"/>
        <w:right w:val="none" w:sz="0" w:space="0" w:color="auto"/>
      </w:divBdr>
    </w:div>
    <w:div w:id="1190407968">
      <w:bodyDiv w:val="1"/>
      <w:marLeft w:val="0"/>
      <w:marRight w:val="0"/>
      <w:marTop w:val="0"/>
      <w:marBottom w:val="0"/>
      <w:divBdr>
        <w:top w:val="none" w:sz="0" w:space="0" w:color="auto"/>
        <w:left w:val="none" w:sz="0" w:space="0" w:color="auto"/>
        <w:bottom w:val="none" w:sz="0" w:space="0" w:color="auto"/>
        <w:right w:val="none" w:sz="0" w:space="0" w:color="auto"/>
      </w:divBdr>
    </w:div>
    <w:div w:id="1238200906">
      <w:bodyDiv w:val="1"/>
      <w:marLeft w:val="0"/>
      <w:marRight w:val="0"/>
      <w:marTop w:val="0"/>
      <w:marBottom w:val="0"/>
      <w:divBdr>
        <w:top w:val="none" w:sz="0" w:space="0" w:color="auto"/>
        <w:left w:val="none" w:sz="0" w:space="0" w:color="auto"/>
        <w:bottom w:val="none" w:sz="0" w:space="0" w:color="auto"/>
        <w:right w:val="none" w:sz="0" w:space="0" w:color="auto"/>
      </w:divBdr>
    </w:div>
    <w:div w:id="1265191517">
      <w:bodyDiv w:val="1"/>
      <w:marLeft w:val="0"/>
      <w:marRight w:val="0"/>
      <w:marTop w:val="0"/>
      <w:marBottom w:val="0"/>
      <w:divBdr>
        <w:top w:val="none" w:sz="0" w:space="0" w:color="auto"/>
        <w:left w:val="none" w:sz="0" w:space="0" w:color="auto"/>
        <w:bottom w:val="none" w:sz="0" w:space="0" w:color="auto"/>
        <w:right w:val="none" w:sz="0" w:space="0" w:color="auto"/>
      </w:divBdr>
    </w:div>
    <w:div w:id="1349528274">
      <w:bodyDiv w:val="1"/>
      <w:marLeft w:val="0"/>
      <w:marRight w:val="0"/>
      <w:marTop w:val="0"/>
      <w:marBottom w:val="0"/>
      <w:divBdr>
        <w:top w:val="none" w:sz="0" w:space="0" w:color="auto"/>
        <w:left w:val="none" w:sz="0" w:space="0" w:color="auto"/>
        <w:bottom w:val="none" w:sz="0" w:space="0" w:color="auto"/>
        <w:right w:val="none" w:sz="0" w:space="0" w:color="auto"/>
      </w:divBdr>
    </w:div>
    <w:div w:id="1618289093">
      <w:bodyDiv w:val="1"/>
      <w:marLeft w:val="0"/>
      <w:marRight w:val="0"/>
      <w:marTop w:val="0"/>
      <w:marBottom w:val="0"/>
      <w:divBdr>
        <w:top w:val="none" w:sz="0" w:space="0" w:color="auto"/>
        <w:left w:val="none" w:sz="0" w:space="0" w:color="auto"/>
        <w:bottom w:val="none" w:sz="0" w:space="0" w:color="auto"/>
        <w:right w:val="none" w:sz="0" w:space="0" w:color="auto"/>
      </w:divBdr>
    </w:div>
    <w:div w:id="1689871004">
      <w:bodyDiv w:val="1"/>
      <w:marLeft w:val="0"/>
      <w:marRight w:val="0"/>
      <w:marTop w:val="0"/>
      <w:marBottom w:val="0"/>
      <w:divBdr>
        <w:top w:val="none" w:sz="0" w:space="0" w:color="auto"/>
        <w:left w:val="none" w:sz="0" w:space="0" w:color="auto"/>
        <w:bottom w:val="none" w:sz="0" w:space="0" w:color="auto"/>
        <w:right w:val="none" w:sz="0" w:space="0" w:color="auto"/>
      </w:divBdr>
      <w:divsChild>
        <w:div w:id="484905267">
          <w:marLeft w:val="0"/>
          <w:marRight w:val="0"/>
          <w:marTop w:val="0"/>
          <w:marBottom w:val="0"/>
          <w:divBdr>
            <w:top w:val="none" w:sz="0" w:space="0" w:color="auto"/>
            <w:left w:val="none" w:sz="0" w:space="0" w:color="auto"/>
            <w:bottom w:val="none" w:sz="0" w:space="0" w:color="auto"/>
            <w:right w:val="none" w:sz="0" w:space="0" w:color="auto"/>
          </w:divBdr>
          <w:divsChild>
            <w:div w:id="81796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159003">
      <w:bodyDiv w:val="1"/>
      <w:marLeft w:val="0"/>
      <w:marRight w:val="0"/>
      <w:marTop w:val="0"/>
      <w:marBottom w:val="0"/>
      <w:divBdr>
        <w:top w:val="none" w:sz="0" w:space="0" w:color="auto"/>
        <w:left w:val="none" w:sz="0" w:space="0" w:color="auto"/>
        <w:bottom w:val="none" w:sz="0" w:space="0" w:color="auto"/>
        <w:right w:val="none" w:sz="0" w:space="0" w:color="auto"/>
      </w:divBdr>
    </w:div>
    <w:div w:id="207646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379-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1379-15" TargetMode="External"/><Relationship Id="rId5" Type="http://schemas.openxmlformats.org/officeDocument/2006/relationships/webSettings" Target="webSettings.xml"/><Relationship Id="rId10" Type="http://schemas.openxmlformats.org/officeDocument/2006/relationships/hyperlink" Target="https://zakon.rada.gov.ua/laws/show/z1379-15" TargetMode="External"/><Relationship Id="rId4" Type="http://schemas.openxmlformats.org/officeDocument/2006/relationships/settings" Target="settings.xml"/><Relationship Id="rId9" Type="http://schemas.openxmlformats.org/officeDocument/2006/relationships/hyperlink" Target="https://zakon.rada.gov.ua/laws/show/z1379-1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1B794-7CDD-4809-AEBD-2CC9A957A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4007</Words>
  <Characters>2284</Characters>
  <Application>Microsoft Office Word</Application>
  <DocSecurity>0</DocSecurity>
  <Lines>19</Lines>
  <Paragraphs>12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Кулаковська</dc:creator>
  <cp:keywords/>
  <dc:description/>
  <cp:lastModifiedBy>Марина Різанова</cp:lastModifiedBy>
  <cp:revision>2</cp:revision>
  <dcterms:created xsi:type="dcterms:W3CDTF">2023-07-31T08:30:00Z</dcterms:created>
  <dcterms:modified xsi:type="dcterms:W3CDTF">2023-07-31T08:30:00Z</dcterms:modified>
</cp:coreProperties>
</file>