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A5871" w14:textId="77777777" w:rsidR="00C14854" w:rsidRDefault="00C14854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175D673" w14:textId="455739BE" w:rsidR="008919BF" w:rsidRPr="005973EE" w:rsidRDefault="00CB79B1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</w:t>
      </w:r>
      <w:proofErr w:type="spellStart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проєкту</w:t>
      </w:r>
      <w:proofErr w:type="spellEnd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НКРЕКП</w:t>
      </w:r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</w:t>
      </w:r>
      <w:r w:rsidR="008919BF" w:rsidRP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Про </w:t>
      </w:r>
      <w:r w:rsidR="000575A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затвердження З</w:t>
      </w:r>
      <w:r w:rsidR="008919BF" w:rsidRP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мін до Порядку</w:t>
      </w:r>
      <w:r w:rsidR="00242F6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8919BF" w:rsidRP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встановлення (формування) тарифів на послуги з розподілу електричної енергії</w:t>
      </w:r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14:paraId="20B0B20D" w14:textId="77777777" w:rsidR="00C33F3D" w:rsidRPr="00C14854" w:rsidRDefault="00C33F3D" w:rsidP="00C33F3D">
      <w:pPr>
        <w:spacing w:after="0" w:line="240" w:lineRule="auto"/>
        <w:rPr>
          <w:rFonts w:ascii="Times New Roman" w:eastAsia="Times New Roman" w:hAnsi="Times New Roman" w:cs="Times New Roman"/>
          <w:vanish/>
          <w:sz w:val="44"/>
          <w:szCs w:val="32"/>
          <w:lang w:eastAsia="ru-RU"/>
        </w:rPr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8080"/>
      </w:tblGrid>
      <w:tr w:rsidR="00C33F3D" w:rsidRPr="00C33F3D" w14:paraId="2E5BAF09" w14:textId="77777777" w:rsidTr="00834EAE">
        <w:trPr>
          <w:trHeight w:val="706"/>
          <w:jc w:val="center"/>
        </w:trPr>
        <w:tc>
          <w:tcPr>
            <w:tcW w:w="7797" w:type="dxa"/>
            <w:vAlign w:val="center"/>
          </w:tcPr>
          <w:p w14:paraId="35AB6003" w14:textId="77777777" w:rsidR="00C33F3D" w:rsidRPr="00DE3574" w:rsidRDefault="00C33F3D" w:rsidP="00834EAE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E3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Чинна редакція Порядку</w:t>
            </w:r>
          </w:p>
        </w:tc>
        <w:tc>
          <w:tcPr>
            <w:tcW w:w="8080" w:type="dxa"/>
            <w:vAlign w:val="center"/>
          </w:tcPr>
          <w:p w14:paraId="0A8F166B" w14:textId="77777777" w:rsidR="00C33F3D" w:rsidRPr="00DE3574" w:rsidRDefault="00C33F3D" w:rsidP="00DE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lightGray"/>
                <w:lang w:eastAsia="ru-RU"/>
              </w:rPr>
            </w:pPr>
            <w:r w:rsidRPr="00DE3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Редакція, що пропонується</w:t>
            </w:r>
          </w:p>
        </w:tc>
      </w:tr>
      <w:tr w:rsidR="00824670" w:rsidRPr="00C33F3D" w14:paraId="728CB6E3" w14:textId="77777777" w:rsidTr="00834EAE">
        <w:trPr>
          <w:trHeight w:val="706"/>
          <w:jc w:val="center"/>
        </w:trPr>
        <w:tc>
          <w:tcPr>
            <w:tcW w:w="7797" w:type="dxa"/>
            <w:vAlign w:val="center"/>
          </w:tcPr>
          <w:p w14:paraId="7131983F" w14:textId="77777777" w:rsidR="00824670" w:rsidRPr="005873C3" w:rsidRDefault="00824670" w:rsidP="008246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sz w:val="24"/>
                <w:szCs w:val="24"/>
              </w:rPr>
              <w:t>4. Підстави для встановлення тарифів за ініціативою НКРЕКП</w:t>
            </w:r>
          </w:p>
          <w:p w14:paraId="0D41A1D0" w14:textId="6CE246F5" w:rsidR="00824670" w:rsidRPr="005873C3" w:rsidRDefault="00824670" w:rsidP="00824670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5873C3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69441A08" w14:textId="77777777" w:rsidR="00B317B7" w:rsidRPr="005873C3" w:rsidRDefault="00B317B7" w:rsidP="00824670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40CD9263" w14:textId="77777777" w:rsidR="00824670" w:rsidRPr="005873C3" w:rsidRDefault="00095823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824670" w:rsidRPr="005873C3">
                <w:rPr>
                  <w:rFonts w:ascii="Times New Roman" w:hAnsi="Times New Roman" w:cs="Times New Roman"/>
                  <w:sz w:val="24"/>
                  <w:szCs w:val="24"/>
                </w:rPr>
                <w:t>4.2. НКРЕКП може ініціювати, у тому числі на підставі звітності та/або за зверненням ліцензіата, встановлення тарифів як засіб державного регулювання у сфері енергетики:</w:t>
              </w:r>
            </w:hyperlink>
          </w:p>
          <w:p w14:paraId="4E4A567B" w14:textId="77777777" w:rsidR="00756FF0" w:rsidRPr="005873C3" w:rsidRDefault="00756FF0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B46556" w14:textId="6E7309C2" w:rsidR="00B317B7" w:rsidRPr="005873C3" w:rsidRDefault="00AA39F5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B317B7"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ідсутній</w:t>
            </w:r>
          </w:p>
          <w:p w14:paraId="735B51B1" w14:textId="77777777" w:rsidR="00AA39F5" w:rsidRPr="005873C3" w:rsidRDefault="00AA39F5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02D739" w14:textId="77777777" w:rsidR="00AA39F5" w:rsidRPr="005873C3" w:rsidRDefault="00AA39F5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298732" w14:textId="77777777" w:rsidR="00591ED1" w:rsidRPr="005873C3" w:rsidRDefault="00591ED1" w:rsidP="00591E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Відсутній</w:t>
            </w:r>
          </w:p>
          <w:p w14:paraId="03E35466" w14:textId="77777777" w:rsidR="00591ED1" w:rsidRPr="005873C3" w:rsidRDefault="00591ED1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96432C" w14:textId="77777777" w:rsidR="00591ED1" w:rsidRPr="005873C3" w:rsidRDefault="00591ED1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CA80FC" w14:textId="77777777" w:rsidR="00824670" w:rsidRPr="005873C3" w:rsidRDefault="00824670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sz w:val="24"/>
                <w:szCs w:val="24"/>
              </w:rPr>
              <w:t>1) у разі невиконання інвестиційної програми, надання ліцензіатом недостовірних даних, помилок при розрахунку необхідного доходу;</w:t>
            </w:r>
          </w:p>
          <w:p w14:paraId="07C2FFCB" w14:textId="77777777" w:rsidR="00824670" w:rsidRPr="005873C3" w:rsidRDefault="00824670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sz w:val="24"/>
                <w:szCs w:val="24"/>
              </w:rPr>
              <w:t>2) у разі зміни обсягів розподілу електричної енергії відносно врахованих при розрахунку діючих тарифів більше ніж на 5 %;</w:t>
            </w:r>
          </w:p>
          <w:p w14:paraId="5EDBC3B8" w14:textId="77777777" w:rsidR="00824670" w:rsidRPr="005873C3" w:rsidRDefault="00824670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sz w:val="24"/>
                <w:szCs w:val="24"/>
              </w:rPr>
              <w:t>3) у разі наявності дефіциту або профіциту коштів від здійснення діяльності з надання послуг з приєднання електроустановок замовників до електричних мереж у році t-1, що підтверджується розширеним звітом ліцензіата </w:t>
            </w:r>
            <w:hyperlink r:id="rId9" w:tgtFrame="_blank" w:history="1">
              <w:r w:rsidRPr="005873C3">
                <w:rPr>
                  <w:rFonts w:ascii="Times New Roman" w:hAnsi="Times New Roman" w:cs="Times New Roman"/>
                  <w:sz w:val="24"/>
                  <w:szCs w:val="24"/>
                </w:rPr>
                <w:t>та результатами здійснення заходів контролю за дотриманням Ліцензійних умов</w:t>
              </w:r>
            </w:hyperlink>
            <w:r w:rsidRPr="005873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CB6671" w14:textId="77777777" w:rsidR="00824670" w:rsidRPr="005873C3" w:rsidRDefault="00095823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824670" w:rsidRPr="005873C3">
                <w:rPr>
                  <w:rFonts w:ascii="Times New Roman" w:hAnsi="Times New Roman" w:cs="Times New Roman"/>
                  <w:sz w:val="24"/>
                  <w:szCs w:val="24"/>
                </w:rPr>
                <w:t>4) у разі ненадання ліцензіатом звітності до НКРЕКП у терміни, встановлені нормативними актами НКРЕКП;</w:t>
              </w:r>
            </w:hyperlink>
          </w:p>
          <w:p w14:paraId="3D13A19D" w14:textId="77777777" w:rsidR="00824670" w:rsidRPr="005873C3" w:rsidRDefault="00095823" w:rsidP="008246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824670" w:rsidRPr="005873C3">
                <w:rPr>
                  <w:rFonts w:ascii="Times New Roman" w:hAnsi="Times New Roman" w:cs="Times New Roman"/>
                  <w:sz w:val="24"/>
                  <w:szCs w:val="24"/>
                </w:rPr>
                <w:t>5)</w:t>
              </w:r>
            </w:hyperlink>
            <w:r w:rsidR="00824670" w:rsidRPr="005873C3">
              <w:rPr>
                <w:rFonts w:ascii="Times New Roman" w:hAnsi="Times New Roman" w:cs="Times New Roman"/>
                <w:sz w:val="24"/>
                <w:szCs w:val="24"/>
              </w:rPr>
              <w:t> за результатами здійснення заходів контролю за дотриманням </w:t>
            </w:r>
            <w:hyperlink r:id="rId12" w:tgtFrame="_blank" w:history="1">
              <w:r w:rsidR="00824670" w:rsidRPr="005873C3">
                <w:rPr>
                  <w:rFonts w:ascii="Times New Roman" w:hAnsi="Times New Roman" w:cs="Times New Roman"/>
                  <w:sz w:val="24"/>
                  <w:szCs w:val="24"/>
                </w:rPr>
                <w:t>Ліцензійних умов</w:t>
              </w:r>
            </w:hyperlink>
            <w:r w:rsidR="00824670" w:rsidRPr="00587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6532A1" w14:textId="77777777" w:rsidR="00824670" w:rsidRPr="005873C3" w:rsidRDefault="00A415AF" w:rsidP="00AA39F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5E849003" w14:textId="77777777" w:rsidR="00C14854" w:rsidRDefault="00C14854" w:rsidP="00A415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73592" w14:textId="3C4FDAAA" w:rsidR="00A415AF" w:rsidRPr="005873C3" w:rsidRDefault="00A415AF" w:rsidP="00A415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відсутній </w:t>
            </w:r>
          </w:p>
          <w:p w14:paraId="6DF80807" w14:textId="06F1C798" w:rsidR="00A415AF" w:rsidRPr="005873C3" w:rsidRDefault="00A415AF" w:rsidP="00AA39F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080" w:type="dxa"/>
          </w:tcPr>
          <w:p w14:paraId="1815C6D5" w14:textId="5FA1D742" w:rsidR="00B317B7" w:rsidRPr="005873C3" w:rsidRDefault="00B317B7" w:rsidP="00B31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Підстави для встановлення тарифів за ініціативою НКРЕКП</w:t>
            </w:r>
          </w:p>
          <w:p w14:paraId="16799D6B" w14:textId="77777777" w:rsidR="00B317B7" w:rsidRPr="005873C3" w:rsidRDefault="00B317B7" w:rsidP="00B317B7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5873C3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5298C2A6" w14:textId="77777777" w:rsidR="00B317B7" w:rsidRPr="005873C3" w:rsidRDefault="00B317B7" w:rsidP="00B317B7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49703DA9" w14:textId="77777777" w:rsidR="00B317B7" w:rsidRPr="005873C3" w:rsidRDefault="00095823" w:rsidP="00B317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gtFrame="_blank" w:history="1">
              <w:r w:rsidR="00B317B7" w:rsidRPr="005873C3">
                <w:rPr>
                  <w:rFonts w:ascii="Times New Roman" w:hAnsi="Times New Roman" w:cs="Times New Roman"/>
                  <w:sz w:val="24"/>
                  <w:szCs w:val="24"/>
                </w:rPr>
                <w:t>4.2. НКРЕКП може ініціювати, у тому числі на підставі звітності та/або за зверненням ліцензіата, встановлення тарифів як засіб державного регулювання у сфері енергетики:</w:t>
              </w:r>
            </w:hyperlink>
          </w:p>
          <w:p w14:paraId="61B565C2" w14:textId="77777777" w:rsidR="00882F39" w:rsidRPr="005873C3" w:rsidRDefault="00882F39" w:rsidP="00261A7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6DF20F" w14:textId="593A40B3" w:rsidR="00882F39" w:rsidRPr="005873C3" w:rsidRDefault="00882F39" w:rsidP="00882F3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38343309"/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1) </w:t>
            </w:r>
            <w:r w:rsidR="0059707D"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разі відсутності схваленої інвестиційної програми на прогнозний рік</w:t>
            </w:r>
            <w:r w:rsidR="00AC63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="0059707D"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витрати на виконання якої враховано при розрахунку діючих тарифів;</w:t>
            </w:r>
          </w:p>
          <w:p w14:paraId="0593E6EC" w14:textId="77777777" w:rsidR="00591ED1" w:rsidRPr="005873C3" w:rsidRDefault="00591ED1" w:rsidP="00591E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0EAE0C" w14:textId="5689465F" w:rsidR="00591ED1" w:rsidRPr="005873C3" w:rsidRDefault="00591ED1" w:rsidP="00591ED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 у разі усунення підстави</w:t>
            </w:r>
            <w:r w:rsidRPr="00AC6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C6325" w:rsidRPr="00AC6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зазначеної</w:t>
            </w:r>
            <w:r w:rsidR="00AC6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 підпункті 1 цього пункту;</w:t>
            </w:r>
          </w:p>
          <w:p w14:paraId="4C37D2AF" w14:textId="76C7A103" w:rsidR="00591ED1" w:rsidRPr="005873C3" w:rsidRDefault="00591ED1" w:rsidP="00591ED1">
            <w:pPr>
              <w:shd w:val="clear" w:color="auto" w:fill="FFFFFF"/>
              <w:spacing w:after="0" w:line="240" w:lineRule="auto"/>
              <w:jc w:val="both"/>
              <w:rPr>
                <w:b/>
                <w:bCs/>
                <w:sz w:val="32"/>
                <w:szCs w:val="24"/>
              </w:rPr>
            </w:pPr>
          </w:p>
          <w:bookmarkEnd w:id="0"/>
          <w:p w14:paraId="6378E520" w14:textId="77777777" w:rsidR="00544053" w:rsidRPr="00AC6325" w:rsidRDefault="00544053" w:rsidP="00591ED1">
            <w:pPr>
              <w:shd w:val="clear" w:color="auto" w:fill="FFFFFF"/>
              <w:spacing w:after="0" w:line="240" w:lineRule="auto"/>
              <w:jc w:val="both"/>
              <w:rPr>
                <w:b/>
                <w:bCs/>
                <w:sz w:val="12"/>
                <w:szCs w:val="24"/>
              </w:rPr>
            </w:pPr>
          </w:p>
          <w:p w14:paraId="71FA50B0" w14:textId="492FB4CB" w:rsidR="00B317B7" w:rsidRPr="005873C3" w:rsidRDefault="00544053" w:rsidP="00B317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317B7" w:rsidRPr="005873C3">
              <w:rPr>
                <w:rFonts w:ascii="Times New Roman" w:hAnsi="Times New Roman" w:cs="Times New Roman"/>
                <w:sz w:val="24"/>
                <w:szCs w:val="24"/>
              </w:rPr>
              <w:t>) у разі невиконання інвестиційної програми, надання ліцензіатом недостовірних даних, помилок при розрахунку необхідного доходу;</w:t>
            </w:r>
          </w:p>
          <w:p w14:paraId="2AF6570A" w14:textId="6099EF5A" w:rsidR="00B317B7" w:rsidRPr="005873C3" w:rsidRDefault="00544053" w:rsidP="00B317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317B7" w:rsidRPr="005873C3">
              <w:rPr>
                <w:rFonts w:ascii="Times New Roman" w:hAnsi="Times New Roman" w:cs="Times New Roman"/>
                <w:sz w:val="24"/>
                <w:szCs w:val="24"/>
              </w:rPr>
              <w:t>) у разі зміни обсягів розподілу електричної енергії відносно врахованих при розрахунку діючих тарифів більше ніж на 5 %;</w:t>
            </w:r>
          </w:p>
          <w:p w14:paraId="4775F213" w14:textId="2E8F1E5F" w:rsidR="00B317B7" w:rsidRPr="005873C3" w:rsidRDefault="00544053" w:rsidP="00B317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B317B7"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B317B7" w:rsidRPr="005873C3">
              <w:rPr>
                <w:rFonts w:ascii="Times New Roman" w:hAnsi="Times New Roman" w:cs="Times New Roman"/>
                <w:sz w:val="24"/>
                <w:szCs w:val="24"/>
              </w:rPr>
              <w:t xml:space="preserve"> у разі наявності дефіциту або профіциту коштів від здійснення діяльності з надання послуг з приєднання електроустановок замовників до електричних мереж у році t-1, що підтверджується розширеним звітом ліцензіата </w:t>
            </w:r>
            <w:hyperlink r:id="rId14" w:tgtFrame="_blank" w:history="1">
              <w:r w:rsidR="00B317B7" w:rsidRPr="005873C3">
                <w:rPr>
                  <w:rFonts w:ascii="Times New Roman" w:hAnsi="Times New Roman" w:cs="Times New Roman"/>
                  <w:sz w:val="24"/>
                  <w:szCs w:val="24"/>
                </w:rPr>
                <w:t>та результатами здійснення заходів контролю за дотриманням Ліцензійних умов</w:t>
              </w:r>
            </w:hyperlink>
            <w:r w:rsidR="00B317B7" w:rsidRPr="005873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D49BC5" w14:textId="0EF9C591" w:rsidR="00B317B7" w:rsidRPr="005873C3" w:rsidRDefault="00095823" w:rsidP="00B317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tgtFrame="_blank" w:history="1">
              <w:r w:rsidR="00544053" w:rsidRPr="005873C3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6</w:t>
              </w:r>
              <w:r w:rsidR="00B317B7" w:rsidRPr="005873C3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 xml:space="preserve">) </w:t>
              </w:r>
              <w:r w:rsidR="00B317B7" w:rsidRPr="005873C3">
                <w:rPr>
                  <w:rFonts w:ascii="Times New Roman" w:hAnsi="Times New Roman" w:cs="Times New Roman"/>
                  <w:sz w:val="24"/>
                  <w:szCs w:val="24"/>
                </w:rPr>
                <w:t>у разі ненадання ліцензіатом звітності до НКРЕКП у терміни, встановлені нормативними актами НКРЕКП;</w:t>
              </w:r>
            </w:hyperlink>
          </w:p>
          <w:p w14:paraId="01689861" w14:textId="35B1D5A3" w:rsidR="00B317B7" w:rsidRPr="005873C3" w:rsidRDefault="00095823" w:rsidP="00B317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="00544053" w:rsidRPr="005873C3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7</w:t>
              </w:r>
              <w:r w:rsidR="00B317B7" w:rsidRPr="005873C3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)</w:t>
              </w:r>
            </w:hyperlink>
            <w:r w:rsidR="00B317B7" w:rsidRPr="005873C3">
              <w:rPr>
                <w:rFonts w:ascii="Times New Roman" w:hAnsi="Times New Roman" w:cs="Times New Roman"/>
                <w:sz w:val="24"/>
                <w:szCs w:val="24"/>
              </w:rPr>
              <w:t> за результатами здійснення заходів контролю за дотриманням </w:t>
            </w:r>
            <w:hyperlink r:id="rId17" w:tgtFrame="_blank" w:history="1">
              <w:r w:rsidR="00B317B7" w:rsidRPr="005873C3">
                <w:rPr>
                  <w:rFonts w:ascii="Times New Roman" w:hAnsi="Times New Roman" w:cs="Times New Roman"/>
                  <w:sz w:val="24"/>
                  <w:szCs w:val="24"/>
                </w:rPr>
                <w:t>Ліцензійних умов</w:t>
              </w:r>
            </w:hyperlink>
            <w:r w:rsidR="00A415AF" w:rsidRPr="005873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D236F8" w14:textId="50E6A362" w:rsidR="00824670" w:rsidRPr="005873C3" w:rsidRDefault="00A415AF" w:rsidP="00C062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sz w:val="24"/>
                <w:szCs w:val="24"/>
              </w:rPr>
              <w:t>………………………………..</w:t>
            </w:r>
            <w:bookmarkStart w:id="1" w:name="_Hlk138341745"/>
          </w:p>
          <w:bookmarkEnd w:id="1"/>
          <w:p w14:paraId="7D0A499B" w14:textId="77777777" w:rsidR="00AC6325" w:rsidRDefault="00AC6325" w:rsidP="00C062E1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</w:p>
          <w:p w14:paraId="6CE5E5CD" w14:textId="6B5D8027" w:rsidR="009D543B" w:rsidRDefault="003448F7" w:rsidP="00C062E1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  <w:r w:rsidRPr="005873C3">
              <w:rPr>
                <w:b/>
                <w:szCs w:val="28"/>
              </w:rPr>
              <w:lastRenderedPageBreak/>
              <w:t>4.4. У разі прийняття рішення щодо встановлення тарифів на підставі підпунктів 1 та 2 пункту 4.2 цієї глави НКРЕКП може зменшити/збільшити відповідні витрати структури тарифів у розмірі джерел фінансування відсутньої/наявної схваленої інвестиційної програми.</w:t>
            </w:r>
          </w:p>
          <w:p w14:paraId="5F58F3C5" w14:textId="1E959E48" w:rsidR="00C14854" w:rsidRPr="005873C3" w:rsidRDefault="00C14854" w:rsidP="00C062E1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</w:tr>
      <w:tr w:rsidR="005A59A8" w:rsidRPr="00DE3574" w14:paraId="2C1F6DA1" w14:textId="77777777" w:rsidTr="00834EAE">
        <w:trPr>
          <w:trHeight w:val="706"/>
          <w:jc w:val="center"/>
        </w:trPr>
        <w:tc>
          <w:tcPr>
            <w:tcW w:w="7797" w:type="dxa"/>
          </w:tcPr>
          <w:p w14:paraId="0E56AD89" w14:textId="77777777" w:rsidR="005A59A8" w:rsidRPr="005873C3" w:rsidRDefault="005A59A8" w:rsidP="005A59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Визначення необхідного доходу</w:t>
            </w:r>
          </w:p>
          <w:p w14:paraId="2E4C1C44" w14:textId="77777777" w:rsidR="005A59A8" w:rsidRPr="005873C3" w:rsidRDefault="005A59A8" w:rsidP="005A5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sz w:val="24"/>
                <w:szCs w:val="24"/>
              </w:rPr>
              <w:t xml:space="preserve">5.3. Прогнозовані витрати (прогнозований необхідний дохід) від здійснення діяльності з розподілу електричної енергії на рік </w:t>
            </w:r>
            <w:r w:rsidRPr="005873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 </w:t>
            </w:r>
            <w:r w:rsidRPr="005873C3">
              <w:rPr>
                <w:rFonts w:ascii="Times New Roman" w:hAnsi="Times New Roman" w:cs="Times New Roman"/>
                <w:sz w:val="24"/>
                <w:szCs w:val="24"/>
              </w:rPr>
              <w:t>розраховуються за формулою</w:t>
            </w:r>
          </w:p>
          <w:p w14:paraId="38E518B9" w14:textId="77777777" w:rsidR="005A59A8" w:rsidRPr="005873C3" w:rsidRDefault="005A59A8" w:rsidP="005A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47F237A4" w14:textId="77777777" w:rsidR="005A59A8" w:rsidRPr="00C14854" w:rsidRDefault="005A59A8" w:rsidP="005A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4"/>
                <w:szCs w:val="24"/>
                <w:lang w:eastAsia="ru-RU"/>
              </w:rPr>
            </w:pPr>
          </w:p>
          <w:tbl>
            <w:tblPr>
              <w:tblW w:w="9000" w:type="dxa"/>
              <w:jc w:val="center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512"/>
              <w:gridCol w:w="5488"/>
            </w:tblGrid>
            <w:tr w:rsidR="005873C3" w:rsidRPr="005873C3" w14:paraId="1D38EE52" w14:textId="77777777" w:rsidTr="005C689B">
              <w:trPr>
                <w:jc w:val="center"/>
              </w:trPr>
              <w:tc>
                <w:tcPr>
                  <w:tcW w:w="16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24D5E87" w14:textId="77777777" w:rsidR="005A59A8" w:rsidRPr="005873C3" w:rsidRDefault="005A59A8" w:rsidP="005A59A8">
                  <w:pPr>
                    <w:pStyle w:val="tr"/>
                    <w:spacing w:before="0" w:beforeAutospacing="0" w:after="0" w:afterAutospacing="0"/>
                    <w:jc w:val="right"/>
                  </w:pPr>
                  <w:r w:rsidRPr="005873C3">
                    <w:t> </w:t>
                  </w:r>
                  <w:r w:rsidRPr="005873C3">
                    <w:rPr>
                      <w:noProof/>
                    </w:rPr>
                    <w:drawing>
                      <wp:inline distT="0" distB="0" distL="0" distR="0" wp14:anchorId="14908D33" wp14:editId="0885A922">
                        <wp:extent cx="1184910" cy="482600"/>
                        <wp:effectExtent l="0" t="0" r="0" b="0"/>
                        <wp:docPr id="25" name="Рисунок 25" descr="https://ips.ligazakon.net/l_flib1.nsf/LookupFiles/GK40721_IMG_014.gif/$file/GK40721_IMG_01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s://ips.ligazakon.net/l_flib1.nsf/LookupFiles/GK40721_IMG_014.gif/$file/GK40721_IMG_01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4910" cy="482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D30339D" w14:textId="77777777" w:rsidR="005A59A8" w:rsidRPr="005873C3" w:rsidRDefault="005A59A8" w:rsidP="005A59A8">
                  <w:pPr>
                    <w:pStyle w:val="tl"/>
                    <w:spacing w:before="0" w:beforeAutospacing="0" w:after="0" w:afterAutospacing="0"/>
                  </w:pPr>
                  <w:r w:rsidRPr="005873C3">
                    <w:t xml:space="preserve">, </w:t>
                  </w:r>
                  <w:proofErr w:type="spellStart"/>
                  <w:r w:rsidRPr="005873C3">
                    <w:t>МВт·год</w:t>
                  </w:r>
                  <w:proofErr w:type="spellEnd"/>
                  <w:r w:rsidRPr="005873C3">
                    <w:t>,      (6)</w:t>
                  </w:r>
                </w:p>
              </w:tc>
            </w:tr>
          </w:tbl>
          <w:p w14:paraId="2C1B82ED" w14:textId="77777777" w:rsidR="005A59A8" w:rsidRPr="005873C3" w:rsidRDefault="00095823" w:rsidP="005A59A8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hyperlink r:id="rId19" w:tgtFrame="_blank" w:history="1">
              <w:r w:rsidR="005A59A8" w:rsidRPr="005873C3">
                <w:rPr>
                  <w:rStyle w:val="af"/>
                  <w:color w:val="auto"/>
                  <w:u w:val="none"/>
                </w:rPr>
                <w:t>де </w:t>
              </w:r>
              <w:r w:rsidR="005A59A8" w:rsidRPr="005873C3">
                <w:rPr>
                  <w:noProof/>
                </w:rPr>
                <w:drawing>
                  <wp:inline distT="0" distB="0" distL="0" distR="0" wp14:anchorId="0AB63B65" wp14:editId="0C115475">
                    <wp:extent cx="409575" cy="226695"/>
                    <wp:effectExtent l="0" t="0" r="9525" b="1905"/>
                    <wp:docPr id="24" name="Рисунок 24" descr="https://ips.ligazakon.net/l_flib1.nsf/LookupFiles/GK40721_IMG_156.GIF/$file/GK40721_IMG_156.GIF">
                      <a:hlinkClick xmlns:a="http://schemas.openxmlformats.org/drawingml/2006/main" r:id="rId19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3" descr="https://ips.ligazakon.net/l_flib1.nsf/LookupFiles/GK40721_IMG_156.GIF/$file/GK40721_IMG_156.GIF">
                              <a:hlinkClick r:id="rId19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09575" cy="226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5A59A8" w:rsidRPr="005873C3">
                <w:rPr>
                  <w:rStyle w:val="af"/>
                  <w:color w:val="auto"/>
                  <w:u w:val="none"/>
                </w:rPr>
                <w:t>- прогнозований обсяг корисного відпуску електричної енергії</w:t>
              </w:r>
            </w:hyperlink>
            <w:r w:rsidR="005A59A8" w:rsidRPr="005873C3">
              <w:t xml:space="preserve"> </w:t>
            </w:r>
            <w:hyperlink r:id="rId21" w:tgtFrame="_blank" w:history="1">
              <w:r w:rsidR="005A59A8" w:rsidRPr="005873C3">
                <w:rPr>
                  <w:rStyle w:val="af"/>
                  <w:color w:val="auto"/>
                  <w:u w:val="none"/>
                </w:rPr>
                <w:t>на 1 класі</w:t>
              </w:r>
            </w:hyperlink>
            <w:r w:rsidR="005A59A8" w:rsidRPr="005873C3">
              <w:t xml:space="preserve"> </w:t>
            </w:r>
            <w:hyperlink r:id="rId22" w:tgtFrame="_blank" w:history="1">
              <w:r w:rsidR="005A59A8" w:rsidRPr="005873C3">
                <w:rPr>
                  <w:rStyle w:val="af"/>
                  <w:color w:val="auto"/>
                  <w:u w:val="none"/>
                </w:rPr>
                <w:t xml:space="preserve">напруги на рік </w:t>
              </w:r>
              <w:r w:rsidR="005A59A8" w:rsidRPr="005873C3">
                <w:rPr>
                  <w:rStyle w:val="af"/>
                  <w:i/>
                  <w:iCs/>
                  <w:color w:val="auto"/>
                  <w:u w:val="none"/>
                </w:rPr>
                <w:t>t</w:t>
              </w:r>
              <w:r w:rsidR="005A59A8" w:rsidRPr="005873C3">
                <w:rPr>
                  <w:rStyle w:val="af"/>
                  <w:color w:val="auto"/>
                  <w:u w:val="none"/>
                </w:rPr>
                <w:t xml:space="preserve">, </w:t>
              </w:r>
              <w:proofErr w:type="spellStart"/>
              <w:r w:rsidR="005A59A8" w:rsidRPr="005873C3">
                <w:rPr>
                  <w:rStyle w:val="af"/>
                  <w:color w:val="auto"/>
                  <w:u w:val="none"/>
                </w:rPr>
                <w:t>МВт·год</w:t>
              </w:r>
              <w:proofErr w:type="spellEnd"/>
              <w:r w:rsidR="005A59A8" w:rsidRPr="005873C3">
                <w:rPr>
                  <w:rStyle w:val="af"/>
                  <w:color w:val="auto"/>
                  <w:u w:val="none"/>
                </w:rPr>
                <w:t>;</w:t>
              </w:r>
            </w:hyperlink>
          </w:p>
          <w:p w14:paraId="367A8E59" w14:textId="77777777" w:rsidR="005A59A8" w:rsidRPr="005873C3" w:rsidRDefault="005A59A8" w:rsidP="005A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16B3B46A" w14:textId="77777777" w:rsidR="005A59A8" w:rsidRPr="005873C3" w:rsidRDefault="005A59A8" w:rsidP="005A59A8">
            <w:pPr>
              <w:pStyle w:val="tr"/>
              <w:shd w:val="clear" w:color="auto" w:fill="FFFFFF"/>
              <w:spacing w:before="0" w:beforeAutospacing="0" w:after="0" w:afterAutospacing="0"/>
              <w:jc w:val="right"/>
            </w:pPr>
          </w:p>
          <w:p w14:paraId="071D164F" w14:textId="77777777" w:rsidR="005A59A8" w:rsidRPr="005873C3" w:rsidRDefault="00095823" w:rsidP="005A59A8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hyperlink r:id="rId23" w:tgtFrame="_blank" w:history="1">
              <w:proofErr w:type="spellStart"/>
              <w:r w:rsidR="005A59A8" w:rsidRPr="005873C3">
                <w:rPr>
                  <w:rStyle w:val="af"/>
                  <w:i/>
                  <w:iCs/>
                  <w:color w:val="auto"/>
                  <w:u w:val="none"/>
                </w:rPr>
                <w:t>КД</w:t>
              </w:r>
              <w:r w:rsidR="005A59A8" w:rsidRPr="005873C3">
                <w:rPr>
                  <w:rStyle w:val="af"/>
                  <w:i/>
                  <w:iCs/>
                  <w:color w:val="auto"/>
                  <w:u w:val="none"/>
                  <w:vertAlign w:val="subscript"/>
                </w:rPr>
                <w:t>t</w:t>
              </w:r>
              <w:proofErr w:type="spellEnd"/>
              <w:r w:rsidR="005A59A8" w:rsidRPr="005873C3">
                <w:rPr>
                  <w:rStyle w:val="af"/>
                  <w:color w:val="auto"/>
                  <w:u w:val="none"/>
                </w:rPr>
                <w:t>- коригування доходу (витрат) (вилучення або компенсація ліцензіату за результатами його діяльності) на рік </w:t>
              </w:r>
              <w:r w:rsidR="005A59A8" w:rsidRPr="005873C3">
                <w:rPr>
                  <w:rStyle w:val="af"/>
                  <w:i/>
                  <w:iCs/>
                  <w:color w:val="auto"/>
                  <w:u w:val="none"/>
                </w:rPr>
                <w:t>t</w:t>
              </w:r>
              <w:r w:rsidR="005A59A8" w:rsidRPr="005873C3">
                <w:rPr>
                  <w:rStyle w:val="af"/>
                  <w:color w:val="auto"/>
                  <w:u w:val="none"/>
                </w:rPr>
                <w:t>, тис. грн.</w:t>
              </w:r>
            </w:hyperlink>
          </w:p>
        </w:tc>
        <w:tc>
          <w:tcPr>
            <w:tcW w:w="8080" w:type="dxa"/>
          </w:tcPr>
          <w:p w14:paraId="01ED9956" w14:textId="77777777" w:rsidR="005A59A8" w:rsidRPr="005873C3" w:rsidRDefault="005A59A8" w:rsidP="005A59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sz w:val="24"/>
                <w:szCs w:val="24"/>
              </w:rPr>
              <w:t>5. Визначення необхідного доходу</w:t>
            </w:r>
          </w:p>
          <w:p w14:paraId="13203A68" w14:textId="77777777" w:rsidR="005A59A8" w:rsidRPr="005873C3" w:rsidRDefault="005A59A8" w:rsidP="005A5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sz w:val="24"/>
                <w:szCs w:val="24"/>
              </w:rPr>
              <w:t xml:space="preserve">5.3. Прогнозовані витрати (прогнозований необхідний дохід) від здійснення діяльності з розподілу електричної енергії на рік </w:t>
            </w:r>
            <w:r w:rsidRPr="005873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 </w:t>
            </w:r>
            <w:r w:rsidRPr="005873C3">
              <w:rPr>
                <w:rFonts w:ascii="Times New Roman" w:hAnsi="Times New Roman" w:cs="Times New Roman"/>
                <w:sz w:val="24"/>
                <w:szCs w:val="24"/>
              </w:rPr>
              <w:t>розраховуються за формулою</w:t>
            </w:r>
          </w:p>
          <w:p w14:paraId="566D6A2B" w14:textId="77777777" w:rsidR="005A59A8" w:rsidRPr="005873C3" w:rsidRDefault="005A59A8" w:rsidP="005A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3E8EE1EA" w14:textId="77777777" w:rsidR="005A59A8" w:rsidRPr="00C14854" w:rsidRDefault="005A59A8" w:rsidP="005A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</w:p>
          <w:tbl>
            <w:tblPr>
              <w:tblW w:w="9000" w:type="dxa"/>
              <w:jc w:val="center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512"/>
              <w:gridCol w:w="5488"/>
            </w:tblGrid>
            <w:tr w:rsidR="005873C3" w:rsidRPr="005873C3" w14:paraId="041EF644" w14:textId="77777777" w:rsidTr="000661BF">
              <w:trPr>
                <w:jc w:val="center"/>
              </w:trPr>
              <w:tc>
                <w:tcPr>
                  <w:tcW w:w="16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A7DB63D" w14:textId="4F7CAE6A" w:rsidR="005A59A8" w:rsidRPr="005873C3" w:rsidRDefault="005A59A8" w:rsidP="005A59A8">
                  <w:pPr>
                    <w:pStyle w:val="tr"/>
                    <w:spacing w:before="0" w:beforeAutospacing="0" w:after="0" w:afterAutospacing="0"/>
                    <w:jc w:val="right"/>
                  </w:pPr>
                  <w:r w:rsidRPr="005873C3">
                    <w:t> </w:t>
                  </w:r>
                  <w:r w:rsidRPr="005873C3">
                    <w:rPr>
                      <w:noProof/>
                    </w:rPr>
                    <w:drawing>
                      <wp:inline distT="0" distB="0" distL="0" distR="0" wp14:anchorId="0FE1B9EA" wp14:editId="61A5FC54">
                        <wp:extent cx="1184910" cy="482600"/>
                        <wp:effectExtent l="0" t="0" r="0" b="0"/>
                        <wp:docPr id="28" name="Рисунок 28" descr="https://ips.ligazakon.net/l_flib1.nsf/LookupFiles/GK40721_IMG_014.gif/$file/GK40721_IMG_01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s://ips.ligazakon.net/l_flib1.nsf/LookupFiles/GK40721_IMG_014.gif/$file/GK40721_IMG_01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4910" cy="482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3C4E8AD" w14:textId="77777777" w:rsidR="005A59A8" w:rsidRPr="005873C3" w:rsidRDefault="005A59A8" w:rsidP="005A59A8">
                  <w:pPr>
                    <w:pStyle w:val="tl"/>
                    <w:spacing w:before="0" w:beforeAutospacing="0" w:after="0" w:afterAutospacing="0"/>
                  </w:pPr>
                  <w:r w:rsidRPr="005873C3">
                    <w:t xml:space="preserve">, </w:t>
                  </w:r>
                  <w:proofErr w:type="spellStart"/>
                  <w:r w:rsidRPr="005873C3">
                    <w:t>МВт·год</w:t>
                  </w:r>
                  <w:proofErr w:type="spellEnd"/>
                  <w:r w:rsidRPr="005873C3">
                    <w:t>,      (6)</w:t>
                  </w:r>
                </w:p>
              </w:tc>
            </w:tr>
          </w:tbl>
          <w:p w14:paraId="32DA31C5" w14:textId="77777777" w:rsidR="005A59A8" w:rsidRPr="005873C3" w:rsidRDefault="00095823" w:rsidP="005A59A8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hyperlink r:id="rId24" w:tgtFrame="_blank" w:history="1">
              <w:r w:rsidR="005A59A8" w:rsidRPr="005873C3">
                <w:rPr>
                  <w:rStyle w:val="af"/>
                  <w:color w:val="auto"/>
                  <w:u w:val="none"/>
                </w:rPr>
                <w:t>де </w:t>
              </w:r>
              <w:r w:rsidR="005A59A8" w:rsidRPr="005873C3">
                <w:rPr>
                  <w:noProof/>
                </w:rPr>
                <w:drawing>
                  <wp:inline distT="0" distB="0" distL="0" distR="0" wp14:anchorId="37CE16CE" wp14:editId="784DB313">
                    <wp:extent cx="409575" cy="226695"/>
                    <wp:effectExtent l="0" t="0" r="9525" b="1905"/>
                    <wp:docPr id="29" name="Рисунок 29" descr="https://ips.ligazakon.net/l_flib1.nsf/LookupFiles/GK40721_IMG_156.GIF/$file/GK40721_IMG_156.GIF">
                      <a:hlinkClick xmlns:a="http://schemas.openxmlformats.org/drawingml/2006/main" r:id="rId24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3" descr="https://ips.ligazakon.net/l_flib1.nsf/LookupFiles/GK40721_IMG_156.GIF/$file/GK40721_IMG_156.GIF">
                              <a:hlinkClick r:id="rId24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09575" cy="226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5A59A8" w:rsidRPr="005873C3">
                <w:rPr>
                  <w:rStyle w:val="af"/>
                  <w:color w:val="auto"/>
                  <w:u w:val="none"/>
                </w:rPr>
                <w:t>- прогнозований обсяг корисного відпуску електричної енергії</w:t>
              </w:r>
            </w:hyperlink>
            <w:r w:rsidR="005A59A8" w:rsidRPr="005873C3">
              <w:t xml:space="preserve"> </w:t>
            </w:r>
            <w:hyperlink r:id="rId25" w:tgtFrame="_blank" w:history="1">
              <w:r w:rsidR="005A59A8" w:rsidRPr="005873C3">
                <w:rPr>
                  <w:rStyle w:val="af"/>
                  <w:color w:val="auto"/>
                  <w:u w:val="none"/>
                </w:rPr>
                <w:t>на 1 класі</w:t>
              </w:r>
            </w:hyperlink>
            <w:r w:rsidR="005A59A8" w:rsidRPr="005873C3">
              <w:t xml:space="preserve"> </w:t>
            </w:r>
            <w:hyperlink r:id="rId26" w:tgtFrame="_blank" w:history="1">
              <w:r w:rsidR="005A59A8" w:rsidRPr="005873C3">
                <w:rPr>
                  <w:rStyle w:val="af"/>
                  <w:color w:val="auto"/>
                  <w:u w:val="none"/>
                </w:rPr>
                <w:t xml:space="preserve">напруги на рік </w:t>
              </w:r>
              <w:r w:rsidR="005A59A8" w:rsidRPr="005873C3">
                <w:rPr>
                  <w:rStyle w:val="af"/>
                  <w:i/>
                  <w:iCs/>
                  <w:color w:val="auto"/>
                  <w:u w:val="none"/>
                </w:rPr>
                <w:t>t</w:t>
              </w:r>
              <w:r w:rsidR="005A59A8" w:rsidRPr="005873C3">
                <w:rPr>
                  <w:rStyle w:val="af"/>
                  <w:color w:val="auto"/>
                  <w:u w:val="none"/>
                </w:rPr>
                <w:t xml:space="preserve">, </w:t>
              </w:r>
              <w:proofErr w:type="spellStart"/>
              <w:r w:rsidR="005A59A8" w:rsidRPr="005873C3">
                <w:rPr>
                  <w:rStyle w:val="af"/>
                  <w:color w:val="auto"/>
                  <w:u w:val="none"/>
                </w:rPr>
                <w:t>МВт·год</w:t>
              </w:r>
              <w:proofErr w:type="spellEnd"/>
              <w:r w:rsidR="005A59A8" w:rsidRPr="005873C3">
                <w:rPr>
                  <w:rStyle w:val="af"/>
                  <w:color w:val="auto"/>
                  <w:u w:val="none"/>
                </w:rPr>
                <w:t>;</w:t>
              </w:r>
            </w:hyperlink>
          </w:p>
          <w:p w14:paraId="77B42CB4" w14:textId="77777777" w:rsidR="005A59A8" w:rsidRPr="005873C3" w:rsidRDefault="005A59A8" w:rsidP="005A5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5623E2EF" w14:textId="77777777" w:rsidR="005A59A8" w:rsidRPr="005873C3" w:rsidRDefault="005A59A8" w:rsidP="005A59A8">
            <w:pPr>
              <w:pStyle w:val="tr"/>
              <w:shd w:val="clear" w:color="auto" w:fill="FFFFFF"/>
              <w:spacing w:before="0" w:beforeAutospacing="0" w:after="0" w:afterAutospacing="0"/>
              <w:jc w:val="right"/>
            </w:pPr>
          </w:p>
          <w:p w14:paraId="39C5DA3E" w14:textId="77777777" w:rsidR="005A59A8" w:rsidRPr="005873C3" w:rsidRDefault="00095823" w:rsidP="005A59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tgtFrame="_blank" w:history="1">
              <w:proofErr w:type="spellStart"/>
              <w:r w:rsidR="005A59A8" w:rsidRPr="005873C3">
                <w:rPr>
                  <w:rStyle w:val="af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u w:val="none"/>
                </w:rPr>
                <w:t>КД</w:t>
              </w:r>
              <w:r w:rsidR="005A59A8" w:rsidRPr="005873C3">
                <w:rPr>
                  <w:rStyle w:val="af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u w:val="none"/>
                  <w:vertAlign w:val="subscript"/>
                </w:rPr>
                <w:t>t</w:t>
              </w:r>
              <w:proofErr w:type="spellEnd"/>
              <w:r w:rsidR="005A59A8" w:rsidRPr="005873C3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- коригування доходу (витрат) (вилучення або компенсація ліцензіату за результатами його діяльності) на рік </w:t>
              </w:r>
              <w:r w:rsidR="005A59A8" w:rsidRPr="005873C3">
                <w:rPr>
                  <w:rStyle w:val="af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u w:val="none"/>
                </w:rPr>
                <w:t>t</w:t>
              </w:r>
              <w:r w:rsidR="005A59A8" w:rsidRPr="005873C3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, тис. грн.</w:t>
              </w:r>
            </w:hyperlink>
          </w:p>
          <w:p w14:paraId="73E72138" w14:textId="77777777" w:rsidR="008D5DCD" w:rsidRPr="00095823" w:rsidRDefault="008D5DCD" w:rsidP="008D5DCD">
            <w:pPr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095823">
              <w:rPr>
                <w:rStyle w:val="af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У період воєнного стану у випадку неможливості здійснення заходів контролю за дотриманням Ліцензійних умов та в разі відхилення обсягів розподілу електричної енергії відносно врахованих при розрахунку діючих тарифів, показник КД</w:t>
            </w:r>
            <w:r w:rsidRPr="00095823">
              <w:rPr>
                <w:rStyle w:val="af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  <w:vertAlign w:val="subscript"/>
              </w:rPr>
              <w:t>t</w:t>
            </w:r>
            <w:r w:rsidRPr="00095823">
              <w:rPr>
                <w:rStyle w:val="af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 xml:space="preserve"> може враховувати витрати в частині додатково отриманого (недоотриманого) доходу ліцензіата внаслідок збільшення (зменшення) фактичних обсягів розподілу електричної енергії порівняно з обсягами розподілу електричної енергії, урахованими в затвердженій структурі тарифів на послуги з розподілу електричної енергії, визначених на підставі звітності розрахунковим шляхом.</w:t>
            </w:r>
            <w:bookmarkStart w:id="2" w:name="_GoBack"/>
            <w:bookmarkEnd w:id="2"/>
          </w:p>
          <w:p w14:paraId="505A98DC" w14:textId="5115A260" w:rsidR="005A59A8" w:rsidRPr="00095823" w:rsidRDefault="008D5DCD" w:rsidP="008D5DCD">
            <w:pPr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</w:pPr>
            <w:r w:rsidRPr="00095823">
              <w:rPr>
                <w:rStyle w:val="af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 xml:space="preserve">За результатами здійснення заходів контролю за дотриманням Ліцензійних умов показник </w:t>
            </w:r>
            <w:proofErr w:type="spellStart"/>
            <w:r w:rsidRPr="00095823">
              <w:rPr>
                <w:rStyle w:val="af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>КД</w:t>
            </w:r>
            <w:r w:rsidRPr="00095823">
              <w:rPr>
                <w:rStyle w:val="af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  <w:vertAlign w:val="subscript"/>
              </w:rPr>
              <w:t>t</w:t>
            </w:r>
            <w:proofErr w:type="spellEnd"/>
            <w:r w:rsidRPr="00095823">
              <w:rPr>
                <w:rStyle w:val="af"/>
                <w:rFonts w:ascii="Times New Roman" w:hAnsi="Times New Roman" w:cs="Times New Roman"/>
                <w:b/>
                <w:color w:val="auto"/>
                <w:sz w:val="24"/>
                <w:szCs w:val="24"/>
                <w:u w:val="none"/>
              </w:rPr>
              <w:t xml:space="preserve"> може бути уточнено.</w:t>
            </w:r>
          </w:p>
          <w:p w14:paraId="3EA71D64" w14:textId="77777777" w:rsidR="005A59A8" w:rsidRPr="00C14854" w:rsidRDefault="005A59A8" w:rsidP="005A59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</w:tr>
      <w:tr w:rsidR="002D4FEC" w:rsidRPr="008919BF" w14:paraId="2EFA5411" w14:textId="77777777" w:rsidTr="00834EAE">
        <w:trPr>
          <w:trHeight w:val="124"/>
          <w:jc w:val="center"/>
        </w:trPr>
        <w:tc>
          <w:tcPr>
            <w:tcW w:w="7797" w:type="dxa"/>
          </w:tcPr>
          <w:p w14:paraId="4CBD8D55" w14:textId="77777777" w:rsidR="002D4FEC" w:rsidRPr="005873C3" w:rsidRDefault="002D4FEC" w:rsidP="002D4FEC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 Вимоги до оформлення заяви, порядок та строки розгляду заяви, підстави для встановлення тарифів, механізм формування прогнозованих витрат (прогнозованого необхідного доходу) ліцензіата на перехідний період</w:t>
            </w:r>
          </w:p>
          <w:p w14:paraId="1EE3D989" w14:textId="397626DD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04BDC6F4" w14:textId="77777777" w:rsidR="0012692A" w:rsidRPr="005873C3" w:rsidRDefault="0012692A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51CFCC" w14:textId="77777777" w:rsidR="0012692A" w:rsidRPr="005873C3" w:rsidRDefault="00095823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hyperlink r:id="rId28" w:tgtFrame="_blank" w:history="1">
              <w:r w:rsidR="0012692A" w:rsidRPr="005873C3">
                <w:rPr>
                  <w:rStyle w:val="af"/>
                  <w:rFonts w:ascii="Times New Roman" w:hAnsi="Times New Roman"/>
                  <w:color w:val="auto"/>
                  <w:u w:val="none"/>
                </w:rPr>
                <w:t>7.8. НКРЕКП може ініціювати, у тому числі на підставі звітності та/або за зверненням ліцензіата, встановлення тарифів як засіб державного регулювання у сфері енергетики у разі:</w:t>
              </w:r>
            </w:hyperlink>
          </w:p>
          <w:p w14:paraId="5D9D791C" w14:textId="77777777" w:rsidR="0012692A" w:rsidRPr="005873C3" w:rsidRDefault="0012692A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1) закінчення періоду, на який встановлювалися тарифи та їх структура (або закінчення терміну врахування окремих елементів витрат у структурі тарифу);</w:t>
            </w:r>
          </w:p>
          <w:p w14:paraId="123A4F1E" w14:textId="102E5787" w:rsidR="0012692A" w:rsidRPr="005873C3" w:rsidRDefault="00095823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hyperlink r:id="rId29" w:tgtFrame="_blank" w:history="1">
              <w:r w:rsidR="0012692A" w:rsidRPr="005873C3">
                <w:rPr>
                  <w:rStyle w:val="af"/>
                  <w:rFonts w:ascii="Times New Roman" w:hAnsi="Times New Roman"/>
                  <w:color w:val="auto"/>
                  <w:u w:val="none"/>
                </w:rPr>
                <w:t>2) за результатами здійснення заходів контролю за дотриманням Ліцензійних умов;</w:t>
              </w:r>
            </w:hyperlink>
          </w:p>
          <w:p w14:paraId="0ACD5EF5" w14:textId="01939965" w:rsidR="0012692A" w:rsidRPr="005873C3" w:rsidRDefault="0012692A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none"/>
              </w:rPr>
            </w:pP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Відсутній</w:t>
            </w:r>
          </w:p>
          <w:p w14:paraId="0F117DBC" w14:textId="77777777" w:rsidR="0012692A" w:rsidRPr="005873C3" w:rsidRDefault="0012692A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uk-UA"/>
              </w:rPr>
            </w:pPr>
          </w:p>
          <w:p w14:paraId="74C8F0A2" w14:textId="77777777" w:rsidR="000558C5" w:rsidRPr="005873C3" w:rsidRDefault="000558C5" w:rsidP="000558C5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u w:val="none"/>
              </w:rPr>
            </w:pP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Відсутній</w:t>
            </w:r>
          </w:p>
          <w:p w14:paraId="5D6EB4B1" w14:textId="77777777" w:rsidR="000558C5" w:rsidRPr="005873C3" w:rsidRDefault="000558C5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uk-UA"/>
              </w:rPr>
            </w:pPr>
          </w:p>
          <w:p w14:paraId="361E6BD8" w14:textId="77777777" w:rsidR="000558C5" w:rsidRPr="005873C3" w:rsidRDefault="000558C5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uk-UA"/>
              </w:rPr>
            </w:pPr>
          </w:p>
          <w:p w14:paraId="0255EC46" w14:textId="03C09B46" w:rsidR="0012692A" w:rsidRPr="005873C3" w:rsidRDefault="00095823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hyperlink r:id="rId30" w:tgtFrame="_blank" w:history="1">
              <w:r w:rsidR="0012692A" w:rsidRPr="005873C3">
                <w:rPr>
                  <w:rStyle w:val="af"/>
                  <w:rFonts w:ascii="Times New Roman" w:hAnsi="Times New Roman"/>
                  <w:color w:val="auto"/>
                  <w:u w:val="none"/>
                </w:rPr>
                <w:t>3) у разі невиконання інвестиційної програми та/або недотримання структури тарифів, та/або наявності помилок при розрахунку необхідного доходу;</w:t>
              </w:r>
            </w:hyperlink>
            <w:hyperlink r:id="rId31" w:tgtFrame="_blank" w:history="1"/>
          </w:p>
          <w:p w14:paraId="3555DF1F" w14:textId="77777777" w:rsidR="0012692A" w:rsidRPr="005873C3" w:rsidRDefault="0012692A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4) надання ліцензіатом до НКРЕКП недостовірної інформації щодо здійснення ліцензованої діяльності;</w:t>
            </w:r>
          </w:p>
          <w:p w14:paraId="3A5D69C1" w14:textId="77777777" w:rsidR="0012692A" w:rsidRPr="005873C3" w:rsidRDefault="0012692A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 xml:space="preserve">5) порушення ліцензіатом умов проведення </w:t>
            </w:r>
            <w:proofErr w:type="spellStart"/>
            <w:r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закупівель</w:t>
            </w:r>
            <w:proofErr w:type="spellEnd"/>
            <w:r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 xml:space="preserve"> товарів, робіт і послуг, визначених діючими нормативними актами;</w:t>
            </w:r>
          </w:p>
          <w:p w14:paraId="2CAED227" w14:textId="77777777" w:rsidR="0012692A" w:rsidRPr="005873C3" w:rsidRDefault="0012692A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6) зміни обсягів розподілу електричної енергії відносно врахованих при розрахунку діючих тарифів більше ніж на 5 %;</w:t>
            </w:r>
          </w:p>
          <w:p w14:paraId="49C0EF1E" w14:textId="77777777" w:rsidR="0012692A" w:rsidRPr="005873C3" w:rsidRDefault="0012692A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7) зміни економічно обґрунтованих витрат на послуги з розподілу електричної енергії на прогнозний рік відносно, урахованих при розрахунку діючих тарифів, що склалася з причин, незалежних від діяльності з розподілу електричної енергії, якщо це призводить до зміни тарифів більше ніж на 5 % від установленого рівня;</w:t>
            </w:r>
          </w:p>
          <w:p w14:paraId="09A240A5" w14:textId="77777777" w:rsidR="0012692A" w:rsidRPr="005873C3" w:rsidRDefault="0012692A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8) наявності дефіциту або профіциту коштів від здійснення діяльності з надання послуг з приєднання електроустановок замовників до електричних мереж у році t-1, що підтверджується розширеним звітом ліцензіата </w:t>
            </w:r>
            <w:hyperlink r:id="rId32" w:tgtFrame="_blank" w:history="1">
              <w:r w:rsidRPr="005873C3">
                <w:rPr>
                  <w:rStyle w:val="af"/>
                  <w:rFonts w:ascii="Times New Roman" w:hAnsi="Times New Roman"/>
                  <w:color w:val="auto"/>
                  <w:u w:val="none"/>
                </w:rPr>
                <w:t>та результатами здійснення заходів контролю за дотриманням Ліцензійних умов</w:t>
              </w:r>
            </w:hyperlink>
            <w:r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;</w:t>
            </w:r>
          </w:p>
          <w:p w14:paraId="3096BF40" w14:textId="77777777" w:rsidR="0012692A" w:rsidRPr="005873C3" w:rsidRDefault="00095823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hyperlink r:id="rId33" w:tgtFrame="_blank" w:history="1">
              <w:r w:rsidR="0012692A" w:rsidRPr="005873C3">
                <w:rPr>
                  <w:rStyle w:val="af"/>
                  <w:rFonts w:ascii="Times New Roman" w:hAnsi="Times New Roman"/>
                  <w:color w:val="auto"/>
                  <w:u w:val="none"/>
                </w:rPr>
                <w:t>9) у разі ненадання ліцензіатом звітності до НКРЕКП у терміни, встановлені нормативними актами НКРЕКП;</w:t>
              </w:r>
            </w:hyperlink>
          </w:p>
          <w:p w14:paraId="2233D4C4" w14:textId="77777777" w:rsidR="0012692A" w:rsidRPr="005873C3" w:rsidRDefault="00095823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hyperlink r:id="rId34" w:tgtFrame="_blank" w:history="1">
              <w:r w:rsidR="0012692A" w:rsidRPr="005873C3">
                <w:rPr>
                  <w:rStyle w:val="af"/>
                  <w:rFonts w:ascii="Times New Roman" w:hAnsi="Times New Roman"/>
                  <w:color w:val="auto"/>
                  <w:u w:val="none"/>
                </w:rPr>
                <w:t>10)</w:t>
              </w:r>
            </w:hyperlink>
            <w:r w:rsidR="0012692A"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 в інших випадках, передбачених нормативно-правовими актами НКРЕКП.</w:t>
            </w:r>
          </w:p>
          <w:p w14:paraId="3B898CF0" w14:textId="26F0AD54" w:rsidR="0012692A" w:rsidRPr="00C14854" w:rsidRDefault="0012692A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  <w:p w14:paraId="69B48652" w14:textId="36208BEB" w:rsidR="00A415AF" w:rsidRPr="005873C3" w:rsidRDefault="0012692A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18B6C141" w14:textId="77777777" w:rsidR="000558C5" w:rsidRPr="005873C3" w:rsidRDefault="000558C5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73586D" w14:textId="77777777" w:rsidR="00A415AF" w:rsidRPr="005873C3" w:rsidRDefault="00A415AF" w:rsidP="00A415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sz w:val="24"/>
                <w:szCs w:val="24"/>
              </w:rPr>
              <w:t xml:space="preserve">Пункт  відсутній </w:t>
            </w:r>
          </w:p>
          <w:p w14:paraId="4E41505B" w14:textId="77777777" w:rsidR="00A415AF" w:rsidRPr="005873C3" w:rsidRDefault="00A415AF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905AD8" w14:textId="77777777" w:rsidR="00A415AF" w:rsidRPr="005873C3" w:rsidRDefault="00A415AF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196B56" w14:textId="7C27FB9D" w:rsidR="00A415AF" w:rsidRPr="005873C3" w:rsidRDefault="00A415AF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96F059" w14:textId="77777777" w:rsidR="00A415AF" w:rsidRPr="005873C3" w:rsidRDefault="00A415AF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B6BAA7" w14:textId="77777777" w:rsidR="00A415AF" w:rsidRPr="005873C3" w:rsidRDefault="00A415AF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22F549" w14:textId="2F4E7C90" w:rsidR="00995B5D" w:rsidRPr="005873C3" w:rsidRDefault="00995B5D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0D64CB" w14:textId="29E0C0B3" w:rsidR="003448F7" w:rsidRPr="005873C3" w:rsidRDefault="003448F7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4D5DBB" w14:textId="6911AC71" w:rsidR="003448F7" w:rsidRPr="005873C3" w:rsidRDefault="003448F7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115F43" w14:textId="77777777" w:rsidR="003448F7" w:rsidRPr="008D5DCD" w:rsidRDefault="003448F7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261D2693" w14:textId="77777777" w:rsidR="002D4FEC" w:rsidRPr="005873C3" w:rsidRDefault="002D4FEC" w:rsidP="002D4FEC">
            <w:pPr>
              <w:pStyle w:val="tj"/>
              <w:shd w:val="clear" w:color="auto" w:fill="FFFFFF"/>
              <w:spacing w:before="0" w:beforeAutospacing="0" w:after="0" w:afterAutospacing="0"/>
              <w:rPr>
                <w:rStyle w:val="af"/>
                <w:color w:val="auto"/>
                <w:u w:val="none"/>
              </w:rPr>
            </w:pPr>
            <w:r w:rsidRPr="005873C3">
              <w:rPr>
                <w:rStyle w:val="af"/>
                <w:color w:val="auto"/>
                <w:u w:val="none"/>
              </w:rPr>
              <w:t>7.21. Розрахунок операційних витрат:</w:t>
            </w:r>
          </w:p>
          <w:p w14:paraId="475DAC05" w14:textId="77777777" w:rsidR="002D4FEC" w:rsidRPr="005873C3" w:rsidRDefault="002D4FEC" w:rsidP="002D4FEC">
            <w:pPr>
              <w:pStyle w:val="tj"/>
              <w:shd w:val="clear" w:color="auto" w:fill="FFFFFF"/>
              <w:spacing w:before="0" w:beforeAutospacing="0" w:after="0" w:afterAutospacing="0"/>
              <w:rPr>
                <w:rStyle w:val="af"/>
                <w:color w:val="auto"/>
                <w:u w:val="none"/>
              </w:rPr>
            </w:pPr>
          </w:p>
          <w:p w14:paraId="6F9D14C1" w14:textId="77777777" w:rsidR="002D4FEC" w:rsidRPr="005873C3" w:rsidRDefault="002D4FEC" w:rsidP="002D4FEC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Style w:val="af"/>
                <w:color w:val="auto"/>
                <w:u w:val="none"/>
              </w:rPr>
            </w:pPr>
            <w:r w:rsidRPr="005873C3">
              <w:rPr>
                <w:rStyle w:val="af"/>
                <w:color w:val="auto"/>
                <w:u w:val="none"/>
              </w:rPr>
              <w:t>1) операційні витрати для забезпечення діяльності з розподілу електричної енергії визначаються за такими економічними елементами та їх окремими складовими і розраховуються за формулою</w:t>
            </w:r>
          </w:p>
          <w:p w14:paraId="78322140" w14:textId="77777777" w:rsidR="002D4FEC" w:rsidRPr="005873C3" w:rsidRDefault="00095823" w:rsidP="002D4FEC">
            <w:pPr>
              <w:pStyle w:val="tc"/>
              <w:shd w:val="clear" w:color="auto" w:fill="FFFFFF"/>
              <w:spacing w:before="0" w:beforeAutospacing="0" w:after="0" w:afterAutospacing="0"/>
            </w:pPr>
            <w:hyperlink r:id="rId35" w:tgtFrame="_blank" w:history="1">
              <w:r w:rsidR="002D4FEC" w:rsidRPr="005873C3">
                <w:rPr>
                  <w:noProof/>
                </w:rPr>
                <w:drawing>
                  <wp:inline distT="0" distB="0" distL="0" distR="0" wp14:anchorId="57DBE2BA" wp14:editId="2995D91B">
                    <wp:extent cx="3648075" cy="190500"/>
                    <wp:effectExtent l="0" t="0" r="9525" b="0"/>
                    <wp:docPr id="38" name="Рисунок 38" descr="https://ips.ligazakon.net/l_flib1.nsf/LookupFiles/GK40721_IMG_183.GIF/$file/GK40721_IMG_183.GIF">
                      <a:hlinkClick xmlns:a="http://schemas.openxmlformats.org/drawingml/2006/main" r:id="rId35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s://ips.ligazakon.net/l_flib1.nsf/LookupFiles/GK40721_IMG_183.GIF/$file/GK40721_IMG_183.GIF">
                              <a:hlinkClick r:id="rId35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648075" cy="190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D4FEC" w:rsidRPr="005873C3">
                <w:rPr>
                  <w:rStyle w:val="af"/>
                  <w:color w:val="auto"/>
                </w:rPr>
                <w:t>,</w:t>
              </w:r>
            </w:hyperlink>
            <w:r w:rsidR="002D4FEC" w:rsidRPr="005873C3">
              <w:t> тис. грн, (</w:t>
            </w:r>
            <w:hyperlink r:id="rId37" w:tgtFrame="_blank" w:history="1">
              <w:r w:rsidR="002D4FEC" w:rsidRPr="005873C3">
                <w:rPr>
                  <w:rStyle w:val="af"/>
                  <w:color w:val="auto"/>
                </w:rPr>
                <w:t>25</w:t>
              </w:r>
            </w:hyperlink>
            <w:r w:rsidR="002D4FEC" w:rsidRPr="005873C3">
              <w:t>)</w:t>
            </w:r>
          </w:p>
          <w:p w14:paraId="36329F3E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4F13E544" w14:textId="77777777" w:rsidR="002D4FEC" w:rsidRPr="005873C3" w:rsidRDefault="002D4FEC" w:rsidP="002D4FEC">
            <w:pPr>
              <w:pStyle w:val="tr"/>
              <w:shd w:val="clear" w:color="auto" w:fill="FFFFFF"/>
              <w:spacing w:before="0" w:beforeAutospacing="0" w:after="0" w:afterAutospacing="0"/>
              <w:jc w:val="right"/>
            </w:pPr>
          </w:p>
          <w:tbl>
            <w:tblPr>
              <w:tblW w:w="7500" w:type="dxa"/>
              <w:jc w:val="center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350"/>
              <w:gridCol w:w="3150"/>
            </w:tblGrid>
            <w:tr w:rsidR="005873C3" w:rsidRPr="005873C3" w14:paraId="1F9FA2BE" w14:textId="77777777" w:rsidTr="002D4FEC">
              <w:trPr>
                <w:jc w:val="center"/>
              </w:trPr>
              <w:tc>
                <w:tcPr>
                  <w:tcW w:w="29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94F3014" w14:textId="77777777" w:rsidR="002D4FEC" w:rsidRPr="005873C3" w:rsidRDefault="002D4FEC" w:rsidP="002D4FEC">
                  <w:pPr>
                    <w:pStyle w:val="tr"/>
                    <w:spacing w:before="0" w:beforeAutospacing="0" w:after="0" w:afterAutospacing="0"/>
                    <w:jc w:val="right"/>
                  </w:pPr>
                  <w:r w:rsidRPr="005873C3">
                    <w:t> </w:t>
                  </w:r>
                  <w:r w:rsidRPr="005873C3">
                    <w:rPr>
                      <w:noProof/>
                    </w:rPr>
                    <w:drawing>
                      <wp:inline distT="0" distB="0" distL="0" distR="0" wp14:anchorId="74B6AAFC" wp14:editId="1ECA7F02">
                        <wp:extent cx="1181100" cy="495300"/>
                        <wp:effectExtent l="0" t="0" r="0" b="0"/>
                        <wp:docPr id="22" name="Рисунок 22" descr="https://ips.ligazakon.net/l_flib1.nsf/LookupFiles/GK40721_IMG_123.gif/$file/GK40721_IMG_12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ips.ligazakon.net/l_flib1.nsf/LookupFiles/GK40721_IMG_123.gif/$file/GK40721_IMG_12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1100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DF448F4" w14:textId="77777777" w:rsidR="002D4FEC" w:rsidRPr="005873C3" w:rsidRDefault="002D4FEC" w:rsidP="002D4FEC">
                  <w:pPr>
                    <w:pStyle w:val="tl"/>
                    <w:spacing w:before="0" w:beforeAutospacing="0" w:after="0" w:afterAutospacing="0"/>
                  </w:pPr>
                  <w:r w:rsidRPr="005873C3">
                    <w:t xml:space="preserve">, </w:t>
                  </w:r>
                  <w:proofErr w:type="spellStart"/>
                  <w:r w:rsidRPr="005873C3">
                    <w:t>МВт·год</w:t>
                  </w:r>
                  <w:proofErr w:type="spellEnd"/>
                  <w:r w:rsidRPr="005873C3">
                    <w:t>,     (</w:t>
                  </w:r>
                  <w:hyperlink r:id="rId39" w:tgtFrame="_blank" w:history="1">
                    <w:r w:rsidRPr="005873C3">
                      <w:rPr>
                        <w:rStyle w:val="af"/>
                        <w:color w:val="auto"/>
                      </w:rPr>
                      <w:t>30</w:t>
                    </w:r>
                  </w:hyperlink>
                  <w:r w:rsidRPr="005873C3">
                    <w:t>)</w:t>
                  </w:r>
                </w:p>
              </w:tc>
            </w:tr>
          </w:tbl>
          <w:p w14:paraId="4A330E4B" w14:textId="77777777" w:rsidR="002D4FEC" w:rsidRPr="005873C3" w:rsidRDefault="00095823" w:rsidP="002D4FEC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hyperlink r:id="rId40" w:tgtFrame="_blank" w:history="1">
              <w:r w:rsidR="002D4FEC" w:rsidRPr="005873C3">
                <w:rPr>
                  <w:rStyle w:val="af"/>
                  <w:color w:val="auto"/>
                  <w:u w:val="none"/>
                </w:rPr>
                <w:t>де </w:t>
              </w:r>
              <w:r w:rsidR="002D4FEC" w:rsidRPr="005873C3">
                <w:rPr>
                  <w:noProof/>
                </w:rPr>
                <w:drawing>
                  <wp:inline distT="0" distB="0" distL="0" distR="0" wp14:anchorId="59773423" wp14:editId="4D17F656">
                    <wp:extent cx="390525" cy="209550"/>
                    <wp:effectExtent l="0" t="0" r="9525" b="0"/>
                    <wp:docPr id="21" name="Рисунок 21" descr="https://ips.ligazakon.net/l_flib1.nsf/LookupFiles/GK40721_IMG_173.GIF/$file/GK40721_IMG_173.GIF">
                      <a:hlinkClick xmlns:a="http://schemas.openxmlformats.org/drawingml/2006/main" r:id="rId40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" descr="https://ips.ligazakon.net/l_flib1.nsf/LookupFiles/GK40721_IMG_173.GIF/$file/GK40721_IMG_173.GIF">
                              <a:hlinkClick r:id="rId40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90525" cy="209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D4FEC" w:rsidRPr="005873C3">
                <w:rPr>
                  <w:rStyle w:val="af"/>
                  <w:color w:val="auto"/>
                  <w:u w:val="none"/>
                </w:rPr>
                <w:t>- прогнозований обсяг корисного відпуску електричної енергії</w:t>
              </w:r>
            </w:hyperlink>
            <w:r w:rsidR="002D4FEC" w:rsidRPr="005873C3">
              <w:t> </w:t>
            </w:r>
            <w:hyperlink r:id="rId42" w:tgtFrame="_blank" w:history="1">
              <w:r w:rsidR="002D4FEC" w:rsidRPr="005873C3">
                <w:rPr>
                  <w:rStyle w:val="af"/>
                  <w:color w:val="auto"/>
                  <w:u w:val="none"/>
                </w:rPr>
                <w:t>на 1 класі</w:t>
              </w:r>
            </w:hyperlink>
            <w:r w:rsidR="002D4FEC" w:rsidRPr="005873C3">
              <w:t> </w:t>
            </w:r>
            <w:hyperlink r:id="rId43" w:tgtFrame="_blank" w:history="1">
              <w:r w:rsidR="002D4FEC" w:rsidRPr="005873C3">
                <w:rPr>
                  <w:rStyle w:val="af"/>
                  <w:color w:val="auto"/>
                  <w:u w:val="none"/>
                </w:rPr>
                <w:t>напруги на рік </w:t>
              </w:r>
              <w:r w:rsidR="002D4FEC" w:rsidRPr="005873C3">
                <w:rPr>
                  <w:rStyle w:val="af"/>
                  <w:i/>
                  <w:iCs/>
                  <w:color w:val="auto"/>
                  <w:u w:val="none"/>
                </w:rPr>
                <w:t>t</w:t>
              </w:r>
              <w:r w:rsidR="002D4FEC" w:rsidRPr="005873C3">
                <w:rPr>
                  <w:rStyle w:val="af"/>
                  <w:color w:val="auto"/>
                  <w:u w:val="none"/>
                </w:rPr>
                <w:t xml:space="preserve">, </w:t>
              </w:r>
              <w:proofErr w:type="spellStart"/>
              <w:r w:rsidR="002D4FEC" w:rsidRPr="005873C3">
                <w:rPr>
                  <w:rStyle w:val="af"/>
                  <w:color w:val="auto"/>
                  <w:u w:val="none"/>
                </w:rPr>
                <w:t>МВт·год</w:t>
              </w:r>
              <w:proofErr w:type="spellEnd"/>
              <w:r w:rsidR="002D4FEC" w:rsidRPr="005873C3">
                <w:rPr>
                  <w:rStyle w:val="af"/>
                  <w:color w:val="auto"/>
                  <w:u w:val="none"/>
                </w:rPr>
                <w:t>;</w:t>
              </w:r>
            </w:hyperlink>
          </w:p>
          <w:p w14:paraId="23B820B9" w14:textId="77777777" w:rsidR="002D4FEC" w:rsidRPr="005873C3" w:rsidRDefault="00095823" w:rsidP="002D4FEC">
            <w:pPr>
              <w:pStyle w:val="tr"/>
              <w:shd w:val="clear" w:color="auto" w:fill="FFFFFF"/>
              <w:spacing w:before="0" w:beforeAutospacing="0" w:after="0" w:afterAutospacing="0"/>
              <w:jc w:val="right"/>
            </w:pPr>
            <w:hyperlink r:id="rId44" w:tgtFrame="_blank" w:history="1"/>
          </w:p>
          <w:p w14:paraId="69CC2C00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58C0F130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F19B92" w14:textId="77777777" w:rsidR="002D4FEC" w:rsidRPr="005873C3" w:rsidRDefault="002D4FEC" w:rsidP="002D4FEC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 w:rsidRPr="005873C3">
              <w:rPr>
                <w:i/>
                <w:iCs/>
              </w:rPr>
              <w:t>КВ</w:t>
            </w:r>
            <w:r w:rsidRPr="005873C3">
              <w:rPr>
                <w:i/>
                <w:iCs/>
                <w:vertAlign w:val="subscript"/>
              </w:rPr>
              <w:t>t</w:t>
            </w:r>
            <w:proofErr w:type="spellEnd"/>
            <w:r w:rsidRPr="005873C3">
              <w:t> - коригування витрат (вилучення або компенсація ліцензіату за результатами його діяльності, у тому числі як ліцензіата з передачі електричної енергії місцевими (локальними) електромережами та з постачання електричної енергії за регульованим тарифом) на прогнозний рік, тис. грн;</w:t>
            </w:r>
          </w:p>
          <w:tbl>
            <w:tblPr>
              <w:tblW w:w="10500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29"/>
              <w:gridCol w:w="2171"/>
            </w:tblGrid>
            <w:tr w:rsidR="005873C3" w:rsidRPr="005873C3" w14:paraId="6D8535A6" w14:textId="77777777" w:rsidTr="002D4FEC">
              <w:trPr>
                <w:jc w:val="center"/>
              </w:trPr>
              <w:tc>
                <w:tcPr>
                  <w:tcW w:w="34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BEA27C6" w14:textId="77777777" w:rsidR="002D4FEC" w:rsidRPr="005873C3" w:rsidRDefault="002D4FEC" w:rsidP="002D4FEC">
                  <w:pPr>
                    <w:pStyle w:val="tc"/>
                    <w:spacing w:before="0" w:beforeAutospacing="0" w:after="0" w:afterAutospacing="0"/>
                  </w:pPr>
                </w:p>
              </w:tc>
              <w:tc>
                <w:tcPr>
                  <w:tcW w:w="9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104BAF6" w14:textId="77777777" w:rsidR="002D4FEC" w:rsidRPr="005873C3" w:rsidRDefault="002D4FEC" w:rsidP="002D4FEC">
                  <w:pPr>
                    <w:pStyle w:val="tl"/>
                    <w:spacing w:before="0" w:beforeAutospacing="0" w:after="0" w:afterAutospacing="0"/>
                  </w:pPr>
                </w:p>
              </w:tc>
            </w:tr>
          </w:tbl>
          <w:p w14:paraId="2A6809AE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483319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DD2C96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043C8E" w14:textId="65C19DBC" w:rsidR="002D4FEC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CD331A" w14:textId="0E2E4550" w:rsidR="00A22FC8" w:rsidRDefault="00A22FC8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25D1E0" w14:textId="65F1409C" w:rsidR="00A22FC8" w:rsidRDefault="00A22FC8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89063" w14:textId="41D81F80" w:rsidR="00A22FC8" w:rsidRDefault="00A22FC8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3D3CF5" w14:textId="1758331C" w:rsidR="00A22FC8" w:rsidRDefault="00A22FC8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AD842D" w14:textId="77777777" w:rsidR="00A22FC8" w:rsidRPr="005873C3" w:rsidRDefault="00A22FC8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93C0B2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542D79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617FBB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476DFDAD" w14:textId="77777777" w:rsidR="002D4FEC" w:rsidRPr="005873C3" w:rsidRDefault="002D4FEC" w:rsidP="002D4FE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8080" w:type="dxa"/>
          </w:tcPr>
          <w:p w14:paraId="61A9C065" w14:textId="77777777" w:rsidR="002D4FEC" w:rsidRPr="005873C3" w:rsidRDefault="002D4FEC" w:rsidP="002D4FEC">
            <w:pPr>
              <w:shd w:val="clear" w:color="auto" w:fill="FFFFFF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 Вимоги до оформлення заяви, порядок та строки розгляду заяви, підстави для встановлення тарифів, механізм формування прогнозованих витрат (прогнозованого необхідного доходу) ліцензіата на перехідний період</w:t>
            </w:r>
          </w:p>
          <w:p w14:paraId="4846C7C5" w14:textId="27559FC3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701AB882" w14:textId="77777777" w:rsidR="0012692A" w:rsidRPr="005873C3" w:rsidRDefault="0012692A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uk-UA"/>
              </w:rPr>
            </w:pPr>
          </w:p>
          <w:p w14:paraId="3528F0A0" w14:textId="34104B04" w:rsidR="0012692A" w:rsidRPr="005873C3" w:rsidRDefault="00095823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hyperlink r:id="rId45" w:tgtFrame="_blank" w:history="1">
              <w:r w:rsidR="0012692A" w:rsidRPr="005873C3">
                <w:rPr>
                  <w:rStyle w:val="af"/>
                  <w:rFonts w:ascii="Times New Roman" w:hAnsi="Times New Roman"/>
                  <w:color w:val="auto"/>
                  <w:u w:val="none"/>
                </w:rPr>
                <w:t>7.8. НКРЕКП може ініціювати, у тому числі на підставі звітності та/або за зверненням ліцензіата, встановлення тарифів як засіб державного регулювання у сфері енергетики у разі:</w:t>
              </w:r>
            </w:hyperlink>
          </w:p>
          <w:p w14:paraId="7EA3F37A" w14:textId="77777777" w:rsidR="0012692A" w:rsidRPr="005873C3" w:rsidRDefault="0012692A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1) закінчення періоду, на який встановлювалися тарифи та їх структура (або закінчення терміну врахування окремих елементів витрат у структурі тарифу);</w:t>
            </w:r>
          </w:p>
          <w:p w14:paraId="72C088DA" w14:textId="44B094B0" w:rsidR="0012692A" w:rsidRPr="005873C3" w:rsidRDefault="00095823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  <w:lang w:eastAsia="uk-UA"/>
              </w:rPr>
            </w:pPr>
            <w:hyperlink r:id="rId46" w:tgtFrame="_blank" w:history="1">
              <w:r w:rsidR="0012692A" w:rsidRPr="005873C3">
                <w:rPr>
                  <w:rStyle w:val="af"/>
                  <w:rFonts w:ascii="Times New Roman" w:hAnsi="Times New Roman"/>
                  <w:color w:val="auto"/>
                  <w:u w:val="none"/>
                </w:rPr>
                <w:t>2) за результатами здійснення заходів контролю за дотриманням Ліцензійних умов;</w:t>
              </w:r>
            </w:hyperlink>
          </w:p>
          <w:p w14:paraId="03F90C3B" w14:textId="77777777" w:rsidR="003448F7" w:rsidRPr="005873C3" w:rsidRDefault="003448F7" w:rsidP="0012692A">
            <w:pPr>
              <w:shd w:val="clear" w:color="auto" w:fill="FFFFFF"/>
              <w:spacing w:after="0" w:line="240" w:lineRule="auto"/>
              <w:jc w:val="both"/>
              <w:rPr>
                <w:szCs w:val="28"/>
                <w:highlight w:val="yellow"/>
              </w:rPr>
            </w:pPr>
          </w:p>
          <w:p w14:paraId="4ED6E7A0" w14:textId="46032E8B" w:rsidR="0012692A" w:rsidRPr="005873C3" w:rsidRDefault="003448F7" w:rsidP="001269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у разі відсутності схваленої інвестиційної програми на прогнозний рік</w:t>
            </w:r>
            <w:r w:rsidR="008D5D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витрати на виконання якої враховано при розрахунку діючих тарифів;</w:t>
            </w:r>
          </w:p>
          <w:p w14:paraId="79AF53E3" w14:textId="77777777" w:rsidR="000558C5" w:rsidRPr="005873C3" w:rsidRDefault="000558C5" w:rsidP="001269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4509C4" w14:textId="4DA5E0BE" w:rsidR="0012692A" w:rsidRPr="005873C3" w:rsidRDefault="003448F7" w:rsidP="0012692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4) у разі усунення підстави, </w:t>
            </w:r>
            <w:r w:rsidR="008D5D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зазначеної</w:t>
            </w:r>
            <w:r w:rsidRPr="0058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підпункті 3 цього пункту;</w:t>
            </w:r>
          </w:p>
          <w:p w14:paraId="29F7D8FA" w14:textId="77777777" w:rsidR="003448F7" w:rsidRPr="005873C3" w:rsidRDefault="003448F7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</w:p>
          <w:p w14:paraId="5F4F0503" w14:textId="2470D5EE" w:rsidR="0012692A" w:rsidRPr="005873C3" w:rsidRDefault="00095823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hyperlink r:id="rId47" w:tgtFrame="_blank" w:history="1">
              <w:r w:rsidR="003448F7" w:rsidRPr="005873C3">
                <w:rPr>
                  <w:rStyle w:val="af"/>
                  <w:rFonts w:ascii="Times New Roman" w:hAnsi="Times New Roman"/>
                  <w:b/>
                  <w:color w:val="auto"/>
                  <w:u w:val="none"/>
                  <w:lang w:val="ru-RU"/>
                </w:rPr>
                <w:t>5</w:t>
              </w:r>
              <w:r w:rsidR="0012692A" w:rsidRPr="005873C3">
                <w:rPr>
                  <w:rStyle w:val="af"/>
                  <w:rFonts w:ascii="Times New Roman" w:hAnsi="Times New Roman"/>
                  <w:b/>
                  <w:color w:val="auto"/>
                  <w:u w:val="none"/>
                </w:rPr>
                <w:t>)</w:t>
              </w:r>
              <w:r w:rsidR="0012692A" w:rsidRPr="005873C3">
                <w:rPr>
                  <w:rStyle w:val="af"/>
                  <w:rFonts w:ascii="Times New Roman" w:hAnsi="Times New Roman"/>
                  <w:color w:val="auto"/>
                  <w:u w:val="none"/>
                </w:rPr>
                <w:t xml:space="preserve"> у разі невиконання інвестиційної програми та/або недотримання структури тарифів, та/або наявності помилок при розрахунку необхідного доходу;</w:t>
              </w:r>
            </w:hyperlink>
            <w:hyperlink r:id="rId48" w:tgtFrame="_blank" w:history="1"/>
          </w:p>
          <w:p w14:paraId="75801AA1" w14:textId="01D2A78C" w:rsidR="0012692A" w:rsidRPr="005873C3" w:rsidRDefault="003448F7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b/>
                <w:color w:val="auto"/>
                <w:u w:val="none"/>
              </w:rPr>
              <w:t>6</w:t>
            </w:r>
            <w:r w:rsidR="0012692A" w:rsidRPr="005873C3">
              <w:rPr>
                <w:rStyle w:val="af"/>
                <w:rFonts w:ascii="Times New Roman" w:hAnsi="Times New Roman"/>
                <w:b/>
                <w:color w:val="auto"/>
                <w:u w:val="none"/>
              </w:rPr>
              <w:t>)</w:t>
            </w:r>
            <w:r w:rsidR="0012692A"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 xml:space="preserve"> надання ліцензіатом до НКРЕКП недостовірної інформації щодо здійснення ліцензованої діяльності;</w:t>
            </w:r>
          </w:p>
          <w:p w14:paraId="4E8A8AD3" w14:textId="04C2B3EF" w:rsidR="0012692A" w:rsidRPr="005873C3" w:rsidRDefault="003448F7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b/>
                <w:color w:val="auto"/>
                <w:u w:val="none"/>
                <w:lang w:val="ru-RU"/>
              </w:rPr>
              <w:t>7</w:t>
            </w:r>
            <w:r w:rsidR="0012692A" w:rsidRPr="005873C3">
              <w:rPr>
                <w:rStyle w:val="af"/>
                <w:rFonts w:ascii="Times New Roman" w:hAnsi="Times New Roman"/>
                <w:b/>
                <w:color w:val="auto"/>
                <w:u w:val="none"/>
              </w:rPr>
              <w:t>)</w:t>
            </w:r>
            <w:r w:rsidR="0012692A"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 xml:space="preserve"> порушення ліцензіатом умов проведення </w:t>
            </w:r>
            <w:proofErr w:type="spellStart"/>
            <w:r w:rsidR="0012692A"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закупівель</w:t>
            </w:r>
            <w:proofErr w:type="spellEnd"/>
            <w:r w:rsidR="0012692A"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 xml:space="preserve"> товарів, робіт і послуг, визначених діючими нормативними актами;</w:t>
            </w:r>
          </w:p>
          <w:p w14:paraId="33FC8FB4" w14:textId="39358910" w:rsidR="0012692A" w:rsidRPr="005873C3" w:rsidRDefault="003448F7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b/>
                <w:color w:val="auto"/>
                <w:u w:val="none"/>
              </w:rPr>
              <w:t>8</w:t>
            </w:r>
            <w:r w:rsidR="0012692A"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) зміни обсягів розподілу електричної енергії відносно врахованих при розрахунку діючих тарифів більше ніж на 5 %;</w:t>
            </w:r>
          </w:p>
          <w:p w14:paraId="7B21B811" w14:textId="5C4B3FEC" w:rsidR="0012692A" w:rsidRPr="005873C3" w:rsidRDefault="003448F7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b/>
                <w:color w:val="auto"/>
                <w:u w:val="none"/>
              </w:rPr>
              <w:t>9</w:t>
            </w:r>
            <w:r w:rsidR="0012692A" w:rsidRPr="005873C3">
              <w:rPr>
                <w:rStyle w:val="af"/>
                <w:rFonts w:ascii="Times New Roman" w:hAnsi="Times New Roman"/>
                <w:b/>
                <w:color w:val="auto"/>
                <w:u w:val="none"/>
              </w:rPr>
              <w:t>)</w:t>
            </w:r>
            <w:r w:rsidR="0012692A"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 xml:space="preserve"> зміни економічно обґрунтованих витрат на послуги з розподілу електричної енергії на прогнозний рік відносно, урахованих при розрахунку діючих тарифів, що склалася з причин, незалежних від діяльності з розподілу електричної енергії, якщо це призводить до зміни тарифів більше ніж на 5 % від установленого рівня;</w:t>
            </w:r>
          </w:p>
          <w:p w14:paraId="579F4F8C" w14:textId="2C400F76" w:rsidR="0012692A" w:rsidRPr="005873C3" w:rsidRDefault="003448F7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r w:rsidRPr="005873C3">
              <w:rPr>
                <w:rStyle w:val="af"/>
                <w:rFonts w:ascii="Times New Roman" w:hAnsi="Times New Roman"/>
                <w:b/>
                <w:color w:val="auto"/>
                <w:u w:val="none"/>
              </w:rPr>
              <w:t>10</w:t>
            </w:r>
            <w:r w:rsidR="0012692A" w:rsidRPr="005873C3">
              <w:rPr>
                <w:rStyle w:val="af"/>
                <w:rFonts w:ascii="Times New Roman" w:hAnsi="Times New Roman"/>
                <w:b/>
                <w:color w:val="auto"/>
                <w:u w:val="none"/>
              </w:rPr>
              <w:t>)</w:t>
            </w:r>
            <w:r w:rsidR="0012692A"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 xml:space="preserve"> наявності дефіциту або профіциту коштів від здійснення діяльності з надання послуг з приєднання електроустановок замовників до електричних мереж у році t-1, що підтверджується розширеним звітом ліцензіата </w:t>
            </w:r>
            <w:hyperlink r:id="rId49" w:tgtFrame="_blank" w:history="1">
              <w:r w:rsidR="0012692A" w:rsidRPr="005873C3">
                <w:rPr>
                  <w:rStyle w:val="af"/>
                  <w:rFonts w:ascii="Times New Roman" w:hAnsi="Times New Roman"/>
                  <w:color w:val="auto"/>
                  <w:u w:val="none"/>
                </w:rPr>
                <w:t>та результатами здійснення заходів контролю за дотриманням Ліцензійних умов</w:t>
              </w:r>
            </w:hyperlink>
            <w:r w:rsidR="0012692A"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;</w:t>
            </w:r>
          </w:p>
          <w:p w14:paraId="15BB92F1" w14:textId="383E3B62" w:rsidR="0012692A" w:rsidRPr="005873C3" w:rsidRDefault="00095823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hyperlink r:id="rId50" w:tgtFrame="_blank" w:history="1">
              <w:r w:rsidR="0012692A" w:rsidRPr="005873C3">
                <w:rPr>
                  <w:rStyle w:val="af"/>
                  <w:rFonts w:ascii="Times New Roman" w:hAnsi="Times New Roman"/>
                  <w:b/>
                  <w:color w:val="auto"/>
                  <w:u w:val="none"/>
                </w:rPr>
                <w:t>1</w:t>
              </w:r>
              <w:r w:rsidR="003448F7" w:rsidRPr="005873C3">
                <w:rPr>
                  <w:rStyle w:val="af"/>
                  <w:rFonts w:ascii="Times New Roman" w:hAnsi="Times New Roman"/>
                  <w:b/>
                  <w:color w:val="auto"/>
                  <w:u w:val="none"/>
                  <w:lang w:val="ru-RU"/>
                </w:rPr>
                <w:t>1</w:t>
              </w:r>
              <w:r w:rsidR="0012692A" w:rsidRPr="005873C3">
                <w:rPr>
                  <w:rStyle w:val="af"/>
                  <w:rFonts w:ascii="Times New Roman" w:hAnsi="Times New Roman"/>
                  <w:b/>
                  <w:color w:val="auto"/>
                  <w:u w:val="none"/>
                </w:rPr>
                <w:t>)</w:t>
              </w:r>
              <w:r w:rsidR="0012692A" w:rsidRPr="005873C3">
                <w:rPr>
                  <w:rStyle w:val="af"/>
                  <w:rFonts w:ascii="Times New Roman" w:hAnsi="Times New Roman"/>
                  <w:color w:val="auto"/>
                  <w:u w:val="none"/>
                </w:rPr>
                <w:t xml:space="preserve"> у разі ненадання ліцензіатом звітності до НКРЕКП у терміни, встановлені нормативними актами НКРЕКП;</w:t>
              </w:r>
            </w:hyperlink>
          </w:p>
          <w:p w14:paraId="5800DC4D" w14:textId="28B7C60C" w:rsidR="0012692A" w:rsidRPr="005873C3" w:rsidRDefault="00095823" w:rsidP="0012692A">
            <w:pPr>
              <w:shd w:val="clear" w:color="auto" w:fill="FFFFFF"/>
              <w:spacing w:after="0" w:line="240" w:lineRule="auto"/>
              <w:jc w:val="both"/>
              <w:rPr>
                <w:rStyle w:val="af"/>
                <w:rFonts w:ascii="Times New Roman" w:hAnsi="Times New Roman"/>
                <w:color w:val="auto"/>
                <w:u w:val="none"/>
              </w:rPr>
            </w:pPr>
            <w:hyperlink r:id="rId51" w:tgtFrame="_blank" w:history="1">
              <w:r w:rsidR="0012692A" w:rsidRPr="005873C3">
                <w:rPr>
                  <w:rStyle w:val="af"/>
                  <w:rFonts w:ascii="Times New Roman" w:hAnsi="Times New Roman"/>
                  <w:b/>
                  <w:color w:val="auto"/>
                  <w:u w:val="none"/>
                </w:rPr>
                <w:t>1</w:t>
              </w:r>
              <w:r w:rsidR="003448F7" w:rsidRPr="005873C3">
                <w:rPr>
                  <w:rStyle w:val="af"/>
                  <w:rFonts w:ascii="Times New Roman" w:hAnsi="Times New Roman"/>
                  <w:b/>
                  <w:color w:val="auto"/>
                  <w:u w:val="none"/>
                  <w:lang w:val="ru-RU"/>
                </w:rPr>
                <w:t>2</w:t>
              </w:r>
              <w:r w:rsidR="0012692A" w:rsidRPr="005873C3">
                <w:rPr>
                  <w:rStyle w:val="af"/>
                  <w:rFonts w:ascii="Times New Roman" w:hAnsi="Times New Roman"/>
                  <w:b/>
                  <w:color w:val="auto"/>
                  <w:u w:val="none"/>
                </w:rPr>
                <w:t>)</w:t>
              </w:r>
            </w:hyperlink>
            <w:r w:rsidR="0012692A" w:rsidRPr="005873C3">
              <w:rPr>
                <w:rStyle w:val="af"/>
                <w:rFonts w:ascii="Times New Roman" w:hAnsi="Times New Roman"/>
                <w:color w:val="auto"/>
                <w:u w:val="none"/>
              </w:rPr>
              <w:t> в інших випадках, передбачених нормативно-правовими актами НКРЕКП.</w:t>
            </w:r>
          </w:p>
          <w:p w14:paraId="0B1C1B9A" w14:textId="77777777" w:rsidR="00AF18AE" w:rsidRPr="00C14854" w:rsidRDefault="00AF18AE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  <w:p w14:paraId="37549C0E" w14:textId="0DDDA553" w:rsidR="0012692A" w:rsidRPr="005873C3" w:rsidRDefault="0012692A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43F3A837" w14:textId="77777777" w:rsidR="0012692A" w:rsidRPr="005873C3" w:rsidRDefault="0012692A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163FCA" w14:textId="6AF2AD0B" w:rsidR="00A415AF" w:rsidRPr="005873C3" w:rsidRDefault="00A415AF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Hlk138343923"/>
            <w:r w:rsidRPr="00587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Після пункту 7.10 додати пункт 7.11 так</w:t>
            </w:r>
            <w:r w:rsidR="0009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ого змісту</w:t>
            </w:r>
            <w:bookmarkEnd w:id="3"/>
            <w:r w:rsidR="008D5D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31E65D8D" w14:textId="77777777" w:rsidR="000558C5" w:rsidRPr="005873C3" w:rsidRDefault="000558C5" w:rsidP="00A415A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lang w:eastAsia="ru-RU"/>
              </w:rPr>
            </w:pPr>
          </w:p>
          <w:p w14:paraId="149B1536" w14:textId="0498E736" w:rsidR="000558C5" w:rsidRPr="005873C3" w:rsidRDefault="003448F7" w:rsidP="000558C5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bookmarkStart w:id="4" w:name="_Hlk138343993"/>
            <w:r w:rsidRPr="005873C3">
              <w:rPr>
                <w:b/>
                <w:bCs/>
              </w:rPr>
              <w:t>7.11. У разі прийняття рішення щодо встановлення тарифів на підставі підпунктів 3 та 4 пункту 7.8 цієї глави НКРЕКП може зменшити/збільшити відповідні витрати структури тарифів у розмірі джерел фінансування відсутньої/наявної схваленої інвестиційної програми.</w:t>
            </w:r>
          </w:p>
          <w:p w14:paraId="1750C1C2" w14:textId="77777777" w:rsidR="00995B5D" w:rsidRPr="005873C3" w:rsidRDefault="00995B5D" w:rsidP="00A415A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</w:p>
          <w:p w14:paraId="08AB1968" w14:textId="76DE8966" w:rsidR="00A415AF" w:rsidRPr="005873C3" w:rsidRDefault="00A415AF" w:rsidP="00A415A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873C3">
              <w:rPr>
                <w:b/>
                <w:bCs/>
              </w:rPr>
              <w:t xml:space="preserve">У зв’язку з цим пункти 7.11- </w:t>
            </w:r>
            <w:r w:rsidR="00995B5D" w:rsidRPr="005873C3">
              <w:rPr>
                <w:b/>
                <w:bCs/>
              </w:rPr>
              <w:t>7.</w:t>
            </w:r>
            <w:r w:rsidRPr="005873C3">
              <w:rPr>
                <w:b/>
                <w:bCs/>
              </w:rPr>
              <w:t>24 вважати пунктами 7.12-7.</w:t>
            </w:r>
            <w:r w:rsidR="00995B5D" w:rsidRPr="005873C3">
              <w:rPr>
                <w:b/>
                <w:bCs/>
              </w:rPr>
              <w:t>25</w:t>
            </w:r>
          </w:p>
          <w:bookmarkEnd w:id="4"/>
          <w:p w14:paraId="6A8D9D5A" w14:textId="77777777" w:rsidR="00A415AF" w:rsidRPr="005873C3" w:rsidRDefault="00A415AF" w:rsidP="00126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6AABAD" w14:textId="77777777" w:rsidR="002D4FEC" w:rsidRPr="005873C3" w:rsidRDefault="002D4FEC" w:rsidP="002D4FEC">
            <w:pPr>
              <w:pStyle w:val="tj"/>
              <w:shd w:val="clear" w:color="auto" w:fill="FFFFFF"/>
              <w:spacing w:before="0" w:beforeAutospacing="0" w:after="0" w:afterAutospacing="0"/>
              <w:rPr>
                <w:rStyle w:val="af"/>
                <w:color w:val="auto"/>
                <w:u w:val="none"/>
              </w:rPr>
            </w:pPr>
            <w:r w:rsidRPr="005873C3">
              <w:rPr>
                <w:rStyle w:val="af"/>
                <w:color w:val="auto"/>
                <w:u w:val="none"/>
              </w:rPr>
              <w:t>7.21. Розрахунок операційних витрат:</w:t>
            </w:r>
          </w:p>
          <w:p w14:paraId="3D490741" w14:textId="77777777" w:rsidR="002D4FEC" w:rsidRPr="005873C3" w:rsidRDefault="002D4FEC" w:rsidP="002D4FEC">
            <w:pPr>
              <w:pStyle w:val="tj"/>
              <w:shd w:val="clear" w:color="auto" w:fill="FFFFFF"/>
              <w:spacing w:before="0" w:beforeAutospacing="0" w:after="0" w:afterAutospacing="0"/>
              <w:rPr>
                <w:rStyle w:val="af"/>
                <w:color w:val="auto"/>
                <w:u w:val="none"/>
              </w:rPr>
            </w:pPr>
          </w:p>
          <w:p w14:paraId="35A828AC" w14:textId="77777777" w:rsidR="002D4FEC" w:rsidRPr="005873C3" w:rsidRDefault="002D4FEC" w:rsidP="002D4FEC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Style w:val="af"/>
                <w:color w:val="auto"/>
                <w:u w:val="none"/>
              </w:rPr>
            </w:pPr>
            <w:r w:rsidRPr="005873C3">
              <w:rPr>
                <w:rStyle w:val="af"/>
                <w:color w:val="auto"/>
                <w:u w:val="none"/>
              </w:rPr>
              <w:t>1) операційні витрати для забезпечення діяльності з розподілу електричної енергії визначаються за такими економічними елементами та їх окремими складовими і розраховуються за формулою</w:t>
            </w:r>
          </w:p>
          <w:p w14:paraId="0F2D2315" w14:textId="77777777" w:rsidR="002D4FEC" w:rsidRPr="005873C3" w:rsidRDefault="00095823" w:rsidP="002D4FEC">
            <w:pPr>
              <w:pStyle w:val="tc"/>
              <w:shd w:val="clear" w:color="auto" w:fill="FFFFFF"/>
              <w:spacing w:before="0" w:beforeAutospacing="0" w:after="0" w:afterAutospacing="0"/>
            </w:pPr>
            <w:hyperlink r:id="rId52" w:tgtFrame="_blank" w:history="1">
              <w:r w:rsidR="002D4FEC" w:rsidRPr="005873C3">
                <w:rPr>
                  <w:noProof/>
                </w:rPr>
                <w:drawing>
                  <wp:inline distT="0" distB="0" distL="0" distR="0" wp14:anchorId="2B520FFE" wp14:editId="063C5972">
                    <wp:extent cx="3648075" cy="190500"/>
                    <wp:effectExtent l="0" t="0" r="9525" b="0"/>
                    <wp:docPr id="39" name="Рисунок 39" descr="https://ips.ligazakon.net/l_flib1.nsf/LookupFiles/GK40721_IMG_183.GIF/$file/GK40721_IMG_183.GIF">
                      <a:hlinkClick xmlns:a="http://schemas.openxmlformats.org/drawingml/2006/main" r:id="rId52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https://ips.ligazakon.net/l_flib1.nsf/LookupFiles/GK40721_IMG_183.GIF/$file/GK40721_IMG_183.GIF">
                              <a:hlinkClick r:id="rId52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648075" cy="190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D4FEC" w:rsidRPr="005873C3">
                <w:rPr>
                  <w:rStyle w:val="af"/>
                  <w:color w:val="auto"/>
                </w:rPr>
                <w:t>,</w:t>
              </w:r>
            </w:hyperlink>
            <w:r w:rsidR="002D4FEC" w:rsidRPr="005873C3">
              <w:t> тис. грн, (</w:t>
            </w:r>
            <w:hyperlink r:id="rId53" w:tgtFrame="_blank" w:history="1">
              <w:r w:rsidR="002D4FEC" w:rsidRPr="005873C3">
                <w:rPr>
                  <w:rStyle w:val="af"/>
                  <w:color w:val="auto"/>
                </w:rPr>
                <w:t>25</w:t>
              </w:r>
            </w:hyperlink>
            <w:r w:rsidR="002D4FEC" w:rsidRPr="005873C3">
              <w:t>)</w:t>
            </w:r>
          </w:p>
          <w:p w14:paraId="51A792E0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24BA88B3" w14:textId="77777777" w:rsidR="002D4FEC" w:rsidRPr="005873C3" w:rsidRDefault="002D4FEC" w:rsidP="002D4FEC">
            <w:pPr>
              <w:pStyle w:val="tr"/>
              <w:shd w:val="clear" w:color="auto" w:fill="FFFFFF"/>
              <w:spacing w:before="0" w:beforeAutospacing="0" w:after="0" w:afterAutospacing="0"/>
              <w:jc w:val="right"/>
            </w:pPr>
          </w:p>
          <w:tbl>
            <w:tblPr>
              <w:tblW w:w="7500" w:type="dxa"/>
              <w:jc w:val="center"/>
              <w:tblLayout w:type="fixed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4350"/>
              <w:gridCol w:w="3150"/>
            </w:tblGrid>
            <w:tr w:rsidR="005873C3" w:rsidRPr="005873C3" w14:paraId="433AF265" w14:textId="77777777" w:rsidTr="000661BF">
              <w:trPr>
                <w:jc w:val="center"/>
              </w:trPr>
              <w:tc>
                <w:tcPr>
                  <w:tcW w:w="29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31AEF08" w14:textId="77777777" w:rsidR="002D4FEC" w:rsidRPr="005873C3" w:rsidRDefault="002D4FEC" w:rsidP="002D4FEC">
                  <w:pPr>
                    <w:pStyle w:val="tr"/>
                    <w:spacing w:before="0" w:beforeAutospacing="0" w:after="0" w:afterAutospacing="0"/>
                    <w:jc w:val="right"/>
                  </w:pPr>
                  <w:r w:rsidRPr="005873C3">
                    <w:t> </w:t>
                  </w:r>
                  <w:r w:rsidRPr="005873C3">
                    <w:rPr>
                      <w:noProof/>
                    </w:rPr>
                    <w:drawing>
                      <wp:inline distT="0" distB="0" distL="0" distR="0" wp14:anchorId="5440198B" wp14:editId="3A20CD00">
                        <wp:extent cx="1181100" cy="495300"/>
                        <wp:effectExtent l="0" t="0" r="0" b="0"/>
                        <wp:docPr id="40" name="Рисунок 40" descr="https://ips.ligazakon.net/l_flib1.nsf/LookupFiles/GK40721_IMG_123.gif/$file/GK40721_IMG_12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ips.ligazakon.net/l_flib1.nsf/LookupFiles/GK40721_IMG_123.gif/$file/GK40721_IMG_12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1100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B50BBA1" w14:textId="77777777" w:rsidR="002D4FEC" w:rsidRPr="005873C3" w:rsidRDefault="002D4FEC" w:rsidP="002D4FEC">
                  <w:pPr>
                    <w:pStyle w:val="tl"/>
                    <w:spacing w:before="0" w:beforeAutospacing="0" w:after="0" w:afterAutospacing="0"/>
                  </w:pPr>
                  <w:r w:rsidRPr="005873C3">
                    <w:t xml:space="preserve">, </w:t>
                  </w:r>
                  <w:proofErr w:type="spellStart"/>
                  <w:r w:rsidRPr="005873C3">
                    <w:t>МВт·год</w:t>
                  </w:r>
                  <w:proofErr w:type="spellEnd"/>
                  <w:r w:rsidRPr="005873C3">
                    <w:t>,     (</w:t>
                  </w:r>
                  <w:hyperlink r:id="rId54" w:tgtFrame="_blank" w:history="1">
                    <w:r w:rsidRPr="005873C3">
                      <w:rPr>
                        <w:rStyle w:val="af"/>
                        <w:color w:val="auto"/>
                      </w:rPr>
                      <w:t>30</w:t>
                    </w:r>
                  </w:hyperlink>
                  <w:r w:rsidRPr="005873C3">
                    <w:t>)</w:t>
                  </w:r>
                </w:p>
              </w:tc>
            </w:tr>
          </w:tbl>
          <w:p w14:paraId="4771DD8A" w14:textId="77777777" w:rsidR="002D4FEC" w:rsidRPr="005873C3" w:rsidRDefault="00095823" w:rsidP="002D4FEC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hyperlink r:id="rId55" w:tgtFrame="_blank" w:history="1">
              <w:r w:rsidR="002D4FEC" w:rsidRPr="005873C3">
                <w:rPr>
                  <w:rStyle w:val="af"/>
                  <w:color w:val="auto"/>
                  <w:u w:val="none"/>
                </w:rPr>
                <w:t>де </w:t>
              </w:r>
              <w:r w:rsidR="002D4FEC" w:rsidRPr="005873C3">
                <w:rPr>
                  <w:noProof/>
                </w:rPr>
                <w:drawing>
                  <wp:inline distT="0" distB="0" distL="0" distR="0" wp14:anchorId="17655B3C" wp14:editId="2669C54B">
                    <wp:extent cx="390525" cy="209550"/>
                    <wp:effectExtent l="0" t="0" r="9525" b="0"/>
                    <wp:docPr id="41" name="Рисунок 41" descr="https://ips.ligazakon.net/l_flib1.nsf/LookupFiles/GK40721_IMG_173.GIF/$file/GK40721_IMG_173.GIF">
                      <a:hlinkClick xmlns:a="http://schemas.openxmlformats.org/drawingml/2006/main" r:id="rId40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" descr="https://ips.ligazakon.net/l_flib1.nsf/LookupFiles/GK40721_IMG_173.GIF/$file/GK40721_IMG_173.GIF">
                              <a:hlinkClick r:id="rId40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90525" cy="209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D4FEC" w:rsidRPr="005873C3">
                <w:rPr>
                  <w:rStyle w:val="af"/>
                  <w:color w:val="auto"/>
                  <w:u w:val="none"/>
                </w:rPr>
                <w:t>- прогнозований обсяг корисного відпуску електричної енергії</w:t>
              </w:r>
            </w:hyperlink>
            <w:r w:rsidR="002D4FEC" w:rsidRPr="005873C3">
              <w:t xml:space="preserve"> </w:t>
            </w:r>
            <w:hyperlink r:id="rId56" w:tgtFrame="_blank" w:history="1">
              <w:r w:rsidR="002D4FEC" w:rsidRPr="005873C3">
                <w:rPr>
                  <w:rStyle w:val="af"/>
                  <w:color w:val="auto"/>
                  <w:u w:val="none"/>
                </w:rPr>
                <w:t xml:space="preserve">на </w:t>
              </w:r>
              <w:r w:rsidR="002D4FEC" w:rsidRPr="005873C3">
                <w:rPr>
                  <w:rStyle w:val="af"/>
                  <w:color w:val="auto"/>
                  <w:u w:val="none"/>
                </w:rPr>
                <w:br/>
                <w:t>1 класі</w:t>
              </w:r>
            </w:hyperlink>
            <w:r w:rsidR="002D4FEC" w:rsidRPr="005873C3">
              <w:t> </w:t>
            </w:r>
            <w:hyperlink r:id="rId57" w:tgtFrame="_blank" w:history="1">
              <w:r w:rsidR="002D4FEC" w:rsidRPr="005873C3">
                <w:rPr>
                  <w:rStyle w:val="af"/>
                  <w:color w:val="auto"/>
                  <w:u w:val="none"/>
                </w:rPr>
                <w:t>напруги на рік </w:t>
              </w:r>
              <w:r w:rsidR="002D4FEC" w:rsidRPr="005873C3">
                <w:rPr>
                  <w:rStyle w:val="af"/>
                  <w:i/>
                  <w:iCs/>
                  <w:color w:val="auto"/>
                  <w:u w:val="none"/>
                </w:rPr>
                <w:t>t</w:t>
              </w:r>
              <w:r w:rsidR="002D4FEC" w:rsidRPr="005873C3">
                <w:rPr>
                  <w:rStyle w:val="af"/>
                  <w:color w:val="auto"/>
                  <w:u w:val="none"/>
                </w:rPr>
                <w:t xml:space="preserve">, </w:t>
              </w:r>
              <w:proofErr w:type="spellStart"/>
              <w:r w:rsidR="002D4FEC" w:rsidRPr="005873C3">
                <w:rPr>
                  <w:rStyle w:val="af"/>
                  <w:color w:val="auto"/>
                  <w:u w:val="none"/>
                </w:rPr>
                <w:t>МВт·год</w:t>
              </w:r>
              <w:proofErr w:type="spellEnd"/>
              <w:r w:rsidR="002D4FEC" w:rsidRPr="005873C3">
                <w:rPr>
                  <w:rStyle w:val="af"/>
                  <w:color w:val="auto"/>
                  <w:u w:val="none"/>
                </w:rPr>
                <w:t>;</w:t>
              </w:r>
            </w:hyperlink>
          </w:p>
          <w:p w14:paraId="764CD098" w14:textId="77777777" w:rsidR="002D4FEC" w:rsidRPr="005873C3" w:rsidRDefault="00095823" w:rsidP="002D4FEC">
            <w:pPr>
              <w:pStyle w:val="tr"/>
              <w:shd w:val="clear" w:color="auto" w:fill="FFFFFF"/>
              <w:spacing w:before="0" w:beforeAutospacing="0" w:after="0" w:afterAutospacing="0"/>
              <w:jc w:val="right"/>
            </w:pPr>
            <w:hyperlink r:id="rId58" w:tgtFrame="_blank" w:history="1"/>
          </w:p>
          <w:p w14:paraId="7BEB52C6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0DD36401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B02766" w14:textId="77777777" w:rsidR="002D4FEC" w:rsidRPr="005873C3" w:rsidRDefault="002D4FEC" w:rsidP="002D4FEC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 w:rsidRPr="005873C3">
              <w:rPr>
                <w:i/>
                <w:iCs/>
              </w:rPr>
              <w:t>КВ</w:t>
            </w:r>
            <w:r w:rsidRPr="005873C3">
              <w:rPr>
                <w:i/>
                <w:iCs/>
                <w:vertAlign w:val="subscript"/>
              </w:rPr>
              <w:t>t</w:t>
            </w:r>
            <w:proofErr w:type="spellEnd"/>
            <w:r w:rsidRPr="005873C3">
              <w:t> - коригування витрат (вилучення або компенсація ліцензіату за результатами його діяльності, у тому числі як ліцензіата з передачі електричної енергії місцевими (локальними) електромережами та з постачання електричної енергії за регульованим тарифом) на прогнозний рік, тис. грн.</w:t>
            </w:r>
          </w:p>
          <w:p w14:paraId="11256A70" w14:textId="77777777" w:rsidR="00A22FC8" w:rsidRPr="00095823" w:rsidRDefault="00A22FC8" w:rsidP="00A22FC8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095823">
              <w:rPr>
                <w:b/>
              </w:rPr>
              <w:t xml:space="preserve">У період воєнного стану у випадку неможливості здійснення заходів контролю за дотриманням Ліцензійних умов та в разі відхилення обсягів розподілу електричної енергії відносно врахованих при розрахунку </w:t>
            </w:r>
            <w:r w:rsidRPr="00095823">
              <w:rPr>
                <w:b/>
              </w:rPr>
              <w:lastRenderedPageBreak/>
              <w:t xml:space="preserve">діючих тарифів, показник </w:t>
            </w:r>
            <w:proofErr w:type="spellStart"/>
            <w:r w:rsidRPr="00095823">
              <w:rPr>
                <w:b/>
              </w:rPr>
              <w:t>КВ</w:t>
            </w:r>
            <w:r w:rsidRPr="00095823">
              <w:rPr>
                <w:b/>
                <w:vertAlign w:val="subscript"/>
              </w:rPr>
              <w:t>t</w:t>
            </w:r>
            <w:proofErr w:type="spellEnd"/>
            <w:r w:rsidRPr="00095823">
              <w:rPr>
                <w:b/>
              </w:rPr>
              <w:t xml:space="preserve"> може враховувати витрати в частині додатково отриманого (недоотриманого) доходу ліцензіата внаслідок збільшення (зменшення) фактичних обсягів розподілу електричної енергії порівняно з обсягами розподілу електричної енергії, урахованими в затвердженій структурі тарифів на послуги з розподілу електричної енергії, визначених на підставі звітності розрахунковим шляхом.</w:t>
            </w:r>
          </w:p>
          <w:p w14:paraId="15C1B317" w14:textId="63710CD9" w:rsidR="002D4FEC" w:rsidRPr="00095823" w:rsidRDefault="00A22FC8" w:rsidP="00A2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958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За результатами здійснення заходів контролю за дотриманням Ліцензійних умов показник </w:t>
            </w:r>
            <w:proofErr w:type="spellStart"/>
            <w:r w:rsidRPr="000958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КВ</w:t>
            </w:r>
            <w:r w:rsidRPr="0009582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uk-UA"/>
              </w:rPr>
              <w:t>t</w:t>
            </w:r>
            <w:proofErr w:type="spellEnd"/>
            <w:r w:rsidRPr="000958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може бути уточнено;</w:t>
            </w:r>
          </w:p>
          <w:tbl>
            <w:tblPr>
              <w:tblW w:w="10500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29"/>
              <w:gridCol w:w="2171"/>
            </w:tblGrid>
            <w:tr w:rsidR="005873C3" w:rsidRPr="005873C3" w14:paraId="7A58CB86" w14:textId="77777777" w:rsidTr="000661BF">
              <w:trPr>
                <w:jc w:val="center"/>
              </w:trPr>
              <w:tc>
                <w:tcPr>
                  <w:tcW w:w="345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3003E5D" w14:textId="77777777" w:rsidR="002D4FEC" w:rsidRPr="005873C3" w:rsidRDefault="002D4FEC" w:rsidP="002D4FEC">
                  <w:pPr>
                    <w:pStyle w:val="tc"/>
                    <w:spacing w:before="0" w:beforeAutospacing="0" w:after="0" w:afterAutospacing="0"/>
                  </w:pPr>
                </w:p>
              </w:tc>
              <w:tc>
                <w:tcPr>
                  <w:tcW w:w="9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B655AC9" w14:textId="77777777" w:rsidR="002D4FEC" w:rsidRPr="005873C3" w:rsidRDefault="002D4FEC" w:rsidP="002D4FEC">
                  <w:pPr>
                    <w:pStyle w:val="tl"/>
                    <w:spacing w:before="0" w:beforeAutospacing="0" w:after="0" w:afterAutospacing="0"/>
                  </w:pPr>
                </w:p>
              </w:tc>
            </w:tr>
          </w:tbl>
          <w:p w14:paraId="3B84D348" w14:textId="77777777" w:rsidR="002D4FEC" w:rsidRPr="005873C3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  <w:p w14:paraId="71AA57E1" w14:textId="77777777" w:rsidR="002D4FEC" w:rsidRPr="005873C3" w:rsidRDefault="002D4FEC" w:rsidP="005A59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477D76F" w14:textId="77777777" w:rsidR="00E64C6A" w:rsidRPr="008919BF" w:rsidRDefault="00E64C6A" w:rsidP="00911246">
      <w:pPr>
        <w:spacing w:after="0" w:line="240" w:lineRule="auto"/>
        <w:rPr>
          <w:rFonts w:ascii="Times New Roman" w:hAnsi="Times New Roman" w:cs="Times New Roman"/>
          <w:i/>
        </w:rPr>
      </w:pPr>
    </w:p>
    <w:sectPr w:rsidR="00E64C6A" w:rsidRPr="008919BF" w:rsidSect="00C14854">
      <w:headerReference w:type="default" r:id="rId59"/>
      <w:pgSz w:w="16838" w:h="11906" w:orient="landscape"/>
      <w:pgMar w:top="851" w:right="851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AA931" w14:textId="77777777" w:rsidR="00503EBB" w:rsidRDefault="00503EBB" w:rsidP="00DD454E">
      <w:pPr>
        <w:spacing w:after="0" w:line="240" w:lineRule="auto"/>
      </w:pPr>
      <w:r>
        <w:separator/>
      </w:r>
    </w:p>
  </w:endnote>
  <w:endnote w:type="continuationSeparator" w:id="0">
    <w:p w14:paraId="2E3DBEED" w14:textId="77777777" w:rsidR="00503EBB" w:rsidRDefault="00503EBB" w:rsidP="00D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48004" w14:textId="77777777" w:rsidR="00503EBB" w:rsidRDefault="00503EBB" w:rsidP="00DD454E">
      <w:pPr>
        <w:spacing w:after="0" w:line="240" w:lineRule="auto"/>
      </w:pPr>
      <w:r>
        <w:separator/>
      </w:r>
    </w:p>
  </w:footnote>
  <w:footnote w:type="continuationSeparator" w:id="0">
    <w:p w14:paraId="63B67408" w14:textId="77777777" w:rsidR="00503EBB" w:rsidRDefault="00503EBB" w:rsidP="00D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164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04EFDE0" w14:textId="77777777" w:rsidR="00C811BA" w:rsidRPr="00E222BF" w:rsidRDefault="00C811BA" w:rsidP="00C541FA">
        <w:pPr>
          <w:pStyle w:val="ab"/>
          <w:jc w:val="center"/>
          <w:rPr>
            <w:rFonts w:ascii="Times New Roman" w:hAnsi="Times New Roman" w:cs="Times New Roman"/>
          </w:rPr>
        </w:pPr>
        <w:r w:rsidRPr="00E222BF">
          <w:rPr>
            <w:rFonts w:ascii="Times New Roman" w:hAnsi="Times New Roman" w:cs="Times New Roman"/>
          </w:rPr>
          <w:fldChar w:fldCharType="begin"/>
        </w:r>
        <w:r w:rsidRPr="00E222BF">
          <w:rPr>
            <w:rFonts w:ascii="Times New Roman" w:hAnsi="Times New Roman" w:cs="Times New Roman"/>
          </w:rPr>
          <w:instrText>PAGE   \* MERGEFORMAT</w:instrText>
        </w:r>
        <w:r w:rsidRPr="00E222BF">
          <w:rPr>
            <w:rFonts w:ascii="Times New Roman" w:hAnsi="Times New Roman" w:cs="Times New Roman"/>
          </w:rPr>
          <w:fldChar w:fldCharType="separate"/>
        </w:r>
        <w:r w:rsidR="00DA17B7">
          <w:rPr>
            <w:rFonts w:ascii="Times New Roman" w:hAnsi="Times New Roman" w:cs="Times New Roman"/>
            <w:noProof/>
          </w:rPr>
          <w:t>2</w:t>
        </w:r>
        <w:r w:rsidRPr="00E222B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75C59"/>
    <w:multiLevelType w:val="hybridMultilevel"/>
    <w:tmpl w:val="BCDE37D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756F8"/>
    <w:multiLevelType w:val="hybridMultilevel"/>
    <w:tmpl w:val="9828B5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D07F9"/>
    <w:multiLevelType w:val="hybridMultilevel"/>
    <w:tmpl w:val="52F0586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24A6F"/>
    <w:multiLevelType w:val="multilevel"/>
    <w:tmpl w:val="B6520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0C37"/>
    <w:rsid w:val="00000FC0"/>
    <w:rsid w:val="0001563C"/>
    <w:rsid w:val="00016CEC"/>
    <w:rsid w:val="00020D5C"/>
    <w:rsid w:val="00034E10"/>
    <w:rsid w:val="0003645B"/>
    <w:rsid w:val="00044043"/>
    <w:rsid w:val="00050773"/>
    <w:rsid w:val="00050D0E"/>
    <w:rsid w:val="000558C5"/>
    <w:rsid w:val="000575AC"/>
    <w:rsid w:val="00060CC3"/>
    <w:rsid w:val="00060D23"/>
    <w:rsid w:val="000700DA"/>
    <w:rsid w:val="00073EE5"/>
    <w:rsid w:val="00075481"/>
    <w:rsid w:val="000850EA"/>
    <w:rsid w:val="000876CC"/>
    <w:rsid w:val="00095823"/>
    <w:rsid w:val="000B2D4D"/>
    <w:rsid w:val="000B3338"/>
    <w:rsid w:val="000B74D5"/>
    <w:rsid w:val="000B7979"/>
    <w:rsid w:val="000C02B6"/>
    <w:rsid w:val="000D5E4D"/>
    <w:rsid w:val="000E0F6B"/>
    <w:rsid w:val="000E4F6E"/>
    <w:rsid w:val="000E7657"/>
    <w:rsid w:val="000F1884"/>
    <w:rsid w:val="000F66F4"/>
    <w:rsid w:val="00111404"/>
    <w:rsid w:val="0011362B"/>
    <w:rsid w:val="0012692A"/>
    <w:rsid w:val="00127BB1"/>
    <w:rsid w:val="00131A6E"/>
    <w:rsid w:val="00133E44"/>
    <w:rsid w:val="00146CE0"/>
    <w:rsid w:val="00160B31"/>
    <w:rsid w:val="00161F2C"/>
    <w:rsid w:val="00162A55"/>
    <w:rsid w:val="00163356"/>
    <w:rsid w:val="0016409E"/>
    <w:rsid w:val="00166124"/>
    <w:rsid w:val="0018533D"/>
    <w:rsid w:val="00185E8C"/>
    <w:rsid w:val="001A50F5"/>
    <w:rsid w:val="001A6A51"/>
    <w:rsid w:val="001A7F43"/>
    <w:rsid w:val="001B2765"/>
    <w:rsid w:val="001C21CB"/>
    <w:rsid w:val="001C21E2"/>
    <w:rsid w:val="001D5D0A"/>
    <w:rsid w:val="001E08D9"/>
    <w:rsid w:val="001E6AED"/>
    <w:rsid w:val="001F54C9"/>
    <w:rsid w:val="001F6E58"/>
    <w:rsid w:val="00200BC9"/>
    <w:rsid w:val="00202E5F"/>
    <w:rsid w:val="00207BA4"/>
    <w:rsid w:val="00210023"/>
    <w:rsid w:val="002135C0"/>
    <w:rsid w:val="002323B0"/>
    <w:rsid w:val="00242F6A"/>
    <w:rsid w:val="0025547B"/>
    <w:rsid w:val="002617DC"/>
    <w:rsid w:val="00261A7C"/>
    <w:rsid w:val="00274A65"/>
    <w:rsid w:val="00275CE5"/>
    <w:rsid w:val="00281FF4"/>
    <w:rsid w:val="00284D0F"/>
    <w:rsid w:val="0028666C"/>
    <w:rsid w:val="00286E56"/>
    <w:rsid w:val="002878AA"/>
    <w:rsid w:val="002947BA"/>
    <w:rsid w:val="002A7A45"/>
    <w:rsid w:val="002B20AE"/>
    <w:rsid w:val="002B7AE7"/>
    <w:rsid w:val="002C5F15"/>
    <w:rsid w:val="002D4FEC"/>
    <w:rsid w:val="002D652A"/>
    <w:rsid w:val="002E4C35"/>
    <w:rsid w:val="00306EA5"/>
    <w:rsid w:val="00307DC3"/>
    <w:rsid w:val="00314CCE"/>
    <w:rsid w:val="003167A6"/>
    <w:rsid w:val="0033581A"/>
    <w:rsid w:val="00343343"/>
    <w:rsid w:val="003448F7"/>
    <w:rsid w:val="00350B4D"/>
    <w:rsid w:val="0035104C"/>
    <w:rsid w:val="003521A0"/>
    <w:rsid w:val="0035236A"/>
    <w:rsid w:val="00364971"/>
    <w:rsid w:val="0036583A"/>
    <w:rsid w:val="003677B1"/>
    <w:rsid w:val="00371306"/>
    <w:rsid w:val="00373599"/>
    <w:rsid w:val="00374CAE"/>
    <w:rsid w:val="003956F4"/>
    <w:rsid w:val="003A5333"/>
    <w:rsid w:val="003A771B"/>
    <w:rsid w:val="003B0F82"/>
    <w:rsid w:val="003B2D03"/>
    <w:rsid w:val="003C7E44"/>
    <w:rsid w:val="003D2ED8"/>
    <w:rsid w:val="003D7B26"/>
    <w:rsid w:val="003E4040"/>
    <w:rsid w:val="0040782C"/>
    <w:rsid w:val="00407AE5"/>
    <w:rsid w:val="00416B75"/>
    <w:rsid w:val="00417FCE"/>
    <w:rsid w:val="004243BF"/>
    <w:rsid w:val="004262DD"/>
    <w:rsid w:val="00432EFD"/>
    <w:rsid w:val="00440764"/>
    <w:rsid w:val="00440A95"/>
    <w:rsid w:val="004572F8"/>
    <w:rsid w:val="004579E3"/>
    <w:rsid w:val="004626B3"/>
    <w:rsid w:val="00480DD1"/>
    <w:rsid w:val="00487EC7"/>
    <w:rsid w:val="004918C4"/>
    <w:rsid w:val="004A12F1"/>
    <w:rsid w:val="004B01F5"/>
    <w:rsid w:val="004B3776"/>
    <w:rsid w:val="004C20B5"/>
    <w:rsid w:val="004C6460"/>
    <w:rsid w:val="004D3A6A"/>
    <w:rsid w:val="004D3CEE"/>
    <w:rsid w:val="004D613F"/>
    <w:rsid w:val="004D61FF"/>
    <w:rsid w:val="004F2F59"/>
    <w:rsid w:val="005011C7"/>
    <w:rsid w:val="00503EBB"/>
    <w:rsid w:val="005160A3"/>
    <w:rsid w:val="00530C50"/>
    <w:rsid w:val="00540405"/>
    <w:rsid w:val="00544053"/>
    <w:rsid w:val="00560462"/>
    <w:rsid w:val="00570C82"/>
    <w:rsid w:val="00576D9B"/>
    <w:rsid w:val="005873C3"/>
    <w:rsid w:val="00591ED1"/>
    <w:rsid w:val="0059707D"/>
    <w:rsid w:val="005973EE"/>
    <w:rsid w:val="005A1918"/>
    <w:rsid w:val="005A59A8"/>
    <w:rsid w:val="005B2769"/>
    <w:rsid w:val="005C689B"/>
    <w:rsid w:val="005D5117"/>
    <w:rsid w:val="005D5FD0"/>
    <w:rsid w:val="005E13B6"/>
    <w:rsid w:val="005E32B0"/>
    <w:rsid w:val="005F34CF"/>
    <w:rsid w:val="005F7EE9"/>
    <w:rsid w:val="00603456"/>
    <w:rsid w:val="00623753"/>
    <w:rsid w:val="006271E4"/>
    <w:rsid w:val="00630086"/>
    <w:rsid w:val="00634A16"/>
    <w:rsid w:val="00641370"/>
    <w:rsid w:val="00655960"/>
    <w:rsid w:val="00663DF3"/>
    <w:rsid w:val="00664D47"/>
    <w:rsid w:val="0066595D"/>
    <w:rsid w:val="00684AA2"/>
    <w:rsid w:val="00690CCB"/>
    <w:rsid w:val="006971A0"/>
    <w:rsid w:val="006A20CF"/>
    <w:rsid w:val="006A4482"/>
    <w:rsid w:val="006B1D89"/>
    <w:rsid w:val="006B6E7E"/>
    <w:rsid w:val="006C1548"/>
    <w:rsid w:val="006D76AF"/>
    <w:rsid w:val="006E0C6B"/>
    <w:rsid w:val="006E1A93"/>
    <w:rsid w:val="006F3953"/>
    <w:rsid w:val="006F46FD"/>
    <w:rsid w:val="006F794B"/>
    <w:rsid w:val="00701CA9"/>
    <w:rsid w:val="00703C5D"/>
    <w:rsid w:val="00705054"/>
    <w:rsid w:val="00705063"/>
    <w:rsid w:val="0072041B"/>
    <w:rsid w:val="00721A78"/>
    <w:rsid w:val="00723228"/>
    <w:rsid w:val="007233D8"/>
    <w:rsid w:val="00736DE5"/>
    <w:rsid w:val="00744C52"/>
    <w:rsid w:val="00756FF0"/>
    <w:rsid w:val="00760445"/>
    <w:rsid w:val="007616F9"/>
    <w:rsid w:val="00772C46"/>
    <w:rsid w:val="00774251"/>
    <w:rsid w:val="00776226"/>
    <w:rsid w:val="00787E24"/>
    <w:rsid w:val="0079375F"/>
    <w:rsid w:val="0079538E"/>
    <w:rsid w:val="007A397B"/>
    <w:rsid w:val="007B4B53"/>
    <w:rsid w:val="007C239E"/>
    <w:rsid w:val="007C24D6"/>
    <w:rsid w:val="007C6050"/>
    <w:rsid w:val="007F44D5"/>
    <w:rsid w:val="007F7002"/>
    <w:rsid w:val="00801FA7"/>
    <w:rsid w:val="00810783"/>
    <w:rsid w:val="00820B5A"/>
    <w:rsid w:val="00824670"/>
    <w:rsid w:val="00834EAE"/>
    <w:rsid w:val="008532E3"/>
    <w:rsid w:val="0085371A"/>
    <w:rsid w:val="008551B1"/>
    <w:rsid w:val="00857439"/>
    <w:rsid w:val="00865EB0"/>
    <w:rsid w:val="00866915"/>
    <w:rsid w:val="00877B93"/>
    <w:rsid w:val="00882F39"/>
    <w:rsid w:val="008878A8"/>
    <w:rsid w:val="008919BF"/>
    <w:rsid w:val="00893982"/>
    <w:rsid w:val="008B0793"/>
    <w:rsid w:val="008B3012"/>
    <w:rsid w:val="008B5F03"/>
    <w:rsid w:val="008B6910"/>
    <w:rsid w:val="008C41B5"/>
    <w:rsid w:val="008C5854"/>
    <w:rsid w:val="008D54F3"/>
    <w:rsid w:val="008D5DCD"/>
    <w:rsid w:val="008D741E"/>
    <w:rsid w:val="008E2802"/>
    <w:rsid w:val="008E3F5C"/>
    <w:rsid w:val="0090122D"/>
    <w:rsid w:val="0090193D"/>
    <w:rsid w:val="00904508"/>
    <w:rsid w:val="00911246"/>
    <w:rsid w:val="00933D32"/>
    <w:rsid w:val="00935220"/>
    <w:rsid w:val="0095577F"/>
    <w:rsid w:val="009641EC"/>
    <w:rsid w:val="00965AB4"/>
    <w:rsid w:val="00970B8C"/>
    <w:rsid w:val="009865BD"/>
    <w:rsid w:val="00994725"/>
    <w:rsid w:val="00995B5D"/>
    <w:rsid w:val="009A2604"/>
    <w:rsid w:val="009A3437"/>
    <w:rsid w:val="009C0C3A"/>
    <w:rsid w:val="009C231D"/>
    <w:rsid w:val="009C5393"/>
    <w:rsid w:val="009D543B"/>
    <w:rsid w:val="009E261A"/>
    <w:rsid w:val="009E75FA"/>
    <w:rsid w:val="009F54A0"/>
    <w:rsid w:val="00A11EEB"/>
    <w:rsid w:val="00A14DAA"/>
    <w:rsid w:val="00A22FC8"/>
    <w:rsid w:val="00A260D2"/>
    <w:rsid w:val="00A30C24"/>
    <w:rsid w:val="00A3231B"/>
    <w:rsid w:val="00A338A3"/>
    <w:rsid w:val="00A40C87"/>
    <w:rsid w:val="00A415AF"/>
    <w:rsid w:val="00A524FD"/>
    <w:rsid w:val="00A5766A"/>
    <w:rsid w:val="00A64A08"/>
    <w:rsid w:val="00A65ACC"/>
    <w:rsid w:val="00A6676F"/>
    <w:rsid w:val="00A91363"/>
    <w:rsid w:val="00A92595"/>
    <w:rsid w:val="00A959DF"/>
    <w:rsid w:val="00AA39F5"/>
    <w:rsid w:val="00AB2646"/>
    <w:rsid w:val="00AB7510"/>
    <w:rsid w:val="00AC14BC"/>
    <w:rsid w:val="00AC171E"/>
    <w:rsid w:val="00AC6325"/>
    <w:rsid w:val="00AD4E8C"/>
    <w:rsid w:val="00AD52E4"/>
    <w:rsid w:val="00AE51E0"/>
    <w:rsid w:val="00AF18AE"/>
    <w:rsid w:val="00B05FCE"/>
    <w:rsid w:val="00B078B4"/>
    <w:rsid w:val="00B07B3B"/>
    <w:rsid w:val="00B1003D"/>
    <w:rsid w:val="00B124E7"/>
    <w:rsid w:val="00B24914"/>
    <w:rsid w:val="00B27214"/>
    <w:rsid w:val="00B317B7"/>
    <w:rsid w:val="00B40457"/>
    <w:rsid w:val="00B51EF4"/>
    <w:rsid w:val="00B521C1"/>
    <w:rsid w:val="00B5683E"/>
    <w:rsid w:val="00B60552"/>
    <w:rsid w:val="00B73B56"/>
    <w:rsid w:val="00B755F8"/>
    <w:rsid w:val="00B77071"/>
    <w:rsid w:val="00B804E6"/>
    <w:rsid w:val="00B93DDA"/>
    <w:rsid w:val="00B949A1"/>
    <w:rsid w:val="00BB524E"/>
    <w:rsid w:val="00BB677A"/>
    <w:rsid w:val="00BB7406"/>
    <w:rsid w:val="00BC66BC"/>
    <w:rsid w:val="00BD1D7E"/>
    <w:rsid w:val="00BD71B6"/>
    <w:rsid w:val="00BE469F"/>
    <w:rsid w:val="00BF3EAA"/>
    <w:rsid w:val="00C062E1"/>
    <w:rsid w:val="00C14854"/>
    <w:rsid w:val="00C24D71"/>
    <w:rsid w:val="00C33F3D"/>
    <w:rsid w:val="00C35E23"/>
    <w:rsid w:val="00C541FA"/>
    <w:rsid w:val="00C55520"/>
    <w:rsid w:val="00C56319"/>
    <w:rsid w:val="00C60D54"/>
    <w:rsid w:val="00C641FE"/>
    <w:rsid w:val="00C73A35"/>
    <w:rsid w:val="00C749FE"/>
    <w:rsid w:val="00C811BA"/>
    <w:rsid w:val="00C93268"/>
    <w:rsid w:val="00C949AD"/>
    <w:rsid w:val="00CA1804"/>
    <w:rsid w:val="00CA6C92"/>
    <w:rsid w:val="00CB4289"/>
    <w:rsid w:val="00CB79B1"/>
    <w:rsid w:val="00CC056C"/>
    <w:rsid w:val="00CC4475"/>
    <w:rsid w:val="00CC605D"/>
    <w:rsid w:val="00CD1DDD"/>
    <w:rsid w:val="00CE6E7C"/>
    <w:rsid w:val="00CF4863"/>
    <w:rsid w:val="00CF5462"/>
    <w:rsid w:val="00D02272"/>
    <w:rsid w:val="00D0671B"/>
    <w:rsid w:val="00D2546F"/>
    <w:rsid w:val="00D25FE9"/>
    <w:rsid w:val="00D2664E"/>
    <w:rsid w:val="00D3683E"/>
    <w:rsid w:val="00D468BB"/>
    <w:rsid w:val="00D501B6"/>
    <w:rsid w:val="00D51086"/>
    <w:rsid w:val="00D51FC9"/>
    <w:rsid w:val="00D81639"/>
    <w:rsid w:val="00D8501E"/>
    <w:rsid w:val="00D9487B"/>
    <w:rsid w:val="00D94F5F"/>
    <w:rsid w:val="00D96C93"/>
    <w:rsid w:val="00D97336"/>
    <w:rsid w:val="00DA1638"/>
    <w:rsid w:val="00DA17B7"/>
    <w:rsid w:val="00DA473D"/>
    <w:rsid w:val="00DB0A3E"/>
    <w:rsid w:val="00DB1E6A"/>
    <w:rsid w:val="00DB293C"/>
    <w:rsid w:val="00DB2FC6"/>
    <w:rsid w:val="00DB7C3A"/>
    <w:rsid w:val="00DC04BA"/>
    <w:rsid w:val="00DC1DFD"/>
    <w:rsid w:val="00DD454E"/>
    <w:rsid w:val="00DE2B89"/>
    <w:rsid w:val="00DE3574"/>
    <w:rsid w:val="00E222BF"/>
    <w:rsid w:val="00E22BBF"/>
    <w:rsid w:val="00E26473"/>
    <w:rsid w:val="00E26EDA"/>
    <w:rsid w:val="00E30327"/>
    <w:rsid w:val="00E315C6"/>
    <w:rsid w:val="00E36315"/>
    <w:rsid w:val="00E41725"/>
    <w:rsid w:val="00E41D0C"/>
    <w:rsid w:val="00E477E9"/>
    <w:rsid w:val="00E51868"/>
    <w:rsid w:val="00E64C6A"/>
    <w:rsid w:val="00E65EE2"/>
    <w:rsid w:val="00E81433"/>
    <w:rsid w:val="00E824FF"/>
    <w:rsid w:val="00E82DA9"/>
    <w:rsid w:val="00E83F0A"/>
    <w:rsid w:val="00E84A72"/>
    <w:rsid w:val="00E933B3"/>
    <w:rsid w:val="00E978C7"/>
    <w:rsid w:val="00EA36EC"/>
    <w:rsid w:val="00EA3E66"/>
    <w:rsid w:val="00EA59E2"/>
    <w:rsid w:val="00EC1A8B"/>
    <w:rsid w:val="00ED00EB"/>
    <w:rsid w:val="00ED27B0"/>
    <w:rsid w:val="00ED6A2F"/>
    <w:rsid w:val="00ED6E20"/>
    <w:rsid w:val="00EE06CB"/>
    <w:rsid w:val="00F02255"/>
    <w:rsid w:val="00F035B3"/>
    <w:rsid w:val="00F11ADC"/>
    <w:rsid w:val="00F254C5"/>
    <w:rsid w:val="00F4480E"/>
    <w:rsid w:val="00F46882"/>
    <w:rsid w:val="00F6594D"/>
    <w:rsid w:val="00F7117B"/>
    <w:rsid w:val="00F803B1"/>
    <w:rsid w:val="00F86BBC"/>
    <w:rsid w:val="00F96E68"/>
    <w:rsid w:val="00FA501E"/>
    <w:rsid w:val="00FA6DB6"/>
    <w:rsid w:val="00FB6CDD"/>
    <w:rsid w:val="00FD37B6"/>
    <w:rsid w:val="00FD66E9"/>
    <w:rsid w:val="00FD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CDBD"/>
  <w15:docId w15:val="{581A5CD7-67E1-45B2-A601-CCED4BE8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2D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  <w:style w:type="paragraph" w:customStyle="1" w:styleId="rvps2">
    <w:name w:val="rvps2"/>
    <w:basedOn w:val="a"/>
    <w:rsid w:val="00C8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C811BA"/>
  </w:style>
  <w:style w:type="character" w:customStyle="1" w:styleId="rvts11">
    <w:name w:val="rvts11"/>
    <w:basedOn w:val="a0"/>
    <w:rsid w:val="00C811BA"/>
  </w:style>
  <w:style w:type="character" w:styleId="af">
    <w:name w:val="Hyperlink"/>
    <w:basedOn w:val="a0"/>
    <w:uiPriority w:val="99"/>
    <w:semiHidden/>
    <w:unhideWhenUsed/>
    <w:rsid w:val="00C811BA"/>
    <w:rPr>
      <w:color w:val="0000FF"/>
      <w:u w:val="single"/>
    </w:rPr>
  </w:style>
  <w:style w:type="table" w:customStyle="1" w:styleId="11">
    <w:name w:val="Сітка таблиці1"/>
    <w:basedOn w:val="a1"/>
    <w:next w:val="a9"/>
    <w:uiPriority w:val="39"/>
    <w:rsid w:val="00AB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B2D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r">
    <w:name w:val="tr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5C689B"/>
  </w:style>
  <w:style w:type="paragraph" w:customStyle="1" w:styleId="af0">
    <w:name w:val="Знак Знак Знак Знак"/>
    <w:basedOn w:val="a"/>
    <w:rsid w:val="005A59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2D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64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88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4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1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4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4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7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gk45274?ed=2020_02_07&amp;an=21" TargetMode="External"/><Relationship Id="rId18" Type="http://schemas.openxmlformats.org/officeDocument/2006/relationships/image" Target="media/image1.gif"/><Relationship Id="rId26" Type="http://schemas.openxmlformats.org/officeDocument/2006/relationships/hyperlink" Target="https://ips.ligazakon.net/document/view/gk45274?ed=2020_02_07&amp;an=39" TargetMode="External"/><Relationship Id="rId39" Type="http://schemas.openxmlformats.org/officeDocument/2006/relationships/hyperlink" Target="https://ips.ligazakon.net/document/view/gk46684?ed=2020_08_26&amp;an=181" TargetMode="External"/><Relationship Id="rId21" Type="http://schemas.openxmlformats.org/officeDocument/2006/relationships/hyperlink" Target="https://ips.ligazakon.net/document/view/gk51735?ed=2022_07_12&amp;an=22" TargetMode="External"/><Relationship Id="rId34" Type="http://schemas.openxmlformats.org/officeDocument/2006/relationships/hyperlink" Target="https://ips.ligazakon.net/document/view/gk45274?ed=2020_02_07&amp;an=81" TargetMode="External"/><Relationship Id="rId42" Type="http://schemas.openxmlformats.org/officeDocument/2006/relationships/hyperlink" Target="https://ips.ligazakon.net/document/view/gk51735?ed=2022_07_12&amp;an=27" TargetMode="External"/><Relationship Id="rId47" Type="http://schemas.openxmlformats.org/officeDocument/2006/relationships/hyperlink" Target="https://ips.ligazakon.net/document/view/gk45274?ed=2020_02_07&amp;an=77" TargetMode="External"/><Relationship Id="rId50" Type="http://schemas.openxmlformats.org/officeDocument/2006/relationships/hyperlink" Target="https://ips.ligazakon.net/document/view/gk45274?ed=2020_02_07&amp;an=80" TargetMode="External"/><Relationship Id="rId55" Type="http://schemas.openxmlformats.org/officeDocument/2006/relationships/hyperlink" Target="https://ips.ligazakon.net/document/view/gk45274?ed=2020_02_07&amp;an=98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gk45274?ed=2020_02_07&amp;an=25" TargetMode="External"/><Relationship Id="rId29" Type="http://schemas.openxmlformats.org/officeDocument/2006/relationships/hyperlink" Target="https://ips.ligazakon.net/document/view/gk45274?ed=2020_02_07&amp;an=76" TargetMode="External"/><Relationship Id="rId11" Type="http://schemas.openxmlformats.org/officeDocument/2006/relationships/hyperlink" Target="https://ips.ligazakon.net/document/view/gk45274?ed=2020_02_07&amp;an=25" TargetMode="External"/><Relationship Id="rId24" Type="http://schemas.openxmlformats.org/officeDocument/2006/relationships/hyperlink" Target="https://ips.ligazakon.net/document/view/gk45274?ed=2020_02_07&amp;an=39" TargetMode="External"/><Relationship Id="rId32" Type="http://schemas.openxmlformats.org/officeDocument/2006/relationships/hyperlink" Target="https://ips.ligazakon.net/document/view/gk45274?ed=2020_02_07&amp;an=78" TargetMode="External"/><Relationship Id="rId37" Type="http://schemas.openxmlformats.org/officeDocument/2006/relationships/hyperlink" Target="https://ips.ligazakon.net/document/view/gk46684?ed=2020_08_26&amp;an=181" TargetMode="External"/><Relationship Id="rId40" Type="http://schemas.openxmlformats.org/officeDocument/2006/relationships/hyperlink" Target="https://ips.ligazakon.net/document/view/gk45274?ed=2020_02_07&amp;an=98" TargetMode="External"/><Relationship Id="rId45" Type="http://schemas.openxmlformats.org/officeDocument/2006/relationships/hyperlink" Target="https://ips.ligazakon.net/document/view/gk45274?ed=2020_02_07&amp;an=74" TargetMode="External"/><Relationship Id="rId53" Type="http://schemas.openxmlformats.org/officeDocument/2006/relationships/hyperlink" Target="https://ips.ligazakon.net/document/view/gk46684?ed=2020_08_26&amp;an=181" TargetMode="External"/><Relationship Id="rId58" Type="http://schemas.openxmlformats.org/officeDocument/2006/relationships/hyperlink" Target="https://ips.ligazakon.net/document/view/gk51735?ed=2022_07_12&amp;an=27" TargetMode="Externa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https://ips.ligazakon.net/document/view/gk45274?ed=2020_02_07&amp;an=39" TargetMode="External"/><Relationship Id="rId14" Type="http://schemas.openxmlformats.org/officeDocument/2006/relationships/hyperlink" Target="https://ips.ligazakon.net/document/view/gk45274?ed=2020_02_07&amp;an=22" TargetMode="External"/><Relationship Id="rId22" Type="http://schemas.openxmlformats.org/officeDocument/2006/relationships/hyperlink" Target="https://ips.ligazakon.net/document/view/gk45274?ed=2020_02_07&amp;an=39" TargetMode="External"/><Relationship Id="rId27" Type="http://schemas.openxmlformats.org/officeDocument/2006/relationships/hyperlink" Target="https://ips.ligazakon.net/document/view/gk45274?ed=2020_02_07&amp;an=43" TargetMode="External"/><Relationship Id="rId30" Type="http://schemas.openxmlformats.org/officeDocument/2006/relationships/hyperlink" Target="https://ips.ligazakon.net/document/view/gk45274?ed=2020_02_07&amp;an=77" TargetMode="External"/><Relationship Id="rId35" Type="http://schemas.openxmlformats.org/officeDocument/2006/relationships/hyperlink" Target="https://ips.ligazakon.net/document/view/gk45274?ed=2020_02_07&amp;an=90" TargetMode="External"/><Relationship Id="rId43" Type="http://schemas.openxmlformats.org/officeDocument/2006/relationships/hyperlink" Target="https://ips.ligazakon.net/document/view/gk45274?ed=2020_02_07&amp;an=98" TargetMode="External"/><Relationship Id="rId48" Type="http://schemas.openxmlformats.org/officeDocument/2006/relationships/hyperlink" Target="https://ips.ligazakon.net/document/view/gk45274?ed=2020_02_07&amp;an=75" TargetMode="External"/><Relationship Id="rId56" Type="http://schemas.openxmlformats.org/officeDocument/2006/relationships/hyperlink" Target="https://ips.ligazakon.net/document/view/gk51735?ed=2022_07_12&amp;an=27" TargetMode="External"/><Relationship Id="rId8" Type="http://schemas.openxmlformats.org/officeDocument/2006/relationships/hyperlink" Target="https://ips.ligazakon.net/document/view/gk45274?ed=2020_02_07&amp;an=21" TargetMode="External"/><Relationship Id="rId51" Type="http://schemas.openxmlformats.org/officeDocument/2006/relationships/hyperlink" Target="https://ips.ligazakon.net/document/view/gk45274?ed=2020_02_07&amp;an=81" TargetMode="External"/><Relationship Id="rId3" Type="http://schemas.openxmlformats.org/officeDocument/2006/relationships/styles" Target="styles.xml"/><Relationship Id="rId12" Type="http://schemas.openxmlformats.org/officeDocument/2006/relationships/hyperlink" Target="https://ips.ligazakon.net/document/view/gk39452?ed=2017_12_27&amp;an=15" TargetMode="External"/><Relationship Id="rId17" Type="http://schemas.openxmlformats.org/officeDocument/2006/relationships/hyperlink" Target="https://ips.ligazakon.net/document/view/gk39452?ed=2017_12_27&amp;an=15" TargetMode="External"/><Relationship Id="rId25" Type="http://schemas.openxmlformats.org/officeDocument/2006/relationships/hyperlink" Target="https://ips.ligazakon.net/document/view/gk51735?ed=2022_07_12&amp;an=22" TargetMode="External"/><Relationship Id="rId33" Type="http://schemas.openxmlformats.org/officeDocument/2006/relationships/hyperlink" Target="https://ips.ligazakon.net/document/view/gk45274?ed=2020_02_07&amp;an=80" TargetMode="External"/><Relationship Id="rId38" Type="http://schemas.openxmlformats.org/officeDocument/2006/relationships/image" Target="media/image4.gif"/><Relationship Id="rId46" Type="http://schemas.openxmlformats.org/officeDocument/2006/relationships/hyperlink" Target="https://ips.ligazakon.net/document/view/gk45274?ed=2020_02_07&amp;an=76" TargetMode="External"/><Relationship Id="rId59" Type="http://schemas.openxmlformats.org/officeDocument/2006/relationships/header" Target="header1.xml"/><Relationship Id="rId20" Type="http://schemas.openxmlformats.org/officeDocument/2006/relationships/image" Target="media/image2.gif"/><Relationship Id="rId41" Type="http://schemas.openxmlformats.org/officeDocument/2006/relationships/image" Target="media/image5.gif"/><Relationship Id="rId54" Type="http://schemas.openxmlformats.org/officeDocument/2006/relationships/hyperlink" Target="https://ips.ligazakon.net/document/view/gk46684?ed=2020_08_26&amp;an=1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ips.ligazakon.net/document/view/gk45274?ed=2020_02_07&amp;an=24" TargetMode="External"/><Relationship Id="rId23" Type="http://schemas.openxmlformats.org/officeDocument/2006/relationships/hyperlink" Target="https://ips.ligazakon.net/document/view/gk45274?ed=2020_02_07&amp;an=43" TargetMode="External"/><Relationship Id="rId28" Type="http://schemas.openxmlformats.org/officeDocument/2006/relationships/hyperlink" Target="https://ips.ligazakon.net/document/view/gk45274?ed=2020_02_07&amp;an=74" TargetMode="External"/><Relationship Id="rId36" Type="http://schemas.openxmlformats.org/officeDocument/2006/relationships/image" Target="media/image3.gif"/><Relationship Id="rId49" Type="http://schemas.openxmlformats.org/officeDocument/2006/relationships/hyperlink" Target="https://ips.ligazakon.net/document/view/gk45274?ed=2020_02_07&amp;an=78" TargetMode="External"/><Relationship Id="rId57" Type="http://schemas.openxmlformats.org/officeDocument/2006/relationships/hyperlink" Target="https://ips.ligazakon.net/document/view/gk45274?ed=2020_02_07&amp;an=98" TargetMode="External"/><Relationship Id="rId10" Type="http://schemas.openxmlformats.org/officeDocument/2006/relationships/hyperlink" Target="https://ips.ligazakon.net/document/view/gk45274?ed=2020_02_07&amp;an=24" TargetMode="External"/><Relationship Id="rId31" Type="http://schemas.openxmlformats.org/officeDocument/2006/relationships/hyperlink" Target="https://ips.ligazakon.net/document/view/gk45274?ed=2020_02_07&amp;an=75" TargetMode="External"/><Relationship Id="rId44" Type="http://schemas.openxmlformats.org/officeDocument/2006/relationships/hyperlink" Target="https://ips.ligazakon.net/document/view/gk51735?ed=2022_07_12&amp;an=27" TargetMode="External"/><Relationship Id="rId52" Type="http://schemas.openxmlformats.org/officeDocument/2006/relationships/hyperlink" Target="https://ips.ligazakon.net/document/view/gk45274?ed=2020_02_07&amp;an=90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gk45274?ed=2020_02_07&amp;an=22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67700-4DBF-469E-8397-81A1B716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5</Pages>
  <Words>9892</Words>
  <Characters>5639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15501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Модна</cp:lastModifiedBy>
  <cp:revision>46</cp:revision>
  <cp:lastPrinted>2023-06-22T13:12:00Z</cp:lastPrinted>
  <dcterms:created xsi:type="dcterms:W3CDTF">2022-05-27T12:37:00Z</dcterms:created>
  <dcterms:modified xsi:type="dcterms:W3CDTF">2023-06-28T11:33:00Z</dcterms:modified>
</cp:coreProperties>
</file>