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759F" w:rsidRPr="00C82FD6" w:rsidRDefault="0066759F" w:rsidP="0066759F">
      <w:pPr>
        <w:jc w:val="center"/>
        <w:rPr>
          <w:b/>
          <w:sz w:val="28"/>
          <w:szCs w:val="28"/>
          <w:lang w:val="uk-UA"/>
        </w:rPr>
      </w:pPr>
      <w:bookmarkStart w:id="0" w:name="_GoBack"/>
      <w:bookmarkEnd w:id="0"/>
      <w:r w:rsidRPr="00C82FD6">
        <w:rPr>
          <w:b/>
          <w:sz w:val="28"/>
          <w:szCs w:val="28"/>
          <w:lang w:val="uk-UA"/>
        </w:rPr>
        <w:t>Обґрунтування</w:t>
      </w:r>
    </w:p>
    <w:p w:rsidR="0066759F" w:rsidRPr="00C82FD6" w:rsidRDefault="0066759F" w:rsidP="0066759F">
      <w:pPr>
        <w:jc w:val="center"/>
        <w:rPr>
          <w:b/>
          <w:sz w:val="28"/>
          <w:szCs w:val="28"/>
          <w:lang w:val="uk-UA"/>
        </w:rPr>
      </w:pPr>
      <w:r>
        <w:rPr>
          <w:b/>
          <w:sz w:val="28"/>
          <w:szCs w:val="28"/>
          <w:lang w:val="uk-UA"/>
        </w:rPr>
        <w:t>про</w:t>
      </w:r>
      <w:r w:rsidRPr="00C82FD6">
        <w:rPr>
          <w:b/>
          <w:sz w:val="28"/>
          <w:szCs w:val="28"/>
          <w:lang w:val="uk-UA"/>
        </w:rPr>
        <w:t xml:space="preserve"> </w:t>
      </w:r>
      <w:r w:rsidRPr="00C270D8">
        <w:rPr>
          <w:b/>
          <w:sz w:val="28"/>
          <w:szCs w:val="28"/>
          <w:lang w:val="uk-UA"/>
        </w:rPr>
        <w:t>схвалення</w:t>
      </w:r>
      <w:r>
        <w:rPr>
          <w:b/>
          <w:sz w:val="28"/>
          <w:szCs w:val="28"/>
          <w:lang w:val="uk-UA"/>
        </w:rPr>
        <w:t xml:space="preserve"> </w:t>
      </w:r>
      <w:r w:rsidRPr="00C82FD6">
        <w:rPr>
          <w:b/>
          <w:sz w:val="28"/>
          <w:szCs w:val="28"/>
          <w:lang w:val="uk-UA"/>
        </w:rPr>
        <w:t>проєкту рішення</w:t>
      </w:r>
      <w:r w:rsidRPr="00C82FD6">
        <w:rPr>
          <w:b/>
          <w:bCs/>
          <w:iCs/>
          <w:sz w:val="28"/>
          <w:szCs w:val="28"/>
          <w:lang w:val="uk-UA"/>
        </w:rPr>
        <w:t xml:space="preserve">, що має ознаки регуляторного акта, </w:t>
      </w:r>
      <w:r w:rsidRPr="00C82FD6">
        <w:rPr>
          <w:b/>
          <w:sz w:val="28"/>
          <w:szCs w:val="28"/>
          <w:lang w:val="uk-UA"/>
        </w:rPr>
        <w:t>– постанови НКРЕКП «</w:t>
      </w:r>
      <w:r w:rsidRPr="003D1E8B">
        <w:rPr>
          <w:b/>
          <w:sz w:val="28"/>
          <w:szCs w:val="28"/>
          <w:lang w:val="uk-UA"/>
        </w:rPr>
        <w:t xml:space="preserve">Про </w:t>
      </w:r>
      <w:r w:rsidR="003D1E8B" w:rsidRPr="003D1E8B">
        <w:rPr>
          <w:b/>
          <w:sz w:val="28"/>
          <w:szCs w:val="28"/>
          <w:lang w:val="uk-UA"/>
        </w:rPr>
        <w:t>затвердження</w:t>
      </w:r>
      <w:r w:rsidRPr="003D1E8B">
        <w:rPr>
          <w:b/>
          <w:sz w:val="28"/>
          <w:szCs w:val="28"/>
          <w:lang w:val="uk-UA"/>
        </w:rPr>
        <w:t xml:space="preserve"> </w:t>
      </w:r>
      <w:r w:rsidR="003D1E8B" w:rsidRPr="003D1E8B">
        <w:rPr>
          <w:b/>
          <w:sz w:val="28"/>
          <w:szCs w:val="28"/>
          <w:lang w:val="uk-UA"/>
        </w:rPr>
        <w:t>З</w:t>
      </w:r>
      <w:r w:rsidRPr="003D1E8B">
        <w:rPr>
          <w:b/>
          <w:sz w:val="28"/>
          <w:szCs w:val="28"/>
          <w:lang w:val="uk-UA"/>
        </w:rPr>
        <w:t>мін до Порядку</w:t>
      </w:r>
      <w:r w:rsidRPr="00C82FD6">
        <w:rPr>
          <w:b/>
          <w:sz w:val="28"/>
          <w:szCs w:val="28"/>
        </w:rPr>
        <w:t xml:space="preserve"> </w:t>
      </w:r>
      <w:r w:rsidRPr="00C82FD6">
        <w:rPr>
          <w:b/>
          <w:sz w:val="28"/>
          <w:szCs w:val="28"/>
          <w:lang w:val="uk-UA"/>
        </w:rPr>
        <w:t xml:space="preserve">встановлення (формування) тарифів на послуги з розподілу електричної енергії» </w:t>
      </w:r>
    </w:p>
    <w:p w:rsidR="0066759F" w:rsidRPr="006707B8" w:rsidRDefault="0066759F" w:rsidP="0066759F">
      <w:pPr>
        <w:jc w:val="center"/>
        <w:rPr>
          <w:sz w:val="28"/>
          <w:szCs w:val="28"/>
          <w:lang w:val="uk-UA"/>
        </w:rPr>
      </w:pPr>
      <w:r w:rsidRPr="006707B8">
        <w:rPr>
          <w:sz w:val="28"/>
          <w:szCs w:val="28"/>
          <w:lang w:val="uk-UA"/>
        </w:rPr>
        <w:t xml:space="preserve">(зміни до постанови НКРЕКП від </w:t>
      </w:r>
      <w:r w:rsidRPr="00C270D8">
        <w:rPr>
          <w:sz w:val="28"/>
          <w:szCs w:val="28"/>
          <w:lang w:val="uk-UA"/>
        </w:rPr>
        <w:t>05.10.</w:t>
      </w:r>
      <w:r w:rsidRPr="006707B8">
        <w:rPr>
          <w:sz w:val="28"/>
          <w:szCs w:val="28"/>
          <w:lang w:val="uk-UA"/>
        </w:rPr>
        <w:t>2018 № 1175)</w:t>
      </w:r>
    </w:p>
    <w:p w:rsidR="00FB5A4F" w:rsidRDefault="00FB5A4F" w:rsidP="002775D4">
      <w:pPr>
        <w:ind w:firstLine="709"/>
        <w:jc w:val="both"/>
        <w:rPr>
          <w:sz w:val="28"/>
          <w:szCs w:val="28"/>
          <w:lang w:val="uk-UA"/>
        </w:rPr>
      </w:pPr>
    </w:p>
    <w:p w:rsidR="0066759F" w:rsidRPr="00C44344" w:rsidRDefault="0066759F" w:rsidP="002775D4">
      <w:pPr>
        <w:ind w:firstLine="709"/>
        <w:jc w:val="both"/>
        <w:rPr>
          <w:sz w:val="28"/>
          <w:szCs w:val="28"/>
          <w:lang w:val="uk-UA"/>
        </w:rPr>
      </w:pPr>
      <w:r w:rsidRPr="00C44344">
        <w:rPr>
          <w:bCs/>
          <w:sz w:val="28"/>
          <w:szCs w:val="28"/>
          <w:lang w:val="uk-UA"/>
        </w:rPr>
        <w:t>Відповідно до законів України «Про Національну комісію, що здійснює державне регулювання у сферах енергетики та комунальних послуг»</w:t>
      </w:r>
      <w:r w:rsidR="00FB2747" w:rsidRPr="00C44344">
        <w:rPr>
          <w:lang w:val="uk-UA"/>
        </w:rPr>
        <w:t xml:space="preserve"> </w:t>
      </w:r>
      <w:r w:rsidR="00FB2747" w:rsidRPr="00C44344">
        <w:rPr>
          <w:bCs/>
          <w:sz w:val="28"/>
          <w:szCs w:val="28"/>
          <w:lang w:val="uk-UA"/>
        </w:rPr>
        <w:t>(далі – Закон про НКРЕКП)</w:t>
      </w:r>
      <w:r w:rsidRPr="00C44344">
        <w:rPr>
          <w:bCs/>
          <w:sz w:val="28"/>
          <w:szCs w:val="28"/>
          <w:lang w:val="uk-UA"/>
        </w:rPr>
        <w:t xml:space="preserve">, «Про ринок електричної енергії» (далі – Закон) </w:t>
      </w:r>
      <w:r w:rsidRPr="00C44344">
        <w:rPr>
          <w:sz w:val="28"/>
          <w:szCs w:val="28"/>
          <w:lang w:val="uk-UA"/>
        </w:rPr>
        <w:t>НКРЕКП здійснює державне регулювання на ринку електричної енергії.</w:t>
      </w:r>
    </w:p>
    <w:p w:rsidR="0089092C" w:rsidRPr="00C44344" w:rsidRDefault="0089092C" w:rsidP="002775D4">
      <w:pPr>
        <w:ind w:firstLine="709"/>
        <w:jc w:val="both"/>
        <w:rPr>
          <w:sz w:val="28"/>
          <w:szCs w:val="28"/>
          <w:lang w:val="uk-UA"/>
        </w:rPr>
      </w:pPr>
      <w:r w:rsidRPr="00C44344">
        <w:rPr>
          <w:sz w:val="28"/>
          <w:szCs w:val="28"/>
          <w:lang w:val="uk-UA"/>
        </w:rPr>
        <w:t xml:space="preserve">Відповідно до норм Закону, НКРЕКП прийнято Порядок встановлення (формування) тарифів на послуги з розподілу електричної енергії, затверджений постановою НКРЕКП від 05.10.2018 </w:t>
      </w:r>
      <w:bookmarkStart w:id="1" w:name="_Hlk14700798"/>
      <w:r w:rsidRPr="00C44344">
        <w:rPr>
          <w:sz w:val="28"/>
          <w:szCs w:val="28"/>
          <w:lang w:val="uk-UA"/>
        </w:rPr>
        <w:t xml:space="preserve">№ 1175 </w:t>
      </w:r>
      <w:bookmarkEnd w:id="1"/>
      <w:r w:rsidRPr="00C44344">
        <w:rPr>
          <w:sz w:val="28"/>
          <w:szCs w:val="28"/>
          <w:lang w:val="uk-UA"/>
        </w:rPr>
        <w:t>(далі – Порядок встановлен</w:t>
      </w:r>
      <w:r w:rsidR="00BF4073" w:rsidRPr="00C44344">
        <w:rPr>
          <w:sz w:val="28"/>
          <w:szCs w:val="28"/>
          <w:lang w:val="uk-UA"/>
        </w:rPr>
        <w:t xml:space="preserve">ня (формування) тарифів № 1175), який визначає процедуру встановлення та детальний механізм розрахунку тарифів послуги з розподілу електричної енергії </w:t>
      </w:r>
      <w:r w:rsidR="000017EC" w:rsidRPr="00C44344">
        <w:rPr>
          <w:sz w:val="28"/>
          <w:szCs w:val="28"/>
          <w:lang w:val="uk-UA"/>
        </w:rPr>
        <w:t xml:space="preserve">для операторів систем розподілу (ОСР) </w:t>
      </w:r>
      <w:r w:rsidR="00BF4073" w:rsidRPr="00C44344">
        <w:rPr>
          <w:sz w:val="28"/>
          <w:szCs w:val="28"/>
          <w:lang w:val="uk-UA"/>
        </w:rPr>
        <w:t xml:space="preserve">із застосуванням стимулюючого тарифоутворення та </w:t>
      </w:r>
      <w:r w:rsidR="00FB2747" w:rsidRPr="00C44344">
        <w:rPr>
          <w:sz w:val="28"/>
          <w:szCs w:val="28"/>
          <w:lang w:val="uk-UA"/>
        </w:rPr>
        <w:t>на</w:t>
      </w:r>
      <w:r w:rsidR="00BF4073" w:rsidRPr="00C44344">
        <w:rPr>
          <w:sz w:val="28"/>
          <w:szCs w:val="28"/>
          <w:lang w:val="uk-UA"/>
        </w:rPr>
        <w:t xml:space="preserve"> перехідний період.</w:t>
      </w:r>
    </w:p>
    <w:p w:rsidR="000017EC" w:rsidRPr="00C44344" w:rsidRDefault="00F94563" w:rsidP="002775D4">
      <w:pPr>
        <w:ind w:firstLine="709"/>
        <w:jc w:val="both"/>
        <w:rPr>
          <w:sz w:val="28"/>
          <w:szCs w:val="28"/>
          <w:lang w:val="uk-UA"/>
        </w:rPr>
      </w:pPr>
      <w:r w:rsidRPr="00C44344">
        <w:rPr>
          <w:sz w:val="28"/>
          <w:szCs w:val="28"/>
          <w:lang w:val="uk-UA"/>
        </w:rPr>
        <w:t>На сьогодні в країні діє воєнний стан</w:t>
      </w:r>
      <w:r w:rsidR="00B8086B" w:rsidRPr="00C44344">
        <w:rPr>
          <w:sz w:val="28"/>
          <w:szCs w:val="28"/>
          <w:lang w:val="uk-UA"/>
        </w:rPr>
        <w:t>, відповідно до Указу Президента України від 24.02.2022 № 64/2022, затвердженого Законом України «Про затвердження Указу Президента України «Про введення воєнного стану в Україні»</w:t>
      </w:r>
      <w:r w:rsidRPr="00C44344">
        <w:rPr>
          <w:sz w:val="28"/>
          <w:szCs w:val="28"/>
          <w:lang w:val="uk-UA"/>
        </w:rPr>
        <w:t xml:space="preserve">. Через постійні ракетні обстріли </w:t>
      </w:r>
      <w:proofErr w:type="spellStart"/>
      <w:r w:rsidRPr="00C44344">
        <w:rPr>
          <w:sz w:val="28"/>
          <w:szCs w:val="28"/>
          <w:lang w:val="uk-UA"/>
        </w:rPr>
        <w:t>рф</w:t>
      </w:r>
      <w:proofErr w:type="spellEnd"/>
      <w:r w:rsidRPr="00C44344">
        <w:rPr>
          <w:sz w:val="28"/>
          <w:szCs w:val="28"/>
          <w:lang w:val="uk-UA"/>
        </w:rPr>
        <w:t xml:space="preserve"> енергетика України знаходиться в складному стані, постійно відбувається пошкодження електромереж та іншого майна енергетичної інфраструктури</w:t>
      </w:r>
      <w:r w:rsidR="000017EC" w:rsidRPr="00C44344">
        <w:rPr>
          <w:sz w:val="28"/>
          <w:szCs w:val="28"/>
          <w:lang w:val="uk-UA"/>
        </w:rPr>
        <w:t>, що має вплив на обсяг</w:t>
      </w:r>
      <w:r w:rsidR="005740C8" w:rsidRPr="00C44344">
        <w:rPr>
          <w:sz w:val="28"/>
          <w:szCs w:val="28"/>
          <w:lang w:val="uk-UA"/>
        </w:rPr>
        <w:t>и</w:t>
      </w:r>
      <w:r w:rsidR="000017EC" w:rsidRPr="00C44344">
        <w:rPr>
          <w:sz w:val="28"/>
          <w:szCs w:val="28"/>
          <w:lang w:val="uk-UA"/>
        </w:rPr>
        <w:t xml:space="preserve"> послуг, </w:t>
      </w:r>
      <w:r w:rsidR="005740C8" w:rsidRPr="00C44344">
        <w:rPr>
          <w:sz w:val="28"/>
          <w:szCs w:val="28"/>
          <w:lang w:val="uk-UA"/>
        </w:rPr>
        <w:t>які</w:t>
      </w:r>
      <w:r w:rsidR="000017EC" w:rsidRPr="00C44344">
        <w:rPr>
          <w:sz w:val="28"/>
          <w:szCs w:val="28"/>
          <w:lang w:val="uk-UA"/>
        </w:rPr>
        <w:t xml:space="preserve"> нада</w:t>
      </w:r>
      <w:r w:rsidR="005740C8" w:rsidRPr="00C44344">
        <w:rPr>
          <w:sz w:val="28"/>
          <w:szCs w:val="28"/>
          <w:lang w:val="uk-UA"/>
        </w:rPr>
        <w:t>ю</w:t>
      </w:r>
      <w:r w:rsidR="000017EC" w:rsidRPr="00C44344">
        <w:rPr>
          <w:sz w:val="28"/>
          <w:szCs w:val="28"/>
          <w:lang w:val="uk-UA"/>
        </w:rPr>
        <w:t>ться споживачам.</w:t>
      </w:r>
      <w:r w:rsidRPr="00C44344">
        <w:rPr>
          <w:sz w:val="28"/>
          <w:szCs w:val="28"/>
          <w:lang w:val="uk-UA"/>
        </w:rPr>
        <w:t xml:space="preserve"> </w:t>
      </w:r>
    </w:p>
    <w:p w:rsidR="00F94563" w:rsidRPr="00C44344" w:rsidRDefault="00C44344" w:rsidP="002775D4">
      <w:pPr>
        <w:ind w:firstLine="709"/>
        <w:jc w:val="both"/>
        <w:rPr>
          <w:sz w:val="28"/>
          <w:szCs w:val="28"/>
          <w:lang w:val="uk-UA"/>
        </w:rPr>
      </w:pPr>
      <w:r>
        <w:rPr>
          <w:sz w:val="28"/>
          <w:szCs w:val="28"/>
          <w:lang w:val="uk-UA"/>
        </w:rPr>
        <w:t>В</w:t>
      </w:r>
      <w:r w:rsidRPr="00C44344">
        <w:rPr>
          <w:sz w:val="28"/>
          <w:szCs w:val="28"/>
          <w:lang w:val="uk-UA"/>
        </w:rPr>
        <w:t xml:space="preserve"> таких умовах </w:t>
      </w:r>
      <w:r w:rsidR="00F94563" w:rsidRPr="00C44344">
        <w:rPr>
          <w:sz w:val="28"/>
          <w:szCs w:val="28"/>
          <w:lang w:val="uk-UA"/>
        </w:rPr>
        <w:t>ОСР</w:t>
      </w:r>
      <w:r w:rsidR="007756B8" w:rsidRPr="00C44344">
        <w:rPr>
          <w:sz w:val="28"/>
          <w:szCs w:val="28"/>
          <w:lang w:val="uk-UA"/>
        </w:rPr>
        <w:t xml:space="preserve"> </w:t>
      </w:r>
      <w:r w:rsidR="00F94563" w:rsidRPr="00C44344">
        <w:rPr>
          <w:sz w:val="28"/>
          <w:szCs w:val="28"/>
          <w:lang w:val="uk-UA"/>
        </w:rPr>
        <w:t>не мають достатнього фінансового ресурсу для здійснення діяльності з розподілу електричної енергії та підтримки безперервного забезпечення споживачів електричною енергією.</w:t>
      </w:r>
    </w:p>
    <w:p w:rsidR="00AA7328" w:rsidRPr="00C44344" w:rsidRDefault="00AA7328" w:rsidP="002775D4">
      <w:pPr>
        <w:ind w:firstLine="709"/>
        <w:jc w:val="both"/>
        <w:rPr>
          <w:sz w:val="28"/>
          <w:szCs w:val="28"/>
          <w:lang w:val="uk-UA"/>
        </w:rPr>
      </w:pPr>
      <w:r w:rsidRPr="00C44344">
        <w:rPr>
          <w:sz w:val="28"/>
          <w:szCs w:val="28"/>
          <w:lang w:val="uk-UA"/>
        </w:rPr>
        <w:t>Відповідно до положень частини першої та другої статті 19 Закону про НКРЕКП Регулятор здійснює державний контроль за дотриманням суб’єктами господарювання, що провадять діяльність у сферах енергетики та комунальних послуг, зокрема з розподілу електричної енергії, законодавства у відповідних сферах та ліцензійних умов шляхом проведення планових та позапланових виїзних, а також невиїзних перевірок відповідно до затверджених ним порядків контролю.</w:t>
      </w:r>
    </w:p>
    <w:p w:rsidR="00473E7B" w:rsidRPr="00C44344" w:rsidRDefault="00473E7B" w:rsidP="002775D4">
      <w:pPr>
        <w:ind w:firstLine="709"/>
        <w:jc w:val="both"/>
        <w:rPr>
          <w:sz w:val="28"/>
          <w:szCs w:val="28"/>
          <w:lang w:val="uk-UA"/>
        </w:rPr>
      </w:pPr>
      <w:r w:rsidRPr="00C44344">
        <w:rPr>
          <w:sz w:val="28"/>
          <w:szCs w:val="28"/>
          <w:lang w:val="uk-UA"/>
        </w:rPr>
        <w:t>На сьогодні згідно з Планом здійснення заходів державного контролю суб’єктів господарювання, що провадять діяльність у сферах енергетики та комунальних послуг, на 2023 рік, затвердженого рішенням Регулятора, здійсню</w:t>
      </w:r>
      <w:r w:rsidR="00623E94">
        <w:rPr>
          <w:sz w:val="28"/>
          <w:szCs w:val="28"/>
          <w:lang w:val="uk-UA"/>
        </w:rPr>
        <w:t>є</w:t>
      </w:r>
      <w:r w:rsidRPr="00C44344">
        <w:rPr>
          <w:sz w:val="28"/>
          <w:szCs w:val="28"/>
          <w:lang w:val="uk-UA"/>
        </w:rPr>
        <w:t>ться перевірк</w:t>
      </w:r>
      <w:r w:rsidR="00623E94">
        <w:rPr>
          <w:sz w:val="28"/>
          <w:szCs w:val="28"/>
          <w:lang w:val="uk-UA"/>
        </w:rPr>
        <w:t>а</w:t>
      </w:r>
      <w:r w:rsidRPr="00C44344">
        <w:rPr>
          <w:sz w:val="28"/>
          <w:szCs w:val="28"/>
          <w:lang w:val="uk-UA"/>
        </w:rPr>
        <w:t xml:space="preserve"> діяльності ОСР та перевіря</w:t>
      </w:r>
      <w:r w:rsidR="00AC3A45">
        <w:rPr>
          <w:sz w:val="28"/>
          <w:szCs w:val="28"/>
          <w:lang w:val="uk-UA"/>
        </w:rPr>
        <w:t>ю</w:t>
      </w:r>
      <w:r w:rsidRPr="00C44344">
        <w:rPr>
          <w:sz w:val="28"/>
          <w:szCs w:val="28"/>
          <w:lang w:val="uk-UA"/>
        </w:rPr>
        <w:t xml:space="preserve">ться питання відповідно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НКРЕКП від 14.06.2018 № 428. </w:t>
      </w:r>
    </w:p>
    <w:p w:rsidR="00F94563" w:rsidRPr="00C44344" w:rsidRDefault="00AA7328" w:rsidP="002775D4">
      <w:pPr>
        <w:ind w:firstLine="709"/>
        <w:jc w:val="both"/>
        <w:rPr>
          <w:sz w:val="28"/>
          <w:szCs w:val="28"/>
          <w:lang w:val="uk-UA"/>
        </w:rPr>
      </w:pPr>
      <w:r w:rsidRPr="00C44344">
        <w:rPr>
          <w:sz w:val="28"/>
          <w:szCs w:val="28"/>
          <w:lang w:val="uk-UA"/>
        </w:rPr>
        <w:t>Водночас, пунктом 3 постанови Кабінету Міністрів України від 13.03.2022 № 303 «</w:t>
      </w:r>
      <w:r w:rsidRPr="00C44344">
        <w:rPr>
          <w:i/>
          <w:iCs/>
          <w:sz w:val="28"/>
          <w:szCs w:val="28"/>
          <w:lang w:val="uk-UA"/>
        </w:rPr>
        <w:t>Про припинення заходів державного нагляду (контролю) і державного ринкового нагляду в умовах воєнного стану»</w:t>
      </w:r>
      <w:r w:rsidRPr="00C44344">
        <w:rPr>
          <w:sz w:val="28"/>
          <w:szCs w:val="28"/>
          <w:lang w:val="uk-UA"/>
        </w:rPr>
        <w:t xml:space="preserve"> (із змінами) протягом періоду воєнного стану планові та позапланові заходи державного нагляду (контролю) за </w:t>
      </w:r>
      <w:r w:rsidRPr="00C44344">
        <w:rPr>
          <w:sz w:val="28"/>
          <w:szCs w:val="28"/>
          <w:lang w:val="uk-UA"/>
        </w:rPr>
        <w:lastRenderedPageBreak/>
        <w:t>дотриманням суб</w:t>
      </w:r>
      <w:r w:rsidR="003D1E8B">
        <w:rPr>
          <w:sz w:val="28"/>
          <w:szCs w:val="28"/>
          <w:lang w:val="uk-UA"/>
        </w:rPr>
        <w:t>’</w:t>
      </w:r>
      <w:r w:rsidRPr="00C44344">
        <w:rPr>
          <w:sz w:val="28"/>
          <w:szCs w:val="28"/>
          <w:lang w:val="uk-UA"/>
        </w:rPr>
        <w:t>єктами господарювання, що провадять діяльність у сферах енергетики та комунальних послуг, законодавства у відповідних сферах та ліцензійних умов, здійснюються за рішенням НКРЕКП, за наявності загрози, що має значний негативний вплив на права, законні інтереси, життя та здоров</w:t>
      </w:r>
      <w:r w:rsidR="003D1E8B">
        <w:rPr>
          <w:sz w:val="28"/>
          <w:szCs w:val="28"/>
          <w:lang w:val="uk-UA"/>
        </w:rPr>
        <w:t>’</w:t>
      </w:r>
      <w:r w:rsidRPr="00C44344">
        <w:rPr>
          <w:sz w:val="28"/>
          <w:szCs w:val="28"/>
          <w:lang w:val="uk-UA"/>
        </w:rPr>
        <w:t>я людини, захист навколишнього природного середовища та забезпечення безпеки держави.</w:t>
      </w:r>
    </w:p>
    <w:p w:rsidR="008C3E06" w:rsidRPr="00C44344" w:rsidRDefault="008C3E06" w:rsidP="002775D4">
      <w:pPr>
        <w:ind w:firstLine="709"/>
        <w:jc w:val="both"/>
        <w:rPr>
          <w:sz w:val="28"/>
          <w:szCs w:val="28"/>
          <w:lang w:val="uk-UA"/>
        </w:rPr>
      </w:pPr>
      <w:r w:rsidRPr="00C44344">
        <w:rPr>
          <w:sz w:val="28"/>
          <w:szCs w:val="28"/>
          <w:lang w:val="uk-UA"/>
        </w:rPr>
        <w:t>Разом з цим, у зв’язку з введенням воєнного стану в Україні, відповідно до повноважень, наданих Законом про НКРЕКП, 01.03.2022 на засіданні НКРЕКП, яке проводилося у формі відкритого слухання, прийнято постанову № 335 «Про врегулювання деяких питань на строк запровадження (введення) воєнного стану в Україні» (далі – Постанова № 335).</w:t>
      </w:r>
    </w:p>
    <w:p w:rsidR="00E103ED" w:rsidRPr="009B2D0D" w:rsidRDefault="008C3E06" w:rsidP="002775D4">
      <w:pPr>
        <w:ind w:firstLine="709"/>
        <w:jc w:val="both"/>
        <w:rPr>
          <w:sz w:val="28"/>
          <w:szCs w:val="28"/>
          <w:lang w:val="uk-UA"/>
        </w:rPr>
      </w:pPr>
      <w:r w:rsidRPr="009B2D0D">
        <w:rPr>
          <w:sz w:val="28"/>
          <w:szCs w:val="28"/>
          <w:lang w:val="uk-UA"/>
        </w:rPr>
        <w:t xml:space="preserve">Так, пунктом 1 Постанови № 335 встановлено, на період дії воєнного стану не проводити планові та позапланові виїзні перевірки суб’єктів господарювання, що провадять діяльність у сферах енергетики та комунальних послуг, які знаходяться та/або здійснюють ліцензовану діяльність в областях України, де наявні території активних бойових дій та території, тимчасово окуповані </w:t>
      </w:r>
      <w:proofErr w:type="spellStart"/>
      <w:r w:rsidR="007626E8" w:rsidRPr="009B2D0D">
        <w:rPr>
          <w:sz w:val="28"/>
          <w:szCs w:val="28"/>
          <w:lang w:val="uk-UA"/>
        </w:rPr>
        <w:t>рф</w:t>
      </w:r>
      <w:proofErr w:type="spellEnd"/>
      <w:r w:rsidRPr="009B2D0D">
        <w:rPr>
          <w:sz w:val="28"/>
          <w:szCs w:val="28"/>
          <w:lang w:val="uk-UA"/>
        </w:rPr>
        <w:t>.</w:t>
      </w:r>
    </w:p>
    <w:p w:rsidR="00532845" w:rsidRPr="003D1E8B" w:rsidRDefault="00532845" w:rsidP="002775D4">
      <w:pPr>
        <w:pStyle w:val="af0"/>
        <w:suppressAutoHyphens/>
        <w:ind w:right="-1" w:firstLine="709"/>
        <w:jc w:val="both"/>
        <w:rPr>
          <w:sz w:val="20"/>
          <w:szCs w:val="28"/>
        </w:rPr>
      </w:pPr>
    </w:p>
    <w:p w:rsidR="00E103ED" w:rsidRPr="009B2D0D" w:rsidRDefault="00E103ED" w:rsidP="002775D4">
      <w:pPr>
        <w:pStyle w:val="af0"/>
        <w:suppressAutoHyphens/>
        <w:ind w:right="-1" w:firstLine="709"/>
        <w:jc w:val="both"/>
        <w:rPr>
          <w:sz w:val="28"/>
          <w:szCs w:val="28"/>
        </w:rPr>
      </w:pPr>
      <w:r w:rsidRPr="009B2D0D">
        <w:rPr>
          <w:sz w:val="28"/>
          <w:szCs w:val="28"/>
        </w:rPr>
        <w:t xml:space="preserve">Також варто зазначити, що станом на </w:t>
      </w:r>
      <w:r w:rsidR="001509C7" w:rsidRPr="00A61E99">
        <w:rPr>
          <w:sz w:val="28"/>
          <w:szCs w:val="28"/>
        </w:rPr>
        <w:t>01</w:t>
      </w:r>
      <w:r w:rsidRPr="009B2D0D">
        <w:rPr>
          <w:sz w:val="28"/>
          <w:szCs w:val="28"/>
        </w:rPr>
        <w:t xml:space="preserve">.06.2023 </w:t>
      </w:r>
      <w:r w:rsidR="001D7F75" w:rsidRPr="009B2D0D">
        <w:rPr>
          <w:sz w:val="28"/>
          <w:szCs w:val="28"/>
        </w:rPr>
        <w:t xml:space="preserve">низкою </w:t>
      </w:r>
      <w:r w:rsidRPr="009B2D0D">
        <w:rPr>
          <w:sz w:val="28"/>
          <w:szCs w:val="28"/>
        </w:rPr>
        <w:t xml:space="preserve">ОСР з обґрунтованих причин не надано на розгляд до НКРЕКП інвестиційні програми з розподілу електричної енергії на 2023 рік, </w:t>
      </w:r>
      <w:r w:rsidR="008D3822" w:rsidRPr="00A61E99">
        <w:rPr>
          <w:sz w:val="28"/>
          <w:szCs w:val="28"/>
        </w:rPr>
        <w:t>або надали з порушенням вимог</w:t>
      </w:r>
      <w:r w:rsidRPr="009B2D0D">
        <w:rPr>
          <w:sz w:val="28"/>
          <w:szCs w:val="28"/>
        </w:rPr>
        <w:t xml:space="preserve"> Порядку розроблення та подання на затвердження планів розвитку систем розподілу та інвестиційних програм операторів систем розподілу, затвердженого постановою НКРЕКП від 04.09.2018 № 955</w:t>
      </w:r>
      <w:r w:rsidR="00A61E99">
        <w:rPr>
          <w:sz w:val="28"/>
          <w:szCs w:val="28"/>
        </w:rPr>
        <w:t>.</w:t>
      </w:r>
    </w:p>
    <w:p w:rsidR="00D1240E" w:rsidRPr="003D1E8B" w:rsidRDefault="00D1240E" w:rsidP="002775D4">
      <w:pPr>
        <w:pStyle w:val="af0"/>
        <w:suppressAutoHyphens/>
        <w:ind w:firstLine="709"/>
        <w:jc w:val="both"/>
        <w:rPr>
          <w:sz w:val="28"/>
          <w:szCs w:val="28"/>
        </w:rPr>
      </w:pPr>
      <w:r w:rsidRPr="009B2D0D">
        <w:rPr>
          <w:sz w:val="28"/>
          <w:szCs w:val="28"/>
        </w:rPr>
        <w:t>Внаслідок відсутності в ОСР</w:t>
      </w:r>
      <w:r w:rsidRPr="009B2D0D">
        <w:rPr>
          <w:i/>
          <w:sz w:val="28"/>
          <w:szCs w:val="28"/>
        </w:rPr>
        <w:t xml:space="preserve"> </w:t>
      </w:r>
      <w:r w:rsidRPr="009B2D0D">
        <w:rPr>
          <w:sz w:val="28"/>
          <w:szCs w:val="28"/>
        </w:rPr>
        <w:t xml:space="preserve">(що перейшли на стимулююче регулювання) схваленої </w:t>
      </w:r>
      <w:r w:rsidR="00A61E99">
        <w:rPr>
          <w:sz w:val="28"/>
          <w:szCs w:val="28"/>
        </w:rPr>
        <w:t>і</w:t>
      </w:r>
      <w:r w:rsidRPr="009B2D0D">
        <w:rPr>
          <w:sz w:val="28"/>
          <w:szCs w:val="28"/>
        </w:rPr>
        <w:t xml:space="preserve">нвестиційної програми на відповідний прогнозний період </w:t>
      </w:r>
      <w:r w:rsidR="008D3822">
        <w:rPr>
          <w:sz w:val="28"/>
          <w:szCs w:val="28"/>
        </w:rPr>
        <w:t>-</w:t>
      </w:r>
      <w:r w:rsidRPr="009B2D0D">
        <w:rPr>
          <w:sz w:val="28"/>
          <w:szCs w:val="28"/>
        </w:rPr>
        <w:t xml:space="preserve"> </w:t>
      </w:r>
      <w:r w:rsidRPr="00A61E99">
        <w:rPr>
          <w:sz w:val="28"/>
          <w:szCs w:val="28"/>
        </w:rPr>
        <w:t>відсут</w:t>
      </w:r>
      <w:r w:rsidR="006B0981" w:rsidRPr="00A61E99">
        <w:rPr>
          <w:sz w:val="28"/>
          <w:szCs w:val="28"/>
        </w:rPr>
        <w:t>ні</w:t>
      </w:r>
      <w:r w:rsidRPr="00A61E99">
        <w:rPr>
          <w:sz w:val="28"/>
          <w:szCs w:val="28"/>
        </w:rPr>
        <w:t xml:space="preserve"> зобов’язання щодо </w:t>
      </w:r>
      <w:r w:rsidR="008D3822" w:rsidRPr="00A61E99">
        <w:rPr>
          <w:sz w:val="28"/>
          <w:szCs w:val="28"/>
        </w:rPr>
        <w:t xml:space="preserve">інвестування в розвиток електричних мережі та </w:t>
      </w:r>
      <w:r w:rsidR="001D7F75" w:rsidRPr="00A61E99">
        <w:rPr>
          <w:sz w:val="28"/>
          <w:szCs w:val="28"/>
        </w:rPr>
        <w:t xml:space="preserve">використання </w:t>
      </w:r>
      <w:r w:rsidRPr="00A61E99">
        <w:rPr>
          <w:sz w:val="28"/>
          <w:szCs w:val="28"/>
        </w:rPr>
        <w:t>коштів, визначен</w:t>
      </w:r>
      <w:r w:rsidR="006B0981" w:rsidRPr="00A61E99">
        <w:rPr>
          <w:sz w:val="28"/>
          <w:szCs w:val="28"/>
        </w:rPr>
        <w:t>их</w:t>
      </w:r>
      <w:r w:rsidRPr="00A61E99">
        <w:rPr>
          <w:sz w:val="28"/>
          <w:szCs w:val="28"/>
        </w:rPr>
        <w:t xml:space="preserve"> як джерела фінансування </w:t>
      </w:r>
      <w:r w:rsidR="00093920" w:rsidRPr="00A61E99">
        <w:rPr>
          <w:sz w:val="28"/>
          <w:szCs w:val="28"/>
        </w:rPr>
        <w:t>Інвестиційної програми</w:t>
      </w:r>
      <w:r w:rsidRPr="00A61E99">
        <w:rPr>
          <w:sz w:val="28"/>
          <w:szCs w:val="28"/>
        </w:rPr>
        <w:t>,</w:t>
      </w:r>
      <w:r w:rsidRPr="009B2D0D">
        <w:rPr>
          <w:sz w:val="28"/>
          <w:szCs w:val="28"/>
        </w:rPr>
        <w:t xml:space="preserve"> у тому числі в частині </w:t>
      </w:r>
      <w:r w:rsidR="006B0981" w:rsidRPr="009B2D0D">
        <w:rPr>
          <w:sz w:val="28"/>
          <w:szCs w:val="28"/>
        </w:rPr>
        <w:t>амортизації та 50%</w:t>
      </w:r>
      <w:r w:rsidRPr="009B2D0D">
        <w:rPr>
          <w:sz w:val="28"/>
          <w:szCs w:val="28"/>
        </w:rPr>
        <w:t xml:space="preserve"> прибутку на </w:t>
      </w:r>
      <w:r w:rsidR="006B0981" w:rsidRPr="009B2D0D">
        <w:rPr>
          <w:sz w:val="28"/>
          <w:szCs w:val="28"/>
        </w:rPr>
        <w:t xml:space="preserve">«стару» </w:t>
      </w:r>
      <w:r w:rsidRPr="009B2D0D">
        <w:rPr>
          <w:sz w:val="28"/>
          <w:szCs w:val="28"/>
        </w:rPr>
        <w:t>регуляторну базу активів</w:t>
      </w:r>
      <w:r w:rsidR="006B0981" w:rsidRPr="009B2D0D">
        <w:rPr>
          <w:sz w:val="28"/>
          <w:szCs w:val="28"/>
        </w:rPr>
        <w:t>,</w:t>
      </w:r>
      <w:r w:rsidRPr="009B2D0D">
        <w:rPr>
          <w:sz w:val="28"/>
          <w:szCs w:val="28"/>
        </w:rPr>
        <w:t xml:space="preserve"> для забезпечення виконання протягом першого регуляторного періоду зобов’язань, визначених постановою НКРЕКП від</w:t>
      </w:r>
      <w:r w:rsidR="00EC1162" w:rsidRPr="009B2D0D">
        <w:rPr>
          <w:sz w:val="28"/>
          <w:szCs w:val="28"/>
        </w:rPr>
        <w:t xml:space="preserve"> </w:t>
      </w:r>
      <w:r w:rsidRPr="009B2D0D">
        <w:rPr>
          <w:sz w:val="28"/>
          <w:szCs w:val="28"/>
        </w:rPr>
        <w:t xml:space="preserve">26.07.2013 № 1029 </w:t>
      </w:r>
      <w:r w:rsidRPr="009B2D0D">
        <w:rPr>
          <w:i/>
          <w:iCs/>
          <w:sz w:val="28"/>
          <w:szCs w:val="28"/>
        </w:rPr>
        <w:t>«Про застосування стимулюючого регулювання при провадженні господарської діяльності з розподілу електричної енергії»</w:t>
      </w:r>
      <w:r w:rsidR="006B0981" w:rsidRPr="009B2D0D">
        <w:rPr>
          <w:i/>
          <w:iCs/>
          <w:sz w:val="28"/>
          <w:szCs w:val="28"/>
        </w:rPr>
        <w:t>,</w:t>
      </w:r>
      <w:r w:rsidRPr="009B2D0D">
        <w:rPr>
          <w:sz w:val="28"/>
          <w:szCs w:val="28"/>
        </w:rPr>
        <w:t xml:space="preserve"> виник</w:t>
      </w:r>
      <w:r w:rsidR="006B0981" w:rsidRPr="009B2D0D">
        <w:rPr>
          <w:sz w:val="28"/>
          <w:szCs w:val="28"/>
        </w:rPr>
        <w:t>ає</w:t>
      </w:r>
      <w:r w:rsidRPr="009B2D0D">
        <w:rPr>
          <w:sz w:val="28"/>
          <w:szCs w:val="28"/>
        </w:rPr>
        <w:t xml:space="preserve"> </w:t>
      </w:r>
      <w:r w:rsidR="00EC1162" w:rsidRPr="009B2D0D">
        <w:rPr>
          <w:sz w:val="28"/>
          <w:szCs w:val="28"/>
        </w:rPr>
        <w:t>необхідність</w:t>
      </w:r>
      <w:r w:rsidRPr="009B2D0D">
        <w:rPr>
          <w:sz w:val="28"/>
          <w:szCs w:val="28"/>
        </w:rPr>
        <w:t xml:space="preserve"> внесення змін до Порядку </w:t>
      </w:r>
      <w:r w:rsidR="00093920" w:rsidRPr="009B2D0D">
        <w:rPr>
          <w:sz w:val="28"/>
          <w:szCs w:val="28"/>
        </w:rPr>
        <w:t>встановлення (формування) тарифів № 1175</w:t>
      </w:r>
      <w:r w:rsidRPr="009B2D0D">
        <w:rPr>
          <w:sz w:val="28"/>
          <w:szCs w:val="28"/>
        </w:rPr>
        <w:t>.</w:t>
      </w:r>
    </w:p>
    <w:p w:rsidR="00532845" w:rsidRPr="003D1E8B" w:rsidRDefault="00532845" w:rsidP="002775D4">
      <w:pPr>
        <w:ind w:firstLine="709"/>
        <w:jc w:val="both"/>
        <w:rPr>
          <w:bCs/>
          <w:sz w:val="18"/>
          <w:lang w:val="uk-UA"/>
        </w:rPr>
      </w:pPr>
    </w:p>
    <w:p w:rsidR="00532845" w:rsidRPr="00D63889" w:rsidRDefault="006B0981" w:rsidP="002775D4">
      <w:pPr>
        <w:ind w:firstLine="709"/>
        <w:jc w:val="both"/>
        <w:rPr>
          <w:i/>
          <w:iCs/>
          <w:sz w:val="28"/>
          <w:szCs w:val="28"/>
          <w:lang w:val="uk-UA"/>
        </w:rPr>
      </w:pPr>
      <w:r>
        <w:rPr>
          <w:sz w:val="28"/>
          <w:szCs w:val="28"/>
          <w:lang w:val="uk-UA"/>
        </w:rPr>
        <w:t>У</w:t>
      </w:r>
      <w:r w:rsidR="00532845" w:rsidRPr="00C44344">
        <w:rPr>
          <w:sz w:val="28"/>
          <w:szCs w:val="28"/>
          <w:lang w:val="uk-UA"/>
        </w:rPr>
        <w:t>раховуючи зазначене вище, на сьогодні є необхідність в удосконаленні окремих положень Порядку встановлення (формування) тарифів № 1175</w:t>
      </w:r>
      <w:r w:rsidR="009B2D0D">
        <w:rPr>
          <w:sz w:val="28"/>
          <w:szCs w:val="28"/>
          <w:lang w:val="uk-UA"/>
        </w:rPr>
        <w:t xml:space="preserve"> (</w:t>
      </w:r>
      <w:r w:rsidR="009B2D0D" w:rsidRPr="00D63889">
        <w:rPr>
          <w:i/>
          <w:iCs/>
          <w:sz w:val="28"/>
          <w:szCs w:val="28"/>
          <w:lang w:val="uk-UA"/>
        </w:rPr>
        <w:t>для ОСР</w:t>
      </w:r>
      <w:r w:rsidR="00D63889">
        <w:rPr>
          <w:i/>
          <w:iCs/>
          <w:sz w:val="28"/>
          <w:szCs w:val="28"/>
          <w:lang w:val="uk-UA"/>
        </w:rPr>
        <w:t>,</w:t>
      </w:r>
      <w:r w:rsidR="009B2D0D" w:rsidRPr="00D63889">
        <w:rPr>
          <w:i/>
          <w:iCs/>
          <w:sz w:val="28"/>
          <w:szCs w:val="28"/>
          <w:lang w:val="uk-UA"/>
        </w:rPr>
        <w:t xml:space="preserve"> яким встановлено тарифи із застосуванням стимулюючого </w:t>
      </w:r>
      <w:r w:rsidR="00D63889" w:rsidRPr="00D63889">
        <w:rPr>
          <w:i/>
          <w:iCs/>
          <w:sz w:val="28"/>
          <w:szCs w:val="28"/>
          <w:lang w:val="uk-UA"/>
        </w:rPr>
        <w:t>регулювання та на перехідний період)</w:t>
      </w:r>
      <w:r w:rsidR="00532845" w:rsidRPr="00D63889">
        <w:rPr>
          <w:i/>
          <w:iCs/>
          <w:sz w:val="28"/>
          <w:szCs w:val="28"/>
          <w:lang w:val="uk-UA"/>
        </w:rPr>
        <w:t>,</w:t>
      </w:r>
      <w:r w:rsidR="00532845" w:rsidRPr="00C44344">
        <w:rPr>
          <w:sz w:val="28"/>
          <w:szCs w:val="28"/>
          <w:lang w:val="uk-UA"/>
        </w:rPr>
        <w:t xml:space="preserve"> а саме</w:t>
      </w:r>
      <w:r w:rsidR="00532845">
        <w:rPr>
          <w:sz w:val="28"/>
          <w:szCs w:val="28"/>
          <w:lang w:val="uk-UA"/>
        </w:rPr>
        <w:t>:</w:t>
      </w:r>
    </w:p>
    <w:p w:rsidR="00EC1162" w:rsidRDefault="00532845" w:rsidP="002775D4">
      <w:pPr>
        <w:ind w:firstLine="709"/>
        <w:jc w:val="both"/>
        <w:rPr>
          <w:sz w:val="28"/>
          <w:szCs w:val="28"/>
          <w:lang w:val="uk-UA"/>
        </w:rPr>
      </w:pPr>
      <w:r w:rsidRPr="00C44344">
        <w:rPr>
          <w:sz w:val="28"/>
          <w:szCs w:val="28"/>
          <w:lang w:val="uk-UA"/>
        </w:rPr>
        <w:t>підпункту 5.3 глави 5 та підпункту 7.21 глави 7 щодо визначення прогнозованих витрат (прогнозованого необхідного доходу) від здійснення діяльності з розподілу електричної енергії на прогнозний рік</w:t>
      </w:r>
      <w:r w:rsidR="00DD55EF">
        <w:rPr>
          <w:sz w:val="28"/>
          <w:szCs w:val="28"/>
          <w:lang w:val="uk-UA"/>
        </w:rPr>
        <w:t xml:space="preserve">, </w:t>
      </w:r>
      <w:r w:rsidRPr="00C44344">
        <w:rPr>
          <w:sz w:val="28"/>
          <w:szCs w:val="28"/>
          <w:lang w:val="uk-UA"/>
        </w:rPr>
        <w:t xml:space="preserve">у випадку неможливості здійснення заходів контролю за дотриманням </w:t>
      </w:r>
      <w:hyperlink r:id="rId7" w:anchor="n9" w:tgtFrame="_blank" w:history="1">
        <w:r w:rsidRPr="00C44344">
          <w:rPr>
            <w:sz w:val="28"/>
            <w:szCs w:val="28"/>
            <w:lang w:val="uk-UA"/>
          </w:rPr>
          <w:t>Ліцензійних умов</w:t>
        </w:r>
      </w:hyperlink>
      <w:r w:rsidRPr="00C44344">
        <w:rPr>
          <w:sz w:val="28"/>
          <w:szCs w:val="28"/>
          <w:lang w:val="uk-UA"/>
        </w:rPr>
        <w:t xml:space="preserve"> в період воєнного стану</w:t>
      </w:r>
      <w:r w:rsidR="00EC1162">
        <w:rPr>
          <w:sz w:val="28"/>
          <w:szCs w:val="28"/>
          <w:lang w:val="uk-UA"/>
        </w:rPr>
        <w:t xml:space="preserve"> шляхом </w:t>
      </w:r>
      <w:r w:rsidR="00EC1162" w:rsidRPr="00C44344">
        <w:rPr>
          <w:sz w:val="28"/>
          <w:szCs w:val="28"/>
          <w:lang w:val="uk-UA"/>
        </w:rPr>
        <w:t xml:space="preserve">здійснення коригування доходу (витрат) на прогнозний рік у разі відхилення обсягів розподілу електричної енергії відносно </w:t>
      </w:r>
      <w:r w:rsidR="00EC1162" w:rsidRPr="00C44344">
        <w:rPr>
          <w:sz w:val="28"/>
          <w:szCs w:val="28"/>
          <w:lang w:val="uk-UA"/>
        </w:rPr>
        <w:lastRenderedPageBreak/>
        <w:t>врахованих при розрахунку діючих тарифів, на підставі звітності розрахунковим шляхом</w:t>
      </w:r>
      <w:r w:rsidR="00EC1162">
        <w:rPr>
          <w:sz w:val="28"/>
          <w:szCs w:val="28"/>
          <w:lang w:val="uk-UA"/>
        </w:rPr>
        <w:t>;</w:t>
      </w:r>
    </w:p>
    <w:p w:rsidR="00EC1162" w:rsidRPr="00D63889" w:rsidRDefault="00EC1162" w:rsidP="002775D4">
      <w:pPr>
        <w:ind w:firstLine="709"/>
        <w:jc w:val="both"/>
        <w:rPr>
          <w:sz w:val="28"/>
          <w:szCs w:val="28"/>
          <w:lang w:val="uk-UA"/>
        </w:rPr>
      </w:pPr>
      <w:r>
        <w:rPr>
          <w:sz w:val="28"/>
          <w:szCs w:val="28"/>
          <w:lang w:val="uk-UA"/>
        </w:rPr>
        <w:t xml:space="preserve">підпункту 4.2 глави 4 та </w:t>
      </w:r>
      <w:r w:rsidRPr="00C44344">
        <w:rPr>
          <w:sz w:val="28"/>
          <w:szCs w:val="28"/>
          <w:lang w:val="uk-UA"/>
        </w:rPr>
        <w:t>підпункту 7.</w:t>
      </w:r>
      <w:r>
        <w:rPr>
          <w:sz w:val="28"/>
          <w:szCs w:val="28"/>
          <w:lang w:val="uk-UA"/>
        </w:rPr>
        <w:t>8</w:t>
      </w:r>
      <w:r w:rsidRPr="00C44344">
        <w:rPr>
          <w:sz w:val="28"/>
          <w:szCs w:val="28"/>
          <w:lang w:val="uk-UA"/>
        </w:rPr>
        <w:t xml:space="preserve"> глави 7</w:t>
      </w:r>
      <w:r>
        <w:rPr>
          <w:sz w:val="28"/>
          <w:szCs w:val="28"/>
          <w:lang w:val="uk-UA"/>
        </w:rPr>
        <w:t xml:space="preserve"> щодо підстав для встановлення (перегляду) тарифів за ініціативою НКРЕКП, у випадку </w:t>
      </w:r>
      <w:r w:rsidRPr="00D63889">
        <w:rPr>
          <w:sz w:val="28"/>
          <w:szCs w:val="28"/>
          <w:lang w:val="uk-UA"/>
        </w:rPr>
        <w:t>відсутності схваленої інвестиційної програми на прогнозний рік витрати на виконання якої враховано при розрахунку діючих тарифів.</w:t>
      </w:r>
    </w:p>
    <w:p w:rsidR="00A61E99" w:rsidRPr="009F66AB" w:rsidRDefault="00A61E99" w:rsidP="002775D4">
      <w:pPr>
        <w:pStyle w:val="af0"/>
        <w:suppressAutoHyphens/>
        <w:ind w:firstLine="709"/>
        <w:jc w:val="both"/>
        <w:rPr>
          <w:rFonts w:eastAsia="Calibri"/>
          <w:bCs/>
          <w:sz w:val="28"/>
          <w:szCs w:val="28"/>
          <w:lang w:eastAsia="en-US"/>
        </w:rPr>
      </w:pPr>
      <w:r w:rsidRPr="009F66AB">
        <w:rPr>
          <w:sz w:val="28"/>
          <w:szCs w:val="28"/>
        </w:rPr>
        <w:t xml:space="preserve">Крім того, змінами передбачено норми, </w:t>
      </w:r>
      <w:r w:rsidR="009F66AB" w:rsidRPr="009F66AB">
        <w:rPr>
          <w:sz w:val="28"/>
          <w:szCs w:val="28"/>
        </w:rPr>
        <w:t xml:space="preserve">згідно з якими </w:t>
      </w:r>
      <w:r w:rsidRPr="009F66AB">
        <w:rPr>
          <w:sz w:val="28"/>
          <w:szCs w:val="28"/>
        </w:rPr>
        <w:t>Регулятор може зменшити/збільшити відповідні витрати структури тарифів у</w:t>
      </w:r>
      <w:r w:rsidRPr="009F66AB">
        <w:rPr>
          <w:rFonts w:eastAsia="Calibri"/>
          <w:bCs/>
          <w:sz w:val="28"/>
          <w:szCs w:val="28"/>
          <w:lang w:eastAsia="en-US"/>
        </w:rPr>
        <w:t xml:space="preserve"> розмірі джерел фінансування </w:t>
      </w:r>
      <w:r w:rsidRPr="009F66AB">
        <w:rPr>
          <w:sz w:val="28"/>
          <w:szCs w:val="28"/>
        </w:rPr>
        <w:t>відсутньої</w:t>
      </w:r>
      <w:r w:rsidRPr="009F66AB">
        <w:rPr>
          <w:rFonts w:eastAsia="Calibri"/>
          <w:bCs/>
          <w:sz w:val="28"/>
          <w:szCs w:val="28"/>
          <w:lang w:eastAsia="en-US"/>
        </w:rPr>
        <w:t>/наявної схваленої інвестиційної програми.</w:t>
      </w:r>
    </w:p>
    <w:p w:rsidR="00A61E99" w:rsidRPr="009F66AB" w:rsidRDefault="00A61E99" w:rsidP="002775D4">
      <w:pPr>
        <w:pStyle w:val="af0"/>
        <w:suppressAutoHyphens/>
        <w:ind w:firstLine="709"/>
        <w:jc w:val="both"/>
        <w:rPr>
          <w:sz w:val="28"/>
          <w:szCs w:val="28"/>
        </w:rPr>
      </w:pPr>
    </w:p>
    <w:p w:rsidR="007C03C0" w:rsidRPr="00C44344" w:rsidRDefault="007C03C0" w:rsidP="002775D4">
      <w:pPr>
        <w:ind w:firstLine="709"/>
        <w:jc w:val="both"/>
        <w:rPr>
          <w:sz w:val="28"/>
          <w:szCs w:val="28"/>
          <w:lang w:val="uk-UA"/>
        </w:rPr>
      </w:pPr>
      <w:r w:rsidRPr="00C44344">
        <w:rPr>
          <w:sz w:val="28"/>
          <w:szCs w:val="28"/>
          <w:lang w:val="uk-UA"/>
        </w:rPr>
        <w:t>З огляду на зазначене, Департаментом із регулювання відносин у сфері енергетики розроблено проєкт постанови НКРЕКП</w:t>
      </w:r>
      <w:r w:rsidR="00564702" w:rsidRPr="00C44344">
        <w:rPr>
          <w:sz w:val="28"/>
          <w:szCs w:val="28"/>
          <w:lang w:val="uk-UA"/>
        </w:rPr>
        <w:t xml:space="preserve"> </w:t>
      </w:r>
      <w:r w:rsidR="00C1226C" w:rsidRPr="00C44344">
        <w:rPr>
          <w:sz w:val="28"/>
          <w:szCs w:val="28"/>
          <w:lang w:val="uk-UA"/>
        </w:rPr>
        <w:t xml:space="preserve">«Про </w:t>
      </w:r>
      <w:r w:rsidR="003D1E8B">
        <w:rPr>
          <w:sz w:val="28"/>
          <w:szCs w:val="28"/>
          <w:lang w:val="uk-UA"/>
        </w:rPr>
        <w:t>затвердження</w:t>
      </w:r>
      <w:r w:rsidR="00C1226C" w:rsidRPr="003D1E8B">
        <w:rPr>
          <w:sz w:val="28"/>
          <w:szCs w:val="28"/>
          <w:lang w:val="uk-UA"/>
        </w:rPr>
        <w:t xml:space="preserve"> </w:t>
      </w:r>
      <w:r w:rsidR="003D1E8B" w:rsidRPr="003D1E8B">
        <w:rPr>
          <w:sz w:val="28"/>
          <w:szCs w:val="28"/>
          <w:lang w:val="uk-UA"/>
        </w:rPr>
        <w:t>З</w:t>
      </w:r>
      <w:r w:rsidR="00C1226C" w:rsidRPr="003D1E8B">
        <w:rPr>
          <w:sz w:val="28"/>
          <w:szCs w:val="28"/>
          <w:lang w:val="uk-UA"/>
        </w:rPr>
        <w:t>мін</w:t>
      </w:r>
      <w:r w:rsidR="00C1226C" w:rsidRPr="00C44344">
        <w:rPr>
          <w:sz w:val="28"/>
          <w:szCs w:val="28"/>
          <w:lang w:val="uk-UA"/>
        </w:rPr>
        <w:t xml:space="preserve"> до Порядку встановлення (формування) тарифів на послуги з розподілу електричної енергії»</w:t>
      </w:r>
      <w:r w:rsidR="00C1226C">
        <w:rPr>
          <w:sz w:val="28"/>
          <w:szCs w:val="28"/>
          <w:lang w:val="uk-UA"/>
        </w:rPr>
        <w:t xml:space="preserve"> (далі – Проєкт постанови).</w:t>
      </w:r>
    </w:p>
    <w:p w:rsidR="007626E8" w:rsidRDefault="007626E8" w:rsidP="002775D4">
      <w:pPr>
        <w:ind w:firstLine="709"/>
        <w:jc w:val="both"/>
        <w:rPr>
          <w:sz w:val="28"/>
          <w:szCs w:val="28"/>
          <w:lang w:val="uk-UA" w:eastAsia="uk-UA"/>
        </w:rPr>
      </w:pPr>
    </w:p>
    <w:p w:rsidR="0066759F" w:rsidRPr="00C44344" w:rsidRDefault="0066759F" w:rsidP="002775D4">
      <w:pPr>
        <w:ind w:firstLine="709"/>
        <w:jc w:val="both"/>
        <w:rPr>
          <w:sz w:val="28"/>
          <w:szCs w:val="28"/>
          <w:lang w:val="uk-UA" w:eastAsia="uk-UA"/>
        </w:rPr>
      </w:pPr>
      <w:r w:rsidRPr="00C44344">
        <w:rPr>
          <w:sz w:val="28"/>
          <w:szCs w:val="28"/>
          <w:lang w:val="uk-UA" w:eastAsia="uk-UA"/>
        </w:rPr>
        <w:t xml:space="preserve">Пропонується розглянути питання щодо схвалення </w:t>
      </w:r>
      <w:r w:rsidR="00C1226C">
        <w:rPr>
          <w:sz w:val="28"/>
          <w:szCs w:val="28"/>
          <w:lang w:val="uk-UA"/>
        </w:rPr>
        <w:t>П</w:t>
      </w:r>
      <w:r w:rsidRPr="00C44344">
        <w:rPr>
          <w:sz w:val="28"/>
          <w:szCs w:val="28"/>
          <w:lang w:val="uk-UA"/>
        </w:rPr>
        <w:t>роєк</w:t>
      </w:r>
      <w:r w:rsidR="00C1226C">
        <w:rPr>
          <w:sz w:val="28"/>
          <w:szCs w:val="28"/>
          <w:lang w:val="uk-UA"/>
        </w:rPr>
        <w:t>ту постанови</w:t>
      </w:r>
      <w:r w:rsidRPr="00C44344">
        <w:rPr>
          <w:sz w:val="28"/>
          <w:szCs w:val="28"/>
          <w:lang w:val="uk-UA"/>
        </w:rPr>
        <w:t xml:space="preserve"> та </w:t>
      </w:r>
      <w:r w:rsidRPr="00C44344">
        <w:rPr>
          <w:bCs/>
          <w:sz w:val="28"/>
          <w:szCs w:val="28"/>
          <w:lang w:val="uk-UA"/>
        </w:rPr>
        <w:t>розмістити його на офіційній сторінці в мережі Інтернет за адресою: www.</w:t>
      </w:r>
      <w:hyperlink r:id="rId8" w:history="1">
        <w:r w:rsidRPr="00C44344">
          <w:rPr>
            <w:rStyle w:val="a4"/>
            <w:bCs/>
            <w:color w:val="auto"/>
            <w:sz w:val="28"/>
            <w:szCs w:val="28"/>
            <w:lang w:val="uk-UA"/>
          </w:rPr>
          <w:t>nerc.gov.ua</w:t>
        </w:r>
      </w:hyperlink>
      <w:r w:rsidRPr="00C44344">
        <w:rPr>
          <w:bCs/>
          <w:sz w:val="28"/>
          <w:szCs w:val="28"/>
          <w:lang w:val="uk-UA"/>
        </w:rPr>
        <w:t>, з метою одержання зауважень та пропозицій.</w:t>
      </w:r>
    </w:p>
    <w:p w:rsidR="0066759F" w:rsidRPr="00C44344" w:rsidRDefault="0066759F" w:rsidP="002775D4">
      <w:pPr>
        <w:ind w:firstLine="709"/>
        <w:jc w:val="both"/>
        <w:rPr>
          <w:sz w:val="28"/>
          <w:szCs w:val="28"/>
          <w:lang w:val="uk-UA"/>
        </w:rPr>
      </w:pPr>
      <w:r w:rsidRPr="00C44344">
        <w:rPr>
          <w:sz w:val="28"/>
          <w:szCs w:val="28"/>
          <w:lang w:val="uk-UA"/>
        </w:rPr>
        <w:t xml:space="preserve">Проєкт </w:t>
      </w:r>
      <w:r w:rsidR="00C1226C">
        <w:rPr>
          <w:sz w:val="28"/>
          <w:szCs w:val="28"/>
          <w:lang w:val="uk-UA"/>
        </w:rPr>
        <w:t xml:space="preserve">постанови </w:t>
      </w:r>
      <w:r w:rsidRPr="00C44344">
        <w:rPr>
          <w:sz w:val="28"/>
          <w:szCs w:val="28"/>
          <w:lang w:val="uk-UA"/>
        </w:rPr>
        <w:t>додається.</w:t>
      </w:r>
    </w:p>
    <w:p w:rsidR="00830D38" w:rsidRPr="003D1E8B" w:rsidRDefault="00830D38" w:rsidP="0031579C">
      <w:pPr>
        <w:jc w:val="both"/>
        <w:rPr>
          <w:sz w:val="28"/>
          <w:szCs w:val="28"/>
          <w:lang w:val="uk-UA"/>
        </w:rPr>
      </w:pPr>
    </w:p>
    <w:p w:rsidR="00F94563" w:rsidRPr="003D1E8B" w:rsidRDefault="00F94563" w:rsidP="0031579C">
      <w:pPr>
        <w:jc w:val="both"/>
        <w:rPr>
          <w:sz w:val="28"/>
          <w:szCs w:val="28"/>
          <w:lang w:val="uk-UA"/>
        </w:rPr>
      </w:pPr>
    </w:p>
    <w:p w:rsidR="00F94563" w:rsidRPr="003D1E8B" w:rsidRDefault="00F94563" w:rsidP="0031579C">
      <w:pPr>
        <w:jc w:val="both"/>
        <w:rPr>
          <w:sz w:val="28"/>
          <w:szCs w:val="28"/>
          <w:lang w:val="uk-UA"/>
        </w:rPr>
      </w:pPr>
    </w:p>
    <w:p w:rsidR="003228A9" w:rsidRPr="00035ABF" w:rsidRDefault="003228A9" w:rsidP="003228A9">
      <w:pPr>
        <w:pStyle w:val="ae"/>
        <w:tabs>
          <w:tab w:val="left" w:pos="9923"/>
          <w:tab w:val="left" w:pos="10206"/>
        </w:tabs>
        <w:ind w:right="0"/>
        <w:rPr>
          <w:b/>
          <w:szCs w:val="28"/>
        </w:rPr>
      </w:pPr>
      <w:bookmarkStart w:id="2" w:name="_Hlk19102326"/>
      <w:r w:rsidRPr="00035ABF">
        <w:rPr>
          <w:b/>
          <w:szCs w:val="28"/>
        </w:rPr>
        <w:t>Директор Департаменту із</w:t>
      </w:r>
    </w:p>
    <w:p w:rsidR="003228A9" w:rsidRPr="00073F1F" w:rsidRDefault="003228A9" w:rsidP="003228A9">
      <w:pPr>
        <w:pStyle w:val="ae"/>
        <w:tabs>
          <w:tab w:val="left" w:pos="9923"/>
          <w:tab w:val="left" w:pos="10206"/>
        </w:tabs>
        <w:ind w:right="0"/>
        <w:rPr>
          <w:b/>
          <w:szCs w:val="28"/>
        </w:rPr>
      </w:pPr>
      <w:r w:rsidRPr="00035ABF">
        <w:rPr>
          <w:b/>
          <w:szCs w:val="28"/>
        </w:rPr>
        <w:t xml:space="preserve">регулювання відносин у сфері енергетики                      </w:t>
      </w:r>
      <w:r>
        <w:rPr>
          <w:b/>
          <w:szCs w:val="28"/>
        </w:rPr>
        <w:t xml:space="preserve">      </w:t>
      </w:r>
      <w:r w:rsidRPr="00035ABF">
        <w:rPr>
          <w:b/>
          <w:szCs w:val="28"/>
        </w:rPr>
        <w:t>А</w:t>
      </w:r>
      <w:r w:rsidR="0089092C">
        <w:rPr>
          <w:b/>
          <w:szCs w:val="28"/>
        </w:rPr>
        <w:t>ндрій</w:t>
      </w:r>
      <w:r w:rsidRPr="00035ABF">
        <w:rPr>
          <w:b/>
          <w:szCs w:val="28"/>
        </w:rPr>
        <w:t xml:space="preserve"> О</w:t>
      </w:r>
      <w:r w:rsidR="0089092C">
        <w:rPr>
          <w:b/>
          <w:szCs w:val="28"/>
        </w:rPr>
        <w:t>ГНЬОВ</w:t>
      </w:r>
      <w:bookmarkEnd w:id="2"/>
    </w:p>
    <w:sectPr w:rsidR="003228A9" w:rsidRPr="00073F1F" w:rsidSect="00FB0670">
      <w:headerReference w:type="default" r:id="rId9"/>
      <w:pgSz w:w="11906" w:h="16838"/>
      <w:pgMar w:top="96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2BDE" w:rsidRDefault="00112BDE" w:rsidP="00FB0670">
      <w:r>
        <w:separator/>
      </w:r>
    </w:p>
  </w:endnote>
  <w:endnote w:type="continuationSeparator" w:id="0">
    <w:p w:rsidR="00112BDE" w:rsidRDefault="00112BDE" w:rsidP="00FB0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CC"/>
    <w:family w:val="roman"/>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ntiqua">
    <w:altName w:val="Times New Roman"/>
    <w:charset w:val="00"/>
    <w:family w:val="swiss"/>
    <w:pitch w:val="variable"/>
    <w:sig w:usb0="00000001"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2BDE" w:rsidRDefault="00112BDE" w:rsidP="00FB0670">
      <w:r>
        <w:separator/>
      </w:r>
    </w:p>
  </w:footnote>
  <w:footnote w:type="continuationSeparator" w:id="0">
    <w:p w:rsidR="00112BDE" w:rsidRDefault="00112BDE" w:rsidP="00FB06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0670" w:rsidRDefault="00FB0670">
    <w:pPr>
      <w:pStyle w:val="af2"/>
      <w:jc w:val="center"/>
    </w:pPr>
    <w:r>
      <w:fldChar w:fldCharType="begin"/>
    </w:r>
    <w:r>
      <w:instrText>PAGE   \* MERGEFORMAT</w:instrText>
    </w:r>
    <w:r>
      <w:fldChar w:fldCharType="separate"/>
    </w:r>
    <w:r>
      <w:rPr>
        <w:lang w:val="uk-UA"/>
      </w:rPr>
      <w:t>2</w:t>
    </w:r>
    <w:r>
      <w:fldChar w:fldCharType="end"/>
    </w:r>
  </w:p>
  <w:p w:rsidR="00FB0670" w:rsidRDefault="00FB0670">
    <w:pPr>
      <w:pStyle w:val="af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9D2"/>
    <w:rsid w:val="000017EC"/>
    <w:rsid w:val="0000415D"/>
    <w:rsid w:val="00023699"/>
    <w:rsid w:val="0003489A"/>
    <w:rsid w:val="00034DFF"/>
    <w:rsid w:val="00053860"/>
    <w:rsid w:val="000544B6"/>
    <w:rsid w:val="000617E1"/>
    <w:rsid w:val="00070786"/>
    <w:rsid w:val="000754DB"/>
    <w:rsid w:val="00077267"/>
    <w:rsid w:val="00084100"/>
    <w:rsid w:val="00093920"/>
    <w:rsid w:val="000948C0"/>
    <w:rsid w:val="000960F6"/>
    <w:rsid w:val="000B575C"/>
    <w:rsid w:val="000B60F7"/>
    <w:rsid w:val="000D48DC"/>
    <w:rsid w:val="000D5D9B"/>
    <w:rsid w:val="000E39CB"/>
    <w:rsid w:val="00112BDE"/>
    <w:rsid w:val="0011523D"/>
    <w:rsid w:val="00124945"/>
    <w:rsid w:val="001253A5"/>
    <w:rsid w:val="00133C8E"/>
    <w:rsid w:val="00135C1D"/>
    <w:rsid w:val="001379E7"/>
    <w:rsid w:val="001509C7"/>
    <w:rsid w:val="00150E91"/>
    <w:rsid w:val="00155DED"/>
    <w:rsid w:val="00160569"/>
    <w:rsid w:val="00162320"/>
    <w:rsid w:val="0016249C"/>
    <w:rsid w:val="00165104"/>
    <w:rsid w:val="00165898"/>
    <w:rsid w:val="001775BB"/>
    <w:rsid w:val="001A4DD6"/>
    <w:rsid w:val="001C0348"/>
    <w:rsid w:val="001C061E"/>
    <w:rsid w:val="001C0BBF"/>
    <w:rsid w:val="001C749D"/>
    <w:rsid w:val="001D29F5"/>
    <w:rsid w:val="001D4151"/>
    <w:rsid w:val="001D7F75"/>
    <w:rsid w:val="001E0DCC"/>
    <w:rsid w:val="001E1910"/>
    <w:rsid w:val="001E4C28"/>
    <w:rsid w:val="001E5DDF"/>
    <w:rsid w:val="00200170"/>
    <w:rsid w:val="00206B18"/>
    <w:rsid w:val="00215CAB"/>
    <w:rsid w:val="0022330D"/>
    <w:rsid w:val="002400B3"/>
    <w:rsid w:val="002423A7"/>
    <w:rsid w:val="00251F63"/>
    <w:rsid w:val="00261595"/>
    <w:rsid w:val="002736BB"/>
    <w:rsid w:val="002775D4"/>
    <w:rsid w:val="00283B8C"/>
    <w:rsid w:val="002848EF"/>
    <w:rsid w:val="002A48AC"/>
    <w:rsid w:val="002B5D6D"/>
    <w:rsid w:val="002C332B"/>
    <w:rsid w:val="002C3896"/>
    <w:rsid w:val="002C6DC0"/>
    <w:rsid w:val="002C7F88"/>
    <w:rsid w:val="002D0B2D"/>
    <w:rsid w:val="002E07A4"/>
    <w:rsid w:val="002E2519"/>
    <w:rsid w:val="002E75F4"/>
    <w:rsid w:val="00300FFD"/>
    <w:rsid w:val="00304FF6"/>
    <w:rsid w:val="0030724F"/>
    <w:rsid w:val="00311A30"/>
    <w:rsid w:val="00312850"/>
    <w:rsid w:val="003131C4"/>
    <w:rsid w:val="0031579C"/>
    <w:rsid w:val="003164A8"/>
    <w:rsid w:val="003170B9"/>
    <w:rsid w:val="0031740F"/>
    <w:rsid w:val="003207E9"/>
    <w:rsid w:val="003228A9"/>
    <w:rsid w:val="003235E4"/>
    <w:rsid w:val="00327AD7"/>
    <w:rsid w:val="00331EEB"/>
    <w:rsid w:val="00332DB3"/>
    <w:rsid w:val="003340BC"/>
    <w:rsid w:val="0033688A"/>
    <w:rsid w:val="003421C9"/>
    <w:rsid w:val="003609D5"/>
    <w:rsid w:val="00360A42"/>
    <w:rsid w:val="00375870"/>
    <w:rsid w:val="00376496"/>
    <w:rsid w:val="003806E6"/>
    <w:rsid w:val="00381601"/>
    <w:rsid w:val="00384732"/>
    <w:rsid w:val="003A1610"/>
    <w:rsid w:val="003A730A"/>
    <w:rsid w:val="003A7BCE"/>
    <w:rsid w:val="003B3B62"/>
    <w:rsid w:val="003B51B6"/>
    <w:rsid w:val="003B6D5F"/>
    <w:rsid w:val="003D1E8B"/>
    <w:rsid w:val="003D5195"/>
    <w:rsid w:val="003D552C"/>
    <w:rsid w:val="003E6370"/>
    <w:rsid w:val="003F33F0"/>
    <w:rsid w:val="004061D5"/>
    <w:rsid w:val="0041278F"/>
    <w:rsid w:val="00415762"/>
    <w:rsid w:val="00431C2C"/>
    <w:rsid w:val="00432B50"/>
    <w:rsid w:val="00436B46"/>
    <w:rsid w:val="00445F41"/>
    <w:rsid w:val="004550A2"/>
    <w:rsid w:val="004576F2"/>
    <w:rsid w:val="00463045"/>
    <w:rsid w:val="00466DAD"/>
    <w:rsid w:val="00473E7B"/>
    <w:rsid w:val="0048104E"/>
    <w:rsid w:val="004870C6"/>
    <w:rsid w:val="004924E5"/>
    <w:rsid w:val="004A0887"/>
    <w:rsid w:val="004B0213"/>
    <w:rsid w:val="004B7770"/>
    <w:rsid w:val="004C02D3"/>
    <w:rsid w:val="004C1182"/>
    <w:rsid w:val="004C22C9"/>
    <w:rsid w:val="004C3DA5"/>
    <w:rsid w:val="004C40B6"/>
    <w:rsid w:val="004D2C5E"/>
    <w:rsid w:val="004E5DFA"/>
    <w:rsid w:val="004F358E"/>
    <w:rsid w:val="005129F9"/>
    <w:rsid w:val="00515F15"/>
    <w:rsid w:val="005238FA"/>
    <w:rsid w:val="005260E3"/>
    <w:rsid w:val="00527B5A"/>
    <w:rsid w:val="00532845"/>
    <w:rsid w:val="00536150"/>
    <w:rsid w:val="00560F36"/>
    <w:rsid w:val="00563ADC"/>
    <w:rsid w:val="00563E92"/>
    <w:rsid w:val="00564702"/>
    <w:rsid w:val="005740C8"/>
    <w:rsid w:val="00583450"/>
    <w:rsid w:val="005944A9"/>
    <w:rsid w:val="00595C40"/>
    <w:rsid w:val="0059665B"/>
    <w:rsid w:val="005A78CA"/>
    <w:rsid w:val="005C44CA"/>
    <w:rsid w:val="005D0FA4"/>
    <w:rsid w:val="005D1BD3"/>
    <w:rsid w:val="005D1F0C"/>
    <w:rsid w:val="005E6EB9"/>
    <w:rsid w:val="005F6464"/>
    <w:rsid w:val="00617ACA"/>
    <w:rsid w:val="00623E94"/>
    <w:rsid w:val="00626CB2"/>
    <w:rsid w:val="00626E5C"/>
    <w:rsid w:val="006321FB"/>
    <w:rsid w:val="00636248"/>
    <w:rsid w:val="006372CF"/>
    <w:rsid w:val="0064445B"/>
    <w:rsid w:val="006523C1"/>
    <w:rsid w:val="00656751"/>
    <w:rsid w:val="006568F4"/>
    <w:rsid w:val="0066759F"/>
    <w:rsid w:val="00684A1C"/>
    <w:rsid w:val="00690C8F"/>
    <w:rsid w:val="00691DDC"/>
    <w:rsid w:val="006936CD"/>
    <w:rsid w:val="00696F08"/>
    <w:rsid w:val="006A1117"/>
    <w:rsid w:val="006B0981"/>
    <w:rsid w:val="006E27A5"/>
    <w:rsid w:val="006E2D96"/>
    <w:rsid w:val="006E59CF"/>
    <w:rsid w:val="006E68FC"/>
    <w:rsid w:val="006E701A"/>
    <w:rsid w:val="006F001D"/>
    <w:rsid w:val="006F2DC3"/>
    <w:rsid w:val="006F5D48"/>
    <w:rsid w:val="00710932"/>
    <w:rsid w:val="007140E2"/>
    <w:rsid w:val="007328EE"/>
    <w:rsid w:val="00735FCC"/>
    <w:rsid w:val="00736032"/>
    <w:rsid w:val="007429D2"/>
    <w:rsid w:val="007449F1"/>
    <w:rsid w:val="00745E0C"/>
    <w:rsid w:val="00756288"/>
    <w:rsid w:val="007575BB"/>
    <w:rsid w:val="0076168F"/>
    <w:rsid w:val="007626E8"/>
    <w:rsid w:val="007706EA"/>
    <w:rsid w:val="007756B8"/>
    <w:rsid w:val="0078352C"/>
    <w:rsid w:val="0078388C"/>
    <w:rsid w:val="0078754C"/>
    <w:rsid w:val="007911D5"/>
    <w:rsid w:val="00793AE5"/>
    <w:rsid w:val="0079464A"/>
    <w:rsid w:val="007966FA"/>
    <w:rsid w:val="007A005C"/>
    <w:rsid w:val="007A6CBA"/>
    <w:rsid w:val="007B5CEC"/>
    <w:rsid w:val="007C02BE"/>
    <w:rsid w:val="007C03C0"/>
    <w:rsid w:val="007F7578"/>
    <w:rsid w:val="00801120"/>
    <w:rsid w:val="00813C85"/>
    <w:rsid w:val="008201A9"/>
    <w:rsid w:val="00830D38"/>
    <w:rsid w:val="00836B3B"/>
    <w:rsid w:val="00837530"/>
    <w:rsid w:val="00840530"/>
    <w:rsid w:val="00840636"/>
    <w:rsid w:val="008568A3"/>
    <w:rsid w:val="00861B1C"/>
    <w:rsid w:val="00861DEF"/>
    <w:rsid w:val="008649A1"/>
    <w:rsid w:val="00870939"/>
    <w:rsid w:val="0087457C"/>
    <w:rsid w:val="00881350"/>
    <w:rsid w:val="00887E1C"/>
    <w:rsid w:val="0089092C"/>
    <w:rsid w:val="008920D4"/>
    <w:rsid w:val="00893DC1"/>
    <w:rsid w:val="008B5D1B"/>
    <w:rsid w:val="008B6FB0"/>
    <w:rsid w:val="008C3E06"/>
    <w:rsid w:val="008C7298"/>
    <w:rsid w:val="008D3822"/>
    <w:rsid w:val="008F0108"/>
    <w:rsid w:val="008F0E77"/>
    <w:rsid w:val="008F7026"/>
    <w:rsid w:val="00901C25"/>
    <w:rsid w:val="00907EFF"/>
    <w:rsid w:val="009124C1"/>
    <w:rsid w:val="00913C44"/>
    <w:rsid w:val="00920247"/>
    <w:rsid w:val="00936480"/>
    <w:rsid w:val="0095785A"/>
    <w:rsid w:val="0096094F"/>
    <w:rsid w:val="009650F8"/>
    <w:rsid w:val="00975329"/>
    <w:rsid w:val="009832D4"/>
    <w:rsid w:val="00986DA0"/>
    <w:rsid w:val="009947B6"/>
    <w:rsid w:val="009A4A40"/>
    <w:rsid w:val="009A6DED"/>
    <w:rsid w:val="009B2B17"/>
    <w:rsid w:val="009B2D0D"/>
    <w:rsid w:val="009B394D"/>
    <w:rsid w:val="009D3D0B"/>
    <w:rsid w:val="009D3E1B"/>
    <w:rsid w:val="009E1EB0"/>
    <w:rsid w:val="009E314D"/>
    <w:rsid w:val="009F2E31"/>
    <w:rsid w:val="009F5AB9"/>
    <w:rsid w:val="009F66AB"/>
    <w:rsid w:val="00A02693"/>
    <w:rsid w:val="00A027C6"/>
    <w:rsid w:val="00A2393E"/>
    <w:rsid w:val="00A23EF5"/>
    <w:rsid w:val="00A27080"/>
    <w:rsid w:val="00A31644"/>
    <w:rsid w:val="00A5192B"/>
    <w:rsid w:val="00A61038"/>
    <w:rsid w:val="00A61E99"/>
    <w:rsid w:val="00A76E96"/>
    <w:rsid w:val="00A76F11"/>
    <w:rsid w:val="00A77D7B"/>
    <w:rsid w:val="00A82E82"/>
    <w:rsid w:val="00A93740"/>
    <w:rsid w:val="00A975D1"/>
    <w:rsid w:val="00AA086A"/>
    <w:rsid w:val="00AA7328"/>
    <w:rsid w:val="00AB79FC"/>
    <w:rsid w:val="00AC24CA"/>
    <w:rsid w:val="00AC2A99"/>
    <w:rsid w:val="00AC3A45"/>
    <w:rsid w:val="00AD6ED8"/>
    <w:rsid w:val="00AD7769"/>
    <w:rsid w:val="00AF3F12"/>
    <w:rsid w:val="00AF66BA"/>
    <w:rsid w:val="00AF7111"/>
    <w:rsid w:val="00B02E7A"/>
    <w:rsid w:val="00B058C3"/>
    <w:rsid w:val="00B13EBC"/>
    <w:rsid w:val="00B21094"/>
    <w:rsid w:val="00B4293E"/>
    <w:rsid w:val="00B44D4E"/>
    <w:rsid w:val="00B46BD3"/>
    <w:rsid w:val="00B724DF"/>
    <w:rsid w:val="00B737D7"/>
    <w:rsid w:val="00B8086B"/>
    <w:rsid w:val="00B90926"/>
    <w:rsid w:val="00BB1030"/>
    <w:rsid w:val="00BB5412"/>
    <w:rsid w:val="00BB56AC"/>
    <w:rsid w:val="00BD5049"/>
    <w:rsid w:val="00BF1E8F"/>
    <w:rsid w:val="00BF33CD"/>
    <w:rsid w:val="00BF4073"/>
    <w:rsid w:val="00C00515"/>
    <w:rsid w:val="00C01099"/>
    <w:rsid w:val="00C1226C"/>
    <w:rsid w:val="00C16FC6"/>
    <w:rsid w:val="00C31013"/>
    <w:rsid w:val="00C40A97"/>
    <w:rsid w:val="00C43460"/>
    <w:rsid w:val="00C44344"/>
    <w:rsid w:val="00C45481"/>
    <w:rsid w:val="00C55625"/>
    <w:rsid w:val="00C64400"/>
    <w:rsid w:val="00C709DC"/>
    <w:rsid w:val="00C96BA0"/>
    <w:rsid w:val="00CB3D52"/>
    <w:rsid w:val="00CC0806"/>
    <w:rsid w:val="00CC6290"/>
    <w:rsid w:val="00CD1E61"/>
    <w:rsid w:val="00CF0D04"/>
    <w:rsid w:val="00D04056"/>
    <w:rsid w:val="00D1240E"/>
    <w:rsid w:val="00D2608E"/>
    <w:rsid w:val="00D34F5D"/>
    <w:rsid w:val="00D47542"/>
    <w:rsid w:val="00D50B43"/>
    <w:rsid w:val="00D535EF"/>
    <w:rsid w:val="00D63889"/>
    <w:rsid w:val="00D64C91"/>
    <w:rsid w:val="00D70C71"/>
    <w:rsid w:val="00D760E9"/>
    <w:rsid w:val="00D816D0"/>
    <w:rsid w:val="00D86F64"/>
    <w:rsid w:val="00D9015F"/>
    <w:rsid w:val="00D96E4D"/>
    <w:rsid w:val="00DA0D94"/>
    <w:rsid w:val="00DB033A"/>
    <w:rsid w:val="00DB3769"/>
    <w:rsid w:val="00DD55EF"/>
    <w:rsid w:val="00DD798C"/>
    <w:rsid w:val="00DE2E98"/>
    <w:rsid w:val="00DE731E"/>
    <w:rsid w:val="00DE7E66"/>
    <w:rsid w:val="00DF37AE"/>
    <w:rsid w:val="00DF6A8A"/>
    <w:rsid w:val="00E0002F"/>
    <w:rsid w:val="00E03456"/>
    <w:rsid w:val="00E06EBF"/>
    <w:rsid w:val="00E103ED"/>
    <w:rsid w:val="00E20CA4"/>
    <w:rsid w:val="00E25B05"/>
    <w:rsid w:val="00E423DE"/>
    <w:rsid w:val="00E47DC4"/>
    <w:rsid w:val="00E47F26"/>
    <w:rsid w:val="00E507A0"/>
    <w:rsid w:val="00E53E3B"/>
    <w:rsid w:val="00E55872"/>
    <w:rsid w:val="00E74EC8"/>
    <w:rsid w:val="00E80A0D"/>
    <w:rsid w:val="00E97399"/>
    <w:rsid w:val="00EA0509"/>
    <w:rsid w:val="00EA1E22"/>
    <w:rsid w:val="00EA6438"/>
    <w:rsid w:val="00EC1162"/>
    <w:rsid w:val="00EC7161"/>
    <w:rsid w:val="00ED2C87"/>
    <w:rsid w:val="00ED7E78"/>
    <w:rsid w:val="00EE0268"/>
    <w:rsid w:val="00EE1856"/>
    <w:rsid w:val="00EE4E24"/>
    <w:rsid w:val="00F01BE5"/>
    <w:rsid w:val="00F12ED1"/>
    <w:rsid w:val="00F25C10"/>
    <w:rsid w:val="00F50FA8"/>
    <w:rsid w:val="00F70E3F"/>
    <w:rsid w:val="00F85E3C"/>
    <w:rsid w:val="00F94563"/>
    <w:rsid w:val="00FA1122"/>
    <w:rsid w:val="00FA1A26"/>
    <w:rsid w:val="00FB0670"/>
    <w:rsid w:val="00FB1840"/>
    <w:rsid w:val="00FB2747"/>
    <w:rsid w:val="00FB5A4F"/>
    <w:rsid w:val="00FC18BF"/>
    <w:rsid w:val="00FD1F47"/>
    <w:rsid w:val="00FF4B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7C5903D5-07DD-4252-8123-8460917B2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lang w:val="ru-RU" w:eastAsia="ru-RU"/>
    </w:rPr>
  </w:style>
  <w:style w:type="paragraph" w:styleId="2">
    <w:name w:val="heading 2"/>
    <w:basedOn w:val="a"/>
    <w:link w:val="20"/>
    <w:qFormat/>
    <w:rsid w:val="008C7298"/>
    <w:pPr>
      <w:spacing w:before="100" w:beforeAutospacing="1" w:after="100" w:afterAutospacing="1"/>
      <w:outlineLvl w:val="1"/>
    </w:pPr>
    <w:rPr>
      <w:b/>
      <w:bCs/>
      <w:sz w:val="36"/>
      <w:szCs w:val="36"/>
    </w:rPr>
  </w:style>
  <w:style w:type="character" w:default="1" w:styleId="a0">
    <w:name w:val="Шрифт абзацу за промовчанням"/>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5">
    <w:name w:val=" Знак Знак5 Знак Знак"/>
    <w:basedOn w:val="a"/>
    <w:rsid w:val="007429D2"/>
    <w:rPr>
      <w:rFonts w:ascii="Verdana" w:hAnsi="Verdana" w:cs="Verdana"/>
      <w:sz w:val="20"/>
      <w:szCs w:val="20"/>
      <w:lang w:val="en-US" w:eastAsia="en-US"/>
    </w:rPr>
  </w:style>
  <w:style w:type="paragraph" w:customStyle="1" w:styleId="a3">
    <w:name w:val="Назва документа"/>
    <w:basedOn w:val="a"/>
    <w:next w:val="a"/>
    <w:rsid w:val="00360A42"/>
    <w:pPr>
      <w:keepNext/>
      <w:keepLines/>
      <w:spacing w:before="360" w:after="360"/>
      <w:jc w:val="center"/>
    </w:pPr>
    <w:rPr>
      <w:rFonts w:ascii="Antiqua" w:hAnsi="Antiqua"/>
      <w:b/>
      <w:sz w:val="26"/>
      <w:szCs w:val="20"/>
      <w:lang w:val="uk-UA"/>
    </w:rPr>
  </w:style>
  <w:style w:type="paragraph" w:customStyle="1" w:styleId="1">
    <w:name w:val="Знак Знак Знак1 Знак Знак Знак"/>
    <w:basedOn w:val="a"/>
    <w:link w:val="a0"/>
    <w:rsid w:val="00360A42"/>
    <w:rPr>
      <w:rFonts w:ascii="Verdana" w:hAnsi="Verdana" w:cs="Verdana"/>
      <w:sz w:val="20"/>
      <w:szCs w:val="20"/>
      <w:lang w:val="en-US" w:eastAsia="en-US"/>
    </w:rPr>
  </w:style>
  <w:style w:type="character" w:styleId="a4">
    <w:name w:val="Hyperlink"/>
    <w:unhideWhenUsed/>
    <w:rsid w:val="00DD798C"/>
    <w:rPr>
      <w:color w:val="0000FF"/>
      <w:u w:val="single"/>
    </w:rPr>
  </w:style>
  <w:style w:type="paragraph" w:customStyle="1" w:styleId="rvps2">
    <w:name w:val="rvps2"/>
    <w:basedOn w:val="a"/>
    <w:rsid w:val="00077267"/>
    <w:pPr>
      <w:spacing w:before="100" w:beforeAutospacing="1" w:after="100" w:afterAutospacing="1"/>
    </w:pPr>
    <w:rPr>
      <w:lang w:val="uk-UA" w:eastAsia="uk-UA"/>
    </w:rPr>
  </w:style>
  <w:style w:type="character" w:customStyle="1" w:styleId="20">
    <w:name w:val="Заголовок 2 Знак"/>
    <w:link w:val="2"/>
    <w:rsid w:val="004C22C9"/>
    <w:rPr>
      <w:b/>
      <w:bCs/>
      <w:sz w:val="36"/>
      <w:szCs w:val="36"/>
      <w:lang w:val="ru-RU" w:eastAsia="ru-RU"/>
    </w:rPr>
  </w:style>
  <w:style w:type="character" w:styleId="a5">
    <w:name w:val="Emphasis"/>
    <w:uiPriority w:val="20"/>
    <w:qFormat/>
    <w:rsid w:val="00B724DF"/>
    <w:rPr>
      <w:i/>
      <w:iCs/>
    </w:rPr>
  </w:style>
  <w:style w:type="character" w:styleId="a6">
    <w:name w:val="Unresolved Mention"/>
    <w:uiPriority w:val="99"/>
    <w:semiHidden/>
    <w:unhideWhenUsed/>
    <w:rsid w:val="000B575C"/>
    <w:rPr>
      <w:color w:val="605E5C"/>
      <w:shd w:val="clear" w:color="auto" w:fill="E1DFDD"/>
    </w:rPr>
  </w:style>
  <w:style w:type="character" w:styleId="a7">
    <w:name w:val="annotation reference"/>
    <w:rsid w:val="00626E5C"/>
    <w:rPr>
      <w:sz w:val="16"/>
      <w:szCs w:val="16"/>
    </w:rPr>
  </w:style>
  <w:style w:type="paragraph" w:styleId="a8">
    <w:name w:val="annotation text"/>
    <w:basedOn w:val="a"/>
    <w:link w:val="a9"/>
    <w:rsid w:val="00626E5C"/>
    <w:rPr>
      <w:sz w:val="20"/>
      <w:szCs w:val="20"/>
    </w:rPr>
  </w:style>
  <w:style w:type="character" w:customStyle="1" w:styleId="a9">
    <w:name w:val="Текст примітки Знак"/>
    <w:link w:val="a8"/>
    <w:rsid w:val="00626E5C"/>
    <w:rPr>
      <w:lang w:val="ru-RU" w:eastAsia="ru-RU"/>
    </w:rPr>
  </w:style>
  <w:style w:type="paragraph" w:styleId="aa">
    <w:name w:val="annotation subject"/>
    <w:basedOn w:val="a8"/>
    <w:next w:val="a8"/>
    <w:link w:val="ab"/>
    <w:rsid w:val="00626E5C"/>
    <w:rPr>
      <w:b/>
      <w:bCs/>
    </w:rPr>
  </w:style>
  <w:style w:type="character" w:customStyle="1" w:styleId="ab">
    <w:name w:val="Тема примітки Знак"/>
    <w:link w:val="aa"/>
    <w:rsid w:val="00626E5C"/>
    <w:rPr>
      <w:b/>
      <w:bCs/>
      <w:lang w:val="ru-RU" w:eastAsia="ru-RU"/>
    </w:rPr>
  </w:style>
  <w:style w:type="paragraph" w:styleId="ac">
    <w:name w:val="Balloon Text"/>
    <w:basedOn w:val="a"/>
    <w:link w:val="ad"/>
    <w:rsid w:val="00626E5C"/>
    <w:rPr>
      <w:rFonts w:ascii="Segoe UI" w:hAnsi="Segoe UI" w:cs="Segoe UI"/>
      <w:sz w:val="18"/>
      <w:szCs w:val="18"/>
    </w:rPr>
  </w:style>
  <w:style w:type="character" w:customStyle="1" w:styleId="ad">
    <w:name w:val="Текст у виносці Знак"/>
    <w:link w:val="ac"/>
    <w:rsid w:val="00626E5C"/>
    <w:rPr>
      <w:rFonts w:ascii="Segoe UI" w:hAnsi="Segoe UI" w:cs="Segoe UI"/>
      <w:sz w:val="18"/>
      <w:szCs w:val="18"/>
      <w:lang w:val="ru-RU" w:eastAsia="ru-RU"/>
    </w:rPr>
  </w:style>
  <w:style w:type="paragraph" w:styleId="ae">
    <w:name w:val="Body Text"/>
    <w:basedOn w:val="a"/>
    <w:link w:val="af"/>
    <w:rsid w:val="003228A9"/>
    <w:pPr>
      <w:ind w:right="3968"/>
      <w:jc w:val="both"/>
    </w:pPr>
    <w:rPr>
      <w:sz w:val="28"/>
      <w:szCs w:val="20"/>
      <w:lang w:val="uk-UA"/>
    </w:rPr>
  </w:style>
  <w:style w:type="character" w:customStyle="1" w:styleId="af">
    <w:name w:val="Основний текст Знак"/>
    <w:link w:val="ae"/>
    <w:rsid w:val="003228A9"/>
    <w:rPr>
      <w:sz w:val="28"/>
      <w:lang w:eastAsia="ru-RU"/>
    </w:rPr>
  </w:style>
  <w:style w:type="paragraph" w:styleId="af0">
    <w:name w:val="Normal (Web)"/>
    <w:aliases w:val="Знак12 Знак,Обычный (веб) Знак1 Знак Знак Знак,Обычный (веб) Знак Знак1 Знак Знак Знак,Знак12 Знак Знак1 Знак Знак Знак,Обычный (веб) Знак Знак Знак1 Знак Знак Знак,Обычный (веб) Знак1 Знак Знак"/>
    <w:basedOn w:val="a"/>
    <w:link w:val="af1"/>
    <w:uiPriority w:val="99"/>
    <w:unhideWhenUsed/>
    <w:rsid w:val="0066759F"/>
    <w:rPr>
      <w:lang w:val="uk-UA"/>
    </w:rPr>
  </w:style>
  <w:style w:type="character" w:customStyle="1" w:styleId="af1">
    <w:name w:val="Звичайний (веб) Знак"/>
    <w:aliases w:val="Знак12 Знак Знак,Обычный (веб) Знак1 Знак Знак Знак Знак,Обычный (веб) Знак Знак1 Знак Знак Знак Знак,Знак12 Знак Знак1 Знак Знак Знак Знак,Обычный (веб) Знак Знак Знак1 Знак Знак Знак Знак,Обычный (веб) Знак1 Знак Знак Знак1"/>
    <w:link w:val="af0"/>
    <w:uiPriority w:val="99"/>
    <w:locked/>
    <w:rsid w:val="00E103ED"/>
    <w:rPr>
      <w:sz w:val="24"/>
      <w:szCs w:val="24"/>
      <w:lang w:eastAsia="ru-RU"/>
    </w:rPr>
  </w:style>
  <w:style w:type="paragraph" w:styleId="af2">
    <w:name w:val="header"/>
    <w:basedOn w:val="a"/>
    <w:link w:val="af3"/>
    <w:uiPriority w:val="99"/>
    <w:rsid w:val="00FB0670"/>
    <w:pPr>
      <w:tabs>
        <w:tab w:val="center" w:pos="4819"/>
        <w:tab w:val="right" w:pos="9639"/>
      </w:tabs>
    </w:pPr>
  </w:style>
  <w:style w:type="character" w:customStyle="1" w:styleId="af3">
    <w:name w:val="Верхній колонтитул Знак"/>
    <w:link w:val="af2"/>
    <w:uiPriority w:val="99"/>
    <w:rsid w:val="00FB0670"/>
    <w:rPr>
      <w:sz w:val="24"/>
      <w:szCs w:val="24"/>
      <w:lang w:val="ru-RU" w:eastAsia="ru-RU"/>
    </w:rPr>
  </w:style>
  <w:style w:type="paragraph" w:styleId="af4">
    <w:name w:val="footer"/>
    <w:basedOn w:val="a"/>
    <w:link w:val="af5"/>
    <w:rsid w:val="00FB0670"/>
    <w:pPr>
      <w:tabs>
        <w:tab w:val="center" w:pos="4819"/>
        <w:tab w:val="right" w:pos="9639"/>
      </w:tabs>
    </w:pPr>
  </w:style>
  <w:style w:type="character" w:customStyle="1" w:styleId="af5">
    <w:name w:val="Нижній колонтитул Знак"/>
    <w:link w:val="af4"/>
    <w:rsid w:val="00FB0670"/>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93915">
      <w:bodyDiv w:val="1"/>
      <w:marLeft w:val="0"/>
      <w:marRight w:val="0"/>
      <w:marTop w:val="0"/>
      <w:marBottom w:val="0"/>
      <w:divBdr>
        <w:top w:val="none" w:sz="0" w:space="0" w:color="auto"/>
        <w:left w:val="none" w:sz="0" w:space="0" w:color="auto"/>
        <w:bottom w:val="none" w:sz="0" w:space="0" w:color="auto"/>
        <w:right w:val="none" w:sz="0" w:space="0" w:color="auto"/>
      </w:divBdr>
    </w:div>
    <w:div w:id="295188878">
      <w:bodyDiv w:val="1"/>
      <w:marLeft w:val="0"/>
      <w:marRight w:val="0"/>
      <w:marTop w:val="0"/>
      <w:marBottom w:val="0"/>
      <w:divBdr>
        <w:top w:val="none" w:sz="0" w:space="0" w:color="auto"/>
        <w:left w:val="none" w:sz="0" w:space="0" w:color="auto"/>
        <w:bottom w:val="none" w:sz="0" w:space="0" w:color="auto"/>
        <w:right w:val="none" w:sz="0" w:space="0" w:color="auto"/>
      </w:divBdr>
    </w:div>
    <w:div w:id="608509976">
      <w:bodyDiv w:val="1"/>
      <w:marLeft w:val="0"/>
      <w:marRight w:val="0"/>
      <w:marTop w:val="0"/>
      <w:marBottom w:val="0"/>
      <w:divBdr>
        <w:top w:val="none" w:sz="0" w:space="0" w:color="auto"/>
        <w:left w:val="none" w:sz="0" w:space="0" w:color="auto"/>
        <w:bottom w:val="none" w:sz="0" w:space="0" w:color="auto"/>
        <w:right w:val="none" w:sz="0" w:space="0" w:color="auto"/>
      </w:divBdr>
      <w:divsChild>
        <w:div w:id="582177542">
          <w:marLeft w:val="0"/>
          <w:marRight w:val="0"/>
          <w:marTop w:val="0"/>
          <w:marBottom w:val="0"/>
          <w:divBdr>
            <w:top w:val="none" w:sz="0" w:space="0" w:color="auto"/>
            <w:left w:val="none" w:sz="0" w:space="0" w:color="auto"/>
            <w:bottom w:val="none" w:sz="0" w:space="0" w:color="auto"/>
            <w:right w:val="none" w:sz="0" w:space="0" w:color="auto"/>
          </w:divBdr>
          <w:divsChild>
            <w:div w:id="3941491">
              <w:marLeft w:val="0"/>
              <w:marRight w:val="0"/>
              <w:marTop w:val="0"/>
              <w:marBottom w:val="0"/>
              <w:divBdr>
                <w:top w:val="none" w:sz="0" w:space="0" w:color="auto"/>
                <w:left w:val="none" w:sz="0" w:space="0" w:color="auto"/>
                <w:bottom w:val="none" w:sz="0" w:space="0" w:color="auto"/>
                <w:right w:val="none" w:sz="0" w:space="0" w:color="auto"/>
              </w:divBdr>
            </w:div>
            <w:div w:id="101846692">
              <w:marLeft w:val="0"/>
              <w:marRight w:val="0"/>
              <w:marTop w:val="0"/>
              <w:marBottom w:val="0"/>
              <w:divBdr>
                <w:top w:val="none" w:sz="0" w:space="0" w:color="auto"/>
                <w:left w:val="none" w:sz="0" w:space="0" w:color="auto"/>
                <w:bottom w:val="none" w:sz="0" w:space="0" w:color="auto"/>
                <w:right w:val="none" w:sz="0" w:space="0" w:color="auto"/>
              </w:divBdr>
            </w:div>
            <w:div w:id="165024767">
              <w:marLeft w:val="0"/>
              <w:marRight w:val="0"/>
              <w:marTop w:val="0"/>
              <w:marBottom w:val="0"/>
              <w:divBdr>
                <w:top w:val="none" w:sz="0" w:space="0" w:color="auto"/>
                <w:left w:val="none" w:sz="0" w:space="0" w:color="auto"/>
                <w:bottom w:val="none" w:sz="0" w:space="0" w:color="auto"/>
                <w:right w:val="none" w:sz="0" w:space="0" w:color="auto"/>
              </w:divBdr>
            </w:div>
            <w:div w:id="233275112">
              <w:marLeft w:val="0"/>
              <w:marRight w:val="0"/>
              <w:marTop w:val="0"/>
              <w:marBottom w:val="0"/>
              <w:divBdr>
                <w:top w:val="none" w:sz="0" w:space="0" w:color="auto"/>
                <w:left w:val="none" w:sz="0" w:space="0" w:color="auto"/>
                <w:bottom w:val="none" w:sz="0" w:space="0" w:color="auto"/>
                <w:right w:val="none" w:sz="0" w:space="0" w:color="auto"/>
              </w:divBdr>
            </w:div>
            <w:div w:id="243951753">
              <w:marLeft w:val="0"/>
              <w:marRight w:val="0"/>
              <w:marTop w:val="0"/>
              <w:marBottom w:val="0"/>
              <w:divBdr>
                <w:top w:val="none" w:sz="0" w:space="0" w:color="auto"/>
                <w:left w:val="none" w:sz="0" w:space="0" w:color="auto"/>
                <w:bottom w:val="none" w:sz="0" w:space="0" w:color="auto"/>
                <w:right w:val="none" w:sz="0" w:space="0" w:color="auto"/>
              </w:divBdr>
            </w:div>
            <w:div w:id="244993055">
              <w:marLeft w:val="0"/>
              <w:marRight w:val="0"/>
              <w:marTop w:val="0"/>
              <w:marBottom w:val="0"/>
              <w:divBdr>
                <w:top w:val="none" w:sz="0" w:space="0" w:color="auto"/>
                <w:left w:val="none" w:sz="0" w:space="0" w:color="auto"/>
                <w:bottom w:val="none" w:sz="0" w:space="0" w:color="auto"/>
                <w:right w:val="none" w:sz="0" w:space="0" w:color="auto"/>
              </w:divBdr>
            </w:div>
            <w:div w:id="253245110">
              <w:marLeft w:val="0"/>
              <w:marRight w:val="0"/>
              <w:marTop w:val="0"/>
              <w:marBottom w:val="0"/>
              <w:divBdr>
                <w:top w:val="none" w:sz="0" w:space="0" w:color="auto"/>
                <w:left w:val="none" w:sz="0" w:space="0" w:color="auto"/>
                <w:bottom w:val="none" w:sz="0" w:space="0" w:color="auto"/>
                <w:right w:val="none" w:sz="0" w:space="0" w:color="auto"/>
              </w:divBdr>
            </w:div>
            <w:div w:id="291328738">
              <w:marLeft w:val="0"/>
              <w:marRight w:val="0"/>
              <w:marTop w:val="0"/>
              <w:marBottom w:val="0"/>
              <w:divBdr>
                <w:top w:val="none" w:sz="0" w:space="0" w:color="auto"/>
                <w:left w:val="none" w:sz="0" w:space="0" w:color="auto"/>
                <w:bottom w:val="none" w:sz="0" w:space="0" w:color="auto"/>
                <w:right w:val="none" w:sz="0" w:space="0" w:color="auto"/>
              </w:divBdr>
            </w:div>
            <w:div w:id="293028354">
              <w:marLeft w:val="0"/>
              <w:marRight w:val="0"/>
              <w:marTop w:val="0"/>
              <w:marBottom w:val="0"/>
              <w:divBdr>
                <w:top w:val="none" w:sz="0" w:space="0" w:color="auto"/>
                <w:left w:val="none" w:sz="0" w:space="0" w:color="auto"/>
                <w:bottom w:val="none" w:sz="0" w:space="0" w:color="auto"/>
                <w:right w:val="none" w:sz="0" w:space="0" w:color="auto"/>
              </w:divBdr>
            </w:div>
            <w:div w:id="330136474">
              <w:marLeft w:val="0"/>
              <w:marRight w:val="0"/>
              <w:marTop w:val="0"/>
              <w:marBottom w:val="0"/>
              <w:divBdr>
                <w:top w:val="none" w:sz="0" w:space="0" w:color="auto"/>
                <w:left w:val="none" w:sz="0" w:space="0" w:color="auto"/>
                <w:bottom w:val="none" w:sz="0" w:space="0" w:color="auto"/>
                <w:right w:val="none" w:sz="0" w:space="0" w:color="auto"/>
              </w:divBdr>
            </w:div>
            <w:div w:id="340475917">
              <w:marLeft w:val="0"/>
              <w:marRight w:val="0"/>
              <w:marTop w:val="0"/>
              <w:marBottom w:val="0"/>
              <w:divBdr>
                <w:top w:val="none" w:sz="0" w:space="0" w:color="auto"/>
                <w:left w:val="none" w:sz="0" w:space="0" w:color="auto"/>
                <w:bottom w:val="none" w:sz="0" w:space="0" w:color="auto"/>
                <w:right w:val="none" w:sz="0" w:space="0" w:color="auto"/>
              </w:divBdr>
            </w:div>
            <w:div w:id="450636652">
              <w:marLeft w:val="0"/>
              <w:marRight w:val="0"/>
              <w:marTop w:val="0"/>
              <w:marBottom w:val="0"/>
              <w:divBdr>
                <w:top w:val="none" w:sz="0" w:space="0" w:color="auto"/>
                <w:left w:val="none" w:sz="0" w:space="0" w:color="auto"/>
                <w:bottom w:val="none" w:sz="0" w:space="0" w:color="auto"/>
                <w:right w:val="none" w:sz="0" w:space="0" w:color="auto"/>
              </w:divBdr>
            </w:div>
            <w:div w:id="453402541">
              <w:marLeft w:val="0"/>
              <w:marRight w:val="0"/>
              <w:marTop w:val="0"/>
              <w:marBottom w:val="0"/>
              <w:divBdr>
                <w:top w:val="none" w:sz="0" w:space="0" w:color="auto"/>
                <w:left w:val="none" w:sz="0" w:space="0" w:color="auto"/>
                <w:bottom w:val="none" w:sz="0" w:space="0" w:color="auto"/>
                <w:right w:val="none" w:sz="0" w:space="0" w:color="auto"/>
              </w:divBdr>
            </w:div>
            <w:div w:id="465006413">
              <w:marLeft w:val="0"/>
              <w:marRight w:val="0"/>
              <w:marTop w:val="0"/>
              <w:marBottom w:val="0"/>
              <w:divBdr>
                <w:top w:val="none" w:sz="0" w:space="0" w:color="auto"/>
                <w:left w:val="none" w:sz="0" w:space="0" w:color="auto"/>
                <w:bottom w:val="none" w:sz="0" w:space="0" w:color="auto"/>
                <w:right w:val="none" w:sz="0" w:space="0" w:color="auto"/>
              </w:divBdr>
            </w:div>
            <w:div w:id="470904425">
              <w:marLeft w:val="0"/>
              <w:marRight w:val="0"/>
              <w:marTop w:val="0"/>
              <w:marBottom w:val="0"/>
              <w:divBdr>
                <w:top w:val="none" w:sz="0" w:space="0" w:color="auto"/>
                <w:left w:val="none" w:sz="0" w:space="0" w:color="auto"/>
                <w:bottom w:val="none" w:sz="0" w:space="0" w:color="auto"/>
                <w:right w:val="none" w:sz="0" w:space="0" w:color="auto"/>
              </w:divBdr>
            </w:div>
            <w:div w:id="515461281">
              <w:marLeft w:val="0"/>
              <w:marRight w:val="0"/>
              <w:marTop w:val="0"/>
              <w:marBottom w:val="0"/>
              <w:divBdr>
                <w:top w:val="none" w:sz="0" w:space="0" w:color="auto"/>
                <w:left w:val="none" w:sz="0" w:space="0" w:color="auto"/>
                <w:bottom w:val="none" w:sz="0" w:space="0" w:color="auto"/>
                <w:right w:val="none" w:sz="0" w:space="0" w:color="auto"/>
              </w:divBdr>
            </w:div>
            <w:div w:id="531185179">
              <w:marLeft w:val="0"/>
              <w:marRight w:val="0"/>
              <w:marTop w:val="0"/>
              <w:marBottom w:val="0"/>
              <w:divBdr>
                <w:top w:val="none" w:sz="0" w:space="0" w:color="auto"/>
                <w:left w:val="none" w:sz="0" w:space="0" w:color="auto"/>
                <w:bottom w:val="none" w:sz="0" w:space="0" w:color="auto"/>
                <w:right w:val="none" w:sz="0" w:space="0" w:color="auto"/>
              </w:divBdr>
            </w:div>
            <w:div w:id="533277888">
              <w:marLeft w:val="0"/>
              <w:marRight w:val="0"/>
              <w:marTop w:val="0"/>
              <w:marBottom w:val="0"/>
              <w:divBdr>
                <w:top w:val="none" w:sz="0" w:space="0" w:color="auto"/>
                <w:left w:val="none" w:sz="0" w:space="0" w:color="auto"/>
                <w:bottom w:val="none" w:sz="0" w:space="0" w:color="auto"/>
                <w:right w:val="none" w:sz="0" w:space="0" w:color="auto"/>
              </w:divBdr>
            </w:div>
            <w:div w:id="582421615">
              <w:marLeft w:val="0"/>
              <w:marRight w:val="0"/>
              <w:marTop w:val="0"/>
              <w:marBottom w:val="0"/>
              <w:divBdr>
                <w:top w:val="none" w:sz="0" w:space="0" w:color="auto"/>
                <w:left w:val="none" w:sz="0" w:space="0" w:color="auto"/>
                <w:bottom w:val="none" w:sz="0" w:space="0" w:color="auto"/>
                <w:right w:val="none" w:sz="0" w:space="0" w:color="auto"/>
              </w:divBdr>
            </w:div>
            <w:div w:id="585189029">
              <w:marLeft w:val="0"/>
              <w:marRight w:val="0"/>
              <w:marTop w:val="0"/>
              <w:marBottom w:val="0"/>
              <w:divBdr>
                <w:top w:val="none" w:sz="0" w:space="0" w:color="auto"/>
                <w:left w:val="none" w:sz="0" w:space="0" w:color="auto"/>
                <w:bottom w:val="none" w:sz="0" w:space="0" w:color="auto"/>
                <w:right w:val="none" w:sz="0" w:space="0" w:color="auto"/>
              </w:divBdr>
            </w:div>
            <w:div w:id="634332558">
              <w:marLeft w:val="0"/>
              <w:marRight w:val="0"/>
              <w:marTop w:val="0"/>
              <w:marBottom w:val="0"/>
              <w:divBdr>
                <w:top w:val="none" w:sz="0" w:space="0" w:color="auto"/>
                <w:left w:val="none" w:sz="0" w:space="0" w:color="auto"/>
                <w:bottom w:val="none" w:sz="0" w:space="0" w:color="auto"/>
                <w:right w:val="none" w:sz="0" w:space="0" w:color="auto"/>
              </w:divBdr>
            </w:div>
            <w:div w:id="691539341">
              <w:marLeft w:val="0"/>
              <w:marRight w:val="0"/>
              <w:marTop w:val="0"/>
              <w:marBottom w:val="0"/>
              <w:divBdr>
                <w:top w:val="none" w:sz="0" w:space="0" w:color="auto"/>
                <w:left w:val="none" w:sz="0" w:space="0" w:color="auto"/>
                <w:bottom w:val="none" w:sz="0" w:space="0" w:color="auto"/>
                <w:right w:val="none" w:sz="0" w:space="0" w:color="auto"/>
              </w:divBdr>
            </w:div>
            <w:div w:id="744912118">
              <w:marLeft w:val="0"/>
              <w:marRight w:val="0"/>
              <w:marTop w:val="0"/>
              <w:marBottom w:val="0"/>
              <w:divBdr>
                <w:top w:val="none" w:sz="0" w:space="0" w:color="auto"/>
                <w:left w:val="none" w:sz="0" w:space="0" w:color="auto"/>
                <w:bottom w:val="none" w:sz="0" w:space="0" w:color="auto"/>
                <w:right w:val="none" w:sz="0" w:space="0" w:color="auto"/>
              </w:divBdr>
            </w:div>
            <w:div w:id="747655577">
              <w:marLeft w:val="0"/>
              <w:marRight w:val="0"/>
              <w:marTop w:val="0"/>
              <w:marBottom w:val="0"/>
              <w:divBdr>
                <w:top w:val="none" w:sz="0" w:space="0" w:color="auto"/>
                <w:left w:val="none" w:sz="0" w:space="0" w:color="auto"/>
                <w:bottom w:val="none" w:sz="0" w:space="0" w:color="auto"/>
                <w:right w:val="none" w:sz="0" w:space="0" w:color="auto"/>
              </w:divBdr>
            </w:div>
            <w:div w:id="782335995">
              <w:marLeft w:val="0"/>
              <w:marRight w:val="0"/>
              <w:marTop w:val="0"/>
              <w:marBottom w:val="0"/>
              <w:divBdr>
                <w:top w:val="none" w:sz="0" w:space="0" w:color="auto"/>
                <w:left w:val="none" w:sz="0" w:space="0" w:color="auto"/>
                <w:bottom w:val="none" w:sz="0" w:space="0" w:color="auto"/>
                <w:right w:val="none" w:sz="0" w:space="0" w:color="auto"/>
              </w:divBdr>
            </w:div>
            <w:div w:id="860430983">
              <w:marLeft w:val="0"/>
              <w:marRight w:val="0"/>
              <w:marTop w:val="0"/>
              <w:marBottom w:val="0"/>
              <w:divBdr>
                <w:top w:val="none" w:sz="0" w:space="0" w:color="auto"/>
                <w:left w:val="none" w:sz="0" w:space="0" w:color="auto"/>
                <w:bottom w:val="none" w:sz="0" w:space="0" w:color="auto"/>
                <w:right w:val="none" w:sz="0" w:space="0" w:color="auto"/>
              </w:divBdr>
            </w:div>
            <w:div w:id="887381360">
              <w:marLeft w:val="0"/>
              <w:marRight w:val="0"/>
              <w:marTop w:val="0"/>
              <w:marBottom w:val="0"/>
              <w:divBdr>
                <w:top w:val="none" w:sz="0" w:space="0" w:color="auto"/>
                <w:left w:val="none" w:sz="0" w:space="0" w:color="auto"/>
                <w:bottom w:val="none" w:sz="0" w:space="0" w:color="auto"/>
                <w:right w:val="none" w:sz="0" w:space="0" w:color="auto"/>
              </w:divBdr>
            </w:div>
            <w:div w:id="932517187">
              <w:marLeft w:val="0"/>
              <w:marRight w:val="0"/>
              <w:marTop w:val="0"/>
              <w:marBottom w:val="0"/>
              <w:divBdr>
                <w:top w:val="none" w:sz="0" w:space="0" w:color="auto"/>
                <w:left w:val="none" w:sz="0" w:space="0" w:color="auto"/>
                <w:bottom w:val="none" w:sz="0" w:space="0" w:color="auto"/>
                <w:right w:val="none" w:sz="0" w:space="0" w:color="auto"/>
              </w:divBdr>
            </w:div>
            <w:div w:id="967853343">
              <w:marLeft w:val="0"/>
              <w:marRight w:val="0"/>
              <w:marTop w:val="0"/>
              <w:marBottom w:val="0"/>
              <w:divBdr>
                <w:top w:val="none" w:sz="0" w:space="0" w:color="auto"/>
                <w:left w:val="none" w:sz="0" w:space="0" w:color="auto"/>
                <w:bottom w:val="none" w:sz="0" w:space="0" w:color="auto"/>
                <w:right w:val="none" w:sz="0" w:space="0" w:color="auto"/>
              </w:divBdr>
            </w:div>
            <w:div w:id="995571343">
              <w:marLeft w:val="0"/>
              <w:marRight w:val="0"/>
              <w:marTop w:val="0"/>
              <w:marBottom w:val="0"/>
              <w:divBdr>
                <w:top w:val="none" w:sz="0" w:space="0" w:color="auto"/>
                <w:left w:val="none" w:sz="0" w:space="0" w:color="auto"/>
                <w:bottom w:val="none" w:sz="0" w:space="0" w:color="auto"/>
                <w:right w:val="none" w:sz="0" w:space="0" w:color="auto"/>
              </w:divBdr>
            </w:div>
            <w:div w:id="1004667731">
              <w:marLeft w:val="0"/>
              <w:marRight w:val="0"/>
              <w:marTop w:val="0"/>
              <w:marBottom w:val="0"/>
              <w:divBdr>
                <w:top w:val="none" w:sz="0" w:space="0" w:color="auto"/>
                <w:left w:val="none" w:sz="0" w:space="0" w:color="auto"/>
                <w:bottom w:val="none" w:sz="0" w:space="0" w:color="auto"/>
                <w:right w:val="none" w:sz="0" w:space="0" w:color="auto"/>
              </w:divBdr>
            </w:div>
            <w:div w:id="1105072337">
              <w:marLeft w:val="0"/>
              <w:marRight w:val="0"/>
              <w:marTop w:val="0"/>
              <w:marBottom w:val="0"/>
              <w:divBdr>
                <w:top w:val="none" w:sz="0" w:space="0" w:color="auto"/>
                <w:left w:val="none" w:sz="0" w:space="0" w:color="auto"/>
                <w:bottom w:val="none" w:sz="0" w:space="0" w:color="auto"/>
                <w:right w:val="none" w:sz="0" w:space="0" w:color="auto"/>
              </w:divBdr>
            </w:div>
            <w:div w:id="1107190180">
              <w:marLeft w:val="0"/>
              <w:marRight w:val="0"/>
              <w:marTop w:val="0"/>
              <w:marBottom w:val="0"/>
              <w:divBdr>
                <w:top w:val="none" w:sz="0" w:space="0" w:color="auto"/>
                <w:left w:val="none" w:sz="0" w:space="0" w:color="auto"/>
                <w:bottom w:val="none" w:sz="0" w:space="0" w:color="auto"/>
                <w:right w:val="none" w:sz="0" w:space="0" w:color="auto"/>
              </w:divBdr>
            </w:div>
            <w:div w:id="1107776058">
              <w:marLeft w:val="0"/>
              <w:marRight w:val="0"/>
              <w:marTop w:val="0"/>
              <w:marBottom w:val="0"/>
              <w:divBdr>
                <w:top w:val="none" w:sz="0" w:space="0" w:color="auto"/>
                <w:left w:val="none" w:sz="0" w:space="0" w:color="auto"/>
                <w:bottom w:val="none" w:sz="0" w:space="0" w:color="auto"/>
                <w:right w:val="none" w:sz="0" w:space="0" w:color="auto"/>
              </w:divBdr>
            </w:div>
            <w:div w:id="1117799069">
              <w:marLeft w:val="0"/>
              <w:marRight w:val="0"/>
              <w:marTop w:val="0"/>
              <w:marBottom w:val="0"/>
              <w:divBdr>
                <w:top w:val="none" w:sz="0" w:space="0" w:color="auto"/>
                <w:left w:val="none" w:sz="0" w:space="0" w:color="auto"/>
                <w:bottom w:val="none" w:sz="0" w:space="0" w:color="auto"/>
                <w:right w:val="none" w:sz="0" w:space="0" w:color="auto"/>
              </w:divBdr>
            </w:div>
            <w:div w:id="1157767331">
              <w:marLeft w:val="0"/>
              <w:marRight w:val="0"/>
              <w:marTop w:val="0"/>
              <w:marBottom w:val="0"/>
              <w:divBdr>
                <w:top w:val="none" w:sz="0" w:space="0" w:color="auto"/>
                <w:left w:val="none" w:sz="0" w:space="0" w:color="auto"/>
                <w:bottom w:val="none" w:sz="0" w:space="0" w:color="auto"/>
                <w:right w:val="none" w:sz="0" w:space="0" w:color="auto"/>
              </w:divBdr>
            </w:div>
            <w:div w:id="1220169850">
              <w:marLeft w:val="0"/>
              <w:marRight w:val="0"/>
              <w:marTop w:val="0"/>
              <w:marBottom w:val="0"/>
              <w:divBdr>
                <w:top w:val="none" w:sz="0" w:space="0" w:color="auto"/>
                <w:left w:val="none" w:sz="0" w:space="0" w:color="auto"/>
                <w:bottom w:val="none" w:sz="0" w:space="0" w:color="auto"/>
                <w:right w:val="none" w:sz="0" w:space="0" w:color="auto"/>
              </w:divBdr>
            </w:div>
            <w:div w:id="1235358057">
              <w:marLeft w:val="0"/>
              <w:marRight w:val="0"/>
              <w:marTop w:val="0"/>
              <w:marBottom w:val="0"/>
              <w:divBdr>
                <w:top w:val="none" w:sz="0" w:space="0" w:color="auto"/>
                <w:left w:val="none" w:sz="0" w:space="0" w:color="auto"/>
                <w:bottom w:val="none" w:sz="0" w:space="0" w:color="auto"/>
                <w:right w:val="none" w:sz="0" w:space="0" w:color="auto"/>
              </w:divBdr>
            </w:div>
            <w:div w:id="1335107476">
              <w:marLeft w:val="0"/>
              <w:marRight w:val="0"/>
              <w:marTop w:val="0"/>
              <w:marBottom w:val="0"/>
              <w:divBdr>
                <w:top w:val="none" w:sz="0" w:space="0" w:color="auto"/>
                <w:left w:val="none" w:sz="0" w:space="0" w:color="auto"/>
                <w:bottom w:val="none" w:sz="0" w:space="0" w:color="auto"/>
                <w:right w:val="none" w:sz="0" w:space="0" w:color="auto"/>
              </w:divBdr>
            </w:div>
            <w:div w:id="1339194601">
              <w:marLeft w:val="0"/>
              <w:marRight w:val="0"/>
              <w:marTop w:val="0"/>
              <w:marBottom w:val="0"/>
              <w:divBdr>
                <w:top w:val="none" w:sz="0" w:space="0" w:color="auto"/>
                <w:left w:val="none" w:sz="0" w:space="0" w:color="auto"/>
                <w:bottom w:val="none" w:sz="0" w:space="0" w:color="auto"/>
                <w:right w:val="none" w:sz="0" w:space="0" w:color="auto"/>
              </w:divBdr>
            </w:div>
            <w:div w:id="1353872318">
              <w:marLeft w:val="0"/>
              <w:marRight w:val="0"/>
              <w:marTop w:val="0"/>
              <w:marBottom w:val="0"/>
              <w:divBdr>
                <w:top w:val="none" w:sz="0" w:space="0" w:color="auto"/>
                <w:left w:val="none" w:sz="0" w:space="0" w:color="auto"/>
                <w:bottom w:val="none" w:sz="0" w:space="0" w:color="auto"/>
                <w:right w:val="none" w:sz="0" w:space="0" w:color="auto"/>
              </w:divBdr>
            </w:div>
            <w:div w:id="1372613644">
              <w:marLeft w:val="0"/>
              <w:marRight w:val="0"/>
              <w:marTop w:val="0"/>
              <w:marBottom w:val="0"/>
              <w:divBdr>
                <w:top w:val="none" w:sz="0" w:space="0" w:color="auto"/>
                <w:left w:val="none" w:sz="0" w:space="0" w:color="auto"/>
                <w:bottom w:val="none" w:sz="0" w:space="0" w:color="auto"/>
                <w:right w:val="none" w:sz="0" w:space="0" w:color="auto"/>
              </w:divBdr>
            </w:div>
            <w:div w:id="1400251460">
              <w:marLeft w:val="0"/>
              <w:marRight w:val="0"/>
              <w:marTop w:val="0"/>
              <w:marBottom w:val="0"/>
              <w:divBdr>
                <w:top w:val="none" w:sz="0" w:space="0" w:color="auto"/>
                <w:left w:val="none" w:sz="0" w:space="0" w:color="auto"/>
                <w:bottom w:val="none" w:sz="0" w:space="0" w:color="auto"/>
                <w:right w:val="none" w:sz="0" w:space="0" w:color="auto"/>
              </w:divBdr>
            </w:div>
            <w:div w:id="1412774488">
              <w:marLeft w:val="0"/>
              <w:marRight w:val="0"/>
              <w:marTop w:val="0"/>
              <w:marBottom w:val="0"/>
              <w:divBdr>
                <w:top w:val="none" w:sz="0" w:space="0" w:color="auto"/>
                <w:left w:val="none" w:sz="0" w:space="0" w:color="auto"/>
                <w:bottom w:val="none" w:sz="0" w:space="0" w:color="auto"/>
                <w:right w:val="none" w:sz="0" w:space="0" w:color="auto"/>
              </w:divBdr>
            </w:div>
            <w:div w:id="1422144496">
              <w:marLeft w:val="0"/>
              <w:marRight w:val="0"/>
              <w:marTop w:val="0"/>
              <w:marBottom w:val="0"/>
              <w:divBdr>
                <w:top w:val="none" w:sz="0" w:space="0" w:color="auto"/>
                <w:left w:val="none" w:sz="0" w:space="0" w:color="auto"/>
                <w:bottom w:val="none" w:sz="0" w:space="0" w:color="auto"/>
                <w:right w:val="none" w:sz="0" w:space="0" w:color="auto"/>
              </w:divBdr>
            </w:div>
            <w:div w:id="1440030736">
              <w:marLeft w:val="0"/>
              <w:marRight w:val="0"/>
              <w:marTop w:val="0"/>
              <w:marBottom w:val="0"/>
              <w:divBdr>
                <w:top w:val="none" w:sz="0" w:space="0" w:color="auto"/>
                <w:left w:val="none" w:sz="0" w:space="0" w:color="auto"/>
                <w:bottom w:val="none" w:sz="0" w:space="0" w:color="auto"/>
                <w:right w:val="none" w:sz="0" w:space="0" w:color="auto"/>
              </w:divBdr>
            </w:div>
            <w:div w:id="1458373798">
              <w:marLeft w:val="0"/>
              <w:marRight w:val="0"/>
              <w:marTop w:val="0"/>
              <w:marBottom w:val="0"/>
              <w:divBdr>
                <w:top w:val="none" w:sz="0" w:space="0" w:color="auto"/>
                <w:left w:val="none" w:sz="0" w:space="0" w:color="auto"/>
                <w:bottom w:val="none" w:sz="0" w:space="0" w:color="auto"/>
                <w:right w:val="none" w:sz="0" w:space="0" w:color="auto"/>
              </w:divBdr>
            </w:div>
            <w:div w:id="1477797281">
              <w:marLeft w:val="0"/>
              <w:marRight w:val="0"/>
              <w:marTop w:val="0"/>
              <w:marBottom w:val="0"/>
              <w:divBdr>
                <w:top w:val="none" w:sz="0" w:space="0" w:color="auto"/>
                <w:left w:val="none" w:sz="0" w:space="0" w:color="auto"/>
                <w:bottom w:val="none" w:sz="0" w:space="0" w:color="auto"/>
                <w:right w:val="none" w:sz="0" w:space="0" w:color="auto"/>
              </w:divBdr>
            </w:div>
            <w:div w:id="1536964125">
              <w:marLeft w:val="0"/>
              <w:marRight w:val="0"/>
              <w:marTop w:val="0"/>
              <w:marBottom w:val="0"/>
              <w:divBdr>
                <w:top w:val="none" w:sz="0" w:space="0" w:color="auto"/>
                <w:left w:val="none" w:sz="0" w:space="0" w:color="auto"/>
                <w:bottom w:val="none" w:sz="0" w:space="0" w:color="auto"/>
                <w:right w:val="none" w:sz="0" w:space="0" w:color="auto"/>
              </w:divBdr>
            </w:div>
            <w:div w:id="1539589529">
              <w:marLeft w:val="0"/>
              <w:marRight w:val="0"/>
              <w:marTop w:val="0"/>
              <w:marBottom w:val="0"/>
              <w:divBdr>
                <w:top w:val="none" w:sz="0" w:space="0" w:color="auto"/>
                <w:left w:val="none" w:sz="0" w:space="0" w:color="auto"/>
                <w:bottom w:val="none" w:sz="0" w:space="0" w:color="auto"/>
                <w:right w:val="none" w:sz="0" w:space="0" w:color="auto"/>
              </w:divBdr>
            </w:div>
            <w:div w:id="1590046509">
              <w:marLeft w:val="0"/>
              <w:marRight w:val="0"/>
              <w:marTop w:val="0"/>
              <w:marBottom w:val="0"/>
              <w:divBdr>
                <w:top w:val="none" w:sz="0" w:space="0" w:color="auto"/>
                <w:left w:val="none" w:sz="0" w:space="0" w:color="auto"/>
                <w:bottom w:val="none" w:sz="0" w:space="0" w:color="auto"/>
                <w:right w:val="none" w:sz="0" w:space="0" w:color="auto"/>
              </w:divBdr>
            </w:div>
            <w:div w:id="1591308019">
              <w:marLeft w:val="0"/>
              <w:marRight w:val="0"/>
              <w:marTop w:val="0"/>
              <w:marBottom w:val="0"/>
              <w:divBdr>
                <w:top w:val="none" w:sz="0" w:space="0" w:color="auto"/>
                <w:left w:val="none" w:sz="0" w:space="0" w:color="auto"/>
                <w:bottom w:val="none" w:sz="0" w:space="0" w:color="auto"/>
                <w:right w:val="none" w:sz="0" w:space="0" w:color="auto"/>
              </w:divBdr>
            </w:div>
            <w:div w:id="1600990314">
              <w:marLeft w:val="0"/>
              <w:marRight w:val="0"/>
              <w:marTop w:val="0"/>
              <w:marBottom w:val="0"/>
              <w:divBdr>
                <w:top w:val="none" w:sz="0" w:space="0" w:color="auto"/>
                <w:left w:val="none" w:sz="0" w:space="0" w:color="auto"/>
                <w:bottom w:val="none" w:sz="0" w:space="0" w:color="auto"/>
                <w:right w:val="none" w:sz="0" w:space="0" w:color="auto"/>
              </w:divBdr>
            </w:div>
            <w:div w:id="1632710763">
              <w:marLeft w:val="0"/>
              <w:marRight w:val="0"/>
              <w:marTop w:val="0"/>
              <w:marBottom w:val="0"/>
              <w:divBdr>
                <w:top w:val="none" w:sz="0" w:space="0" w:color="auto"/>
                <w:left w:val="none" w:sz="0" w:space="0" w:color="auto"/>
                <w:bottom w:val="none" w:sz="0" w:space="0" w:color="auto"/>
                <w:right w:val="none" w:sz="0" w:space="0" w:color="auto"/>
              </w:divBdr>
            </w:div>
            <w:div w:id="1637639087">
              <w:marLeft w:val="0"/>
              <w:marRight w:val="0"/>
              <w:marTop w:val="0"/>
              <w:marBottom w:val="0"/>
              <w:divBdr>
                <w:top w:val="none" w:sz="0" w:space="0" w:color="auto"/>
                <w:left w:val="none" w:sz="0" w:space="0" w:color="auto"/>
                <w:bottom w:val="none" w:sz="0" w:space="0" w:color="auto"/>
                <w:right w:val="none" w:sz="0" w:space="0" w:color="auto"/>
              </w:divBdr>
            </w:div>
            <w:div w:id="1642997311">
              <w:marLeft w:val="0"/>
              <w:marRight w:val="0"/>
              <w:marTop w:val="0"/>
              <w:marBottom w:val="0"/>
              <w:divBdr>
                <w:top w:val="none" w:sz="0" w:space="0" w:color="auto"/>
                <w:left w:val="none" w:sz="0" w:space="0" w:color="auto"/>
                <w:bottom w:val="none" w:sz="0" w:space="0" w:color="auto"/>
                <w:right w:val="none" w:sz="0" w:space="0" w:color="auto"/>
              </w:divBdr>
            </w:div>
            <w:div w:id="1679892382">
              <w:marLeft w:val="0"/>
              <w:marRight w:val="0"/>
              <w:marTop w:val="0"/>
              <w:marBottom w:val="0"/>
              <w:divBdr>
                <w:top w:val="none" w:sz="0" w:space="0" w:color="auto"/>
                <w:left w:val="none" w:sz="0" w:space="0" w:color="auto"/>
                <w:bottom w:val="none" w:sz="0" w:space="0" w:color="auto"/>
                <w:right w:val="none" w:sz="0" w:space="0" w:color="auto"/>
              </w:divBdr>
            </w:div>
            <w:div w:id="1701543722">
              <w:marLeft w:val="0"/>
              <w:marRight w:val="0"/>
              <w:marTop w:val="0"/>
              <w:marBottom w:val="0"/>
              <w:divBdr>
                <w:top w:val="none" w:sz="0" w:space="0" w:color="auto"/>
                <w:left w:val="none" w:sz="0" w:space="0" w:color="auto"/>
                <w:bottom w:val="none" w:sz="0" w:space="0" w:color="auto"/>
                <w:right w:val="none" w:sz="0" w:space="0" w:color="auto"/>
              </w:divBdr>
            </w:div>
            <w:div w:id="1701592837">
              <w:marLeft w:val="0"/>
              <w:marRight w:val="0"/>
              <w:marTop w:val="0"/>
              <w:marBottom w:val="0"/>
              <w:divBdr>
                <w:top w:val="none" w:sz="0" w:space="0" w:color="auto"/>
                <w:left w:val="none" w:sz="0" w:space="0" w:color="auto"/>
                <w:bottom w:val="none" w:sz="0" w:space="0" w:color="auto"/>
                <w:right w:val="none" w:sz="0" w:space="0" w:color="auto"/>
              </w:divBdr>
            </w:div>
            <w:div w:id="1713337264">
              <w:marLeft w:val="0"/>
              <w:marRight w:val="0"/>
              <w:marTop w:val="0"/>
              <w:marBottom w:val="0"/>
              <w:divBdr>
                <w:top w:val="none" w:sz="0" w:space="0" w:color="auto"/>
                <w:left w:val="none" w:sz="0" w:space="0" w:color="auto"/>
                <w:bottom w:val="none" w:sz="0" w:space="0" w:color="auto"/>
                <w:right w:val="none" w:sz="0" w:space="0" w:color="auto"/>
              </w:divBdr>
            </w:div>
            <w:div w:id="1727878315">
              <w:marLeft w:val="0"/>
              <w:marRight w:val="0"/>
              <w:marTop w:val="0"/>
              <w:marBottom w:val="0"/>
              <w:divBdr>
                <w:top w:val="none" w:sz="0" w:space="0" w:color="auto"/>
                <w:left w:val="none" w:sz="0" w:space="0" w:color="auto"/>
                <w:bottom w:val="none" w:sz="0" w:space="0" w:color="auto"/>
                <w:right w:val="none" w:sz="0" w:space="0" w:color="auto"/>
              </w:divBdr>
            </w:div>
            <w:div w:id="1732343545">
              <w:marLeft w:val="0"/>
              <w:marRight w:val="0"/>
              <w:marTop w:val="0"/>
              <w:marBottom w:val="0"/>
              <w:divBdr>
                <w:top w:val="none" w:sz="0" w:space="0" w:color="auto"/>
                <w:left w:val="none" w:sz="0" w:space="0" w:color="auto"/>
                <w:bottom w:val="none" w:sz="0" w:space="0" w:color="auto"/>
                <w:right w:val="none" w:sz="0" w:space="0" w:color="auto"/>
              </w:divBdr>
            </w:div>
            <w:div w:id="1735085600">
              <w:marLeft w:val="0"/>
              <w:marRight w:val="0"/>
              <w:marTop w:val="0"/>
              <w:marBottom w:val="0"/>
              <w:divBdr>
                <w:top w:val="none" w:sz="0" w:space="0" w:color="auto"/>
                <w:left w:val="none" w:sz="0" w:space="0" w:color="auto"/>
                <w:bottom w:val="none" w:sz="0" w:space="0" w:color="auto"/>
                <w:right w:val="none" w:sz="0" w:space="0" w:color="auto"/>
              </w:divBdr>
            </w:div>
            <w:div w:id="1819490449">
              <w:marLeft w:val="0"/>
              <w:marRight w:val="0"/>
              <w:marTop w:val="0"/>
              <w:marBottom w:val="0"/>
              <w:divBdr>
                <w:top w:val="none" w:sz="0" w:space="0" w:color="auto"/>
                <w:left w:val="none" w:sz="0" w:space="0" w:color="auto"/>
                <w:bottom w:val="none" w:sz="0" w:space="0" w:color="auto"/>
                <w:right w:val="none" w:sz="0" w:space="0" w:color="auto"/>
              </w:divBdr>
            </w:div>
            <w:div w:id="1827547144">
              <w:marLeft w:val="0"/>
              <w:marRight w:val="0"/>
              <w:marTop w:val="0"/>
              <w:marBottom w:val="0"/>
              <w:divBdr>
                <w:top w:val="none" w:sz="0" w:space="0" w:color="auto"/>
                <w:left w:val="none" w:sz="0" w:space="0" w:color="auto"/>
                <w:bottom w:val="none" w:sz="0" w:space="0" w:color="auto"/>
                <w:right w:val="none" w:sz="0" w:space="0" w:color="auto"/>
              </w:divBdr>
            </w:div>
            <w:div w:id="1855537033">
              <w:marLeft w:val="0"/>
              <w:marRight w:val="0"/>
              <w:marTop w:val="0"/>
              <w:marBottom w:val="0"/>
              <w:divBdr>
                <w:top w:val="none" w:sz="0" w:space="0" w:color="auto"/>
                <w:left w:val="none" w:sz="0" w:space="0" w:color="auto"/>
                <w:bottom w:val="none" w:sz="0" w:space="0" w:color="auto"/>
                <w:right w:val="none" w:sz="0" w:space="0" w:color="auto"/>
              </w:divBdr>
            </w:div>
            <w:div w:id="1919095027">
              <w:marLeft w:val="0"/>
              <w:marRight w:val="0"/>
              <w:marTop w:val="0"/>
              <w:marBottom w:val="0"/>
              <w:divBdr>
                <w:top w:val="none" w:sz="0" w:space="0" w:color="auto"/>
                <w:left w:val="none" w:sz="0" w:space="0" w:color="auto"/>
                <w:bottom w:val="none" w:sz="0" w:space="0" w:color="auto"/>
                <w:right w:val="none" w:sz="0" w:space="0" w:color="auto"/>
              </w:divBdr>
            </w:div>
            <w:div w:id="1921678234">
              <w:marLeft w:val="0"/>
              <w:marRight w:val="0"/>
              <w:marTop w:val="0"/>
              <w:marBottom w:val="0"/>
              <w:divBdr>
                <w:top w:val="none" w:sz="0" w:space="0" w:color="auto"/>
                <w:left w:val="none" w:sz="0" w:space="0" w:color="auto"/>
                <w:bottom w:val="none" w:sz="0" w:space="0" w:color="auto"/>
                <w:right w:val="none" w:sz="0" w:space="0" w:color="auto"/>
              </w:divBdr>
            </w:div>
            <w:div w:id="2011449990">
              <w:marLeft w:val="0"/>
              <w:marRight w:val="0"/>
              <w:marTop w:val="0"/>
              <w:marBottom w:val="0"/>
              <w:divBdr>
                <w:top w:val="none" w:sz="0" w:space="0" w:color="auto"/>
                <w:left w:val="none" w:sz="0" w:space="0" w:color="auto"/>
                <w:bottom w:val="none" w:sz="0" w:space="0" w:color="auto"/>
                <w:right w:val="none" w:sz="0" w:space="0" w:color="auto"/>
              </w:divBdr>
            </w:div>
            <w:div w:id="2014910602">
              <w:marLeft w:val="0"/>
              <w:marRight w:val="0"/>
              <w:marTop w:val="0"/>
              <w:marBottom w:val="0"/>
              <w:divBdr>
                <w:top w:val="none" w:sz="0" w:space="0" w:color="auto"/>
                <w:left w:val="none" w:sz="0" w:space="0" w:color="auto"/>
                <w:bottom w:val="none" w:sz="0" w:space="0" w:color="auto"/>
                <w:right w:val="none" w:sz="0" w:space="0" w:color="auto"/>
              </w:divBdr>
            </w:div>
            <w:div w:id="2037466479">
              <w:marLeft w:val="0"/>
              <w:marRight w:val="0"/>
              <w:marTop w:val="0"/>
              <w:marBottom w:val="0"/>
              <w:divBdr>
                <w:top w:val="none" w:sz="0" w:space="0" w:color="auto"/>
                <w:left w:val="none" w:sz="0" w:space="0" w:color="auto"/>
                <w:bottom w:val="none" w:sz="0" w:space="0" w:color="auto"/>
                <w:right w:val="none" w:sz="0" w:space="0" w:color="auto"/>
              </w:divBdr>
            </w:div>
            <w:div w:id="2049644856">
              <w:marLeft w:val="0"/>
              <w:marRight w:val="0"/>
              <w:marTop w:val="0"/>
              <w:marBottom w:val="0"/>
              <w:divBdr>
                <w:top w:val="none" w:sz="0" w:space="0" w:color="auto"/>
                <w:left w:val="none" w:sz="0" w:space="0" w:color="auto"/>
                <w:bottom w:val="none" w:sz="0" w:space="0" w:color="auto"/>
                <w:right w:val="none" w:sz="0" w:space="0" w:color="auto"/>
              </w:divBdr>
            </w:div>
            <w:div w:id="2073841627">
              <w:marLeft w:val="0"/>
              <w:marRight w:val="0"/>
              <w:marTop w:val="0"/>
              <w:marBottom w:val="0"/>
              <w:divBdr>
                <w:top w:val="none" w:sz="0" w:space="0" w:color="auto"/>
                <w:left w:val="none" w:sz="0" w:space="0" w:color="auto"/>
                <w:bottom w:val="none" w:sz="0" w:space="0" w:color="auto"/>
                <w:right w:val="none" w:sz="0" w:space="0" w:color="auto"/>
              </w:divBdr>
            </w:div>
            <w:div w:id="2089182596">
              <w:marLeft w:val="0"/>
              <w:marRight w:val="0"/>
              <w:marTop w:val="0"/>
              <w:marBottom w:val="0"/>
              <w:divBdr>
                <w:top w:val="none" w:sz="0" w:space="0" w:color="auto"/>
                <w:left w:val="none" w:sz="0" w:space="0" w:color="auto"/>
                <w:bottom w:val="none" w:sz="0" w:space="0" w:color="auto"/>
                <w:right w:val="none" w:sz="0" w:space="0" w:color="auto"/>
              </w:divBdr>
            </w:div>
            <w:div w:id="2099786426">
              <w:marLeft w:val="0"/>
              <w:marRight w:val="0"/>
              <w:marTop w:val="0"/>
              <w:marBottom w:val="0"/>
              <w:divBdr>
                <w:top w:val="none" w:sz="0" w:space="0" w:color="auto"/>
                <w:left w:val="none" w:sz="0" w:space="0" w:color="auto"/>
                <w:bottom w:val="none" w:sz="0" w:space="0" w:color="auto"/>
                <w:right w:val="none" w:sz="0" w:space="0" w:color="auto"/>
              </w:divBdr>
            </w:div>
            <w:div w:id="2121337972">
              <w:marLeft w:val="0"/>
              <w:marRight w:val="0"/>
              <w:marTop w:val="0"/>
              <w:marBottom w:val="0"/>
              <w:divBdr>
                <w:top w:val="none" w:sz="0" w:space="0" w:color="auto"/>
                <w:left w:val="none" w:sz="0" w:space="0" w:color="auto"/>
                <w:bottom w:val="none" w:sz="0" w:space="0" w:color="auto"/>
                <w:right w:val="none" w:sz="0" w:space="0" w:color="auto"/>
              </w:divBdr>
            </w:div>
            <w:div w:id="213150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5931">
      <w:bodyDiv w:val="1"/>
      <w:marLeft w:val="0"/>
      <w:marRight w:val="0"/>
      <w:marTop w:val="0"/>
      <w:marBottom w:val="0"/>
      <w:divBdr>
        <w:top w:val="none" w:sz="0" w:space="0" w:color="auto"/>
        <w:left w:val="none" w:sz="0" w:space="0" w:color="auto"/>
        <w:bottom w:val="none" w:sz="0" w:space="0" w:color="auto"/>
        <w:right w:val="none" w:sz="0" w:space="0" w:color="auto"/>
      </w:divBdr>
    </w:div>
    <w:div w:id="688602920">
      <w:bodyDiv w:val="1"/>
      <w:marLeft w:val="0"/>
      <w:marRight w:val="0"/>
      <w:marTop w:val="0"/>
      <w:marBottom w:val="0"/>
      <w:divBdr>
        <w:top w:val="none" w:sz="0" w:space="0" w:color="auto"/>
        <w:left w:val="none" w:sz="0" w:space="0" w:color="auto"/>
        <w:bottom w:val="none" w:sz="0" w:space="0" w:color="auto"/>
        <w:right w:val="none" w:sz="0" w:space="0" w:color="auto"/>
      </w:divBdr>
    </w:div>
    <w:div w:id="905605316">
      <w:bodyDiv w:val="1"/>
      <w:marLeft w:val="0"/>
      <w:marRight w:val="0"/>
      <w:marTop w:val="0"/>
      <w:marBottom w:val="0"/>
      <w:divBdr>
        <w:top w:val="none" w:sz="0" w:space="0" w:color="auto"/>
        <w:left w:val="none" w:sz="0" w:space="0" w:color="auto"/>
        <w:bottom w:val="none" w:sz="0" w:space="0" w:color="auto"/>
        <w:right w:val="none" w:sz="0" w:space="0" w:color="auto"/>
      </w:divBdr>
      <w:divsChild>
        <w:div w:id="84616357">
          <w:marLeft w:val="0"/>
          <w:marRight w:val="0"/>
          <w:marTop w:val="0"/>
          <w:marBottom w:val="0"/>
          <w:divBdr>
            <w:top w:val="none" w:sz="0" w:space="0" w:color="auto"/>
            <w:left w:val="none" w:sz="0" w:space="0" w:color="auto"/>
            <w:bottom w:val="none" w:sz="0" w:space="0" w:color="auto"/>
            <w:right w:val="none" w:sz="0" w:space="0" w:color="auto"/>
          </w:divBdr>
        </w:div>
        <w:div w:id="88160382">
          <w:marLeft w:val="0"/>
          <w:marRight w:val="0"/>
          <w:marTop w:val="0"/>
          <w:marBottom w:val="0"/>
          <w:divBdr>
            <w:top w:val="none" w:sz="0" w:space="0" w:color="auto"/>
            <w:left w:val="none" w:sz="0" w:space="0" w:color="auto"/>
            <w:bottom w:val="none" w:sz="0" w:space="0" w:color="auto"/>
            <w:right w:val="none" w:sz="0" w:space="0" w:color="auto"/>
          </w:divBdr>
        </w:div>
        <w:div w:id="131142970">
          <w:marLeft w:val="0"/>
          <w:marRight w:val="0"/>
          <w:marTop w:val="0"/>
          <w:marBottom w:val="0"/>
          <w:divBdr>
            <w:top w:val="none" w:sz="0" w:space="0" w:color="auto"/>
            <w:left w:val="none" w:sz="0" w:space="0" w:color="auto"/>
            <w:bottom w:val="none" w:sz="0" w:space="0" w:color="auto"/>
            <w:right w:val="none" w:sz="0" w:space="0" w:color="auto"/>
          </w:divBdr>
        </w:div>
        <w:div w:id="165245078">
          <w:marLeft w:val="0"/>
          <w:marRight w:val="0"/>
          <w:marTop w:val="0"/>
          <w:marBottom w:val="0"/>
          <w:divBdr>
            <w:top w:val="none" w:sz="0" w:space="0" w:color="auto"/>
            <w:left w:val="none" w:sz="0" w:space="0" w:color="auto"/>
            <w:bottom w:val="none" w:sz="0" w:space="0" w:color="auto"/>
            <w:right w:val="none" w:sz="0" w:space="0" w:color="auto"/>
          </w:divBdr>
        </w:div>
        <w:div w:id="196554439">
          <w:marLeft w:val="0"/>
          <w:marRight w:val="0"/>
          <w:marTop w:val="0"/>
          <w:marBottom w:val="0"/>
          <w:divBdr>
            <w:top w:val="none" w:sz="0" w:space="0" w:color="auto"/>
            <w:left w:val="none" w:sz="0" w:space="0" w:color="auto"/>
            <w:bottom w:val="none" w:sz="0" w:space="0" w:color="auto"/>
            <w:right w:val="none" w:sz="0" w:space="0" w:color="auto"/>
          </w:divBdr>
        </w:div>
        <w:div w:id="336620059">
          <w:marLeft w:val="0"/>
          <w:marRight w:val="0"/>
          <w:marTop w:val="0"/>
          <w:marBottom w:val="0"/>
          <w:divBdr>
            <w:top w:val="none" w:sz="0" w:space="0" w:color="auto"/>
            <w:left w:val="none" w:sz="0" w:space="0" w:color="auto"/>
            <w:bottom w:val="none" w:sz="0" w:space="0" w:color="auto"/>
            <w:right w:val="none" w:sz="0" w:space="0" w:color="auto"/>
          </w:divBdr>
        </w:div>
        <w:div w:id="409473521">
          <w:marLeft w:val="0"/>
          <w:marRight w:val="0"/>
          <w:marTop w:val="0"/>
          <w:marBottom w:val="0"/>
          <w:divBdr>
            <w:top w:val="none" w:sz="0" w:space="0" w:color="auto"/>
            <w:left w:val="none" w:sz="0" w:space="0" w:color="auto"/>
            <w:bottom w:val="none" w:sz="0" w:space="0" w:color="auto"/>
            <w:right w:val="none" w:sz="0" w:space="0" w:color="auto"/>
          </w:divBdr>
        </w:div>
        <w:div w:id="491216465">
          <w:marLeft w:val="0"/>
          <w:marRight w:val="0"/>
          <w:marTop w:val="0"/>
          <w:marBottom w:val="0"/>
          <w:divBdr>
            <w:top w:val="none" w:sz="0" w:space="0" w:color="auto"/>
            <w:left w:val="none" w:sz="0" w:space="0" w:color="auto"/>
            <w:bottom w:val="none" w:sz="0" w:space="0" w:color="auto"/>
            <w:right w:val="none" w:sz="0" w:space="0" w:color="auto"/>
          </w:divBdr>
        </w:div>
        <w:div w:id="514616984">
          <w:marLeft w:val="0"/>
          <w:marRight w:val="0"/>
          <w:marTop w:val="0"/>
          <w:marBottom w:val="0"/>
          <w:divBdr>
            <w:top w:val="none" w:sz="0" w:space="0" w:color="auto"/>
            <w:left w:val="none" w:sz="0" w:space="0" w:color="auto"/>
            <w:bottom w:val="none" w:sz="0" w:space="0" w:color="auto"/>
            <w:right w:val="none" w:sz="0" w:space="0" w:color="auto"/>
          </w:divBdr>
        </w:div>
        <w:div w:id="541988869">
          <w:marLeft w:val="0"/>
          <w:marRight w:val="0"/>
          <w:marTop w:val="0"/>
          <w:marBottom w:val="0"/>
          <w:divBdr>
            <w:top w:val="none" w:sz="0" w:space="0" w:color="auto"/>
            <w:left w:val="none" w:sz="0" w:space="0" w:color="auto"/>
            <w:bottom w:val="none" w:sz="0" w:space="0" w:color="auto"/>
            <w:right w:val="none" w:sz="0" w:space="0" w:color="auto"/>
          </w:divBdr>
        </w:div>
        <w:div w:id="558513155">
          <w:marLeft w:val="0"/>
          <w:marRight w:val="0"/>
          <w:marTop w:val="0"/>
          <w:marBottom w:val="0"/>
          <w:divBdr>
            <w:top w:val="none" w:sz="0" w:space="0" w:color="auto"/>
            <w:left w:val="none" w:sz="0" w:space="0" w:color="auto"/>
            <w:bottom w:val="none" w:sz="0" w:space="0" w:color="auto"/>
            <w:right w:val="none" w:sz="0" w:space="0" w:color="auto"/>
          </w:divBdr>
        </w:div>
        <w:div w:id="560865605">
          <w:marLeft w:val="0"/>
          <w:marRight w:val="0"/>
          <w:marTop w:val="0"/>
          <w:marBottom w:val="0"/>
          <w:divBdr>
            <w:top w:val="none" w:sz="0" w:space="0" w:color="auto"/>
            <w:left w:val="none" w:sz="0" w:space="0" w:color="auto"/>
            <w:bottom w:val="none" w:sz="0" w:space="0" w:color="auto"/>
            <w:right w:val="none" w:sz="0" w:space="0" w:color="auto"/>
          </w:divBdr>
        </w:div>
        <w:div w:id="617105210">
          <w:marLeft w:val="0"/>
          <w:marRight w:val="0"/>
          <w:marTop w:val="0"/>
          <w:marBottom w:val="0"/>
          <w:divBdr>
            <w:top w:val="none" w:sz="0" w:space="0" w:color="auto"/>
            <w:left w:val="none" w:sz="0" w:space="0" w:color="auto"/>
            <w:bottom w:val="none" w:sz="0" w:space="0" w:color="auto"/>
            <w:right w:val="none" w:sz="0" w:space="0" w:color="auto"/>
          </w:divBdr>
        </w:div>
        <w:div w:id="644315029">
          <w:marLeft w:val="0"/>
          <w:marRight w:val="0"/>
          <w:marTop w:val="0"/>
          <w:marBottom w:val="0"/>
          <w:divBdr>
            <w:top w:val="none" w:sz="0" w:space="0" w:color="auto"/>
            <w:left w:val="none" w:sz="0" w:space="0" w:color="auto"/>
            <w:bottom w:val="none" w:sz="0" w:space="0" w:color="auto"/>
            <w:right w:val="none" w:sz="0" w:space="0" w:color="auto"/>
          </w:divBdr>
        </w:div>
        <w:div w:id="736518796">
          <w:marLeft w:val="0"/>
          <w:marRight w:val="0"/>
          <w:marTop w:val="0"/>
          <w:marBottom w:val="0"/>
          <w:divBdr>
            <w:top w:val="none" w:sz="0" w:space="0" w:color="auto"/>
            <w:left w:val="none" w:sz="0" w:space="0" w:color="auto"/>
            <w:bottom w:val="none" w:sz="0" w:space="0" w:color="auto"/>
            <w:right w:val="none" w:sz="0" w:space="0" w:color="auto"/>
          </w:divBdr>
        </w:div>
        <w:div w:id="862784523">
          <w:marLeft w:val="0"/>
          <w:marRight w:val="0"/>
          <w:marTop w:val="0"/>
          <w:marBottom w:val="0"/>
          <w:divBdr>
            <w:top w:val="none" w:sz="0" w:space="0" w:color="auto"/>
            <w:left w:val="none" w:sz="0" w:space="0" w:color="auto"/>
            <w:bottom w:val="none" w:sz="0" w:space="0" w:color="auto"/>
            <w:right w:val="none" w:sz="0" w:space="0" w:color="auto"/>
          </w:divBdr>
        </w:div>
        <w:div w:id="929969711">
          <w:marLeft w:val="0"/>
          <w:marRight w:val="0"/>
          <w:marTop w:val="0"/>
          <w:marBottom w:val="0"/>
          <w:divBdr>
            <w:top w:val="none" w:sz="0" w:space="0" w:color="auto"/>
            <w:left w:val="none" w:sz="0" w:space="0" w:color="auto"/>
            <w:bottom w:val="none" w:sz="0" w:space="0" w:color="auto"/>
            <w:right w:val="none" w:sz="0" w:space="0" w:color="auto"/>
          </w:divBdr>
        </w:div>
        <w:div w:id="970744959">
          <w:marLeft w:val="0"/>
          <w:marRight w:val="0"/>
          <w:marTop w:val="0"/>
          <w:marBottom w:val="0"/>
          <w:divBdr>
            <w:top w:val="none" w:sz="0" w:space="0" w:color="auto"/>
            <w:left w:val="none" w:sz="0" w:space="0" w:color="auto"/>
            <w:bottom w:val="none" w:sz="0" w:space="0" w:color="auto"/>
            <w:right w:val="none" w:sz="0" w:space="0" w:color="auto"/>
          </w:divBdr>
        </w:div>
        <w:div w:id="986787727">
          <w:marLeft w:val="0"/>
          <w:marRight w:val="0"/>
          <w:marTop w:val="0"/>
          <w:marBottom w:val="0"/>
          <w:divBdr>
            <w:top w:val="none" w:sz="0" w:space="0" w:color="auto"/>
            <w:left w:val="none" w:sz="0" w:space="0" w:color="auto"/>
            <w:bottom w:val="none" w:sz="0" w:space="0" w:color="auto"/>
            <w:right w:val="none" w:sz="0" w:space="0" w:color="auto"/>
          </w:divBdr>
        </w:div>
        <w:div w:id="996804095">
          <w:marLeft w:val="0"/>
          <w:marRight w:val="0"/>
          <w:marTop w:val="0"/>
          <w:marBottom w:val="0"/>
          <w:divBdr>
            <w:top w:val="none" w:sz="0" w:space="0" w:color="auto"/>
            <w:left w:val="none" w:sz="0" w:space="0" w:color="auto"/>
            <w:bottom w:val="none" w:sz="0" w:space="0" w:color="auto"/>
            <w:right w:val="none" w:sz="0" w:space="0" w:color="auto"/>
          </w:divBdr>
        </w:div>
        <w:div w:id="1057315167">
          <w:marLeft w:val="0"/>
          <w:marRight w:val="0"/>
          <w:marTop w:val="0"/>
          <w:marBottom w:val="0"/>
          <w:divBdr>
            <w:top w:val="none" w:sz="0" w:space="0" w:color="auto"/>
            <w:left w:val="none" w:sz="0" w:space="0" w:color="auto"/>
            <w:bottom w:val="none" w:sz="0" w:space="0" w:color="auto"/>
            <w:right w:val="none" w:sz="0" w:space="0" w:color="auto"/>
          </w:divBdr>
        </w:div>
        <w:div w:id="1127357277">
          <w:marLeft w:val="0"/>
          <w:marRight w:val="0"/>
          <w:marTop w:val="0"/>
          <w:marBottom w:val="0"/>
          <w:divBdr>
            <w:top w:val="none" w:sz="0" w:space="0" w:color="auto"/>
            <w:left w:val="none" w:sz="0" w:space="0" w:color="auto"/>
            <w:bottom w:val="none" w:sz="0" w:space="0" w:color="auto"/>
            <w:right w:val="none" w:sz="0" w:space="0" w:color="auto"/>
          </w:divBdr>
        </w:div>
        <w:div w:id="1168399972">
          <w:marLeft w:val="0"/>
          <w:marRight w:val="0"/>
          <w:marTop w:val="0"/>
          <w:marBottom w:val="0"/>
          <w:divBdr>
            <w:top w:val="none" w:sz="0" w:space="0" w:color="auto"/>
            <w:left w:val="none" w:sz="0" w:space="0" w:color="auto"/>
            <w:bottom w:val="none" w:sz="0" w:space="0" w:color="auto"/>
            <w:right w:val="none" w:sz="0" w:space="0" w:color="auto"/>
          </w:divBdr>
        </w:div>
        <w:div w:id="1313603655">
          <w:marLeft w:val="0"/>
          <w:marRight w:val="0"/>
          <w:marTop w:val="0"/>
          <w:marBottom w:val="0"/>
          <w:divBdr>
            <w:top w:val="none" w:sz="0" w:space="0" w:color="auto"/>
            <w:left w:val="none" w:sz="0" w:space="0" w:color="auto"/>
            <w:bottom w:val="none" w:sz="0" w:space="0" w:color="auto"/>
            <w:right w:val="none" w:sz="0" w:space="0" w:color="auto"/>
          </w:divBdr>
        </w:div>
        <w:div w:id="1313950133">
          <w:marLeft w:val="0"/>
          <w:marRight w:val="0"/>
          <w:marTop w:val="0"/>
          <w:marBottom w:val="0"/>
          <w:divBdr>
            <w:top w:val="none" w:sz="0" w:space="0" w:color="auto"/>
            <w:left w:val="none" w:sz="0" w:space="0" w:color="auto"/>
            <w:bottom w:val="none" w:sz="0" w:space="0" w:color="auto"/>
            <w:right w:val="none" w:sz="0" w:space="0" w:color="auto"/>
          </w:divBdr>
        </w:div>
        <w:div w:id="1444111428">
          <w:marLeft w:val="0"/>
          <w:marRight w:val="0"/>
          <w:marTop w:val="0"/>
          <w:marBottom w:val="0"/>
          <w:divBdr>
            <w:top w:val="none" w:sz="0" w:space="0" w:color="auto"/>
            <w:left w:val="none" w:sz="0" w:space="0" w:color="auto"/>
            <w:bottom w:val="none" w:sz="0" w:space="0" w:color="auto"/>
            <w:right w:val="none" w:sz="0" w:space="0" w:color="auto"/>
          </w:divBdr>
        </w:div>
        <w:div w:id="1463813944">
          <w:marLeft w:val="0"/>
          <w:marRight w:val="0"/>
          <w:marTop w:val="0"/>
          <w:marBottom w:val="0"/>
          <w:divBdr>
            <w:top w:val="none" w:sz="0" w:space="0" w:color="auto"/>
            <w:left w:val="none" w:sz="0" w:space="0" w:color="auto"/>
            <w:bottom w:val="none" w:sz="0" w:space="0" w:color="auto"/>
            <w:right w:val="none" w:sz="0" w:space="0" w:color="auto"/>
          </w:divBdr>
        </w:div>
        <w:div w:id="1560556702">
          <w:marLeft w:val="0"/>
          <w:marRight w:val="0"/>
          <w:marTop w:val="0"/>
          <w:marBottom w:val="0"/>
          <w:divBdr>
            <w:top w:val="none" w:sz="0" w:space="0" w:color="auto"/>
            <w:left w:val="none" w:sz="0" w:space="0" w:color="auto"/>
            <w:bottom w:val="none" w:sz="0" w:space="0" w:color="auto"/>
            <w:right w:val="none" w:sz="0" w:space="0" w:color="auto"/>
          </w:divBdr>
        </w:div>
        <w:div w:id="1609965715">
          <w:marLeft w:val="0"/>
          <w:marRight w:val="0"/>
          <w:marTop w:val="0"/>
          <w:marBottom w:val="0"/>
          <w:divBdr>
            <w:top w:val="none" w:sz="0" w:space="0" w:color="auto"/>
            <w:left w:val="none" w:sz="0" w:space="0" w:color="auto"/>
            <w:bottom w:val="none" w:sz="0" w:space="0" w:color="auto"/>
            <w:right w:val="none" w:sz="0" w:space="0" w:color="auto"/>
          </w:divBdr>
        </w:div>
        <w:div w:id="1651835018">
          <w:marLeft w:val="0"/>
          <w:marRight w:val="0"/>
          <w:marTop w:val="0"/>
          <w:marBottom w:val="0"/>
          <w:divBdr>
            <w:top w:val="none" w:sz="0" w:space="0" w:color="auto"/>
            <w:left w:val="none" w:sz="0" w:space="0" w:color="auto"/>
            <w:bottom w:val="none" w:sz="0" w:space="0" w:color="auto"/>
            <w:right w:val="none" w:sz="0" w:space="0" w:color="auto"/>
          </w:divBdr>
        </w:div>
        <w:div w:id="1689208697">
          <w:marLeft w:val="0"/>
          <w:marRight w:val="0"/>
          <w:marTop w:val="0"/>
          <w:marBottom w:val="0"/>
          <w:divBdr>
            <w:top w:val="none" w:sz="0" w:space="0" w:color="auto"/>
            <w:left w:val="none" w:sz="0" w:space="0" w:color="auto"/>
            <w:bottom w:val="none" w:sz="0" w:space="0" w:color="auto"/>
            <w:right w:val="none" w:sz="0" w:space="0" w:color="auto"/>
          </w:divBdr>
        </w:div>
        <w:div w:id="1735664820">
          <w:marLeft w:val="0"/>
          <w:marRight w:val="0"/>
          <w:marTop w:val="0"/>
          <w:marBottom w:val="0"/>
          <w:divBdr>
            <w:top w:val="none" w:sz="0" w:space="0" w:color="auto"/>
            <w:left w:val="none" w:sz="0" w:space="0" w:color="auto"/>
            <w:bottom w:val="none" w:sz="0" w:space="0" w:color="auto"/>
            <w:right w:val="none" w:sz="0" w:space="0" w:color="auto"/>
          </w:divBdr>
        </w:div>
        <w:div w:id="1854489514">
          <w:marLeft w:val="0"/>
          <w:marRight w:val="0"/>
          <w:marTop w:val="0"/>
          <w:marBottom w:val="0"/>
          <w:divBdr>
            <w:top w:val="none" w:sz="0" w:space="0" w:color="auto"/>
            <w:left w:val="none" w:sz="0" w:space="0" w:color="auto"/>
            <w:bottom w:val="none" w:sz="0" w:space="0" w:color="auto"/>
            <w:right w:val="none" w:sz="0" w:space="0" w:color="auto"/>
          </w:divBdr>
        </w:div>
        <w:div w:id="1862468309">
          <w:marLeft w:val="0"/>
          <w:marRight w:val="0"/>
          <w:marTop w:val="0"/>
          <w:marBottom w:val="0"/>
          <w:divBdr>
            <w:top w:val="none" w:sz="0" w:space="0" w:color="auto"/>
            <w:left w:val="none" w:sz="0" w:space="0" w:color="auto"/>
            <w:bottom w:val="none" w:sz="0" w:space="0" w:color="auto"/>
            <w:right w:val="none" w:sz="0" w:space="0" w:color="auto"/>
          </w:divBdr>
        </w:div>
        <w:div w:id="1883979560">
          <w:marLeft w:val="0"/>
          <w:marRight w:val="0"/>
          <w:marTop w:val="0"/>
          <w:marBottom w:val="0"/>
          <w:divBdr>
            <w:top w:val="none" w:sz="0" w:space="0" w:color="auto"/>
            <w:left w:val="none" w:sz="0" w:space="0" w:color="auto"/>
            <w:bottom w:val="none" w:sz="0" w:space="0" w:color="auto"/>
            <w:right w:val="none" w:sz="0" w:space="0" w:color="auto"/>
          </w:divBdr>
        </w:div>
        <w:div w:id="1919249095">
          <w:marLeft w:val="0"/>
          <w:marRight w:val="0"/>
          <w:marTop w:val="0"/>
          <w:marBottom w:val="0"/>
          <w:divBdr>
            <w:top w:val="none" w:sz="0" w:space="0" w:color="auto"/>
            <w:left w:val="none" w:sz="0" w:space="0" w:color="auto"/>
            <w:bottom w:val="none" w:sz="0" w:space="0" w:color="auto"/>
            <w:right w:val="none" w:sz="0" w:space="0" w:color="auto"/>
          </w:divBdr>
        </w:div>
        <w:div w:id="2030912954">
          <w:marLeft w:val="0"/>
          <w:marRight w:val="0"/>
          <w:marTop w:val="0"/>
          <w:marBottom w:val="0"/>
          <w:divBdr>
            <w:top w:val="none" w:sz="0" w:space="0" w:color="auto"/>
            <w:left w:val="none" w:sz="0" w:space="0" w:color="auto"/>
            <w:bottom w:val="none" w:sz="0" w:space="0" w:color="auto"/>
            <w:right w:val="none" w:sz="0" w:space="0" w:color="auto"/>
          </w:divBdr>
        </w:div>
        <w:div w:id="2110271986">
          <w:marLeft w:val="0"/>
          <w:marRight w:val="0"/>
          <w:marTop w:val="0"/>
          <w:marBottom w:val="0"/>
          <w:divBdr>
            <w:top w:val="none" w:sz="0" w:space="0" w:color="auto"/>
            <w:left w:val="none" w:sz="0" w:space="0" w:color="auto"/>
            <w:bottom w:val="none" w:sz="0" w:space="0" w:color="auto"/>
            <w:right w:val="none" w:sz="0" w:space="0" w:color="auto"/>
          </w:divBdr>
        </w:div>
      </w:divsChild>
    </w:div>
    <w:div w:id="1271821691">
      <w:bodyDiv w:val="1"/>
      <w:marLeft w:val="0"/>
      <w:marRight w:val="0"/>
      <w:marTop w:val="0"/>
      <w:marBottom w:val="0"/>
      <w:divBdr>
        <w:top w:val="none" w:sz="0" w:space="0" w:color="auto"/>
        <w:left w:val="none" w:sz="0" w:space="0" w:color="auto"/>
        <w:bottom w:val="none" w:sz="0" w:space="0" w:color="auto"/>
        <w:right w:val="none" w:sz="0" w:space="0" w:color="auto"/>
      </w:divBdr>
    </w:div>
    <w:div w:id="1310134679">
      <w:bodyDiv w:val="1"/>
      <w:marLeft w:val="0"/>
      <w:marRight w:val="0"/>
      <w:marTop w:val="0"/>
      <w:marBottom w:val="0"/>
      <w:divBdr>
        <w:top w:val="none" w:sz="0" w:space="0" w:color="auto"/>
        <w:left w:val="none" w:sz="0" w:space="0" w:color="auto"/>
        <w:bottom w:val="none" w:sz="0" w:space="0" w:color="auto"/>
        <w:right w:val="none" w:sz="0" w:space="0" w:color="auto"/>
      </w:divBdr>
    </w:div>
    <w:div w:id="1573587097">
      <w:bodyDiv w:val="1"/>
      <w:marLeft w:val="0"/>
      <w:marRight w:val="0"/>
      <w:marTop w:val="0"/>
      <w:marBottom w:val="0"/>
      <w:divBdr>
        <w:top w:val="none" w:sz="0" w:space="0" w:color="auto"/>
        <w:left w:val="none" w:sz="0" w:space="0" w:color="auto"/>
        <w:bottom w:val="none" w:sz="0" w:space="0" w:color="auto"/>
        <w:right w:val="none" w:sz="0" w:space="0" w:color="auto"/>
      </w:divBdr>
    </w:div>
    <w:div w:id="1591500151">
      <w:bodyDiv w:val="1"/>
      <w:marLeft w:val="0"/>
      <w:marRight w:val="0"/>
      <w:marTop w:val="0"/>
      <w:marBottom w:val="0"/>
      <w:divBdr>
        <w:top w:val="none" w:sz="0" w:space="0" w:color="auto"/>
        <w:left w:val="none" w:sz="0" w:space="0" w:color="auto"/>
        <w:bottom w:val="none" w:sz="0" w:space="0" w:color="auto"/>
        <w:right w:val="none" w:sz="0" w:space="0" w:color="auto"/>
      </w:divBdr>
    </w:div>
    <w:div w:id="1829200681">
      <w:bodyDiv w:val="1"/>
      <w:marLeft w:val="0"/>
      <w:marRight w:val="0"/>
      <w:marTop w:val="0"/>
      <w:marBottom w:val="0"/>
      <w:divBdr>
        <w:top w:val="none" w:sz="0" w:space="0" w:color="auto"/>
        <w:left w:val="none" w:sz="0" w:space="0" w:color="auto"/>
        <w:bottom w:val="none" w:sz="0" w:space="0" w:color="auto"/>
        <w:right w:val="none" w:sz="0" w:space="0" w:color="auto"/>
      </w:divBdr>
    </w:div>
    <w:div w:id="1905677706">
      <w:bodyDiv w:val="1"/>
      <w:marLeft w:val="0"/>
      <w:marRight w:val="0"/>
      <w:marTop w:val="0"/>
      <w:marBottom w:val="0"/>
      <w:divBdr>
        <w:top w:val="none" w:sz="0" w:space="0" w:color="auto"/>
        <w:left w:val="none" w:sz="0" w:space="0" w:color="auto"/>
        <w:bottom w:val="none" w:sz="0" w:space="0" w:color="auto"/>
        <w:right w:val="none" w:sz="0" w:space="0" w:color="auto"/>
      </w:divBdr>
    </w:div>
    <w:div w:id="1927957922">
      <w:bodyDiv w:val="1"/>
      <w:marLeft w:val="0"/>
      <w:marRight w:val="0"/>
      <w:marTop w:val="0"/>
      <w:marBottom w:val="0"/>
      <w:divBdr>
        <w:top w:val="none" w:sz="0" w:space="0" w:color="auto"/>
        <w:left w:val="none" w:sz="0" w:space="0" w:color="auto"/>
        <w:bottom w:val="none" w:sz="0" w:space="0" w:color="auto"/>
        <w:right w:val="none" w:sz="0" w:space="0" w:color="auto"/>
      </w:divBdr>
    </w:div>
    <w:div w:id="214291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box@nerc.gov.ua" TargetMode="External"/><Relationship Id="rId3" Type="http://schemas.openxmlformats.org/officeDocument/2006/relationships/settings" Target="settings.xml"/><Relationship Id="rId7" Type="http://schemas.openxmlformats.org/officeDocument/2006/relationships/hyperlink" Target="https://zakon.rada.gov.ua/laws/show/v1470874-17"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9BDAB2-77A8-4F9E-964F-4D9AD4559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4489</Words>
  <Characters>2559</Characters>
  <Application>Microsoft Office Word</Application>
  <DocSecurity>0</DocSecurity>
  <Lines>21</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Обґрунтування</vt:lpstr>
      <vt:lpstr>Обґрунтування</vt:lpstr>
    </vt:vector>
  </TitlesOfParts>
  <Company/>
  <LinksUpToDate>false</LinksUpToDate>
  <CharactersWithSpaces>7034</CharactersWithSpaces>
  <SharedDoc>false</SharedDoc>
  <HLinks>
    <vt:vector size="12" baseType="variant">
      <vt:variant>
        <vt:i4>6946823</vt:i4>
      </vt:variant>
      <vt:variant>
        <vt:i4>3</vt:i4>
      </vt:variant>
      <vt:variant>
        <vt:i4>0</vt:i4>
      </vt:variant>
      <vt:variant>
        <vt:i4>5</vt:i4>
      </vt:variant>
      <vt:variant>
        <vt:lpwstr>mailto:box@nerc.gov.ua</vt:lpwstr>
      </vt:variant>
      <vt:variant>
        <vt:lpwstr/>
      </vt:variant>
      <vt:variant>
        <vt:i4>5832714</vt:i4>
      </vt:variant>
      <vt:variant>
        <vt:i4>0</vt:i4>
      </vt:variant>
      <vt:variant>
        <vt:i4>0</vt:i4>
      </vt:variant>
      <vt:variant>
        <vt:i4>5</vt:i4>
      </vt:variant>
      <vt:variant>
        <vt:lpwstr>https://zakon.rada.gov.ua/laws/show/v1470874-17</vt:lpwstr>
      </vt:variant>
      <vt:variant>
        <vt:lpwstr>n9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Обґрунтування</dc:title>
  <dc:subject/>
  <dc:creator>Nebrat</dc:creator>
  <cp:keywords/>
  <dc:description/>
  <cp:lastModifiedBy>Тетяна Модна</cp:lastModifiedBy>
  <cp:revision>2</cp:revision>
  <cp:lastPrinted>2023-06-22T14:48:00Z</cp:lastPrinted>
  <dcterms:created xsi:type="dcterms:W3CDTF">2023-06-22T14:57:00Z</dcterms:created>
  <dcterms:modified xsi:type="dcterms:W3CDTF">2023-06-22T14:57:00Z</dcterms:modified>
</cp:coreProperties>
</file>