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716A" w:rsidRPr="003F4034" w:rsidRDefault="00FF716A" w:rsidP="003A3886">
      <w:pPr>
        <w:pStyle w:val="1"/>
        <w:tabs>
          <w:tab w:val="clear" w:pos="0"/>
        </w:tabs>
        <w:jc w:val="center"/>
        <w:rPr>
          <w:b/>
          <w:bCs/>
        </w:rPr>
      </w:pPr>
      <w:r w:rsidRPr="003F4034">
        <w:rPr>
          <w:b/>
          <w:bCs/>
        </w:rPr>
        <w:t>Аналіз впливу</w:t>
      </w:r>
    </w:p>
    <w:p w:rsidR="00193ABD" w:rsidRPr="003F4034" w:rsidRDefault="00FF716A" w:rsidP="003B2A93">
      <w:pPr>
        <w:pStyle w:val="1"/>
        <w:tabs>
          <w:tab w:val="clear" w:pos="0"/>
          <w:tab w:val="left" w:pos="4820"/>
          <w:tab w:val="left" w:pos="4962"/>
          <w:tab w:val="left" w:pos="5103"/>
        </w:tabs>
        <w:jc w:val="center"/>
        <w:rPr>
          <w:b/>
          <w:bCs/>
        </w:rPr>
      </w:pPr>
      <w:r w:rsidRPr="003F4034">
        <w:rPr>
          <w:b/>
          <w:bCs/>
        </w:rPr>
        <w:t>про</w:t>
      </w:r>
      <w:r w:rsidR="0046331B" w:rsidRPr="003F4034">
        <w:rPr>
          <w:b/>
          <w:bCs/>
        </w:rPr>
        <w:t>є</w:t>
      </w:r>
      <w:r w:rsidRPr="003F4034">
        <w:rPr>
          <w:b/>
          <w:bCs/>
        </w:rPr>
        <w:t xml:space="preserve">кту постанови НКРЕКП </w:t>
      </w:r>
      <w:r w:rsidR="00F77DD5" w:rsidRPr="003F4034">
        <w:rPr>
          <w:b/>
          <w:bCs/>
        </w:rPr>
        <w:t>«</w:t>
      </w:r>
      <w:r w:rsidR="002820DF" w:rsidRPr="003F4034">
        <w:rPr>
          <w:b/>
        </w:rPr>
        <w:t>Про затвердження Порядку проведення оператором системи передачі публічних консультацій при розробленні правил розподілу пропускної спроможності міждержавних перетинів та визначенні структури розподілу пропускної спроможності</w:t>
      </w:r>
      <w:r w:rsidR="00F77DD5" w:rsidRPr="003F4034">
        <w:rPr>
          <w:b/>
          <w:bCs/>
        </w:rPr>
        <w:t>»</w:t>
      </w:r>
      <w:r w:rsidRPr="003F4034">
        <w:rPr>
          <w:b/>
          <w:bCs/>
        </w:rPr>
        <w:t xml:space="preserve">, </w:t>
      </w:r>
    </w:p>
    <w:p w:rsidR="00FF716A" w:rsidRPr="003F4034" w:rsidRDefault="00FF716A" w:rsidP="003B2A93">
      <w:pPr>
        <w:pStyle w:val="1"/>
        <w:tabs>
          <w:tab w:val="clear" w:pos="0"/>
          <w:tab w:val="left" w:pos="4820"/>
          <w:tab w:val="left" w:pos="4962"/>
          <w:tab w:val="left" w:pos="5103"/>
        </w:tabs>
        <w:jc w:val="center"/>
      </w:pPr>
      <w:r w:rsidRPr="003F4034">
        <w:rPr>
          <w:b/>
          <w:bCs/>
        </w:rPr>
        <w:t xml:space="preserve">що має ознаки регуляторного </w:t>
      </w:r>
      <w:proofErr w:type="spellStart"/>
      <w:r w:rsidRPr="003F4034">
        <w:rPr>
          <w:b/>
          <w:bCs/>
        </w:rPr>
        <w:t>акта</w:t>
      </w:r>
      <w:proofErr w:type="spellEnd"/>
    </w:p>
    <w:p w:rsidR="00FF716A" w:rsidRPr="003F4034" w:rsidRDefault="00FF716A" w:rsidP="003A3886">
      <w:pPr>
        <w:pStyle w:val="1"/>
        <w:tabs>
          <w:tab w:val="clear" w:pos="0"/>
        </w:tabs>
        <w:jc w:val="center"/>
        <w:rPr>
          <w:b/>
          <w:bCs/>
          <w:sz w:val="22"/>
          <w:szCs w:val="22"/>
        </w:rPr>
      </w:pPr>
    </w:p>
    <w:p w:rsidR="00FF716A" w:rsidRPr="003F4034" w:rsidRDefault="00FF716A" w:rsidP="003A3886">
      <w:pPr>
        <w:pStyle w:val="1"/>
        <w:tabs>
          <w:tab w:val="clear" w:pos="0"/>
        </w:tabs>
        <w:jc w:val="center"/>
        <w:rPr>
          <w:b/>
          <w:bCs/>
        </w:rPr>
      </w:pPr>
      <w:r w:rsidRPr="003F4034">
        <w:rPr>
          <w:b/>
          <w:bCs/>
        </w:rPr>
        <w:t>І. Визначення проблеми</w:t>
      </w:r>
    </w:p>
    <w:p w:rsidR="00AF5A1E" w:rsidRPr="003F4034" w:rsidRDefault="00AF5A1E" w:rsidP="00AF5A1E">
      <w:pPr>
        <w:pStyle w:val="a7"/>
        <w:tabs>
          <w:tab w:val="num" w:pos="0"/>
        </w:tabs>
        <w:ind w:right="-1"/>
      </w:pPr>
      <w:r w:rsidRPr="003F4034">
        <w:t>Відповідно до Договору про заснування Енергетичного Співтовариства Україна зобов'язується реалізовувати положення нормативно-правової бази Європейського Співтовариства у сфері енергетики, зокрема Регламент комісії (ЄС) № 2016/1719 від 26 вересня 2016 року про встановлення настанов щодо форвардного розподілу пропускної спроможності (далі – Регламент № 2016/1719).</w:t>
      </w:r>
    </w:p>
    <w:p w:rsidR="00AF5A1E" w:rsidRPr="003F4034" w:rsidRDefault="00AF5A1E" w:rsidP="00AF5A1E">
      <w:pPr>
        <w:pStyle w:val="a7"/>
        <w:tabs>
          <w:tab w:val="num" w:pos="0"/>
        </w:tabs>
        <w:ind w:right="-1"/>
      </w:pPr>
      <w:r w:rsidRPr="003F4034">
        <w:t xml:space="preserve">Статтею 6 Регламенту № 2016/1719 визначено, що оператори систем передачі (далі – ОСП) повинні проводити з зацікавленими сторонами консультації щодо умов або </w:t>
      </w:r>
      <w:proofErr w:type="spellStart"/>
      <w:r w:rsidRPr="003F4034">
        <w:t>методологій</w:t>
      </w:r>
      <w:proofErr w:type="spellEnd"/>
      <w:r w:rsidRPr="003F4034">
        <w:t xml:space="preserve"> чи змін до них, визначених Регламентом № 2016/1719.</w:t>
      </w:r>
    </w:p>
    <w:p w:rsidR="00AF5A1E" w:rsidRPr="003F4034" w:rsidRDefault="00AF5A1E" w:rsidP="00AF5A1E">
      <w:pPr>
        <w:pStyle w:val="a7"/>
        <w:tabs>
          <w:tab w:val="num" w:pos="0"/>
        </w:tabs>
        <w:ind w:right="-1"/>
      </w:pPr>
      <w:r w:rsidRPr="003F4034">
        <w:t>Згідно зі статтею 3 Закону України «Про ринок електричної енергії» (далі – Закон) функціонування ринку електричної енергії здійснюється на принципах, зокрема, співробітництва та інтеграції ринку електричної енергії на регіональному та загальноєвропейському рівнях.</w:t>
      </w:r>
    </w:p>
    <w:p w:rsidR="00AF5A1E" w:rsidRPr="003F4034" w:rsidRDefault="00AF5A1E" w:rsidP="00AF5A1E">
      <w:pPr>
        <w:pStyle w:val="a7"/>
        <w:tabs>
          <w:tab w:val="num" w:pos="0"/>
        </w:tabs>
        <w:ind w:right="-1"/>
      </w:pPr>
      <w:r w:rsidRPr="003F4034">
        <w:t>10 червня 2023 року Верховною Радою України прийнято Закон України «Про внесення змін до деяких законів України щодо запобігання зловживанням на оптових енергетичних ринках» № 3141–ІХ (далі – Закон № 3141), яким передбачається, що оператор системи передачі проводить публічні консультації з усіма заінтересованими сторонами при розробленні правил розподілу пропускної спроможності міждержавних перетинів та визначенні структури розподілу пропускної спроможності відповідно до затвердженого Регулятором порядку.</w:t>
      </w:r>
    </w:p>
    <w:p w:rsidR="00AF5A1E" w:rsidRPr="003F4034" w:rsidRDefault="00AF5A1E" w:rsidP="00AF5A1E">
      <w:pPr>
        <w:pStyle w:val="a7"/>
        <w:ind w:firstLine="850"/>
      </w:pPr>
      <w:r w:rsidRPr="003F4034">
        <w:t>Також, Законом № 3141 доповнено положення статті 6 Закону та передбачено, що до основних завдань Регулятора на ринку електричної енергії належить, зокрема, затвердження порядку проведення оператором системи передачі публічних консультацій при розробленні правил розподілу пропускної спроможності міждержавних перетинів та визначенні структури розподілу пропускної спроможності (далі – Порядок публічних консультацій).</w:t>
      </w:r>
    </w:p>
    <w:p w:rsidR="00AF5A1E" w:rsidRPr="003F4034" w:rsidRDefault="00AF5A1E" w:rsidP="00AF5A1E">
      <w:pPr>
        <w:pStyle w:val="rvps2"/>
        <w:shd w:val="clear" w:color="auto" w:fill="FFFFFF"/>
        <w:spacing w:before="0" w:beforeAutospacing="0" w:after="0" w:afterAutospacing="0"/>
        <w:ind w:firstLine="709"/>
        <w:jc w:val="both"/>
        <w:rPr>
          <w:lang w:val="uk-UA"/>
        </w:rPr>
      </w:pPr>
      <w:r w:rsidRPr="003F4034">
        <w:rPr>
          <w:sz w:val="28"/>
          <w:szCs w:val="28"/>
          <w:lang w:val="uk-UA"/>
        </w:rPr>
        <w:t>Відповідно до інформації, розміщеної на офіційному вебсайті Верховної</w:t>
      </w:r>
      <w:r w:rsidR="00065C09" w:rsidRPr="003F4034">
        <w:rPr>
          <w:sz w:val="28"/>
          <w:szCs w:val="28"/>
          <w:lang w:val="uk-UA"/>
        </w:rPr>
        <w:t> </w:t>
      </w:r>
      <w:r w:rsidR="005C1EFD" w:rsidRPr="003F4034">
        <w:rPr>
          <w:sz w:val="28"/>
          <w:szCs w:val="28"/>
          <w:lang w:val="uk-UA"/>
        </w:rPr>
        <w:t xml:space="preserve"> </w:t>
      </w:r>
      <w:r w:rsidRPr="003F4034">
        <w:rPr>
          <w:sz w:val="28"/>
          <w:szCs w:val="28"/>
          <w:lang w:val="uk-UA"/>
        </w:rPr>
        <w:t xml:space="preserve">Ради України за посиланням </w:t>
      </w:r>
      <w:hyperlink r:id="rId8" w:history="1">
        <w:r w:rsidRPr="003F4034">
          <w:rPr>
            <w:szCs w:val="28"/>
            <w:lang w:val="uk-UA"/>
          </w:rPr>
          <w:t>https://w1.c1.rada.gov.ua/pls/zweb2/webproc4_1?pf3511=71559</w:t>
        </w:r>
      </w:hyperlink>
      <w:r w:rsidRPr="003F4034">
        <w:rPr>
          <w:szCs w:val="28"/>
          <w:lang w:val="uk-UA"/>
        </w:rPr>
        <w:t>,</w:t>
      </w:r>
      <w:r w:rsidRPr="003F4034">
        <w:rPr>
          <w:sz w:val="28"/>
          <w:szCs w:val="28"/>
          <w:lang w:val="uk-UA"/>
        </w:rPr>
        <w:t xml:space="preserve"> Закон № 3141 станом на </w:t>
      </w:r>
      <w:r w:rsidR="00877C43">
        <w:rPr>
          <w:sz w:val="28"/>
          <w:szCs w:val="28"/>
          <w:lang w:val="uk-UA"/>
        </w:rPr>
        <w:t>22</w:t>
      </w:r>
      <w:r w:rsidRPr="003F4034">
        <w:rPr>
          <w:sz w:val="28"/>
          <w:szCs w:val="28"/>
          <w:lang w:val="uk-UA"/>
        </w:rPr>
        <w:t>.06.2023 підписано Головою Верховної Ради України та направлено на підпис Президенту України.</w:t>
      </w:r>
    </w:p>
    <w:p w:rsidR="00DB13B1" w:rsidRDefault="00AF5A1E" w:rsidP="001048C7">
      <w:pPr>
        <w:pStyle w:val="a7"/>
        <w:tabs>
          <w:tab w:val="num" w:pos="0"/>
        </w:tabs>
        <w:ind w:right="-1"/>
      </w:pPr>
      <w:r w:rsidRPr="003F4034">
        <w:t xml:space="preserve">З метою реалізації положень Закону, якнайшвидшого відновлення експортно-імпортних операцій, та зважаючи на тривалість процесу прийняття регуляторного </w:t>
      </w:r>
      <w:proofErr w:type="spellStart"/>
      <w:r w:rsidRPr="003F4034">
        <w:t>акта</w:t>
      </w:r>
      <w:proofErr w:type="spellEnd"/>
      <w:r w:rsidR="00536ED4" w:rsidRPr="003F4034">
        <w:t xml:space="preserve">, розроблено </w:t>
      </w:r>
      <w:proofErr w:type="spellStart"/>
      <w:r w:rsidR="00536ED4" w:rsidRPr="003F4034">
        <w:t>проєкт</w:t>
      </w:r>
      <w:proofErr w:type="spellEnd"/>
      <w:r w:rsidR="00536ED4" w:rsidRPr="003F4034">
        <w:t xml:space="preserve"> постанови НКРЕКП </w:t>
      </w:r>
      <w:r w:rsidR="00740AA3" w:rsidRPr="003F4034">
        <w:t xml:space="preserve">«Про затвердження </w:t>
      </w:r>
      <w:r w:rsidR="008E4129">
        <w:br/>
      </w:r>
      <w:r w:rsidR="00740AA3" w:rsidRPr="003F4034">
        <w:t>Порядку проведення оператором системи передачі публічних консультацій при</w:t>
      </w:r>
      <w:r w:rsidR="008E4129">
        <w:t xml:space="preserve"> </w:t>
      </w:r>
    </w:p>
    <w:p w:rsidR="00740AA3" w:rsidRPr="003F4034" w:rsidRDefault="00740AA3" w:rsidP="00DB13B1">
      <w:pPr>
        <w:pStyle w:val="a7"/>
        <w:tabs>
          <w:tab w:val="num" w:pos="0"/>
        </w:tabs>
        <w:ind w:right="-1" w:firstLine="0"/>
      </w:pPr>
      <w:r w:rsidRPr="003F4034">
        <w:lastRenderedPageBreak/>
        <w:t>розробленні правил розподілу пропускної спроможності міждержавних перетинів та визначенні структури розподілу пропускної спроможності»</w:t>
      </w:r>
      <w:r w:rsidR="00AF5A1E" w:rsidRPr="003F4034">
        <w:t xml:space="preserve"> </w:t>
      </w:r>
      <w:r w:rsidRPr="003F4034">
        <w:t>(далі – регуляторний акт).</w:t>
      </w:r>
    </w:p>
    <w:p w:rsidR="00AF5A1E" w:rsidRPr="003F4034" w:rsidRDefault="00AF5A1E" w:rsidP="001048C7">
      <w:pPr>
        <w:pStyle w:val="a7"/>
        <w:tabs>
          <w:tab w:val="num" w:pos="0"/>
        </w:tabs>
        <w:ind w:right="-1"/>
      </w:pPr>
    </w:p>
    <w:p w:rsidR="00740AA3" w:rsidRPr="003F4034" w:rsidRDefault="00740AA3" w:rsidP="00740AA3">
      <w:pPr>
        <w:ind w:firstLine="851"/>
        <w:jc w:val="both"/>
        <w:rPr>
          <w:bCs/>
          <w:lang w:val="uk-UA"/>
        </w:rPr>
      </w:pPr>
      <w:r w:rsidRPr="003F4034">
        <w:rPr>
          <w:bCs/>
          <w:lang w:val="uk-UA"/>
        </w:rPr>
        <w:t>Основні групи (підгрупи), на які проблема справляє вплив:</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9"/>
        <w:gridCol w:w="3402"/>
        <w:gridCol w:w="2694"/>
      </w:tblGrid>
      <w:tr w:rsidR="003E3A3F" w:rsidRPr="00DB13B1" w:rsidTr="001048C7">
        <w:trPr>
          <w:trHeight w:val="453"/>
        </w:trPr>
        <w:tc>
          <w:tcPr>
            <w:tcW w:w="3289" w:type="dxa"/>
            <w:tcBorders>
              <w:top w:val="single" w:sz="4" w:space="0" w:color="auto"/>
              <w:left w:val="single" w:sz="4" w:space="0" w:color="auto"/>
              <w:bottom w:val="single" w:sz="4" w:space="0" w:color="auto"/>
              <w:right w:val="single" w:sz="4" w:space="0" w:color="auto"/>
            </w:tcBorders>
            <w:vAlign w:val="center"/>
          </w:tcPr>
          <w:p w:rsidR="00740AA3" w:rsidRPr="00DB13B1" w:rsidRDefault="00740AA3" w:rsidP="008A3120">
            <w:pPr>
              <w:pStyle w:val="af0"/>
              <w:rPr>
                <w:b/>
                <w:lang w:val="uk-UA"/>
              </w:rPr>
            </w:pPr>
            <w:r w:rsidRPr="00DB13B1">
              <w:rPr>
                <w:b/>
                <w:lang w:val="uk-UA"/>
              </w:rPr>
              <w:t>Групи (підгрупи)</w:t>
            </w:r>
          </w:p>
        </w:tc>
        <w:tc>
          <w:tcPr>
            <w:tcW w:w="3402" w:type="dxa"/>
            <w:tcBorders>
              <w:top w:val="single" w:sz="4" w:space="0" w:color="auto"/>
              <w:left w:val="single" w:sz="4" w:space="0" w:color="auto"/>
              <w:bottom w:val="single" w:sz="4" w:space="0" w:color="auto"/>
              <w:right w:val="single" w:sz="4" w:space="0" w:color="auto"/>
            </w:tcBorders>
            <w:vAlign w:val="center"/>
          </w:tcPr>
          <w:p w:rsidR="00740AA3" w:rsidRPr="00DB13B1" w:rsidRDefault="00740AA3" w:rsidP="008A3120">
            <w:pPr>
              <w:jc w:val="center"/>
              <w:rPr>
                <w:b/>
                <w:sz w:val="24"/>
                <w:szCs w:val="24"/>
                <w:lang w:val="uk-UA"/>
              </w:rPr>
            </w:pPr>
            <w:r w:rsidRPr="00DB13B1">
              <w:rPr>
                <w:b/>
                <w:sz w:val="24"/>
                <w:szCs w:val="24"/>
                <w:lang w:val="uk-UA"/>
              </w:rPr>
              <w:t>Так</w:t>
            </w:r>
          </w:p>
        </w:tc>
        <w:tc>
          <w:tcPr>
            <w:tcW w:w="2694" w:type="dxa"/>
            <w:tcBorders>
              <w:top w:val="single" w:sz="4" w:space="0" w:color="auto"/>
              <w:left w:val="single" w:sz="4" w:space="0" w:color="auto"/>
              <w:bottom w:val="single" w:sz="4" w:space="0" w:color="auto"/>
              <w:right w:val="single" w:sz="4" w:space="0" w:color="auto"/>
            </w:tcBorders>
            <w:vAlign w:val="center"/>
          </w:tcPr>
          <w:p w:rsidR="00740AA3" w:rsidRPr="00DB13B1" w:rsidRDefault="00740AA3" w:rsidP="008A3120">
            <w:pPr>
              <w:jc w:val="center"/>
              <w:rPr>
                <w:b/>
                <w:sz w:val="24"/>
                <w:szCs w:val="24"/>
                <w:lang w:val="uk-UA"/>
              </w:rPr>
            </w:pPr>
            <w:r w:rsidRPr="00DB13B1">
              <w:rPr>
                <w:b/>
                <w:sz w:val="24"/>
                <w:szCs w:val="24"/>
                <w:lang w:val="uk-UA"/>
              </w:rPr>
              <w:t>Ні</w:t>
            </w:r>
          </w:p>
        </w:tc>
      </w:tr>
      <w:tr w:rsidR="003E3A3F" w:rsidRPr="00DB13B1" w:rsidTr="001048C7">
        <w:trPr>
          <w:trHeight w:val="329"/>
        </w:trPr>
        <w:tc>
          <w:tcPr>
            <w:tcW w:w="3289" w:type="dxa"/>
            <w:tcBorders>
              <w:top w:val="single" w:sz="4" w:space="0" w:color="auto"/>
              <w:left w:val="single" w:sz="4" w:space="0" w:color="auto"/>
              <w:bottom w:val="single" w:sz="4" w:space="0" w:color="auto"/>
              <w:right w:val="single" w:sz="4" w:space="0" w:color="auto"/>
            </w:tcBorders>
            <w:vAlign w:val="center"/>
          </w:tcPr>
          <w:p w:rsidR="00740AA3" w:rsidRPr="00DB13B1" w:rsidRDefault="00740AA3" w:rsidP="008A3120">
            <w:pPr>
              <w:pStyle w:val="af0"/>
              <w:rPr>
                <w:lang w:val="uk-UA"/>
              </w:rPr>
            </w:pPr>
            <w:r w:rsidRPr="00DB13B1">
              <w:rPr>
                <w:lang w:val="uk-UA"/>
              </w:rPr>
              <w:t>Громадяни</w:t>
            </w:r>
          </w:p>
        </w:tc>
        <w:tc>
          <w:tcPr>
            <w:tcW w:w="3402" w:type="dxa"/>
            <w:tcBorders>
              <w:top w:val="single" w:sz="4" w:space="0" w:color="auto"/>
              <w:left w:val="single" w:sz="4" w:space="0" w:color="auto"/>
              <w:bottom w:val="single" w:sz="4" w:space="0" w:color="auto"/>
              <w:right w:val="single" w:sz="4" w:space="0" w:color="auto"/>
            </w:tcBorders>
            <w:vAlign w:val="center"/>
          </w:tcPr>
          <w:p w:rsidR="00740AA3" w:rsidRPr="00DB13B1" w:rsidRDefault="00740AA3" w:rsidP="008A3120">
            <w:pPr>
              <w:jc w:val="center"/>
              <w:rPr>
                <w:sz w:val="24"/>
                <w:szCs w:val="24"/>
                <w:lang w:val="uk-UA"/>
              </w:rPr>
            </w:pPr>
            <w:r w:rsidRPr="00DB13B1">
              <w:rPr>
                <w:sz w:val="24"/>
                <w:szCs w:val="24"/>
                <w:lang w:val="uk-UA"/>
              </w:rPr>
              <w:t>Ні</w:t>
            </w:r>
          </w:p>
        </w:tc>
        <w:tc>
          <w:tcPr>
            <w:tcW w:w="2694" w:type="dxa"/>
            <w:tcBorders>
              <w:top w:val="single" w:sz="4" w:space="0" w:color="auto"/>
              <w:left w:val="single" w:sz="4" w:space="0" w:color="auto"/>
              <w:bottom w:val="single" w:sz="4" w:space="0" w:color="auto"/>
              <w:right w:val="single" w:sz="4" w:space="0" w:color="auto"/>
            </w:tcBorders>
            <w:vAlign w:val="center"/>
          </w:tcPr>
          <w:p w:rsidR="00740AA3" w:rsidRPr="00DB13B1" w:rsidRDefault="00740AA3" w:rsidP="008A3120">
            <w:pPr>
              <w:jc w:val="center"/>
              <w:rPr>
                <w:sz w:val="24"/>
                <w:szCs w:val="24"/>
                <w:lang w:val="uk-UA"/>
              </w:rPr>
            </w:pPr>
            <w:r w:rsidRPr="00DB13B1">
              <w:rPr>
                <w:sz w:val="24"/>
                <w:szCs w:val="24"/>
                <w:lang w:val="uk-UA"/>
              </w:rPr>
              <w:t>Ні</w:t>
            </w:r>
          </w:p>
        </w:tc>
      </w:tr>
      <w:tr w:rsidR="003E3A3F" w:rsidRPr="00DB13B1" w:rsidTr="001048C7">
        <w:trPr>
          <w:trHeight w:val="362"/>
        </w:trPr>
        <w:tc>
          <w:tcPr>
            <w:tcW w:w="3289" w:type="dxa"/>
            <w:tcBorders>
              <w:top w:val="single" w:sz="4" w:space="0" w:color="auto"/>
              <w:left w:val="single" w:sz="4" w:space="0" w:color="auto"/>
              <w:bottom w:val="single" w:sz="4" w:space="0" w:color="auto"/>
              <w:right w:val="single" w:sz="4" w:space="0" w:color="auto"/>
            </w:tcBorders>
            <w:vAlign w:val="center"/>
          </w:tcPr>
          <w:p w:rsidR="00740AA3" w:rsidRPr="00DB13B1" w:rsidRDefault="00740AA3" w:rsidP="008A3120">
            <w:pPr>
              <w:pStyle w:val="af0"/>
              <w:rPr>
                <w:lang w:val="uk-UA"/>
              </w:rPr>
            </w:pPr>
            <w:r w:rsidRPr="00DB13B1">
              <w:rPr>
                <w:lang w:val="uk-UA"/>
              </w:rPr>
              <w:t>Держава</w:t>
            </w:r>
          </w:p>
        </w:tc>
        <w:tc>
          <w:tcPr>
            <w:tcW w:w="3402" w:type="dxa"/>
            <w:tcBorders>
              <w:top w:val="single" w:sz="4" w:space="0" w:color="auto"/>
              <w:left w:val="single" w:sz="4" w:space="0" w:color="auto"/>
              <w:bottom w:val="single" w:sz="4" w:space="0" w:color="auto"/>
              <w:right w:val="single" w:sz="4" w:space="0" w:color="auto"/>
            </w:tcBorders>
            <w:vAlign w:val="center"/>
          </w:tcPr>
          <w:p w:rsidR="00740AA3" w:rsidRPr="00DB13B1" w:rsidRDefault="00740AA3" w:rsidP="008A3120">
            <w:pPr>
              <w:jc w:val="center"/>
              <w:rPr>
                <w:sz w:val="24"/>
                <w:szCs w:val="24"/>
                <w:lang w:val="uk-UA"/>
              </w:rPr>
            </w:pPr>
            <w:r w:rsidRPr="00DB13B1">
              <w:rPr>
                <w:sz w:val="24"/>
                <w:szCs w:val="24"/>
                <w:lang w:val="uk-UA"/>
              </w:rPr>
              <w:t xml:space="preserve">Так </w:t>
            </w:r>
          </w:p>
        </w:tc>
        <w:tc>
          <w:tcPr>
            <w:tcW w:w="2694" w:type="dxa"/>
            <w:tcBorders>
              <w:top w:val="single" w:sz="4" w:space="0" w:color="auto"/>
              <w:left w:val="single" w:sz="4" w:space="0" w:color="auto"/>
              <w:bottom w:val="single" w:sz="4" w:space="0" w:color="auto"/>
              <w:right w:val="single" w:sz="4" w:space="0" w:color="auto"/>
            </w:tcBorders>
            <w:vAlign w:val="center"/>
          </w:tcPr>
          <w:p w:rsidR="00740AA3" w:rsidRPr="00DB13B1" w:rsidRDefault="00740AA3" w:rsidP="008A3120">
            <w:pPr>
              <w:jc w:val="center"/>
              <w:rPr>
                <w:sz w:val="24"/>
                <w:szCs w:val="24"/>
                <w:lang w:val="uk-UA"/>
              </w:rPr>
            </w:pPr>
            <w:r w:rsidRPr="00DB13B1">
              <w:rPr>
                <w:sz w:val="24"/>
                <w:szCs w:val="24"/>
                <w:lang w:val="uk-UA"/>
              </w:rPr>
              <w:t>Ні</w:t>
            </w:r>
          </w:p>
        </w:tc>
      </w:tr>
      <w:tr w:rsidR="00740AA3" w:rsidRPr="00DB13B1" w:rsidTr="001048C7">
        <w:trPr>
          <w:trHeight w:val="413"/>
        </w:trPr>
        <w:tc>
          <w:tcPr>
            <w:tcW w:w="3289" w:type="dxa"/>
            <w:tcBorders>
              <w:top w:val="single" w:sz="4" w:space="0" w:color="auto"/>
              <w:left w:val="single" w:sz="4" w:space="0" w:color="auto"/>
              <w:bottom w:val="single" w:sz="4" w:space="0" w:color="auto"/>
              <w:right w:val="single" w:sz="4" w:space="0" w:color="auto"/>
            </w:tcBorders>
            <w:vAlign w:val="center"/>
          </w:tcPr>
          <w:p w:rsidR="00740AA3" w:rsidRPr="00DB13B1" w:rsidRDefault="00740AA3" w:rsidP="008A3120">
            <w:pPr>
              <w:pStyle w:val="af0"/>
              <w:rPr>
                <w:lang w:val="uk-UA"/>
              </w:rPr>
            </w:pPr>
            <w:r w:rsidRPr="00DB13B1">
              <w:rPr>
                <w:lang w:val="uk-UA"/>
              </w:rPr>
              <w:t>Суб’єкти господарювання</w:t>
            </w:r>
          </w:p>
        </w:tc>
        <w:tc>
          <w:tcPr>
            <w:tcW w:w="3402" w:type="dxa"/>
            <w:tcBorders>
              <w:top w:val="single" w:sz="4" w:space="0" w:color="auto"/>
              <w:left w:val="single" w:sz="4" w:space="0" w:color="auto"/>
              <w:bottom w:val="single" w:sz="4" w:space="0" w:color="auto"/>
              <w:right w:val="single" w:sz="4" w:space="0" w:color="auto"/>
            </w:tcBorders>
            <w:vAlign w:val="center"/>
          </w:tcPr>
          <w:p w:rsidR="00740AA3" w:rsidRPr="00DB13B1" w:rsidRDefault="00740AA3" w:rsidP="00BD7FCA">
            <w:pPr>
              <w:jc w:val="center"/>
              <w:rPr>
                <w:sz w:val="24"/>
                <w:szCs w:val="24"/>
                <w:lang w:val="uk-UA"/>
              </w:rPr>
            </w:pPr>
            <w:r w:rsidRPr="00DB13B1">
              <w:rPr>
                <w:sz w:val="24"/>
                <w:szCs w:val="24"/>
                <w:lang w:val="uk-UA"/>
              </w:rPr>
              <w:t>Так</w:t>
            </w:r>
          </w:p>
        </w:tc>
        <w:tc>
          <w:tcPr>
            <w:tcW w:w="2694" w:type="dxa"/>
            <w:tcBorders>
              <w:top w:val="single" w:sz="4" w:space="0" w:color="auto"/>
              <w:left w:val="single" w:sz="4" w:space="0" w:color="auto"/>
              <w:bottom w:val="single" w:sz="4" w:space="0" w:color="auto"/>
              <w:right w:val="single" w:sz="4" w:space="0" w:color="auto"/>
            </w:tcBorders>
            <w:vAlign w:val="center"/>
          </w:tcPr>
          <w:p w:rsidR="00740AA3" w:rsidRPr="00DB13B1" w:rsidRDefault="00740AA3" w:rsidP="008A3120">
            <w:pPr>
              <w:jc w:val="center"/>
              <w:rPr>
                <w:sz w:val="24"/>
                <w:szCs w:val="24"/>
                <w:lang w:val="uk-UA"/>
              </w:rPr>
            </w:pPr>
            <w:r w:rsidRPr="00DB13B1">
              <w:rPr>
                <w:sz w:val="24"/>
                <w:szCs w:val="24"/>
                <w:lang w:val="uk-UA"/>
              </w:rPr>
              <w:t>Ні</w:t>
            </w:r>
          </w:p>
        </w:tc>
      </w:tr>
    </w:tbl>
    <w:p w:rsidR="00536ED4" w:rsidRPr="003F4034" w:rsidRDefault="00536ED4" w:rsidP="00740AA3">
      <w:pPr>
        <w:spacing w:after="120"/>
        <w:jc w:val="center"/>
        <w:rPr>
          <w:b/>
          <w:lang w:val="uk-UA"/>
        </w:rPr>
      </w:pPr>
    </w:p>
    <w:p w:rsidR="00740AA3" w:rsidRPr="003F4034" w:rsidRDefault="00740AA3" w:rsidP="00740AA3">
      <w:pPr>
        <w:spacing w:after="120"/>
        <w:jc w:val="center"/>
        <w:rPr>
          <w:b/>
          <w:lang w:val="uk-UA"/>
        </w:rPr>
      </w:pPr>
      <w:r w:rsidRPr="003F4034">
        <w:rPr>
          <w:b/>
          <w:lang w:val="uk-UA"/>
        </w:rPr>
        <w:t>ІІ. Цілі державного регулювання</w:t>
      </w:r>
    </w:p>
    <w:p w:rsidR="001048C7" w:rsidRPr="003F4034" w:rsidRDefault="00740AA3" w:rsidP="001048C7">
      <w:pPr>
        <w:pStyle w:val="a7"/>
        <w:tabs>
          <w:tab w:val="num" w:pos="0"/>
        </w:tabs>
        <w:ind w:right="-1"/>
      </w:pPr>
      <w:r w:rsidRPr="003F4034">
        <w:t xml:space="preserve">Прийняття регуляторного </w:t>
      </w:r>
      <w:proofErr w:type="spellStart"/>
      <w:r w:rsidRPr="003F4034">
        <w:t>акта</w:t>
      </w:r>
      <w:proofErr w:type="spellEnd"/>
      <w:r w:rsidRPr="003F4034">
        <w:t xml:space="preserve"> має на меті </w:t>
      </w:r>
      <w:r w:rsidR="002B522F" w:rsidRPr="003F4034">
        <w:t xml:space="preserve">забезпечення нормативного підґрунтя для </w:t>
      </w:r>
      <w:r w:rsidRPr="003F4034">
        <w:t xml:space="preserve">виконання положень Закону щодо </w:t>
      </w:r>
      <w:r w:rsidR="001048C7" w:rsidRPr="003F4034">
        <w:t>проведення</w:t>
      </w:r>
      <w:r w:rsidR="002B522F" w:rsidRPr="003F4034">
        <w:t xml:space="preserve"> ОСП </w:t>
      </w:r>
      <w:r w:rsidR="001048C7" w:rsidRPr="003F4034">
        <w:t xml:space="preserve">консультацій </w:t>
      </w:r>
      <w:r w:rsidR="002B522F" w:rsidRPr="003F4034">
        <w:t>стосовно</w:t>
      </w:r>
      <w:r w:rsidR="001048C7" w:rsidRPr="003F4034">
        <w:t xml:space="preserve"> розроблення правил розподілу пропускної спроможності міждержавних перетинів та визначення структури розподілу пропускної спроможності, відповідно до </w:t>
      </w:r>
      <w:r w:rsidR="002820DF" w:rsidRPr="003F4034">
        <w:t>п</w:t>
      </w:r>
      <w:r w:rsidR="001048C7" w:rsidRPr="003F4034">
        <w:t>орядку</w:t>
      </w:r>
      <w:r w:rsidR="0071241B" w:rsidRPr="003F4034">
        <w:t>,</w:t>
      </w:r>
      <w:r w:rsidR="001048C7" w:rsidRPr="003F4034">
        <w:t xml:space="preserve"> затвердженого НКРЕКП</w:t>
      </w:r>
      <w:r w:rsidR="002B522F" w:rsidRPr="003F4034">
        <w:t>.</w:t>
      </w:r>
      <w:r w:rsidR="001048C7" w:rsidRPr="003F4034">
        <w:t xml:space="preserve"> </w:t>
      </w:r>
    </w:p>
    <w:p w:rsidR="002820DF" w:rsidRPr="003F4034" w:rsidRDefault="002820DF" w:rsidP="002820DF">
      <w:pPr>
        <w:pStyle w:val="a7"/>
        <w:ind w:firstLine="567"/>
      </w:pPr>
    </w:p>
    <w:p w:rsidR="00740AA3" w:rsidRPr="003F4034" w:rsidRDefault="00740AA3" w:rsidP="00740AA3">
      <w:pPr>
        <w:tabs>
          <w:tab w:val="left" w:pos="0"/>
        </w:tabs>
        <w:spacing w:after="120"/>
        <w:jc w:val="center"/>
        <w:rPr>
          <w:b/>
          <w:lang w:val="uk-UA"/>
        </w:rPr>
      </w:pPr>
      <w:r w:rsidRPr="003F4034">
        <w:rPr>
          <w:b/>
          <w:lang w:val="uk-UA"/>
        </w:rPr>
        <w:t>ІІІ. Визначення та оцінка альтернативних способів досягнення цілей</w:t>
      </w:r>
    </w:p>
    <w:p w:rsidR="00740AA3" w:rsidRPr="003F4034" w:rsidRDefault="00740AA3" w:rsidP="00740AA3">
      <w:pPr>
        <w:numPr>
          <w:ilvl w:val="0"/>
          <w:numId w:val="11"/>
        </w:numPr>
        <w:overflowPunct w:val="0"/>
        <w:autoSpaceDE w:val="0"/>
        <w:autoSpaceDN w:val="0"/>
        <w:adjustRightInd w:val="0"/>
        <w:spacing w:after="120"/>
        <w:jc w:val="both"/>
        <w:textAlignment w:val="baseline"/>
        <w:rPr>
          <w:lang w:val="uk-UA"/>
        </w:rPr>
      </w:pPr>
      <w:r w:rsidRPr="003F4034">
        <w:rPr>
          <w:lang w:val="uk-UA"/>
        </w:rPr>
        <w:t>Визначення альтернативних способів</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379"/>
      </w:tblGrid>
      <w:tr w:rsidR="003E3A3F" w:rsidRPr="00DB13B1" w:rsidTr="008A3120">
        <w:tc>
          <w:tcPr>
            <w:tcW w:w="3119" w:type="dxa"/>
          </w:tcPr>
          <w:p w:rsidR="00740AA3" w:rsidRPr="00DB13B1" w:rsidRDefault="00740AA3" w:rsidP="008A3120">
            <w:pPr>
              <w:pStyle w:val="af1"/>
              <w:spacing w:after="0"/>
              <w:jc w:val="center"/>
              <w:rPr>
                <w:bCs/>
                <w:sz w:val="24"/>
                <w:szCs w:val="24"/>
                <w:lang w:val="uk-UA"/>
              </w:rPr>
            </w:pPr>
            <w:r w:rsidRPr="00DB13B1">
              <w:rPr>
                <w:bCs/>
                <w:sz w:val="24"/>
                <w:szCs w:val="24"/>
                <w:lang w:val="uk-UA"/>
              </w:rPr>
              <w:t>Вид альтернативи</w:t>
            </w:r>
          </w:p>
        </w:tc>
        <w:tc>
          <w:tcPr>
            <w:tcW w:w="6379" w:type="dxa"/>
          </w:tcPr>
          <w:p w:rsidR="00740AA3" w:rsidRPr="00DB13B1" w:rsidRDefault="00740AA3" w:rsidP="008A3120">
            <w:pPr>
              <w:pStyle w:val="af1"/>
              <w:spacing w:after="0"/>
              <w:jc w:val="center"/>
              <w:rPr>
                <w:bCs/>
                <w:sz w:val="24"/>
                <w:szCs w:val="24"/>
                <w:lang w:val="uk-UA"/>
              </w:rPr>
            </w:pPr>
            <w:r w:rsidRPr="00DB13B1">
              <w:rPr>
                <w:bCs/>
                <w:sz w:val="24"/>
                <w:szCs w:val="24"/>
                <w:lang w:val="uk-UA"/>
              </w:rPr>
              <w:t>Опис альтернативи</w:t>
            </w:r>
          </w:p>
        </w:tc>
      </w:tr>
      <w:tr w:rsidR="003E3A3F" w:rsidRPr="00DB13B1" w:rsidTr="008A3120">
        <w:tc>
          <w:tcPr>
            <w:tcW w:w="3119" w:type="dxa"/>
          </w:tcPr>
          <w:p w:rsidR="00740AA3" w:rsidRPr="00DB13B1" w:rsidRDefault="00740AA3" w:rsidP="008A3120">
            <w:pPr>
              <w:pStyle w:val="af1"/>
              <w:spacing w:after="0"/>
              <w:rPr>
                <w:bCs/>
                <w:sz w:val="24"/>
                <w:szCs w:val="24"/>
                <w:lang w:val="uk-UA"/>
              </w:rPr>
            </w:pPr>
            <w:r w:rsidRPr="00DB13B1">
              <w:rPr>
                <w:bCs/>
                <w:sz w:val="24"/>
                <w:szCs w:val="24"/>
                <w:lang w:val="uk-UA"/>
              </w:rPr>
              <w:t>Альтернатива 1</w:t>
            </w:r>
          </w:p>
          <w:p w:rsidR="00740AA3" w:rsidRPr="00DB13B1" w:rsidRDefault="00740AA3" w:rsidP="008A3120">
            <w:pPr>
              <w:pStyle w:val="af1"/>
              <w:spacing w:after="0"/>
              <w:rPr>
                <w:bCs/>
                <w:sz w:val="24"/>
                <w:szCs w:val="24"/>
                <w:lang w:val="uk-UA"/>
              </w:rPr>
            </w:pPr>
            <w:r w:rsidRPr="00DB13B1">
              <w:rPr>
                <w:bCs/>
                <w:sz w:val="24"/>
                <w:szCs w:val="24"/>
                <w:lang w:val="uk-UA"/>
              </w:rPr>
              <w:t>Збереження чинного регулювання</w:t>
            </w:r>
          </w:p>
        </w:tc>
        <w:tc>
          <w:tcPr>
            <w:tcW w:w="6379" w:type="dxa"/>
          </w:tcPr>
          <w:p w:rsidR="00740AA3" w:rsidRPr="00DB13B1" w:rsidRDefault="00BD7FCA" w:rsidP="008A3120">
            <w:pPr>
              <w:pStyle w:val="af1"/>
              <w:spacing w:after="0"/>
              <w:jc w:val="both"/>
              <w:rPr>
                <w:bCs/>
                <w:sz w:val="24"/>
                <w:szCs w:val="24"/>
                <w:lang w:val="uk-UA"/>
              </w:rPr>
            </w:pPr>
            <w:r w:rsidRPr="00DB13B1">
              <w:rPr>
                <w:bCs/>
                <w:sz w:val="24"/>
                <w:szCs w:val="24"/>
                <w:lang w:val="uk-UA"/>
              </w:rPr>
              <w:t>Відсутність Порядку публічних консультацій</w:t>
            </w:r>
            <w:r w:rsidR="00740AA3" w:rsidRPr="00DB13B1">
              <w:rPr>
                <w:bCs/>
                <w:sz w:val="24"/>
                <w:szCs w:val="24"/>
                <w:lang w:val="uk-UA"/>
              </w:rPr>
              <w:t>.</w:t>
            </w:r>
          </w:p>
        </w:tc>
      </w:tr>
      <w:tr w:rsidR="003E3A3F" w:rsidRPr="00DB13B1" w:rsidTr="008A3120">
        <w:tc>
          <w:tcPr>
            <w:tcW w:w="3119" w:type="dxa"/>
          </w:tcPr>
          <w:p w:rsidR="00740AA3" w:rsidRPr="00DB13B1" w:rsidRDefault="00740AA3" w:rsidP="008A3120">
            <w:pPr>
              <w:pStyle w:val="af1"/>
              <w:spacing w:after="0"/>
              <w:rPr>
                <w:bCs/>
                <w:sz w:val="24"/>
                <w:szCs w:val="24"/>
                <w:lang w:val="uk-UA"/>
              </w:rPr>
            </w:pPr>
            <w:r w:rsidRPr="00DB13B1">
              <w:rPr>
                <w:bCs/>
                <w:sz w:val="24"/>
                <w:szCs w:val="24"/>
                <w:lang w:val="uk-UA"/>
              </w:rPr>
              <w:t>Альтернатива 2</w:t>
            </w:r>
          </w:p>
          <w:p w:rsidR="00740AA3" w:rsidRPr="00DB13B1" w:rsidRDefault="00BD7FCA" w:rsidP="008A3120">
            <w:pPr>
              <w:pStyle w:val="af1"/>
              <w:spacing w:after="0"/>
              <w:rPr>
                <w:bCs/>
                <w:sz w:val="24"/>
                <w:szCs w:val="24"/>
                <w:lang w:val="uk-UA"/>
              </w:rPr>
            </w:pPr>
            <w:r w:rsidRPr="00DB13B1">
              <w:rPr>
                <w:bCs/>
                <w:sz w:val="24"/>
                <w:szCs w:val="24"/>
                <w:lang w:val="uk-UA"/>
              </w:rPr>
              <w:t xml:space="preserve">Прийняття нового регуляторного </w:t>
            </w:r>
            <w:proofErr w:type="spellStart"/>
            <w:r w:rsidRPr="00DB13B1">
              <w:rPr>
                <w:bCs/>
                <w:sz w:val="24"/>
                <w:szCs w:val="24"/>
                <w:lang w:val="uk-UA"/>
              </w:rPr>
              <w:t>акта</w:t>
            </w:r>
            <w:proofErr w:type="spellEnd"/>
          </w:p>
        </w:tc>
        <w:tc>
          <w:tcPr>
            <w:tcW w:w="6379" w:type="dxa"/>
          </w:tcPr>
          <w:p w:rsidR="00740AA3" w:rsidRPr="00DB13B1" w:rsidRDefault="00F53098" w:rsidP="00536ED4">
            <w:pPr>
              <w:pStyle w:val="af1"/>
              <w:spacing w:after="0"/>
              <w:jc w:val="both"/>
              <w:rPr>
                <w:bCs/>
                <w:sz w:val="24"/>
                <w:szCs w:val="24"/>
                <w:lang w:val="uk-UA"/>
              </w:rPr>
            </w:pPr>
            <w:r w:rsidRPr="00DB13B1">
              <w:rPr>
                <w:bCs/>
                <w:sz w:val="24"/>
                <w:szCs w:val="24"/>
                <w:lang w:val="uk-UA"/>
              </w:rPr>
              <w:t>Затвердження Порядку публічних консультацій.</w:t>
            </w:r>
          </w:p>
        </w:tc>
      </w:tr>
    </w:tbl>
    <w:p w:rsidR="00740AA3" w:rsidRPr="003F4034" w:rsidRDefault="00740AA3" w:rsidP="00740AA3">
      <w:pPr>
        <w:pStyle w:val="af1"/>
        <w:widowControl w:val="0"/>
        <w:spacing w:after="0"/>
        <w:rPr>
          <w:bCs/>
          <w:lang w:val="uk-UA"/>
        </w:rPr>
      </w:pPr>
    </w:p>
    <w:p w:rsidR="00740AA3" w:rsidRPr="003F4034" w:rsidRDefault="00740AA3" w:rsidP="00740AA3">
      <w:pPr>
        <w:pStyle w:val="af1"/>
        <w:widowControl w:val="0"/>
        <w:numPr>
          <w:ilvl w:val="0"/>
          <w:numId w:val="11"/>
        </w:numPr>
        <w:overflowPunct w:val="0"/>
        <w:autoSpaceDE w:val="0"/>
        <w:autoSpaceDN w:val="0"/>
        <w:adjustRightInd w:val="0"/>
        <w:ind w:left="1066" w:hanging="357"/>
        <w:textAlignment w:val="baseline"/>
        <w:rPr>
          <w:bCs/>
          <w:lang w:val="uk-UA"/>
        </w:rPr>
      </w:pPr>
      <w:r w:rsidRPr="003F4034">
        <w:rPr>
          <w:bCs/>
          <w:lang w:val="uk-UA"/>
        </w:rPr>
        <w:t>Оцінка вибраних альтернативних способів досягнення цілей</w:t>
      </w:r>
    </w:p>
    <w:p w:rsidR="00740AA3" w:rsidRPr="003F4034" w:rsidRDefault="00740AA3" w:rsidP="00740AA3">
      <w:pPr>
        <w:pStyle w:val="af1"/>
        <w:widowControl w:val="0"/>
        <w:numPr>
          <w:ilvl w:val="0"/>
          <w:numId w:val="12"/>
        </w:numPr>
        <w:overflowPunct w:val="0"/>
        <w:autoSpaceDE w:val="0"/>
        <w:autoSpaceDN w:val="0"/>
        <w:adjustRightInd w:val="0"/>
        <w:ind w:left="1066" w:hanging="357"/>
        <w:textAlignment w:val="baseline"/>
        <w:rPr>
          <w:bCs/>
          <w:lang w:val="uk-UA"/>
        </w:rPr>
      </w:pPr>
      <w:r w:rsidRPr="003F4034">
        <w:rPr>
          <w:bCs/>
          <w:lang w:val="uk-UA"/>
        </w:rPr>
        <w:t>Оцінка впливу на сферу інтересів держави:</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3715"/>
        <w:gridCol w:w="3402"/>
      </w:tblGrid>
      <w:tr w:rsidR="003E3A3F" w:rsidRPr="00DB13B1" w:rsidTr="00536ED4">
        <w:tc>
          <w:tcPr>
            <w:tcW w:w="2410" w:type="dxa"/>
          </w:tcPr>
          <w:p w:rsidR="00740AA3" w:rsidRPr="00DB13B1" w:rsidRDefault="00740AA3" w:rsidP="008A3120">
            <w:pPr>
              <w:pStyle w:val="af1"/>
              <w:widowControl w:val="0"/>
              <w:spacing w:after="0"/>
              <w:jc w:val="center"/>
              <w:rPr>
                <w:bCs/>
                <w:sz w:val="24"/>
                <w:szCs w:val="24"/>
                <w:lang w:val="uk-UA"/>
              </w:rPr>
            </w:pPr>
            <w:r w:rsidRPr="00DB13B1">
              <w:rPr>
                <w:bCs/>
                <w:sz w:val="24"/>
                <w:szCs w:val="24"/>
                <w:lang w:val="uk-UA"/>
              </w:rPr>
              <w:t>Вид альтернативи</w:t>
            </w:r>
          </w:p>
        </w:tc>
        <w:tc>
          <w:tcPr>
            <w:tcW w:w="3715" w:type="dxa"/>
          </w:tcPr>
          <w:p w:rsidR="00740AA3" w:rsidRPr="00DB13B1" w:rsidRDefault="00740AA3" w:rsidP="008A3120">
            <w:pPr>
              <w:pStyle w:val="af1"/>
              <w:widowControl w:val="0"/>
              <w:spacing w:after="0"/>
              <w:ind w:right="-108"/>
              <w:jc w:val="center"/>
              <w:rPr>
                <w:bCs/>
                <w:sz w:val="24"/>
                <w:szCs w:val="24"/>
                <w:lang w:val="uk-UA"/>
              </w:rPr>
            </w:pPr>
            <w:r w:rsidRPr="00DB13B1">
              <w:rPr>
                <w:bCs/>
                <w:sz w:val="24"/>
                <w:szCs w:val="24"/>
                <w:lang w:val="uk-UA"/>
              </w:rPr>
              <w:t>Вигоди</w:t>
            </w:r>
          </w:p>
        </w:tc>
        <w:tc>
          <w:tcPr>
            <w:tcW w:w="3402" w:type="dxa"/>
          </w:tcPr>
          <w:p w:rsidR="00740AA3" w:rsidRPr="00DB13B1" w:rsidRDefault="00740AA3" w:rsidP="008A3120">
            <w:pPr>
              <w:pStyle w:val="af1"/>
              <w:widowControl w:val="0"/>
              <w:spacing w:after="0"/>
              <w:jc w:val="center"/>
              <w:rPr>
                <w:bCs/>
                <w:sz w:val="24"/>
                <w:szCs w:val="24"/>
                <w:lang w:val="uk-UA"/>
              </w:rPr>
            </w:pPr>
            <w:r w:rsidRPr="00DB13B1">
              <w:rPr>
                <w:bCs/>
                <w:sz w:val="24"/>
                <w:szCs w:val="24"/>
                <w:lang w:val="uk-UA"/>
              </w:rPr>
              <w:t>Витрати</w:t>
            </w:r>
          </w:p>
        </w:tc>
      </w:tr>
      <w:tr w:rsidR="003E3A3F" w:rsidRPr="00DB13B1" w:rsidTr="00536ED4">
        <w:trPr>
          <w:trHeight w:val="1122"/>
        </w:trPr>
        <w:tc>
          <w:tcPr>
            <w:tcW w:w="2410" w:type="dxa"/>
          </w:tcPr>
          <w:p w:rsidR="00740AA3" w:rsidRPr="00DB13B1" w:rsidRDefault="00740AA3" w:rsidP="008A3120">
            <w:pPr>
              <w:pStyle w:val="af1"/>
              <w:widowControl w:val="0"/>
              <w:spacing w:after="0"/>
              <w:rPr>
                <w:bCs/>
                <w:sz w:val="24"/>
                <w:szCs w:val="24"/>
                <w:lang w:val="uk-UA"/>
              </w:rPr>
            </w:pPr>
            <w:r w:rsidRPr="00DB13B1">
              <w:rPr>
                <w:bCs/>
                <w:sz w:val="24"/>
                <w:szCs w:val="24"/>
                <w:lang w:val="uk-UA"/>
              </w:rPr>
              <w:t>Альтернатива 1</w:t>
            </w:r>
          </w:p>
          <w:p w:rsidR="00740AA3" w:rsidRPr="00DB13B1" w:rsidRDefault="00740AA3" w:rsidP="008A3120">
            <w:pPr>
              <w:pStyle w:val="af1"/>
              <w:widowControl w:val="0"/>
              <w:spacing w:after="0"/>
              <w:rPr>
                <w:bCs/>
                <w:sz w:val="24"/>
                <w:szCs w:val="24"/>
                <w:lang w:val="uk-UA"/>
              </w:rPr>
            </w:pPr>
            <w:r w:rsidRPr="00DB13B1">
              <w:rPr>
                <w:bCs/>
                <w:sz w:val="24"/>
                <w:szCs w:val="24"/>
                <w:lang w:val="uk-UA"/>
              </w:rPr>
              <w:t>Збереження чинного регулювання</w:t>
            </w:r>
          </w:p>
        </w:tc>
        <w:tc>
          <w:tcPr>
            <w:tcW w:w="3715" w:type="dxa"/>
          </w:tcPr>
          <w:p w:rsidR="00740AA3" w:rsidRPr="00DB13B1" w:rsidRDefault="00740AA3" w:rsidP="008A3120">
            <w:pPr>
              <w:pStyle w:val="af1"/>
              <w:widowControl w:val="0"/>
              <w:spacing w:after="0"/>
              <w:jc w:val="center"/>
              <w:rPr>
                <w:bCs/>
                <w:sz w:val="24"/>
                <w:szCs w:val="24"/>
                <w:lang w:val="uk-UA"/>
              </w:rPr>
            </w:pPr>
            <w:r w:rsidRPr="00DB13B1">
              <w:rPr>
                <w:bCs/>
                <w:sz w:val="24"/>
                <w:szCs w:val="24"/>
                <w:lang w:val="uk-UA"/>
              </w:rPr>
              <w:t>Відсутні</w:t>
            </w:r>
          </w:p>
        </w:tc>
        <w:tc>
          <w:tcPr>
            <w:tcW w:w="3402" w:type="dxa"/>
          </w:tcPr>
          <w:p w:rsidR="00740AA3" w:rsidRPr="00DB13B1" w:rsidRDefault="00740AA3">
            <w:pPr>
              <w:pStyle w:val="af1"/>
              <w:widowControl w:val="0"/>
              <w:spacing w:after="0"/>
              <w:jc w:val="both"/>
              <w:rPr>
                <w:bCs/>
                <w:sz w:val="24"/>
                <w:szCs w:val="24"/>
                <w:lang w:val="uk-UA"/>
              </w:rPr>
            </w:pPr>
            <w:r w:rsidRPr="00DB13B1">
              <w:rPr>
                <w:bCs/>
                <w:sz w:val="24"/>
                <w:szCs w:val="24"/>
                <w:lang w:val="uk-UA"/>
              </w:rPr>
              <w:t>Не забезпечить</w:t>
            </w:r>
            <w:r w:rsidR="007A1B85" w:rsidRPr="00DB13B1">
              <w:rPr>
                <w:bCs/>
                <w:sz w:val="24"/>
                <w:szCs w:val="24"/>
                <w:lang w:val="uk-UA"/>
              </w:rPr>
              <w:t xml:space="preserve"> </w:t>
            </w:r>
            <w:r w:rsidR="00A904C0" w:rsidRPr="00DB13B1">
              <w:rPr>
                <w:bCs/>
                <w:sz w:val="24"/>
                <w:szCs w:val="24"/>
                <w:lang w:val="uk-UA"/>
              </w:rPr>
              <w:t xml:space="preserve">виконання положень Закону, що не дозволить </w:t>
            </w:r>
            <w:proofErr w:type="spellStart"/>
            <w:r w:rsidR="00A904C0" w:rsidRPr="00DB13B1">
              <w:rPr>
                <w:bCs/>
                <w:sz w:val="24"/>
                <w:szCs w:val="24"/>
                <w:lang w:val="uk-UA"/>
              </w:rPr>
              <w:t>імплементувати</w:t>
            </w:r>
            <w:proofErr w:type="spellEnd"/>
            <w:r w:rsidR="00A904C0" w:rsidRPr="00DB13B1">
              <w:rPr>
                <w:bCs/>
                <w:sz w:val="24"/>
                <w:szCs w:val="24"/>
                <w:lang w:val="uk-UA"/>
              </w:rPr>
              <w:t xml:space="preserve">  положен</w:t>
            </w:r>
            <w:r w:rsidR="0071241B" w:rsidRPr="00DB13B1">
              <w:rPr>
                <w:bCs/>
                <w:sz w:val="24"/>
                <w:szCs w:val="24"/>
                <w:lang w:val="uk-UA"/>
              </w:rPr>
              <w:t>ня</w:t>
            </w:r>
            <w:r w:rsidR="00A904C0" w:rsidRPr="00DB13B1">
              <w:rPr>
                <w:bCs/>
                <w:sz w:val="24"/>
                <w:szCs w:val="24"/>
                <w:lang w:val="uk-UA"/>
              </w:rPr>
              <w:t xml:space="preserve"> актів законодавства Енергетичного Співтовариства у сфері енергетики</w:t>
            </w:r>
            <w:r w:rsidR="00BE15DE" w:rsidRPr="00DB13B1">
              <w:rPr>
                <w:bCs/>
                <w:sz w:val="24"/>
                <w:szCs w:val="24"/>
                <w:lang w:val="uk-UA"/>
              </w:rPr>
              <w:t>, а також унеможливлює проведення аукціонів за спільною скоординованою процедурою</w:t>
            </w:r>
            <w:r w:rsidR="00050D70" w:rsidRPr="00DB13B1">
              <w:rPr>
                <w:bCs/>
                <w:sz w:val="24"/>
                <w:szCs w:val="24"/>
                <w:lang w:val="uk-UA"/>
              </w:rPr>
              <w:t>.</w:t>
            </w:r>
          </w:p>
        </w:tc>
      </w:tr>
      <w:tr w:rsidR="003E3A3F" w:rsidRPr="00DB13B1" w:rsidTr="00536ED4">
        <w:tc>
          <w:tcPr>
            <w:tcW w:w="2410" w:type="dxa"/>
          </w:tcPr>
          <w:p w:rsidR="00740AA3" w:rsidRPr="00DB13B1" w:rsidRDefault="00740AA3" w:rsidP="008A3120">
            <w:pPr>
              <w:pStyle w:val="af1"/>
              <w:widowControl w:val="0"/>
              <w:spacing w:after="0"/>
              <w:rPr>
                <w:bCs/>
                <w:sz w:val="24"/>
                <w:szCs w:val="24"/>
                <w:lang w:val="uk-UA"/>
              </w:rPr>
            </w:pPr>
            <w:r w:rsidRPr="00DB13B1">
              <w:rPr>
                <w:bCs/>
                <w:sz w:val="24"/>
                <w:szCs w:val="24"/>
                <w:lang w:val="uk-UA"/>
              </w:rPr>
              <w:t xml:space="preserve">Альтернатива 2 </w:t>
            </w:r>
          </w:p>
          <w:p w:rsidR="00740AA3" w:rsidRPr="00DB13B1" w:rsidRDefault="00F53098" w:rsidP="008A3120">
            <w:pPr>
              <w:pStyle w:val="af1"/>
              <w:widowControl w:val="0"/>
              <w:spacing w:after="0"/>
              <w:rPr>
                <w:bCs/>
                <w:sz w:val="24"/>
                <w:szCs w:val="24"/>
                <w:lang w:val="uk-UA"/>
              </w:rPr>
            </w:pPr>
            <w:r w:rsidRPr="00DB13B1">
              <w:rPr>
                <w:bCs/>
                <w:sz w:val="24"/>
                <w:szCs w:val="24"/>
                <w:lang w:val="uk-UA"/>
              </w:rPr>
              <w:t xml:space="preserve">Прийняття нового регуляторного </w:t>
            </w:r>
            <w:proofErr w:type="spellStart"/>
            <w:r w:rsidRPr="00DB13B1">
              <w:rPr>
                <w:bCs/>
                <w:sz w:val="24"/>
                <w:szCs w:val="24"/>
                <w:lang w:val="uk-UA"/>
              </w:rPr>
              <w:t>акта</w:t>
            </w:r>
            <w:proofErr w:type="spellEnd"/>
          </w:p>
        </w:tc>
        <w:tc>
          <w:tcPr>
            <w:tcW w:w="3715" w:type="dxa"/>
          </w:tcPr>
          <w:p w:rsidR="00740AA3" w:rsidRPr="00DB13B1" w:rsidRDefault="00740AA3">
            <w:pPr>
              <w:pStyle w:val="af1"/>
              <w:widowControl w:val="0"/>
              <w:spacing w:after="0"/>
              <w:jc w:val="both"/>
              <w:rPr>
                <w:bCs/>
                <w:sz w:val="24"/>
                <w:szCs w:val="24"/>
                <w:lang w:val="uk-UA"/>
              </w:rPr>
            </w:pPr>
            <w:r w:rsidRPr="00DB13B1">
              <w:rPr>
                <w:bCs/>
                <w:sz w:val="24"/>
                <w:szCs w:val="24"/>
                <w:lang w:val="uk-UA"/>
              </w:rPr>
              <w:t>Забезпечить виконання положень Закону</w:t>
            </w:r>
            <w:r w:rsidR="00A904C0" w:rsidRPr="00DB13B1">
              <w:rPr>
                <w:bCs/>
                <w:sz w:val="24"/>
                <w:szCs w:val="24"/>
                <w:lang w:val="uk-UA"/>
              </w:rPr>
              <w:t>, що дозволить</w:t>
            </w:r>
            <w:r w:rsidR="007A1B85" w:rsidRPr="00DB13B1">
              <w:rPr>
                <w:bCs/>
                <w:sz w:val="24"/>
                <w:szCs w:val="24"/>
                <w:lang w:val="uk-UA"/>
              </w:rPr>
              <w:t xml:space="preserve"> </w:t>
            </w:r>
            <w:proofErr w:type="spellStart"/>
            <w:r w:rsidR="007A1B85" w:rsidRPr="00DB13B1">
              <w:rPr>
                <w:bCs/>
                <w:sz w:val="24"/>
                <w:szCs w:val="24"/>
                <w:lang w:val="uk-UA"/>
              </w:rPr>
              <w:t>імплемент</w:t>
            </w:r>
            <w:r w:rsidR="00A904C0" w:rsidRPr="00DB13B1">
              <w:rPr>
                <w:bCs/>
                <w:sz w:val="24"/>
                <w:szCs w:val="24"/>
                <w:lang w:val="uk-UA"/>
              </w:rPr>
              <w:t>увати</w:t>
            </w:r>
            <w:proofErr w:type="spellEnd"/>
            <w:r w:rsidR="007A1B85" w:rsidRPr="00DB13B1">
              <w:rPr>
                <w:bCs/>
                <w:sz w:val="24"/>
                <w:szCs w:val="24"/>
                <w:lang w:val="uk-UA"/>
              </w:rPr>
              <w:t xml:space="preserve">  </w:t>
            </w:r>
            <w:r w:rsidR="00A904C0" w:rsidRPr="00DB13B1">
              <w:rPr>
                <w:bCs/>
                <w:sz w:val="24"/>
                <w:szCs w:val="24"/>
                <w:lang w:val="uk-UA"/>
              </w:rPr>
              <w:t>положен</w:t>
            </w:r>
            <w:r w:rsidR="0071241B" w:rsidRPr="00DB13B1">
              <w:rPr>
                <w:bCs/>
                <w:sz w:val="24"/>
                <w:szCs w:val="24"/>
                <w:lang w:val="uk-UA"/>
              </w:rPr>
              <w:t>ня</w:t>
            </w:r>
            <w:r w:rsidR="007A1B85" w:rsidRPr="00DB13B1">
              <w:rPr>
                <w:bCs/>
                <w:sz w:val="24"/>
                <w:szCs w:val="24"/>
                <w:lang w:val="uk-UA"/>
              </w:rPr>
              <w:t xml:space="preserve"> актів законодавства Енергетичного Співтовариства у сфері енергетики</w:t>
            </w:r>
            <w:r w:rsidR="00BE15DE" w:rsidRPr="00DB13B1">
              <w:rPr>
                <w:bCs/>
                <w:sz w:val="24"/>
                <w:szCs w:val="24"/>
                <w:lang w:val="uk-UA"/>
              </w:rPr>
              <w:t xml:space="preserve">, та створить </w:t>
            </w:r>
            <w:r w:rsidR="00BE15DE" w:rsidRPr="00DB13B1">
              <w:rPr>
                <w:bCs/>
                <w:sz w:val="24"/>
                <w:szCs w:val="24"/>
                <w:lang w:val="uk-UA"/>
              </w:rPr>
              <w:lastRenderedPageBreak/>
              <w:t>передумови для проведення аукціонів за спільною скоординованою процедурою</w:t>
            </w:r>
            <w:r w:rsidR="007A1B85" w:rsidRPr="00DB13B1">
              <w:rPr>
                <w:bCs/>
                <w:sz w:val="24"/>
                <w:szCs w:val="24"/>
                <w:lang w:val="uk-UA"/>
              </w:rPr>
              <w:t>.</w:t>
            </w:r>
          </w:p>
        </w:tc>
        <w:tc>
          <w:tcPr>
            <w:tcW w:w="3402" w:type="dxa"/>
          </w:tcPr>
          <w:p w:rsidR="00740AA3" w:rsidRPr="00DB13B1" w:rsidRDefault="00740AA3" w:rsidP="008A3120">
            <w:pPr>
              <w:pStyle w:val="af1"/>
              <w:widowControl w:val="0"/>
              <w:spacing w:after="0"/>
              <w:jc w:val="center"/>
              <w:rPr>
                <w:bCs/>
                <w:sz w:val="24"/>
                <w:szCs w:val="24"/>
                <w:lang w:val="uk-UA"/>
              </w:rPr>
            </w:pPr>
            <w:r w:rsidRPr="00DB13B1">
              <w:rPr>
                <w:bCs/>
                <w:sz w:val="24"/>
                <w:szCs w:val="24"/>
                <w:lang w:val="uk-UA"/>
              </w:rPr>
              <w:lastRenderedPageBreak/>
              <w:t>Відсутні</w:t>
            </w:r>
          </w:p>
          <w:p w:rsidR="00740AA3" w:rsidRPr="00DB13B1" w:rsidRDefault="00740AA3" w:rsidP="008A3120">
            <w:pPr>
              <w:pStyle w:val="af1"/>
              <w:widowControl w:val="0"/>
              <w:spacing w:after="0"/>
              <w:jc w:val="center"/>
              <w:rPr>
                <w:bCs/>
                <w:sz w:val="24"/>
                <w:szCs w:val="24"/>
                <w:lang w:val="uk-UA"/>
              </w:rPr>
            </w:pPr>
          </w:p>
        </w:tc>
      </w:tr>
    </w:tbl>
    <w:p w:rsidR="00740AA3" w:rsidRPr="003F4034" w:rsidRDefault="00740AA3" w:rsidP="00DB13B1">
      <w:pPr>
        <w:pStyle w:val="af1"/>
        <w:widowControl w:val="0"/>
        <w:numPr>
          <w:ilvl w:val="0"/>
          <w:numId w:val="12"/>
        </w:numPr>
        <w:overflowPunct w:val="0"/>
        <w:autoSpaceDE w:val="0"/>
        <w:autoSpaceDN w:val="0"/>
        <w:adjustRightInd w:val="0"/>
        <w:spacing w:before="120"/>
        <w:ind w:left="1066" w:hanging="357"/>
        <w:textAlignment w:val="baseline"/>
        <w:rPr>
          <w:bCs/>
          <w:lang w:val="uk-UA"/>
        </w:rPr>
      </w:pPr>
      <w:r w:rsidRPr="003F4034">
        <w:rPr>
          <w:bCs/>
          <w:lang w:val="uk-UA"/>
        </w:rPr>
        <w:t>Оцінка впливу на сферу інтересів громадян:</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3715"/>
        <w:gridCol w:w="3402"/>
      </w:tblGrid>
      <w:tr w:rsidR="003E3A3F" w:rsidRPr="003F4034" w:rsidTr="00536ED4">
        <w:tc>
          <w:tcPr>
            <w:tcW w:w="2410" w:type="dxa"/>
          </w:tcPr>
          <w:p w:rsidR="00740AA3" w:rsidRPr="003F4034" w:rsidRDefault="00740AA3" w:rsidP="008A3120">
            <w:pPr>
              <w:pStyle w:val="af1"/>
              <w:widowControl w:val="0"/>
              <w:spacing w:after="0"/>
              <w:jc w:val="center"/>
              <w:rPr>
                <w:bCs/>
                <w:sz w:val="24"/>
                <w:szCs w:val="24"/>
                <w:lang w:val="uk-UA"/>
              </w:rPr>
            </w:pPr>
            <w:r w:rsidRPr="003F4034">
              <w:rPr>
                <w:bCs/>
                <w:sz w:val="24"/>
                <w:szCs w:val="24"/>
                <w:lang w:val="uk-UA"/>
              </w:rPr>
              <w:t>Вид альтернативи</w:t>
            </w:r>
          </w:p>
        </w:tc>
        <w:tc>
          <w:tcPr>
            <w:tcW w:w="3715" w:type="dxa"/>
          </w:tcPr>
          <w:p w:rsidR="00740AA3" w:rsidRPr="003F4034" w:rsidRDefault="00740AA3" w:rsidP="008A3120">
            <w:pPr>
              <w:pStyle w:val="af1"/>
              <w:widowControl w:val="0"/>
              <w:spacing w:after="0"/>
              <w:ind w:right="-109"/>
              <w:jc w:val="center"/>
              <w:rPr>
                <w:bCs/>
                <w:sz w:val="24"/>
                <w:szCs w:val="24"/>
                <w:lang w:val="uk-UA"/>
              </w:rPr>
            </w:pPr>
            <w:r w:rsidRPr="003F4034">
              <w:rPr>
                <w:bCs/>
                <w:sz w:val="24"/>
                <w:szCs w:val="24"/>
                <w:lang w:val="uk-UA"/>
              </w:rPr>
              <w:t>Вигоди</w:t>
            </w:r>
          </w:p>
        </w:tc>
        <w:tc>
          <w:tcPr>
            <w:tcW w:w="3402" w:type="dxa"/>
          </w:tcPr>
          <w:p w:rsidR="00740AA3" w:rsidRPr="003F4034" w:rsidRDefault="00740AA3" w:rsidP="008A3120">
            <w:pPr>
              <w:pStyle w:val="af1"/>
              <w:widowControl w:val="0"/>
              <w:spacing w:after="0"/>
              <w:jc w:val="center"/>
              <w:rPr>
                <w:bCs/>
                <w:sz w:val="24"/>
                <w:szCs w:val="24"/>
                <w:lang w:val="uk-UA"/>
              </w:rPr>
            </w:pPr>
            <w:r w:rsidRPr="003F4034">
              <w:rPr>
                <w:bCs/>
                <w:sz w:val="24"/>
                <w:szCs w:val="24"/>
                <w:lang w:val="uk-UA"/>
              </w:rPr>
              <w:t>Витрати</w:t>
            </w:r>
          </w:p>
        </w:tc>
      </w:tr>
      <w:tr w:rsidR="003E3A3F" w:rsidRPr="003F4034" w:rsidTr="00536ED4">
        <w:tc>
          <w:tcPr>
            <w:tcW w:w="2410" w:type="dxa"/>
          </w:tcPr>
          <w:p w:rsidR="00740AA3" w:rsidRPr="003F4034" w:rsidRDefault="00740AA3" w:rsidP="008A3120">
            <w:pPr>
              <w:pStyle w:val="af1"/>
              <w:widowControl w:val="0"/>
              <w:spacing w:after="0"/>
              <w:rPr>
                <w:bCs/>
                <w:sz w:val="24"/>
                <w:szCs w:val="24"/>
                <w:lang w:val="uk-UA"/>
              </w:rPr>
            </w:pPr>
            <w:r w:rsidRPr="003F4034">
              <w:rPr>
                <w:bCs/>
                <w:sz w:val="24"/>
                <w:szCs w:val="24"/>
                <w:lang w:val="uk-UA"/>
              </w:rPr>
              <w:t>Альтернатива 1</w:t>
            </w:r>
          </w:p>
          <w:p w:rsidR="00740AA3" w:rsidRPr="003F4034" w:rsidRDefault="00740AA3" w:rsidP="008A3120">
            <w:pPr>
              <w:pStyle w:val="af1"/>
              <w:widowControl w:val="0"/>
              <w:spacing w:after="0"/>
              <w:rPr>
                <w:bCs/>
                <w:sz w:val="24"/>
                <w:szCs w:val="24"/>
                <w:lang w:val="uk-UA"/>
              </w:rPr>
            </w:pPr>
            <w:r w:rsidRPr="003F4034">
              <w:rPr>
                <w:bCs/>
                <w:sz w:val="24"/>
                <w:szCs w:val="24"/>
                <w:lang w:val="uk-UA"/>
              </w:rPr>
              <w:t>Збереження чинного регулювання</w:t>
            </w:r>
          </w:p>
        </w:tc>
        <w:tc>
          <w:tcPr>
            <w:tcW w:w="3715" w:type="dxa"/>
          </w:tcPr>
          <w:p w:rsidR="00740AA3" w:rsidRPr="003F4034" w:rsidRDefault="00740AA3" w:rsidP="008A3120">
            <w:pPr>
              <w:pStyle w:val="af1"/>
              <w:widowControl w:val="0"/>
              <w:spacing w:after="0"/>
              <w:jc w:val="center"/>
              <w:rPr>
                <w:bCs/>
                <w:sz w:val="24"/>
                <w:szCs w:val="24"/>
                <w:lang w:val="uk-UA"/>
              </w:rPr>
            </w:pPr>
            <w:r w:rsidRPr="003F4034">
              <w:rPr>
                <w:bCs/>
                <w:sz w:val="24"/>
                <w:szCs w:val="24"/>
                <w:lang w:val="uk-UA"/>
              </w:rPr>
              <w:t>Відсутні</w:t>
            </w:r>
          </w:p>
        </w:tc>
        <w:tc>
          <w:tcPr>
            <w:tcW w:w="3402" w:type="dxa"/>
          </w:tcPr>
          <w:p w:rsidR="00740AA3" w:rsidRPr="003F4034" w:rsidRDefault="00740AA3" w:rsidP="008A3120">
            <w:pPr>
              <w:pStyle w:val="af1"/>
              <w:widowControl w:val="0"/>
              <w:spacing w:after="0"/>
              <w:jc w:val="center"/>
              <w:rPr>
                <w:bCs/>
                <w:sz w:val="24"/>
                <w:szCs w:val="24"/>
                <w:lang w:val="uk-UA"/>
              </w:rPr>
            </w:pPr>
            <w:r w:rsidRPr="003F4034">
              <w:rPr>
                <w:bCs/>
                <w:sz w:val="24"/>
                <w:szCs w:val="24"/>
                <w:lang w:val="uk-UA"/>
              </w:rPr>
              <w:t>Відсутні</w:t>
            </w:r>
          </w:p>
        </w:tc>
      </w:tr>
      <w:tr w:rsidR="003E3A3F" w:rsidRPr="003F4034" w:rsidTr="00536ED4">
        <w:trPr>
          <w:trHeight w:val="986"/>
        </w:trPr>
        <w:tc>
          <w:tcPr>
            <w:tcW w:w="2410" w:type="dxa"/>
          </w:tcPr>
          <w:p w:rsidR="00740AA3" w:rsidRPr="003F4034" w:rsidRDefault="00740AA3" w:rsidP="008A3120">
            <w:pPr>
              <w:pStyle w:val="af1"/>
              <w:widowControl w:val="0"/>
              <w:spacing w:after="0"/>
              <w:rPr>
                <w:bCs/>
                <w:sz w:val="24"/>
                <w:szCs w:val="24"/>
                <w:lang w:val="uk-UA"/>
              </w:rPr>
            </w:pPr>
            <w:r w:rsidRPr="003F4034">
              <w:rPr>
                <w:bCs/>
                <w:sz w:val="24"/>
                <w:szCs w:val="24"/>
                <w:lang w:val="uk-UA"/>
              </w:rPr>
              <w:t xml:space="preserve">Альтернатива 2 </w:t>
            </w:r>
          </w:p>
          <w:p w:rsidR="00740AA3" w:rsidRPr="003F4034" w:rsidRDefault="00F53098" w:rsidP="008A3120">
            <w:pPr>
              <w:pStyle w:val="af1"/>
              <w:widowControl w:val="0"/>
              <w:spacing w:after="0"/>
              <w:rPr>
                <w:bCs/>
                <w:sz w:val="24"/>
                <w:szCs w:val="24"/>
                <w:lang w:val="uk-UA"/>
              </w:rPr>
            </w:pPr>
            <w:r w:rsidRPr="003F4034">
              <w:rPr>
                <w:bCs/>
                <w:sz w:val="24"/>
                <w:szCs w:val="24"/>
                <w:lang w:val="uk-UA"/>
              </w:rPr>
              <w:t xml:space="preserve">Прийняття нового регуляторного </w:t>
            </w:r>
            <w:proofErr w:type="spellStart"/>
            <w:r w:rsidRPr="003F4034">
              <w:rPr>
                <w:bCs/>
                <w:sz w:val="24"/>
                <w:szCs w:val="24"/>
                <w:lang w:val="uk-UA"/>
              </w:rPr>
              <w:t>акта</w:t>
            </w:r>
            <w:proofErr w:type="spellEnd"/>
          </w:p>
        </w:tc>
        <w:tc>
          <w:tcPr>
            <w:tcW w:w="3715" w:type="dxa"/>
          </w:tcPr>
          <w:p w:rsidR="00740AA3" w:rsidRPr="003F4034" w:rsidRDefault="00740AA3" w:rsidP="008A3120">
            <w:pPr>
              <w:pStyle w:val="af1"/>
              <w:widowControl w:val="0"/>
              <w:spacing w:after="0"/>
              <w:jc w:val="center"/>
              <w:rPr>
                <w:bCs/>
                <w:sz w:val="24"/>
                <w:szCs w:val="24"/>
                <w:lang w:val="uk-UA"/>
              </w:rPr>
            </w:pPr>
            <w:r w:rsidRPr="003F4034">
              <w:rPr>
                <w:bCs/>
                <w:sz w:val="24"/>
                <w:szCs w:val="24"/>
                <w:lang w:val="uk-UA"/>
              </w:rPr>
              <w:t>Відсутні</w:t>
            </w:r>
          </w:p>
        </w:tc>
        <w:tc>
          <w:tcPr>
            <w:tcW w:w="3402" w:type="dxa"/>
          </w:tcPr>
          <w:p w:rsidR="00740AA3" w:rsidRPr="003F4034" w:rsidRDefault="00740AA3" w:rsidP="008A3120">
            <w:pPr>
              <w:pStyle w:val="af1"/>
              <w:widowControl w:val="0"/>
              <w:spacing w:after="0"/>
              <w:jc w:val="center"/>
              <w:rPr>
                <w:bCs/>
                <w:sz w:val="24"/>
                <w:szCs w:val="24"/>
                <w:lang w:val="uk-UA"/>
              </w:rPr>
            </w:pPr>
            <w:r w:rsidRPr="003F4034">
              <w:rPr>
                <w:bCs/>
                <w:sz w:val="24"/>
                <w:szCs w:val="24"/>
                <w:lang w:val="uk-UA"/>
              </w:rPr>
              <w:t>Відсутні</w:t>
            </w:r>
          </w:p>
          <w:p w:rsidR="00740AA3" w:rsidRPr="003F4034" w:rsidRDefault="00740AA3" w:rsidP="008A3120">
            <w:pPr>
              <w:pStyle w:val="af1"/>
              <w:widowControl w:val="0"/>
              <w:spacing w:after="0"/>
              <w:jc w:val="center"/>
              <w:rPr>
                <w:bCs/>
                <w:sz w:val="24"/>
                <w:szCs w:val="24"/>
                <w:lang w:val="uk-UA"/>
              </w:rPr>
            </w:pPr>
          </w:p>
        </w:tc>
      </w:tr>
    </w:tbl>
    <w:p w:rsidR="00740AA3" w:rsidRPr="003F4034" w:rsidRDefault="00740AA3" w:rsidP="00DB13B1">
      <w:pPr>
        <w:pStyle w:val="af1"/>
        <w:widowControl w:val="0"/>
        <w:numPr>
          <w:ilvl w:val="0"/>
          <w:numId w:val="10"/>
        </w:numPr>
        <w:overflowPunct w:val="0"/>
        <w:autoSpaceDE w:val="0"/>
        <w:autoSpaceDN w:val="0"/>
        <w:adjustRightInd w:val="0"/>
        <w:spacing w:before="120"/>
        <w:ind w:left="924" w:hanging="357"/>
        <w:textAlignment w:val="baseline"/>
        <w:rPr>
          <w:bCs/>
          <w:lang w:val="uk-UA"/>
        </w:rPr>
      </w:pPr>
      <w:r w:rsidRPr="003F4034">
        <w:rPr>
          <w:bCs/>
          <w:lang w:val="uk-UA"/>
        </w:rPr>
        <w:t>Оцінка впливу на сферу інтересів суб’єктів господарювання:</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3715"/>
        <w:gridCol w:w="3402"/>
      </w:tblGrid>
      <w:tr w:rsidR="003E3A3F" w:rsidRPr="00DB13B1" w:rsidTr="002820DF">
        <w:tc>
          <w:tcPr>
            <w:tcW w:w="2410" w:type="dxa"/>
          </w:tcPr>
          <w:p w:rsidR="00740AA3" w:rsidRPr="00DB13B1" w:rsidRDefault="00740AA3" w:rsidP="008A3120">
            <w:pPr>
              <w:pStyle w:val="af1"/>
              <w:widowControl w:val="0"/>
              <w:spacing w:after="0"/>
              <w:jc w:val="center"/>
              <w:rPr>
                <w:bCs/>
                <w:sz w:val="24"/>
                <w:szCs w:val="24"/>
                <w:lang w:val="uk-UA"/>
              </w:rPr>
            </w:pPr>
            <w:r w:rsidRPr="00DB13B1">
              <w:rPr>
                <w:bCs/>
                <w:sz w:val="24"/>
                <w:szCs w:val="24"/>
                <w:lang w:val="uk-UA"/>
              </w:rPr>
              <w:t>Вид альтернативи</w:t>
            </w:r>
          </w:p>
        </w:tc>
        <w:tc>
          <w:tcPr>
            <w:tcW w:w="3715" w:type="dxa"/>
          </w:tcPr>
          <w:p w:rsidR="00740AA3" w:rsidRPr="00DB13B1" w:rsidRDefault="00740AA3" w:rsidP="008A3120">
            <w:pPr>
              <w:pStyle w:val="af1"/>
              <w:widowControl w:val="0"/>
              <w:spacing w:after="0"/>
              <w:ind w:right="-108"/>
              <w:jc w:val="center"/>
              <w:rPr>
                <w:bCs/>
                <w:sz w:val="24"/>
                <w:szCs w:val="24"/>
                <w:lang w:val="uk-UA"/>
              </w:rPr>
            </w:pPr>
            <w:r w:rsidRPr="00DB13B1">
              <w:rPr>
                <w:bCs/>
                <w:sz w:val="24"/>
                <w:szCs w:val="24"/>
                <w:lang w:val="uk-UA"/>
              </w:rPr>
              <w:t>Вигоди</w:t>
            </w:r>
          </w:p>
        </w:tc>
        <w:tc>
          <w:tcPr>
            <w:tcW w:w="3402" w:type="dxa"/>
          </w:tcPr>
          <w:p w:rsidR="00740AA3" w:rsidRPr="00DB13B1" w:rsidRDefault="00740AA3" w:rsidP="008A3120">
            <w:pPr>
              <w:pStyle w:val="af1"/>
              <w:widowControl w:val="0"/>
              <w:spacing w:after="0"/>
              <w:jc w:val="center"/>
              <w:rPr>
                <w:bCs/>
                <w:sz w:val="24"/>
                <w:szCs w:val="24"/>
                <w:lang w:val="uk-UA"/>
              </w:rPr>
            </w:pPr>
            <w:r w:rsidRPr="00DB13B1">
              <w:rPr>
                <w:bCs/>
                <w:sz w:val="24"/>
                <w:szCs w:val="24"/>
                <w:lang w:val="uk-UA"/>
              </w:rPr>
              <w:t>Витрати</w:t>
            </w:r>
          </w:p>
        </w:tc>
      </w:tr>
      <w:tr w:rsidR="003E3A3F" w:rsidRPr="00DB13B1" w:rsidTr="002820DF">
        <w:tc>
          <w:tcPr>
            <w:tcW w:w="2410" w:type="dxa"/>
          </w:tcPr>
          <w:p w:rsidR="00740AA3" w:rsidRPr="00DB13B1" w:rsidRDefault="00740AA3" w:rsidP="008A3120">
            <w:pPr>
              <w:pStyle w:val="af1"/>
              <w:widowControl w:val="0"/>
              <w:spacing w:after="0"/>
              <w:rPr>
                <w:bCs/>
                <w:sz w:val="24"/>
                <w:szCs w:val="24"/>
                <w:lang w:val="uk-UA"/>
              </w:rPr>
            </w:pPr>
            <w:r w:rsidRPr="00DB13B1">
              <w:rPr>
                <w:bCs/>
                <w:sz w:val="24"/>
                <w:szCs w:val="24"/>
                <w:lang w:val="uk-UA"/>
              </w:rPr>
              <w:t>Альтернатива 1</w:t>
            </w:r>
          </w:p>
          <w:p w:rsidR="00740AA3" w:rsidRPr="00DB13B1" w:rsidRDefault="00740AA3" w:rsidP="008A3120">
            <w:pPr>
              <w:pStyle w:val="af1"/>
              <w:widowControl w:val="0"/>
              <w:spacing w:after="0"/>
              <w:rPr>
                <w:bCs/>
                <w:sz w:val="24"/>
                <w:szCs w:val="24"/>
                <w:lang w:val="uk-UA"/>
              </w:rPr>
            </w:pPr>
            <w:r w:rsidRPr="00DB13B1">
              <w:rPr>
                <w:bCs/>
                <w:sz w:val="24"/>
                <w:szCs w:val="24"/>
                <w:lang w:val="uk-UA"/>
              </w:rPr>
              <w:t>Збереження чинного регулювання</w:t>
            </w:r>
          </w:p>
        </w:tc>
        <w:tc>
          <w:tcPr>
            <w:tcW w:w="3715" w:type="dxa"/>
          </w:tcPr>
          <w:p w:rsidR="00740AA3" w:rsidRPr="00DB13B1" w:rsidRDefault="00740AA3" w:rsidP="008A3120">
            <w:pPr>
              <w:pStyle w:val="af1"/>
              <w:widowControl w:val="0"/>
              <w:spacing w:after="0"/>
              <w:jc w:val="center"/>
              <w:rPr>
                <w:sz w:val="24"/>
                <w:szCs w:val="24"/>
                <w:lang w:val="uk-UA"/>
              </w:rPr>
            </w:pPr>
            <w:r w:rsidRPr="00DB13B1">
              <w:rPr>
                <w:sz w:val="24"/>
                <w:szCs w:val="24"/>
                <w:lang w:val="uk-UA"/>
              </w:rPr>
              <w:t>Відсутні</w:t>
            </w:r>
          </w:p>
          <w:p w:rsidR="00740AA3" w:rsidRPr="00DB13B1" w:rsidRDefault="00740AA3" w:rsidP="008A3120">
            <w:pPr>
              <w:pStyle w:val="af1"/>
              <w:widowControl w:val="0"/>
              <w:spacing w:after="0"/>
              <w:jc w:val="both"/>
              <w:rPr>
                <w:sz w:val="24"/>
                <w:szCs w:val="24"/>
                <w:lang w:val="uk-UA"/>
              </w:rPr>
            </w:pPr>
          </w:p>
        </w:tc>
        <w:tc>
          <w:tcPr>
            <w:tcW w:w="3402" w:type="dxa"/>
          </w:tcPr>
          <w:p w:rsidR="00740AA3" w:rsidRPr="00DB13B1" w:rsidRDefault="00050D70" w:rsidP="00FD3F71">
            <w:pPr>
              <w:pStyle w:val="af1"/>
              <w:widowControl w:val="0"/>
              <w:spacing w:after="0"/>
              <w:ind w:firstLine="68"/>
              <w:jc w:val="both"/>
              <w:rPr>
                <w:sz w:val="24"/>
                <w:szCs w:val="24"/>
                <w:lang w:val="uk-UA"/>
              </w:rPr>
            </w:pPr>
            <w:r w:rsidRPr="00DB13B1">
              <w:rPr>
                <w:bCs/>
                <w:sz w:val="24"/>
                <w:szCs w:val="24"/>
                <w:lang w:val="uk-UA"/>
              </w:rPr>
              <w:t>Відсутність</w:t>
            </w:r>
            <w:r w:rsidR="008F2499" w:rsidRPr="00DB13B1">
              <w:rPr>
                <w:bCs/>
                <w:sz w:val="24"/>
                <w:szCs w:val="24"/>
                <w:lang w:val="uk-UA"/>
              </w:rPr>
              <w:t xml:space="preserve"> Порядку публічних консультацій </w:t>
            </w:r>
            <w:r w:rsidR="00B149E6" w:rsidRPr="00DB13B1">
              <w:rPr>
                <w:bCs/>
                <w:sz w:val="24"/>
                <w:szCs w:val="24"/>
                <w:lang w:val="uk-UA"/>
              </w:rPr>
              <w:t>призведе до неможливості запровадження</w:t>
            </w:r>
            <w:r w:rsidR="008F2499" w:rsidRPr="00DB13B1">
              <w:rPr>
                <w:bCs/>
                <w:sz w:val="24"/>
                <w:szCs w:val="24"/>
                <w:lang w:val="uk-UA"/>
              </w:rPr>
              <w:t xml:space="preserve"> </w:t>
            </w:r>
            <w:r w:rsidRPr="00DB13B1">
              <w:rPr>
                <w:bCs/>
                <w:sz w:val="24"/>
                <w:szCs w:val="24"/>
                <w:lang w:val="uk-UA"/>
              </w:rPr>
              <w:t>спільної скоординованої процедури розподілу пропускної спроможності міждержавних перетинів</w:t>
            </w:r>
            <w:r w:rsidR="00B149E6" w:rsidRPr="00DB13B1">
              <w:rPr>
                <w:bCs/>
                <w:sz w:val="24"/>
                <w:szCs w:val="24"/>
                <w:lang w:val="uk-UA"/>
              </w:rPr>
              <w:t>, та як наслідок</w:t>
            </w:r>
            <w:r w:rsidRPr="00DB13B1">
              <w:rPr>
                <w:bCs/>
                <w:sz w:val="24"/>
                <w:szCs w:val="24"/>
                <w:lang w:val="uk-UA"/>
              </w:rPr>
              <w:t xml:space="preserve"> може призвести до призупинення </w:t>
            </w:r>
            <w:proofErr w:type="spellStart"/>
            <w:r w:rsidRPr="00DB13B1">
              <w:rPr>
                <w:bCs/>
                <w:sz w:val="24"/>
                <w:szCs w:val="24"/>
                <w:lang w:val="uk-UA"/>
              </w:rPr>
              <w:t>імпортно</w:t>
            </w:r>
            <w:proofErr w:type="spellEnd"/>
            <w:r w:rsidRPr="00DB13B1">
              <w:rPr>
                <w:bCs/>
                <w:sz w:val="24"/>
                <w:szCs w:val="24"/>
                <w:lang w:val="uk-UA"/>
              </w:rPr>
              <w:t xml:space="preserve">-експортних операцій з </w:t>
            </w:r>
            <w:r w:rsidR="008F2499" w:rsidRPr="00DB13B1">
              <w:rPr>
                <w:bCs/>
                <w:sz w:val="24"/>
                <w:szCs w:val="24"/>
                <w:lang w:val="uk-UA"/>
              </w:rPr>
              <w:t>держава</w:t>
            </w:r>
            <w:r w:rsidRPr="00DB13B1">
              <w:rPr>
                <w:bCs/>
                <w:sz w:val="24"/>
                <w:szCs w:val="24"/>
                <w:lang w:val="uk-UA"/>
              </w:rPr>
              <w:t xml:space="preserve">ми-сторонами Енергетичного Співтовариства. </w:t>
            </w:r>
          </w:p>
        </w:tc>
      </w:tr>
      <w:tr w:rsidR="003E3A3F" w:rsidRPr="00DB13B1" w:rsidTr="002820DF">
        <w:trPr>
          <w:trHeight w:val="701"/>
        </w:trPr>
        <w:tc>
          <w:tcPr>
            <w:tcW w:w="2410" w:type="dxa"/>
          </w:tcPr>
          <w:p w:rsidR="00740AA3" w:rsidRPr="00DB13B1" w:rsidRDefault="00740AA3" w:rsidP="008A3120">
            <w:pPr>
              <w:pStyle w:val="af1"/>
              <w:widowControl w:val="0"/>
              <w:spacing w:after="0"/>
              <w:rPr>
                <w:bCs/>
                <w:sz w:val="24"/>
                <w:szCs w:val="24"/>
                <w:lang w:val="uk-UA"/>
              </w:rPr>
            </w:pPr>
            <w:r w:rsidRPr="00DB13B1">
              <w:rPr>
                <w:bCs/>
                <w:sz w:val="24"/>
                <w:szCs w:val="24"/>
                <w:lang w:val="uk-UA"/>
              </w:rPr>
              <w:t xml:space="preserve">Альтернатива 2 </w:t>
            </w:r>
          </w:p>
          <w:p w:rsidR="00740AA3" w:rsidRPr="00DB13B1" w:rsidRDefault="00F53098" w:rsidP="008A3120">
            <w:pPr>
              <w:pStyle w:val="af1"/>
              <w:widowControl w:val="0"/>
              <w:spacing w:after="0"/>
              <w:rPr>
                <w:bCs/>
                <w:sz w:val="24"/>
                <w:szCs w:val="24"/>
                <w:lang w:val="uk-UA"/>
              </w:rPr>
            </w:pPr>
            <w:r w:rsidRPr="00DB13B1">
              <w:rPr>
                <w:bCs/>
                <w:sz w:val="24"/>
                <w:szCs w:val="24"/>
                <w:lang w:val="uk-UA"/>
              </w:rPr>
              <w:t xml:space="preserve">Прийняття нового регуляторного </w:t>
            </w:r>
            <w:proofErr w:type="spellStart"/>
            <w:r w:rsidRPr="00DB13B1">
              <w:rPr>
                <w:bCs/>
                <w:sz w:val="24"/>
                <w:szCs w:val="24"/>
                <w:lang w:val="uk-UA"/>
              </w:rPr>
              <w:t>акта</w:t>
            </w:r>
            <w:proofErr w:type="spellEnd"/>
          </w:p>
        </w:tc>
        <w:tc>
          <w:tcPr>
            <w:tcW w:w="3715" w:type="dxa"/>
          </w:tcPr>
          <w:p w:rsidR="00050D70" w:rsidRPr="00DB13B1" w:rsidRDefault="00740AA3">
            <w:pPr>
              <w:pStyle w:val="a7"/>
              <w:ind w:firstLine="0"/>
              <w:rPr>
                <w:bCs/>
                <w:sz w:val="24"/>
                <w:szCs w:val="24"/>
              </w:rPr>
            </w:pPr>
            <w:r w:rsidRPr="00DB13B1">
              <w:rPr>
                <w:sz w:val="24"/>
                <w:szCs w:val="24"/>
              </w:rPr>
              <w:t>Дозволить</w:t>
            </w:r>
            <w:r w:rsidR="00A904C0" w:rsidRPr="00DB13B1">
              <w:rPr>
                <w:sz w:val="24"/>
                <w:szCs w:val="24"/>
              </w:rPr>
              <w:t xml:space="preserve"> </w:t>
            </w:r>
            <w:r w:rsidR="00125207" w:rsidRPr="00DB13B1">
              <w:rPr>
                <w:sz w:val="24"/>
                <w:szCs w:val="24"/>
              </w:rPr>
              <w:t xml:space="preserve">залучати </w:t>
            </w:r>
            <w:r w:rsidR="00125207" w:rsidRPr="00DB13B1">
              <w:rPr>
                <w:bCs/>
                <w:sz w:val="24"/>
                <w:szCs w:val="24"/>
              </w:rPr>
              <w:t>заінтересован</w:t>
            </w:r>
            <w:r w:rsidR="00D420D8" w:rsidRPr="00DB13B1">
              <w:rPr>
                <w:bCs/>
                <w:sz w:val="24"/>
                <w:szCs w:val="24"/>
              </w:rPr>
              <w:t>і</w:t>
            </w:r>
            <w:r w:rsidR="00125207" w:rsidRPr="00DB13B1">
              <w:rPr>
                <w:bCs/>
                <w:sz w:val="24"/>
                <w:szCs w:val="24"/>
              </w:rPr>
              <w:t xml:space="preserve"> стор</w:t>
            </w:r>
            <w:r w:rsidR="00D420D8" w:rsidRPr="00DB13B1">
              <w:rPr>
                <w:bCs/>
                <w:sz w:val="24"/>
                <w:szCs w:val="24"/>
              </w:rPr>
              <w:t>о</w:t>
            </w:r>
            <w:r w:rsidR="00125207" w:rsidRPr="00DB13B1">
              <w:rPr>
                <w:bCs/>
                <w:sz w:val="24"/>
                <w:szCs w:val="24"/>
              </w:rPr>
              <w:t>н</w:t>
            </w:r>
            <w:r w:rsidR="00D420D8" w:rsidRPr="00DB13B1">
              <w:rPr>
                <w:bCs/>
                <w:sz w:val="24"/>
                <w:szCs w:val="24"/>
              </w:rPr>
              <w:t>и</w:t>
            </w:r>
            <w:r w:rsidR="00125207" w:rsidRPr="00DB13B1">
              <w:rPr>
                <w:bCs/>
                <w:sz w:val="24"/>
                <w:szCs w:val="24"/>
              </w:rPr>
              <w:t xml:space="preserve"> до розробки</w:t>
            </w:r>
            <w:r w:rsidR="00FD3F71" w:rsidRPr="00DB13B1">
              <w:rPr>
                <w:bCs/>
                <w:sz w:val="24"/>
                <w:szCs w:val="24"/>
              </w:rPr>
              <w:t xml:space="preserve"> правил розподілу пропускної спроможності міждержавних перетинів та до визначення структури розподілу пропускної спроможності, а також </w:t>
            </w:r>
            <w:r w:rsidR="00125207" w:rsidRPr="00DB13B1">
              <w:rPr>
                <w:bCs/>
                <w:sz w:val="24"/>
                <w:szCs w:val="24"/>
              </w:rPr>
              <w:t xml:space="preserve"> враховувати їх позиці</w:t>
            </w:r>
            <w:r w:rsidR="00FD3F71" w:rsidRPr="00DB13B1">
              <w:rPr>
                <w:bCs/>
                <w:sz w:val="24"/>
                <w:szCs w:val="24"/>
              </w:rPr>
              <w:t>ї</w:t>
            </w:r>
            <w:r w:rsidR="00125207" w:rsidRPr="00DB13B1">
              <w:rPr>
                <w:bCs/>
                <w:sz w:val="24"/>
                <w:szCs w:val="24"/>
              </w:rPr>
              <w:t xml:space="preserve"> при прийнятті рішень </w:t>
            </w:r>
            <w:r w:rsidR="00FD3F71" w:rsidRPr="00DB13B1">
              <w:rPr>
                <w:bCs/>
                <w:sz w:val="24"/>
                <w:szCs w:val="24"/>
              </w:rPr>
              <w:t>з цих питань</w:t>
            </w:r>
            <w:r w:rsidR="00125207" w:rsidRPr="00DB13B1">
              <w:rPr>
                <w:bCs/>
                <w:sz w:val="24"/>
                <w:szCs w:val="24"/>
              </w:rPr>
              <w:t>.</w:t>
            </w:r>
          </w:p>
        </w:tc>
        <w:tc>
          <w:tcPr>
            <w:tcW w:w="3402" w:type="dxa"/>
          </w:tcPr>
          <w:p w:rsidR="00740AA3" w:rsidRPr="00DB13B1" w:rsidRDefault="00740AA3" w:rsidP="008A3120">
            <w:pPr>
              <w:pStyle w:val="af1"/>
              <w:widowControl w:val="0"/>
              <w:spacing w:after="0"/>
              <w:jc w:val="center"/>
              <w:rPr>
                <w:sz w:val="24"/>
                <w:szCs w:val="24"/>
                <w:lang w:val="uk-UA"/>
              </w:rPr>
            </w:pPr>
            <w:r w:rsidRPr="00DB13B1">
              <w:rPr>
                <w:bCs/>
                <w:sz w:val="24"/>
                <w:szCs w:val="24"/>
                <w:lang w:val="uk-UA"/>
              </w:rPr>
              <w:t>Відсутні</w:t>
            </w:r>
          </w:p>
          <w:p w:rsidR="00740AA3" w:rsidRPr="00DB13B1" w:rsidRDefault="00740AA3" w:rsidP="008A3120">
            <w:pPr>
              <w:pStyle w:val="af1"/>
              <w:widowControl w:val="0"/>
              <w:spacing w:after="0"/>
              <w:rPr>
                <w:bCs/>
                <w:sz w:val="24"/>
                <w:szCs w:val="24"/>
                <w:lang w:val="uk-UA"/>
              </w:rPr>
            </w:pPr>
          </w:p>
        </w:tc>
      </w:tr>
    </w:tbl>
    <w:p w:rsidR="00740AA3" w:rsidRPr="003F4034" w:rsidRDefault="00740AA3" w:rsidP="00740AA3">
      <w:pPr>
        <w:pStyle w:val="af1"/>
        <w:widowControl w:val="0"/>
        <w:spacing w:after="0"/>
        <w:jc w:val="center"/>
        <w:rPr>
          <w:bCs/>
          <w:sz w:val="24"/>
          <w:szCs w:val="24"/>
          <w:lang w:val="uk-UA"/>
        </w:rPr>
      </w:pPr>
    </w:p>
    <w:p w:rsidR="00740AA3" w:rsidRPr="003F4034" w:rsidRDefault="00740AA3" w:rsidP="00740AA3">
      <w:pPr>
        <w:pStyle w:val="af1"/>
        <w:widowControl w:val="0"/>
        <w:jc w:val="center"/>
        <w:rPr>
          <w:b/>
          <w:bCs/>
          <w:lang w:val="uk-UA"/>
        </w:rPr>
      </w:pPr>
      <w:r w:rsidRPr="003F4034">
        <w:rPr>
          <w:b/>
          <w:bCs/>
          <w:lang w:val="uk-UA"/>
        </w:rPr>
        <w:t>IV. Вибір найбільш оптимального альтернативного способу досягнення цілей</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6"/>
        <w:gridCol w:w="2410"/>
        <w:gridCol w:w="3402"/>
      </w:tblGrid>
      <w:tr w:rsidR="003E3A3F" w:rsidRPr="003F4034" w:rsidTr="008A3120">
        <w:tc>
          <w:tcPr>
            <w:tcW w:w="3686" w:type="dxa"/>
          </w:tcPr>
          <w:p w:rsidR="00740AA3" w:rsidRPr="003F4034" w:rsidRDefault="00740AA3" w:rsidP="008A3120">
            <w:pPr>
              <w:jc w:val="center"/>
              <w:rPr>
                <w:sz w:val="24"/>
                <w:szCs w:val="24"/>
                <w:lang w:val="uk-UA"/>
              </w:rPr>
            </w:pPr>
            <w:r w:rsidRPr="003F4034">
              <w:rPr>
                <w:sz w:val="24"/>
                <w:szCs w:val="24"/>
                <w:lang w:val="uk-UA"/>
              </w:rPr>
              <w:t>Рейтинг результативності (досягнення цілей під час вирішення проблеми)</w:t>
            </w:r>
          </w:p>
        </w:tc>
        <w:tc>
          <w:tcPr>
            <w:tcW w:w="2410" w:type="dxa"/>
          </w:tcPr>
          <w:p w:rsidR="00740AA3" w:rsidRPr="003F4034" w:rsidRDefault="00740AA3" w:rsidP="008A3120">
            <w:pPr>
              <w:jc w:val="center"/>
              <w:rPr>
                <w:sz w:val="24"/>
                <w:szCs w:val="24"/>
                <w:lang w:val="uk-UA"/>
              </w:rPr>
            </w:pPr>
            <w:r w:rsidRPr="003F4034">
              <w:rPr>
                <w:sz w:val="24"/>
                <w:szCs w:val="24"/>
                <w:lang w:val="uk-UA"/>
              </w:rPr>
              <w:t>Бал результативності (за чотирибальною системою оцінки)</w:t>
            </w:r>
          </w:p>
        </w:tc>
        <w:tc>
          <w:tcPr>
            <w:tcW w:w="3402" w:type="dxa"/>
          </w:tcPr>
          <w:p w:rsidR="00740AA3" w:rsidRPr="003F4034" w:rsidRDefault="00740AA3" w:rsidP="008A3120">
            <w:pPr>
              <w:jc w:val="center"/>
              <w:rPr>
                <w:sz w:val="24"/>
                <w:szCs w:val="24"/>
                <w:lang w:val="uk-UA"/>
              </w:rPr>
            </w:pPr>
            <w:r w:rsidRPr="003F4034">
              <w:rPr>
                <w:sz w:val="24"/>
                <w:szCs w:val="24"/>
                <w:lang w:val="uk-UA"/>
              </w:rPr>
              <w:t xml:space="preserve">Коментарі щодо присвоєння відповідного </w:t>
            </w:r>
            <w:proofErr w:type="spellStart"/>
            <w:r w:rsidRPr="003F4034">
              <w:rPr>
                <w:sz w:val="24"/>
                <w:szCs w:val="24"/>
                <w:lang w:val="uk-UA"/>
              </w:rPr>
              <w:t>бала</w:t>
            </w:r>
            <w:proofErr w:type="spellEnd"/>
          </w:p>
        </w:tc>
      </w:tr>
      <w:tr w:rsidR="003E3A3F" w:rsidRPr="003F4034" w:rsidTr="008A3120">
        <w:tc>
          <w:tcPr>
            <w:tcW w:w="3686" w:type="dxa"/>
          </w:tcPr>
          <w:p w:rsidR="00740AA3" w:rsidRPr="003F4034" w:rsidRDefault="00740AA3" w:rsidP="008A3120">
            <w:pPr>
              <w:pStyle w:val="af1"/>
              <w:widowControl w:val="0"/>
              <w:spacing w:after="0"/>
              <w:rPr>
                <w:bCs/>
                <w:sz w:val="24"/>
                <w:szCs w:val="24"/>
                <w:lang w:val="uk-UA"/>
              </w:rPr>
            </w:pPr>
            <w:r w:rsidRPr="003F4034">
              <w:rPr>
                <w:bCs/>
                <w:sz w:val="24"/>
                <w:szCs w:val="24"/>
                <w:lang w:val="uk-UA"/>
              </w:rPr>
              <w:t>Альтернатива 1</w:t>
            </w:r>
          </w:p>
          <w:p w:rsidR="00740AA3" w:rsidRPr="003F4034" w:rsidRDefault="00740AA3" w:rsidP="008A3120">
            <w:pPr>
              <w:pStyle w:val="af1"/>
              <w:widowControl w:val="0"/>
              <w:spacing w:after="0"/>
              <w:rPr>
                <w:bCs/>
                <w:sz w:val="24"/>
                <w:szCs w:val="24"/>
                <w:lang w:val="uk-UA"/>
              </w:rPr>
            </w:pPr>
            <w:r w:rsidRPr="003F4034">
              <w:rPr>
                <w:bCs/>
                <w:sz w:val="24"/>
                <w:szCs w:val="24"/>
                <w:lang w:val="uk-UA"/>
              </w:rPr>
              <w:t>Збереження чинного регулювання</w:t>
            </w:r>
          </w:p>
        </w:tc>
        <w:tc>
          <w:tcPr>
            <w:tcW w:w="2410" w:type="dxa"/>
          </w:tcPr>
          <w:p w:rsidR="00740AA3" w:rsidRPr="003F4034" w:rsidRDefault="00740AA3" w:rsidP="008A3120">
            <w:pPr>
              <w:jc w:val="center"/>
              <w:rPr>
                <w:sz w:val="24"/>
                <w:szCs w:val="24"/>
                <w:lang w:val="uk-UA"/>
              </w:rPr>
            </w:pPr>
            <w:r w:rsidRPr="003F4034">
              <w:rPr>
                <w:sz w:val="24"/>
                <w:szCs w:val="24"/>
                <w:lang w:val="uk-UA"/>
              </w:rPr>
              <w:t>1</w:t>
            </w:r>
          </w:p>
          <w:p w:rsidR="00740AA3" w:rsidRPr="003F4034" w:rsidRDefault="00740AA3" w:rsidP="008A3120">
            <w:pPr>
              <w:jc w:val="center"/>
              <w:rPr>
                <w:sz w:val="24"/>
                <w:szCs w:val="24"/>
                <w:lang w:val="uk-UA"/>
              </w:rPr>
            </w:pPr>
          </w:p>
        </w:tc>
        <w:tc>
          <w:tcPr>
            <w:tcW w:w="3402" w:type="dxa"/>
          </w:tcPr>
          <w:p w:rsidR="00740AA3" w:rsidRPr="003F4034" w:rsidRDefault="00740AA3" w:rsidP="008A3120">
            <w:pPr>
              <w:jc w:val="both"/>
              <w:rPr>
                <w:sz w:val="24"/>
                <w:szCs w:val="24"/>
                <w:lang w:val="uk-UA"/>
              </w:rPr>
            </w:pPr>
            <w:r w:rsidRPr="003F4034">
              <w:rPr>
                <w:sz w:val="24"/>
                <w:szCs w:val="24"/>
                <w:lang w:val="uk-UA"/>
              </w:rPr>
              <w:t xml:space="preserve">Не забезпечує досягнення поставленої цілі. </w:t>
            </w:r>
          </w:p>
        </w:tc>
      </w:tr>
      <w:tr w:rsidR="003E3A3F" w:rsidRPr="003F4034" w:rsidTr="008A3120">
        <w:tc>
          <w:tcPr>
            <w:tcW w:w="3686" w:type="dxa"/>
          </w:tcPr>
          <w:p w:rsidR="00740AA3" w:rsidRPr="003F4034" w:rsidRDefault="00740AA3" w:rsidP="008A3120">
            <w:pPr>
              <w:pStyle w:val="af1"/>
              <w:widowControl w:val="0"/>
              <w:spacing w:after="0"/>
              <w:rPr>
                <w:bCs/>
                <w:sz w:val="24"/>
                <w:szCs w:val="24"/>
                <w:lang w:val="uk-UA"/>
              </w:rPr>
            </w:pPr>
            <w:r w:rsidRPr="003F4034">
              <w:rPr>
                <w:bCs/>
                <w:sz w:val="24"/>
                <w:szCs w:val="24"/>
                <w:lang w:val="uk-UA"/>
              </w:rPr>
              <w:t>Альтернатива 2</w:t>
            </w:r>
          </w:p>
          <w:p w:rsidR="00740AA3" w:rsidRPr="003F4034" w:rsidRDefault="00740AA3" w:rsidP="008A3120">
            <w:pPr>
              <w:pStyle w:val="af1"/>
              <w:spacing w:after="0"/>
              <w:rPr>
                <w:bCs/>
                <w:sz w:val="24"/>
                <w:szCs w:val="24"/>
                <w:lang w:val="uk-UA"/>
              </w:rPr>
            </w:pPr>
            <w:r w:rsidRPr="003F4034">
              <w:rPr>
                <w:sz w:val="24"/>
                <w:szCs w:val="24"/>
                <w:lang w:val="uk-UA"/>
              </w:rPr>
              <w:t>(обрана альтернатива)</w:t>
            </w:r>
            <w:r w:rsidRPr="003F4034">
              <w:rPr>
                <w:bCs/>
                <w:sz w:val="24"/>
                <w:szCs w:val="24"/>
                <w:lang w:val="uk-UA"/>
              </w:rPr>
              <w:t xml:space="preserve"> </w:t>
            </w:r>
          </w:p>
          <w:p w:rsidR="00740AA3" w:rsidRPr="003F4034" w:rsidRDefault="00F53098" w:rsidP="008A3120">
            <w:pPr>
              <w:pStyle w:val="af1"/>
              <w:widowControl w:val="0"/>
              <w:spacing w:after="0"/>
              <w:rPr>
                <w:bCs/>
                <w:sz w:val="24"/>
                <w:szCs w:val="24"/>
                <w:lang w:val="uk-UA"/>
              </w:rPr>
            </w:pPr>
            <w:r w:rsidRPr="003F4034">
              <w:rPr>
                <w:bCs/>
                <w:sz w:val="24"/>
                <w:szCs w:val="24"/>
                <w:lang w:val="uk-UA"/>
              </w:rPr>
              <w:t xml:space="preserve">Прийняття нового регуляторного </w:t>
            </w:r>
            <w:proofErr w:type="spellStart"/>
            <w:r w:rsidRPr="003F4034">
              <w:rPr>
                <w:bCs/>
                <w:sz w:val="24"/>
                <w:szCs w:val="24"/>
                <w:lang w:val="uk-UA"/>
              </w:rPr>
              <w:t>акта</w:t>
            </w:r>
            <w:proofErr w:type="spellEnd"/>
          </w:p>
        </w:tc>
        <w:tc>
          <w:tcPr>
            <w:tcW w:w="2410" w:type="dxa"/>
          </w:tcPr>
          <w:p w:rsidR="00740AA3" w:rsidRPr="003F4034" w:rsidRDefault="00740AA3" w:rsidP="008A3120">
            <w:pPr>
              <w:jc w:val="center"/>
              <w:rPr>
                <w:sz w:val="24"/>
                <w:szCs w:val="24"/>
                <w:lang w:val="uk-UA"/>
              </w:rPr>
            </w:pPr>
            <w:r w:rsidRPr="003F4034">
              <w:rPr>
                <w:sz w:val="24"/>
                <w:szCs w:val="24"/>
                <w:lang w:val="uk-UA"/>
              </w:rPr>
              <w:t>4</w:t>
            </w:r>
          </w:p>
        </w:tc>
        <w:tc>
          <w:tcPr>
            <w:tcW w:w="3402" w:type="dxa"/>
          </w:tcPr>
          <w:p w:rsidR="00740AA3" w:rsidRPr="003F4034" w:rsidRDefault="00740AA3" w:rsidP="008A3120">
            <w:pPr>
              <w:pStyle w:val="af1"/>
              <w:widowControl w:val="0"/>
              <w:spacing w:after="0"/>
              <w:rPr>
                <w:bCs/>
                <w:sz w:val="24"/>
                <w:szCs w:val="24"/>
                <w:lang w:val="uk-UA"/>
              </w:rPr>
            </w:pPr>
            <w:r w:rsidRPr="003F4034">
              <w:rPr>
                <w:sz w:val="24"/>
                <w:szCs w:val="24"/>
                <w:lang w:val="uk-UA"/>
              </w:rPr>
              <w:t>Дозволяє вирішити проблему найбільш ефективним шляхом.</w:t>
            </w:r>
          </w:p>
        </w:tc>
      </w:tr>
    </w:tbl>
    <w:p w:rsidR="00740AA3" w:rsidRPr="003F4034" w:rsidRDefault="00740AA3" w:rsidP="00740AA3">
      <w:pPr>
        <w:jc w:val="both"/>
        <w:rPr>
          <w:bCs/>
          <w:sz w:val="24"/>
          <w:szCs w:val="24"/>
          <w:lang w:val="uk-UA"/>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3119"/>
        <w:gridCol w:w="2551"/>
        <w:gridCol w:w="1843"/>
      </w:tblGrid>
      <w:tr w:rsidR="003E3A3F" w:rsidRPr="003F4034" w:rsidTr="008A3120">
        <w:tc>
          <w:tcPr>
            <w:tcW w:w="1985" w:type="dxa"/>
          </w:tcPr>
          <w:p w:rsidR="00740AA3" w:rsidRPr="003F4034" w:rsidRDefault="00740AA3" w:rsidP="008A3120">
            <w:pPr>
              <w:jc w:val="center"/>
              <w:rPr>
                <w:sz w:val="24"/>
                <w:szCs w:val="24"/>
                <w:lang w:val="uk-UA"/>
              </w:rPr>
            </w:pPr>
            <w:r w:rsidRPr="003F4034">
              <w:rPr>
                <w:sz w:val="24"/>
                <w:szCs w:val="24"/>
                <w:lang w:val="uk-UA"/>
              </w:rPr>
              <w:lastRenderedPageBreak/>
              <w:t>Рейтинг результативності</w:t>
            </w:r>
          </w:p>
        </w:tc>
        <w:tc>
          <w:tcPr>
            <w:tcW w:w="3119" w:type="dxa"/>
          </w:tcPr>
          <w:p w:rsidR="00740AA3" w:rsidRPr="003F4034" w:rsidRDefault="00740AA3" w:rsidP="008A3120">
            <w:pPr>
              <w:jc w:val="center"/>
              <w:rPr>
                <w:sz w:val="24"/>
                <w:szCs w:val="24"/>
                <w:lang w:val="uk-UA"/>
              </w:rPr>
            </w:pPr>
            <w:r w:rsidRPr="003F4034">
              <w:rPr>
                <w:sz w:val="24"/>
                <w:szCs w:val="24"/>
                <w:lang w:val="uk-UA"/>
              </w:rPr>
              <w:t>Вигоди (підсумок)</w:t>
            </w:r>
          </w:p>
        </w:tc>
        <w:tc>
          <w:tcPr>
            <w:tcW w:w="2551" w:type="dxa"/>
          </w:tcPr>
          <w:p w:rsidR="00740AA3" w:rsidRPr="003F4034" w:rsidRDefault="00740AA3" w:rsidP="008A3120">
            <w:pPr>
              <w:jc w:val="center"/>
              <w:rPr>
                <w:sz w:val="24"/>
                <w:szCs w:val="24"/>
                <w:lang w:val="uk-UA"/>
              </w:rPr>
            </w:pPr>
            <w:r w:rsidRPr="003F4034">
              <w:rPr>
                <w:sz w:val="24"/>
                <w:szCs w:val="24"/>
                <w:lang w:val="uk-UA"/>
              </w:rPr>
              <w:t>Витрати (підсумок)</w:t>
            </w:r>
          </w:p>
        </w:tc>
        <w:tc>
          <w:tcPr>
            <w:tcW w:w="1843" w:type="dxa"/>
          </w:tcPr>
          <w:p w:rsidR="00740AA3" w:rsidRPr="003F4034" w:rsidRDefault="00740AA3" w:rsidP="008A3120">
            <w:pPr>
              <w:jc w:val="center"/>
              <w:rPr>
                <w:sz w:val="24"/>
                <w:szCs w:val="24"/>
                <w:lang w:val="uk-UA"/>
              </w:rPr>
            </w:pPr>
            <w:r w:rsidRPr="003F4034">
              <w:rPr>
                <w:sz w:val="24"/>
                <w:szCs w:val="24"/>
                <w:lang w:val="uk-UA"/>
              </w:rPr>
              <w:t>Обґрунтування відповідного місця альтернативи в рейтингу</w:t>
            </w:r>
          </w:p>
        </w:tc>
      </w:tr>
      <w:tr w:rsidR="003E3A3F" w:rsidRPr="003F4034" w:rsidTr="008A3120">
        <w:tc>
          <w:tcPr>
            <w:tcW w:w="1985" w:type="dxa"/>
          </w:tcPr>
          <w:p w:rsidR="00740AA3" w:rsidRPr="003F4034" w:rsidRDefault="00740AA3" w:rsidP="008A3120">
            <w:pPr>
              <w:pStyle w:val="af1"/>
              <w:widowControl w:val="0"/>
              <w:spacing w:after="0"/>
              <w:rPr>
                <w:bCs/>
                <w:sz w:val="24"/>
                <w:szCs w:val="24"/>
                <w:lang w:val="uk-UA"/>
              </w:rPr>
            </w:pPr>
            <w:r w:rsidRPr="003F4034">
              <w:rPr>
                <w:bCs/>
                <w:sz w:val="24"/>
                <w:szCs w:val="24"/>
                <w:lang w:val="uk-UA"/>
              </w:rPr>
              <w:t>Альтернатива 1</w:t>
            </w:r>
          </w:p>
          <w:p w:rsidR="00740AA3" w:rsidRPr="003F4034" w:rsidRDefault="00740AA3" w:rsidP="008A3120">
            <w:pPr>
              <w:pStyle w:val="af1"/>
              <w:widowControl w:val="0"/>
              <w:spacing w:after="0"/>
              <w:rPr>
                <w:bCs/>
                <w:sz w:val="24"/>
                <w:szCs w:val="24"/>
                <w:lang w:val="uk-UA"/>
              </w:rPr>
            </w:pPr>
            <w:r w:rsidRPr="003F4034">
              <w:rPr>
                <w:bCs/>
                <w:sz w:val="24"/>
                <w:szCs w:val="24"/>
                <w:lang w:val="uk-UA"/>
              </w:rPr>
              <w:t>Збереження чинного регулювання</w:t>
            </w:r>
          </w:p>
        </w:tc>
        <w:tc>
          <w:tcPr>
            <w:tcW w:w="3119" w:type="dxa"/>
          </w:tcPr>
          <w:p w:rsidR="00740AA3" w:rsidRPr="003F4034" w:rsidRDefault="00740AA3" w:rsidP="008A3120">
            <w:pPr>
              <w:jc w:val="center"/>
              <w:rPr>
                <w:sz w:val="24"/>
                <w:szCs w:val="24"/>
                <w:lang w:val="uk-UA"/>
              </w:rPr>
            </w:pPr>
            <w:r w:rsidRPr="003F4034">
              <w:rPr>
                <w:sz w:val="24"/>
                <w:szCs w:val="24"/>
                <w:lang w:val="uk-UA"/>
              </w:rPr>
              <w:t>Відсутні</w:t>
            </w:r>
          </w:p>
        </w:tc>
        <w:tc>
          <w:tcPr>
            <w:tcW w:w="2551" w:type="dxa"/>
          </w:tcPr>
          <w:p w:rsidR="00740AA3" w:rsidRPr="003F4034" w:rsidRDefault="008F2499">
            <w:pPr>
              <w:jc w:val="both"/>
              <w:rPr>
                <w:sz w:val="24"/>
                <w:szCs w:val="24"/>
                <w:lang w:val="uk-UA"/>
              </w:rPr>
            </w:pPr>
            <w:r w:rsidRPr="003F4034">
              <w:rPr>
                <w:bCs/>
                <w:sz w:val="24"/>
                <w:szCs w:val="24"/>
                <w:lang w:val="uk-UA"/>
              </w:rPr>
              <w:t xml:space="preserve">Не забезпечить виконання положень Закону, що не дозволить </w:t>
            </w:r>
            <w:proofErr w:type="spellStart"/>
            <w:r w:rsidRPr="003F4034">
              <w:rPr>
                <w:bCs/>
                <w:sz w:val="24"/>
                <w:szCs w:val="24"/>
                <w:lang w:val="uk-UA"/>
              </w:rPr>
              <w:t>імплементувати</w:t>
            </w:r>
            <w:proofErr w:type="spellEnd"/>
            <w:r w:rsidRPr="003F4034">
              <w:rPr>
                <w:bCs/>
                <w:sz w:val="24"/>
                <w:szCs w:val="24"/>
                <w:lang w:val="uk-UA"/>
              </w:rPr>
              <w:t xml:space="preserve">  положен</w:t>
            </w:r>
            <w:r w:rsidR="00921E2D" w:rsidRPr="003F4034">
              <w:rPr>
                <w:bCs/>
                <w:sz w:val="24"/>
                <w:szCs w:val="24"/>
                <w:lang w:val="uk-UA"/>
              </w:rPr>
              <w:t>ня</w:t>
            </w:r>
            <w:r w:rsidRPr="003F4034">
              <w:rPr>
                <w:bCs/>
                <w:sz w:val="24"/>
                <w:szCs w:val="24"/>
                <w:lang w:val="uk-UA"/>
              </w:rPr>
              <w:t xml:space="preserve"> актів законодавства Енергетичного Співтовариства у сфері енергетики, а також унеможливлює проведення аукціонів за спільною скоординованою процедурою, що</w:t>
            </w:r>
            <w:r w:rsidR="00921E2D" w:rsidRPr="003F4034">
              <w:rPr>
                <w:bCs/>
                <w:sz w:val="24"/>
                <w:szCs w:val="24"/>
                <w:lang w:val="uk-UA"/>
              </w:rPr>
              <w:t>,</w:t>
            </w:r>
            <w:r w:rsidRPr="003F4034">
              <w:rPr>
                <w:bCs/>
                <w:sz w:val="24"/>
                <w:szCs w:val="24"/>
                <w:lang w:val="uk-UA"/>
              </w:rPr>
              <w:t xml:space="preserve"> в свою чергу</w:t>
            </w:r>
            <w:r w:rsidR="00921E2D" w:rsidRPr="003F4034">
              <w:rPr>
                <w:bCs/>
                <w:sz w:val="24"/>
                <w:szCs w:val="24"/>
                <w:lang w:val="uk-UA"/>
              </w:rPr>
              <w:t>,</w:t>
            </w:r>
            <w:r w:rsidRPr="003F4034">
              <w:rPr>
                <w:bCs/>
                <w:sz w:val="24"/>
                <w:szCs w:val="24"/>
                <w:lang w:val="uk-UA"/>
              </w:rPr>
              <w:t xml:space="preserve"> може призвести до призупинення </w:t>
            </w:r>
            <w:proofErr w:type="spellStart"/>
            <w:r w:rsidRPr="003F4034">
              <w:rPr>
                <w:bCs/>
                <w:sz w:val="24"/>
                <w:szCs w:val="24"/>
                <w:lang w:val="uk-UA"/>
              </w:rPr>
              <w:t>імпортно</w:t>
            </w:r>
            <w:proofErr w:type="spellEnd"/>
            <w:r w:rsidRPr="003F4034">
              <w:rPr>
                <w:bCs/>
                <w:sz w:val="24"/>
                <w:szCs w:val="24"/>
                <w:lang w:val="uk-UA"/>
              </w:rPr>
              <w:t xml:space="preserve">-експортних операцій з державами-сторонами Енергетичного Співтовариства. </w:t>
            </w:r>
          </w:p>
        </w:tc>
        <w:tc>
          <w:tcPr>
            <w:tcW w:w="1843" w:type="dxa"/>
          </w:tcPr>
          <w:p w:rsidR="00740AA3" w:rsidRPr="003F4034" w:rsidRDefault="00740AA3" w:rsidP="008A3120">
            <w:pPr>
              <w:jc w:val="both"/>
              <w:rPr>
                <w:sz w:val="24"/>
                <w:szCs w:val="24"/>
                <w:lang w:val="uk-UA"/>
              </w:rPr>
            </w:pPr>
            <w:r w:rsidRPr="003F4034">
              <w:rPr>
                <w:sz w:val="24"/>
                <w:szCs w:val="24"/>
                <w:lang w:val="uk-UA"/>
              </w:rPr>
              <w:t>Альтернатива 1 не дозволяє досягнути  поставленої цілі.</w:t>
            </w:r>
          </w:p>
        </w:tc>
      </w:tr>
      <w:tr w:rsidR="003E3A3F" w:rsidRPr="003F4034" w:rsidTr="008A3120">
        <w:tc>
          <w:tcPr>
            <w:tcW w:w="1985" w:type="dxa"/>
          </w:tcPr>
          <w:p w:rsidR="00740AA3" w:rsidRPr="003F4034" w:rsidRDefault="00740AA3" w:rsidP="008A3120">
            <w:pPr>
              <w:pStyle w:val="af1"/>
              <w:widowControl w:val="0"/>
              <w:spacing w:after="0"/>
              <w:rPr>
                <w:bCs/>
                <w:sz w:val="24"/>
                <w:szCs w:val="24"/>
                <w:lang w:val="uk-UA"/>
              </w:rPr>
            </w:pPr>
            <w:r w:rsidRPr="003F4034">
              <w:rPr>
                <w:bCs/>
                <w:sz w:val="24"/>
                <w:szCs w:val="24"/>
                <w:lang w:val="uk-UA"/>
              </w:rPr>
              <w:t>Альтернатива 2</w:t>
            </w:r>
          </w:p>
          <w:p w:rsidR="00740AA3" w:rsidRPr="003F4034" w:rsidRDefault="00740AA3" w:rsidP="008A3120">
            <w:pPr>
              <w:pStyle w:val="af1"/>
              <w:spacing w:after="0"/>
              <w:rPr>
                <w:bCs/>
                <w:sz w:val="24"/>
                <w:szCs w:val="24"/>
                <w:lang w:val="uk-UA"/>
              </w:rPr>
            </w:pPr>
            <w:r w:rsidRPr="003F4034">
              <w:rPr>
                <w:sz w:val="24"/>
                <w:szCs w:val="24"/>
                <w:lang w:val="uk-UA"/>
              </w:rPr>
              <w:t>(обрана альтернатива).</w:t>
            </w:r>
            <w:r w:rsidRPr="003F4034">
              <w:rPr>
                <w:bCs/>
                <w:sz w:val="24"/>
                <w:szCs w:val="24"/>
                <w:lang w:val="uk-UA"/>
              </w:rPr>
              <w:t xml:space="preserve"> </w:t>
            </w:r>
          </w:p>
          <w:p w:rsidR="00740AA3" w:rsidRPr="003F4034" w:rsidRDefault="00F53098" w:rsidP="008A3120">
            <w:pPr>
              <w:pStyle w:val="af1"/>
              <w:widowControl w:val="0"/>
              <w:spacing w:after="0"/>
              <w:rPr>
                <w:bCs/>
                <w:sz w:val="24"/>
                <w:szCs w:val="24"/>
                <w:lang w:val="uk-UA"/>
              </w:rPr>
            </w:pPr>
            <w:r w:rsidRPr="003F4034">
              <w:rPr>
                <w:bCs/>
                <w:sz w:val="24"/>
                <w:szCs w:val="24"/>
                <w:lang w:val="uk-UA"/>
              </w:rPr>
              <w:t xml:space="preserve">Прийняття нового регуляторного </w:t>
            </w:r>
            <w:proofErr w:type="spellStart"/>
            <w:r w:rsidRPr="003F4034">
              <w:rPr>
                <w:bCs/>
                <w:sz w:val="24"/>
                <w:szCs w:val="24"/>
                <w:lang w:val="uk-UA"/>
              </w:rPr>
              <w:t>акта</w:t>
            </w:r>
            <w:proofErr w:type="spellEnd"/>
          </w:p>
        </w:tc>
        <w:tc>
          <w:tcPr>
            <w:tcW w:w="3119" w:type="dxa"/>
          </w:tcPr>
          <w:p w:rsidR="008F2499" w:rsidRPr="003F4034" w:rsidRDefault="008F2499">
            <w:pPr>
              <w:jc w:val="both"/>
              <w:rPr>
                <w:bCs/>
                <w:sz w:val="24"/>
                <w:szCs w:val="24"/>
                <w:lang w:val="uk-UA"/>
              </w:rPr>
            </w:pPr>
            <w:r w:rsidRPr="003F4034">
              <w:rPr>
                <w:bCs/>
                <w:sz w:val="24"/>
                <w:szCs w:val="24"/>
                <w:lang w:val="uk-UA"/>
              </w:rPr>
              <w:t>Забезпечить виконання положень Закону</w:t>
            </w:r>
            <w:r w:rsidR="00F3011C" w:rsidRPr="003F4034">
              <w:rPr>
                <w:bCs/>
                <w:sz w:val="24"/>
                <w:szCs w:val="24"/>
                <w:lang w:val="uk-UA"/>
              </w:rPr>
              <w:t>,</w:t>
            </w:r>
            <w:r w:rsidRPr="003F4034">
              <w:rPr>
                <w:bCs/>
                <w:sz w:val="24"/>
                <w:szCs w:val="24"/>
                <w:lang w:val="uk-UA"/>
              </w:rPr>
              <w:t xml:space="preserve"> дозволить </w:t>
            </w:r>
            <w:proofErr w:type="spellStart"/>
            <w:r w:rsidRPr="003F4034">
              <w:rPr>
                <w:bCs/>
                <w:sz w:val="24"/>
                <w:szCs w:val="24"/>
                <w:lang w:val="uk-UA"/>
              </w:rPr>
              <w:t>імплементувати</w:t>
            </w:r>
            <w:proofErr w:type="spellEnd"/>
            <w:r w:rsidRPr="003F4034">
              <w:rPr>
                <w:bCs/>
                <w:sz w:val="24"/>
                <w:szCs w:val="24"/>
                <w:lang w:val="uk-UA"/>
              </w:rPr>
              <w:t xml:space="preserve"> положе</w:t>
            </w:r>
            <w:r w:rsidR="00F3011C" w:rsidRPr="003F4034">
              <w:rPr>
                <w:bCs/>
                <w:sz w:val="24"/>
                <w:szCs w:val="24"/>
                <w:lang w:val="uk-UA"/>
              </w:rPr>
              <w:t>н</w:t>
            </w:r>
            <w:r w:rsidRPr="003F4034">
              <w:rPr>
                <w:bCs/>
                <w:sz w:val="24"/>
                <w:szCs w:val="24"/>
                <w:lang w:val="uk-UA"/>
              </w:rPr>
              <w:t>ня актів законодавства Енергетичного Співтовариства у сфері енергетики, та створить передумови для проведення аукціонів за спільною скоординованою процедурою, що д</w:t>
            </w:r>
            <w:r w:rsidRPr="003F4034">
              <w:rPr>
                <w:sz w:val="24"/>
                <w:szCs w:val="24"/>
                <w:lang w:val="uk-UA"/>
              </w:rPr>
              <w:t xml:space="preserve">озволить залучати </w:t>
            </w:r>
            <w:r w:rsidRPr="003F4034">
              <w:rPr>
                <w:bCs/>
                <w:sz w:val="24"/>
                <w:szCs w:val="24"/>
                <w:lang w:val="uk-UA"/>
              </w:rPr>
              <w:t>заінтересован</w:t>
            </w:r>
            <w:r w:rsidR="00770C6B" w:rsidRPr="003F4034">
              <w:rPr>
                <w:bCs/>
                <w:sz w:val="24"/>
                <w:szCs w:val="24"/>
                <w:lang w:val="uk-UA"/>
              </w:rPr>
              <w:t>і</w:t>
            </w:r>
            <w:r w:rsidRPr="003F4034">
              <w:rPr>
                <w:bCs/>
                <w:sz w:val="24"/>
                <w:szCs w:val="24"/>
                <w:lang w:val="uk-UA"/>
              </w:rPr>
              <w:t xml:space="preserve"> стор</w:t>
            </w:r>
            <w:r w:rsidR="00770C6B" w:rsidRPr="003F4034">
              <w:rPr>
                <w:bCs/>
                <w:sz w:val="24"/>
                <w:szCs w:val="24"/>
                <w:lang w:val="uk-UA"/>
              </w:rPr>
              <w:t>о</w:t>
            </w:r>
            <w:r w:rsidRPr="003F4034">
              <w:rPr>
                <w:bCs/>
                <w:sz w:val="24"/>
                <w:szCs w:val="24"/>
                <w:lang w:val="uk-UA"/>
              </w:rPr>
              <w:t>н</w:t>
            </w:r>
            <w:r w:rsidR="00770C6B" w:rsidRPr="003F4034">
              <w:rPr>
                <w:bCs/>
                <w:sz w:val="24"/>
                <w:szCs w:val="24"/>
                <w:lang w:val="uk-UA"/>
              </w:rPr>
              <w:t>и</w:t>
            </w:r>
            <w:r w:rsidRPr="003F4034">
              <w:rPr>
                <w:bCs/>
                <w:sz w:val="24"/>
                <w:szCs w:val="24"/>
                <w:lang w:val="uk-UA"/>
              </w:rPr>
              <w:t xml:space="preserve"> до розробки правил розподілу пропускної спроможності міждержавних перетинів та до визначення структури розподілу пропускної спроможності, а також  враховувати їх позиції при прийнятті рішень з цих питань.</w:t>
            </w:r>
          </w:p>
        </w:tc>
        <w:tc>
          <w:tcPr>
            <w:tcW w:w="2551" w:type="dxa"/>
          </w:tcPr>
          <w:p w:rsidR="00740AA3" w:rsidRPr="003F4034" w:rsidRDefault="00740AA3" w:rsidP="008A3120">
            <w:pPr>
              <w:jc w:val="center"/>
              <w:rPr>
                <w:sz w:val="24"/>
                <w:szCs w:val="24"/>
                <w:lang w:val="uk-UA"/>
              </w:rPr>
            </w:pPr>
            <w:r w:rsidRPr="003F4034">
              <w:rPr>
                <w:sz w:val="24"/>
                <w:szCs w:val="24"/>
                <w:lang w:val="uk-UA"/>
              </w:rPr>
              <w:t>Відсутні</w:t>
            </w:r>
          </w:p>
          <w:p w:rsidR="00740AA3" w:rsidRPr="003F4034" w:rsidRDefault="00740AA3" w:rsidP="008A3120">
            <w:pPr>
              <w:jc w:val="center"/>
              <w:rPr>
                <w:bCs/>
                <w:sz w:val="24"/>
                <w:szCs w:val="24"/>
                <w:lang w:val="uk-UA"/>
              </w:rPr>
            </w:pPr>
          </w:p>
        </w:tc>
        <w:tc>
          <w:tcPr>
            <w:tcW w:w="1843" w:type="dxa"/>
          </w:tcPr>
          <w:p w:rsidR="00740AA3" w:rsidRPr="003F4034" w:rsidRDefault="00740AA3" w:rsidP="008A3120">
            <w:pPr>
              <w:jc w:val="both"/>
              <w:rPr>
                <w:sz w:val="24"/>
                <w:szCs w:val="24"/>
                <w:lang w:val="uk-UA"/>
              </w:rPr>
            </w:pPr>
            <w:r w:rsidRPr="003F4034">
              <w:rPr>
                <w:sz w:val="24"/>
                <w:szCs w:val="24"/>
                <w:lang w:val="uk-UA"/>
              </w:rPr>
              <w:t>Альтернатива 2 дозволить досягнути задекларованих цілей повною мірою.</w:t>
            </w:r>
          </w:p>
        </w:tc>
      </w:tr>
    </w:tbl>
    <w:p w:rsidR="00740AA3" w:rsidRPr="003F4034" w:rsidRDefault="00740AA3" w:rsidP="00740AA3">
      <w:pPr>
        <w:ind w:firstLine="539"/>
        <w:jc w:val="both"/>
        <w:rPr>
          <w:bCs/>
          <w:lang w:val="uk-UA"/>
        </w:rPr>
      </w:pPr>
    </w:p>
    <w:tbl>
      <w:tblPr>
        <w:tblW w:w="94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4394"/>
        <w:gridCol w:w="2693"/>
      </w:tblGrid>
      <w:tr w:rsidR="003E3A3F" w:rsidRPr="003F4034" w:rsidTr="008A3120">
        <w:tc>
          <w:tcPr>
            <w:tcW w:w="2410" w:type="dxa"/>
            <w:tcBorders>
              <w:bottom w:val="single" w:sz="4" w:space="0" w:color="auto"/>
            </w:tcBorders>
          </w:tcPr>
          <w:p w:rsidR="00740AA3" w:rsidRPr="003F4034" w:rsidRDefault="00740AA3" w:rsidP="008A3120">
            <w:pPr>
              <w:jc w:val="center"/>
              <w:rPr>
                <w:sz w:val="24"/>
                <w:szCs w:val="24"/>
                <w:lang w:val="uk-UA"/>
              </w:rPr>
            </w:pPr>
            <w:r w:rsidRPr="003F4034">
              <w:rPr>
                <w:sz w:val="24"/>
                <w:szCs w:val="24"/>
                <w:lang w:val="uk-UA"/>
              </w:rPr>
              <w:lastRenderedPageBreak/>
              <w:t>Рейтинг</w:t>
            </w:r>
          </w:p>
        </w:tc>
        <w:tc>
          <w:tcPr>
            <w:tcW w:w="4394" w:type="dxa"/>
            <w:tcBorders>
              <w:bottom w:val="single" w:sz="4" w:space="0" w:color="auto"/>
            </w:tcBorders>
          </w:tcPr>
          <w:p w:rsidR="00740AA3" w:rsidRPr="003F4034" w:rsidRDefault="00740AA3" w:rsidP="008A3120">
            <w:pPr>
              <w:jc w:val="center"/>
              <w:rPr>
                <w:sz w:val="24"/>
                <w:szCs w:val="24"/>
                <w:lang w:val="uk-UA"/>
              </w:rPr>
            </w:pPr>
            <w:r w:rsidRPr="003F4034">
              <w:rPr>
                <w:sz w:val="24"/>
                <w:szCs w:val="24"/>
                <w:lang w:val="uk-UA"/>
              </w:rPr>
              <w:t>Аргументи щодо переваги обраної альтернативи / причини відмови від альтернативи</w:t>
            </w:r>
          </w:p>
        </w:tc>
        <w:tc>
          <w:tcPr>
            <w:tcW w:w="2693" w:type="dxa"/>
            <w:tcBorders>
              <w:bottom w:val="single" w:sz="4" w:space="0" w:color="auto"/>
            </w:tcBorders>
          </w:tcPr>
          <w:p w:rsidR="00740AA3" w:rsidRPr="003F4034" w:rsidRDefault="00740AA3" w:rsidP="008A3120">
            <w:pPr>
              <w:jc w:val="center"/>
              <w:rPr>
                <w:sz w:val="24"/>
                <w:szCs w:val="24"/>
                <w:lang w:val="uk-UA"/>
              </w:rPr>
            </w:pPr>
            <w:r w:rsidRPr="003F4034">
              <w:rPr>
                <w:sz w:val="24"/>
                <w:szCs w:val="24"/>
                <w:lang w:val="uk-UA"/>
              </w:rPr>
              <w:t xml:space="preserve">Оцінка ризику зовнішніх чинників на дію запропонованого регуляторного </w:t>
            </w:r>
            <w:proofErr w:type="spellStart"/>
            <w:r w:rsidRPr="003F4034">
              <w:rPr>
                <w:sz w:val="24"/>
                <w:szCs w:val="24"/>
                <w:lang w:val="uk-UA"/>
              </w:rPr>
              <w:t>акта</w:t>
            </w:r>
            <w:proofErr w:type="spellEnd"/>
          </w:p>
        </w:tc>
      </w:tr>
      <w:tr w:rsidR="003E3A3F" w:rsidRPr="003F4034" w:rsidTr="008A3120">
        <w:tc>
          <w:tcPr>
            <w:tcW w:w="2410" w:type="dxa"/>
          </w:tcPr>
          <w:p w:rsidR="00740AA3" w:rsidRPr="003F4034" w:rsidRDefault="00740AA3" w:rsidP="008A3120">
            <w:pPr>
              <w:pStyle w:val="af1"/>
              <w:widowControl w:val="0"/>
              <w:spacing w:after="0"/>
              <w:rPr>
                <w:bCs/>
                <w:sz w:val="24"/>
                <w:szCs w:val="24"/>
                <w:lang w:val="uk-UA"/>
              </w:rPr>
            </w:pPr>
            <w:r w:rsidRPr="003F4034">
              <w:rPr>
                <w:bCs/>
                <w:sz w:val="24"/>
                <w:szCs w:val="24"/>
                <w:lang w:val="uk-UA"/>
              </w:rPr>
              <w:t>Альтернатива 1</w:t>
            </w:r>
          </w:p>
          <w:p w:rsidR="00740AA3" w:rsidRPr="003F4034" w:rsidRDefault="00740AA3" w:rsidP="008A3120">
            <w:pPr>
              <w:pStyle w:val="af1"/>
              <w:widowControl w:val="0"/>
              <w:spacing w:after="0"/>
              <w:rPr>
                <w:bCs/>
                <w:sz w:val="24"/>
                <w:szCs w:val="24"/>
                <w:lang w:val="uk-UA"/>
              </w:rPr>
            </w:pPr>
            <w:r w:rsidRPr="003F4034">
              <w:rPr>
                <w:bCs/>
                <w:sz w:val="24"/>
                <w:szCs w:val="24"/>
                <w:lang w:val="uk-UA"/>
              </w:rPr>
              <w:t>Збереження чинного регулювання</w:t>
            </w:r>
          </w:p>
        </w:tc>
        <w:tc>
          <w:tcPr>
            <w:tcW w:w="4394" w:type="dxa"/>
          </w:tcPr>
          <w:p w:rsidR="00740AA3" w:rsidRPr="003F4034" w:rsidRDefault="00740AA3" w:rsidP="008A3120">
            <w:pPr>
              <w:jc w:val="both"/>
              <w:rPr>
                <w:sz w:val="24"/>
                <w:szCs w:val="24"/>
                <w:lang w:val="uk-UA"/>
              </w:rPr>
            </w:pPr>
            <w:r w:rsidRPr="003F4034">
              <w:rPr>
                <w:sz w:val="24"/>
                <w:szCs w:val="24"/>
                <w:lang w:val="uk-UA"/>
              </w:rPr>
              <w:t>Не вирішує визначену проблему та не забезпечує досягнення цілей державного регулювання.</w:t>
            </w:r>
          </w:p>
        </w:tc>
        <w:tc>
          <w:tcPr>
            <w:tcW w:w="2693" w:type="dxa"/>
          </w:tcPr>
          <w:p w:rsidR="00740AA3" w:rsidRPr="003F4034" w:rsidRDefault="00740AA3" w:rsidP="008A3120">
            <w:pPr>
              <w:jc w:val="both"/>
              <w:rPr>
                <w:sz w:val="24"/>
                <w:szCs w:val="24"/>
                <w:lang w:val="uk-UA"/>
              </w:rPr>
            </w:pPr>
            <w:r w:rsidRPr="003F4034">
              <w:rPr>
                <w:sz w:val="24"/>
                <w:szCs w:val="24"/>
                <w:lang w:val="uk-UA"/>
              </w:rPr>
              <w:t xml:space="preserve">Порушення чинного законодавства </w:t>
            </w:r>
          </w:p>
        </w:tc>
      </w:tr>
      <w:tr w:rsidR="003E3A3F" w:rsidRPr="003F4034" w:rsidTr="008A3120">
        <w:tc>
          <w:tcPr>
            <w:tcW w:w="2410" w:type="dxa"/>
          </w:tcPr>
          <w:p w:rsidR="00740AA3" w:rsidRPr="003F4034" w:rsidRDefault="00740AA3" w:rsidP="008A3120">
            <w:pPr>
              <w:pStyle w:val="af1"/>
              <w:spacing w:after="0"/>
              <w:rPr>
                <w:bCs/>
                <w:sz w:val="24"/>
                <w:szCs w:val="24"/>
                <w:lang w:val="uk-UA"/>
              </w:rPr>
            </w:pPr>
            <w:r w:rsidRPr="003F4034">
              <w:rPr>
                <w:bCs/>
                <w:sz w:val="24"/>
                <w:szCs w:val="24"/>
                <w:lang w:val="uk-UA"/>
              </w:rPr>
              <w:t xml:space="preserve">Альтернатива 2 </w:t>
            </w:r>
          </w:p>
          <w:p w:rsidR="00740AA3" w:rsidRPr="003F4034" w:rsidRDefault="00740AA3" w:rsidP="008A3120">
            <w:pPr>
              <w:pStyle w:val="af1"/>
              <w:spacing w:after="0"/>
              <w:rPr>
                <w:bCs/>
                <w:sz w:val="24"/>
                <w:szCs w:val="24"/>
                <w:lang w:val="uk-UA"/>
              </w:rPr>
            </w:pPr>
            <w:r w:rsidRPr="003F4034">
              <w:rPr>
                <w:sz w:val="24"/>
                <w:szCs w:val="24"/>
                <w:lang w:val="uk-UA"/>
              </w:rPr>
              <w:t>(обрана альтернатива)</w:t>
            </w:r>
            <w:r w:rsidRPr="003F4034">
              <w:rPr>
                <w:bCs/>
                <w:sz w:val="24"/>
                <w:szCs w:val="24"/>
                <w:lang w:val="uk-UA"/>
              </w:rPr>
              <w:t xml:space="preserve"> </w:t>
            </w:r>
          </w:p>
          <w:p w:rsidR="00740AA3" w:rsidRPr="003F4034" w:rsidRDefault="00F53098" w:rsidP="008A3120">
            <w:pPr>
              <w:pStyle w:val="af1"/>
              <w:widowControl w:val="0"/>
              <w:spacing w:after="0"/>
              <w:rPr>
                <w:bCs/>
                <w:sz w:val="24"/>
                <w:szCs w:val="24"/>
                <w:lang w:val="uk-UA"/>
              </w:rPr>
            </w:pPr>
            <w:r w:rsidRPr="003F4034">
              <w:rPr>
                <w:bCs/>
                <w:sz w:val="24"/>
                <w:szCs w:val="24"/>
                <w:lang w:val="uk-UA"/>
              </w:rPr>
              <w:t xml:space="preserve">Прийняття нового регуляторного </w:t>
            </w:r>
            <w:proofErr w:type="spellStart"/>
            <w:r w:rsidRPr="003F4034">
              <w:rPr>
                <w:bCs/>
                <w:sz w:val="24"/>
                <w:szCs w:val="24"/>
                <w:lang w:val="uk-UA"/>
              </w:rPr>
              <w:t>акта</w:t>
            </w:r>
            <w:proofErr w:type="spellEnd"/>
          </w:p>
        </w:tc>
        <w:tc>
          <w:tcPr>
            <w:tcW w:w="4394" w:type="dxa"/>
          </w:tcPr>
          <w:p w:rsidR="00740AA3" w:rsidRPr="003F4034" w:rsidRDefault="00740AA3" w:rsidP="008A3120">
            <w:pPr>
              <w:jc w:val="both"/>
              <w:rPr>
                <w:sz w:val="24"/>
                <w:szCs w:val="24"/>
                <w:lang w:val="uk-UA"/>
              </w:rPr>
            </w:pPr>
            <w:r w:rsidRPr="003F4034">
              <w:rPr>
                <w:sz w:val="24"/>
                <w:szCs w:val="24"/>
                <w:lang w:val="uk-UA"/>
              </w:rPr>
              <w:t>Обрана альтернатива дозволить вирішити проблему найефективнішим шляхом. Забезпечує досягнення цілей державного регулювання.</w:t>
            </w:r>
          </w:p>
        </w:tc>
        <w:tc>
          <w:tcPr>
            <w:tcW w:w="2693" w:type="dxa"/>
          </w:tcPr>
          <w:p w:rsidR="00740AA3" w:rsidRPr="003F4034" w:rsidRDefault="00740AA3" w:rsidP="008A3120">
            <w:pPr>
              <w:pStyle w:val="af1"/>
              <w:widowControl w:val="0"/>
              <w:spacing w:after="0"/>
              <w:rPr>
                <w:bCs/>
                <w:sz w:val="24"/>
                <w:szCs w:val="24"/>
                <w:lang w:val="uk-UA"/>
              </w:rPr>
            </w:pPr>
            <w:r w:rsidRPr="003F4034">
              <w:rPr>
                <w:bCs/>
                <w:sz w:val="24"/>
                <w:szCs w:val="24"/>
                <w:lang w:val="uk-UA"/>
              </w:rPr>
              <w:t>Відсутній</w:t>
            </w:r>
          </w:p>
          <w:p w:rsidR="00740AA3" w:rsidRPr="003F4034" w:rsidRDefault="00740AA3" w:rsidP="008A3120">
            <w:pPr>
              <w:pStyle w:val="af1"/>
              <w:widowControl w:val="0"/>
              <w:spacing w:after="0"/>
              <w:rPr>
                <w:bCs/>
                <w:sz w:val="24"/>
                <w:szCs w:val="24"/>
                <w:lang w:val="uk-UA"/>
              </w:rPr>
            </w:pPr>
          </w:p>
        </w:tc>
      </w:tr>
    </w:tbl>
    <w:p w:rsidR="00740AA3" w:rsidRPr="00DB13B1" w:rsidRDefault="00740AA3" w:rsidP="00740AA3">
      <w:pPr>
        <w:jc w:val="center"/>
        <w:rPr>
          <w:b/>
          <w:bCs/>
          <w:lang w:val="uk-UA"/>
        </w:rPr>
      </w:pPr>
    </w:p>
    <w:p w:rsidR="00740AA3" w:rsidRPr="00DB13B1" w:rsidRDefault="00740AA3" w:rsidP="00740AA3">
      <w:pPr>
        <w:spacing w:after="120"/>
        <w:jc w:val="center"/>
        <w:rPr>
          <w:b/>
          <w:lang w:val="uk-UA"/>
        </w:rPr>
      </w:pPr>
      <w:r w:rsidRPr="00DB13B1">
        <w:rPr>
          <w:b/>
          <w:bCs/>
          <w:lang w:val="uk-UA"/>
        </w:rPr>
        <w:t>V. Механізми та заходи, які забезпечать розв'язання визначеної проблеми</w:t>
      </w:r>
    </w:p>
    <w:p w:rsidR="00740AA3" w:rsidRPr="00DB13B1" w:rsidRDefault="00740AA3" w:rsidP="00740AA3">
      <w:pPr>
        <w:ind w:firstLine="567"/>
        <w:jc w:val="both"/>
        <w:rPr>
          <w:rStyle w:val="spelle"/>
          <w:lang w:val="uk-UA"/>
        </w:rPr>
      </w:pPr>
      <w:r w:rsidRPr="00DB13B1">
        <w:rPr>
          <w:lang w:val="uk-UA"/>
        </w:rPr>
        <w:t xml:space="preserve">Для досягнення поставленої цілі пропонується прийняти регуляторний акт, що </w:t>
      </w:r>
      <w:bookmarkStart w:id="0" w:name="_Hlk138250353"/>
      <w:r w:rsidRPr="00DB13B1">
        <w:rPr>
          <w:lang w:val="uk-UA"/>
        </w:rPr>
        <w:t>передбачає</w:t>
      </w:r>
      <w:r w:rsidR="00FD3F71" w:rsidRPr="00DB13B1">
        <w:rPr>
          <w:lang w:val="uk-UA"/>
        </w:rPr>
        <w:t xml:space="preserve"> затвердження</w:t>
      </w:r>
      <w:r w:rsidRPr="00DB13B1">
        <w:rPr>
          <w:lang w:val="uk-UA"/>
        </w:rPr>
        <w:t xml:space="preserve"> </w:t>
      </w:r>
      <w:r w:rsidR="00FD3F71" w:rsidRPr="00DB13B1">
        <w:rPr>
          <w:lang w:val="uk-UA"/>
        </w:rPr>
        <w:t>Порядку публічних консультацій</w:t>
      </w:r>
      <w:r w:rsidRPr="00DB13B1">
        <w:rPr>
          <w:lang w:val="uk-UA"/>
        </w:rPr>
        <w:t>.</w:t>
      </w:r>
      <w:bookmarkEnd w:id="0"/>
    </w:p>
    <w:p w:rsidR="00740AA3" w:rsidRPr="00DB13B1" w:rsidRDefault="00740AA3" w:rsidP="00740AA3">
      <w:pPr>
        <w:widowControl w:val="0"/>
        <w:ind w:firstLine="567"/>
        <w:jc w:val="both"/>
        <w:rPr>
          <w:rStyle w:val="spelle"/>
          <w:lang w:val="uk-UA"/>
        </w:rPr>
      </w:pPr>
      <w:r w:rsidRPr="00DB13B1">
        <w:rPr>
          <w:rStyle w:val="spelle"/>
          <w:lang w:val="uk-UA"/>
        </w:rPr>
        <w:t xml:space="preserve">Впливу зовнішніх факторів, що можуть мати негативний вплив на виконання вимог регуляторного </w:t>
      </w:r>
      <w:proofErr w:type="spellStart"/>
      <w:r w:rsidRPr="00DB13B1">
        <w:rPr>
          <w:rStyle w:val="spelle"/>
          <w:lang w:val="uk-UA"/>
        </w:rPr>
        <w:t>акта</w:t>
      </w:r>
      <w:proofErr w:type="spellEnd"/>
      <w:r w:rsidRPr="00DB13B1">
        <w:rPr>
          <w:rStyle w:val="spelle"/>
          <w:lang w:val="uk-UA"/>
        </w:rPr>
        <w:t>, не очікується.</w:t>
      </w:r>
    </w:p>
    <w:p w:rsidR="00740AA3" w:rsidRPr="00DB13B1" w:rsidRDefault="00740AA3" w:rsidP="00740AA3">
      <w:pPr>
        <w:widowControl w:val="0"/>
        <w:ind w:firstLine="567"/>
        <w:jc w:val="both"/>
        <w:rPr>
          <w:lang w:val="uk-UA"/>
        </w:rPr>
      </w:pPr>
      <w:r w:rsidRPr="00DB13B1">
        <w:rPr>
          <w:lang w:val="uk-UA"/>
        </w:rPr>
        <w:t>Характеристика м</w:t>
      </w:r>
      <w:r w:rsidRPr="00DB13B1">
        <w:rPr>
          <w:rStyle w:val="spelle"/>
          <w:lang w:val="uk-UA"/>
        </w:rPr>
        <w:t>еханізму повної або часткової компенсації можливої шкоди</w:t>
      </w:r>
      <w:r w:rsidRPr="00DB13B1">
        <w:rPr>
          <w:lang w:val="uk-UA"/>
        </w:rPr>
        <w:t xml:space="preserve"> у </w:t>
      </w:r>
      <w:r w:rsidRPr="00DB13B1">
        <w:rPr>
          <w:rStyle w:val="spelle"/>
          <w:lang w:val="uk-UA"/>
        </w:rPr>
        <w:t>разі настання очікуваних наслідків дії</w:t>
      </w:r>
      <w:r w:rsidRPr="00DB13B1">
        <w:rPr>
          <w:lang w:val="uk-UA"/>
        </w:rPr>
        <w:t xml:space="preserve"> </w:t>
      </w:r>
      <w:proofErr w:type="spellStart"/>
      <w:r w:rsidRPr="00DB13B1">
        <w:rPr>
          <w:lang w:val="uk-UA"/>
        </w:rPr>
        <w:t>акта</w:t>
      </w:r>
      <w:proofErr w:type="spellEnd"/>
      <w:r w:rsidRPr="00DB13B1">
        <w:rPr>
          <w:lang w:val="uk-UA"/>
        </w:rPr>
        <w:t xml:space="preserve"> не </w:t>
      </w:r>
      <w:r w:rsidRPr="00DB13B1">
        <w:rPr>
          <w:rStyle w:val="spelle"/>
          <w:lang w:val="uk-UA"/>
        </w:rPr>
        <w:t>розроблялась</w:t>
      </w:r>
      <w:r w:rsidRPr="00DB13B1">
        <w:rPr>
          <w:lang w:val="uk-UA"/>
        </w:rPr>
        <w:t xml:space="preserve">, </w:t>
      </w:r>
      <w:r w:rsidRPr="00DB13B1">
        <w:rPr>
          <w:rStyle w:val="spelle"/>
          <w:lang w:val="uk-UA"/>
        </w:rPr>
        <w:t>оскільки введення</w:t>
      </w:r>
      <w:r w:rsidRPr="00DB13B1">
        <w:rPr>
          <w:lang w:val="uk-UA"/>
        </w:rPr>
        <w:t xml:space="preserve"> в </w:t>
      </w:r>
      <w:r w:rsidRPr="00DB13B1">
        <w:rPr>
          <w:rStyle w:val="spelle"/>
          <w:lang w:val="uk-UA"/>
        </w:rPr>
        <w:t>дію положень</w:t>
      </w:r>
      <w:r w:rsidRPr="00DB13B1">
        <w:rPr>
          <w:lang w:val="uk-UA"/>
        </w:rPr>
        <w:t xml:space="preserve"> регуляторного </w:t>
      </w:r>
      <w:proofErr w:type="spellStart"/>
      <w:r w:rsidRPr="00DB13B1">
        <w:rPr>
          <w:lang w:val="uk-UA"/>
        </w:rPr>
        <w:t>акта</w:t>
      </w:r>
      <w:proofErr w:type="spellEnd"/>
      <w:r w:rsidRPr="00DB13B1">
        <w:rPr>
          <w:lang w:val="uk-UA"/>
        </w:rPr>
        <w:t xml:space="preserve"> не </w:t>
      </w:r>
      <w:r w:rsidRPr="00DB13B1">
        <w:rPr>
          <w:rStyle w:val="spelle"/>
          <w:lang w:val="uk-UA"/>
        </w:rPr>
        <w:t>призведе</w:t>
      </w:r>
      <w:r w:rsidRPr="00DB13B1">
        <w:rPr>
          <w:lang w:val="uk-UA"/>
        </w:rPr>
        <w:t xml:space="preserve"> до </w:t>
      </w:r>
      <w:r w:rsidRPr="00DB13B1">
        <w:rPr>
          <w:rStyle w:val="spelle"/>
          <w:lang w:val="uk-UA"/>
        </w:rPr>
        <w:t>настання будь-яких негативних наслідкі</w:t>
      </w:r>
      <w:r w:rsidRPr="00DB13B1">
        <w:rPr>
          <w:rStyle w:val="grame"/>
          <w:lang w:val="uk-UA"/>
        </w:rPr>
        <w:t>в</w:t>
      </w:r>
      <w:r w:rsidRPr="00DB13B1">
        <w:rPr>
          <w:lang w:val="uk-UA"/>
        </w:rPr>
        <w:t>.</w:t>
      </w:r>
    </w:p>
    <w:p w:rsidR="00740AA3" w:rsidRPr="00DB13B1" w:rsidRDefault="00740AA3" w:rsidP="00740AA3">
      <w:pPr>
        <w:widowControl w:val="0"/>
        <w:ind w:firstLine="567"/>
        <w:jc w:val="both"/>
        <w:rPr>
          <w:rStyle w:val="spelle"/>
          <w:lang w:val="uk-UA"/>
        </w:rPr>
      </w:pPr>
      <w:r w:rsidRPr="00DB13B1">
        <w:rPr>
          <w:rStyle w:val="spelle"/>
          <w:lang w:val="uk-UA"/>
        </w:rPr>
        <w:t>Функції</w:t>
      </w:r>
      <w:r w:rsidRPr="00DB13B1">
        <w:rPr>
          <w:lang w:val="uk-UA"/>
        </w:rPr>
        <w:t xml:space="preserve"> в </w:t>
      </w:r>
      <w:r w:rsidRPr="00DB13B1">
        <w:rPr>
          <w:rStyle w:val="spelle"/>
          <w:lang w:val="uk-UA"/>
        </w:rPr>
        <w:t>частині здійснення</w:t>
      </w:r>
      <w:r w:rsidRPr="00DB13B1">
        <w:rPr>
          <w:lang w:val="uk-UA"/>
        </w:rPr>
        <w:t xml:space="preserve"> державного контролю та </w:t>
      </w:r>
      <w:r w:rsidRPr="00DB13B1">
        <w:rPr>
          <w:rStyle w:val="spelle"/>
          <w:lang w:val="uk-UA"/>
        </w:rPr>
        <w:t>нагляду</w:t>
      </w:r>
      <w:r w:rsidRPr="00DB13B1">
        <w:rPr>
          <w:lang w:val="uk-UA"/>
        </w:rPr>
        <w:t xml:space="preserve"> за </w:t>
      </w:r>
      <w:r w:rsidRPr="00DB13B1">
        <w:rPr>
          <w:rStyle w:val="spelle"/>
          <w:lang w:val="uk-UA"/>
        </w:rPr>
        <w:t>додержанням вимог</w:t>
      </w:r>
      <w:r w:rsidRPr="00DB13B1">
        <w:rPr>
          <w:lang w:val="uk-UA"/>
        </w:rPr>
        <w:t xml:space="preserve"> </w:t>
      </w:r>
      <w:proofErr w:type="spellStart"/>
      <w:r w:rsidRPr="00DB13B1">
        <w:rPr>
          <w:lang w:val="uk-UA"/>
        </w:rPr>
        <w:t>акта</w:t>
      </w:r>
      <w:proofErr w:type="spellEnd"/>
      <w:r w:rsidRPr="00DB13B1">
        <w:rPr>
          <w:lang w:val="uk-UA"/>
        </w:rPr>
        <w:t xml:space="preserve"> </w:t>
      </w:r>
      <w:r w:rsidRPr="00DB13B1">
        <w:rPr>
          <w:rStyle w:val="spelle"/>
          <w:lang w:val="uk-UA"/>
        </w:rPr>
        <w:t xml:space="preserve">будуть </w:t>
      </w:r>
      <w:proofErr w:type="spellStart"/>
      <w:r w:rsidRPr="00DB13B1">
        <w:rPr>
          <w:rStyle w:val="spelle"/>
          <w:lang w:val="uk-UA"/>
        </w:rPr>
        <w:t>здійснюватись</w:t>
      </w:r>
      <w:proofErr w:type="spellEnd"/>
      <w:r w:rsidRPr="00DB13B1">
        <w:rPr>
          <w:rStyle w:val="spelle"/>
          <w:lang w:val="uk-UA"/>
        </w:rPr>
        <w:t xml:space="preserve"> державними органами, яким, відповідно до законодавства, надані такі повноваження. </w:t>
      </w:r>
    </w:p>
    <w:p w:rsidR="00740AA3" w:rsidRPr="00DB13B1" w:rsidRDefault="00740AA3" w:rsidP="00740AA3">
      <w:pPr>
        <w:pStyle w:val="af1"/>
        <w:widowControl w:val="0"/>
        <w:spacing w:after="0"/>
        <w:ind w:firstLine="540"/>
        <w:rPr>
          <w:b/>
          <w:bCs/>
          <w:lang w:val="uk-UA"/>
        </w:rPr>
      </w:pPr>
    </w:p>
    <w:p w:rsidR="00740AA3" w:rsidRPr="00DB13B1" w:rsidRDefault="00740AA3" w:rsidP="00740AA3">
      <w:pPr>
        <w:pStyle w:val="af1"/>
        <w:widowControl w:val="0"/>
        <w:jc w:val="center"/>
        <w:rPr>
          <w:b/>
          <w:bCs/>
          <w:lang w:val="uk-UA"/>
        </w:rPr>
      </w:pPr>
      <w:r w:rsidRPr="00DB13B1">
        <w:rPr>
          <w:b/>
          <w:bCs/>
          <w:lang w:val="uk-UA"/>
        </w:rPr>
        <w:t xml:space="preserve">VI. Обґрунтування запропонованого строку дії регуляторного </w:t>
      </w:r>
      <w:proofErr w:type="spellStart"/>
      <w:r w:rsidRPr="00DB13B1">
        <w:rPr>
          <w:b/>
          <w:bCs/>
          <w:lang w:val="uk-UA"/>
        </w:rPr>
        <w:t>акта</w:t>
      </w:r>
      <w:proofErr w:type="spellEnd"/>
    </w:p>
    <w:p w:rsidR="00740AA3" w:rsidRPr="00DB13B1" w:rsidRDefault="00740AA3" w:rsidP="00740AA3">
      <w:pPr>
        <w:pStyle w:val="af1"/>
        <w:widowControl w:val="0"/>
        <w:spacing w:after="0"/>
        <w:ind w:firstLine="567"/>
        <w:jc w:val="both"/>
        <w:rPr>
          <w:lang w:val="uk-UA"/>
        </w:rPr>
      </w:pPr>
      <w:r w:rsidRPr="00DB13B1">
        <w:rPr>
          <w:lang w:val="uk-UA"/>
        </w:rPr>
        <w:t xml:space="preserve">Строк </w:t>
      </w:r>
      <w:r w:rsidRPr="00DB13B1">
        <w:rPr>
          <w:rStyle w:val="spelle"/>
          <w:lang w:val="uk-UA"/>
        </w:rPr>
        <w:t>дії</w:t>
      </w:r>
      <w:r w:rsidRPr="00DB13B1">
        <w:rPr>
          <w:lang w:val="uk-UA"/>
        </w:rPr>
        <w:t xml:space="preserve"> </w:t>
      </w:r>
      <w:proofErr w:type="spellStart"/>
      <w:r w:rsidRPr="00DB13B1">
        <w:rPr>
          <w:lang w:val="uk-UA"/>
        </w:rPr>
        <w:t>акта</w:t>
      </w:r>
      <w:proofErr w:type="spellEnd"/>
      <w:r w:rsidRPr="00DB13B1">
        <w:rPr>
          <w:lang w:val="uk-UA"/>
        </w:rPr>
        <w:t xml:space="preserve"> не</w:t>
      </w:r>
      <w:r w:rsidRPr="00DB13B1">
        <w:rPr>
          <w:rStyle w:val="spelle"/>
          <w:lang w:val="uk-UA"/>
        </w:rPr>
        <w:t>обмежений</w:t>
      </w:r>
      <w:r w:rsidRPr="00DB13B1">
        <w:rPr>
          <w:lang w:val="uk-UA"/>
        </w:rPr>
        <w:t>. Він може бути змінений у разі внесення відповідних змін до законодавства або за пропозиціями сторін у порядку, передбаченому законодавством.</w:t>
      </w:r>
    </w:p>
    <w:p w:rsidR="00740AA3" w:rsidRPr="00DB13B1" w:rsidRDefault="00740AA3" w:rsidP="00740AA3">
      <w:pPr>
        <w:pStyle w:val="af1"/>
        <w:widowControl w:val="0"/>
        <w:spacing w:after="0"/>
        <w:ind w:firstLine="709"/>
        <w:jc w:val="both"/>
        <w:rPr>
          <w:lang w:val="uk-UA"/>
        </w:rPr>
      </w:pPr>
    </w:p>
    <w:p w:rsidR="00740AA3" w:rsidRPr="00DB13B1" w:rsidRDefault="00740AA3" w:rsidP="00740AA3">
      <w:pPr>
        <w:pStyle w:val="af1"/>
        <w:widowControl w:val="0"/>
        <w:jc w:val="center"/>
        <w:rPr>
          <w:b/>
          <w:bCs/>
          <w:lang w:val="uk-UA"/>
        </w:rPr>
      </w:pPr>
      <w:r w:rsidRPr="00DB13B1">
        <w:rPr>
          <w:b/>
          <w:bCs/>
          <w:lang w:val="uk-UA"/>
        </w:rPr>
        <w:t xml:space="preserve">VII. Визначення показників результативності дії регуляторного </w:t>
      </w:r>
      <w:proofErr w:type="spellStart"/>
      <w:r w:rsidRPr="00DB13B1">
        <w:rPr>
          <w:b/>
          <w:bCs/>
          <w:lang w:val="uk-UA"/>
        </w:rPr>
        <w:t>акта</w:t>
      </w:r>
      <w:proofErr w:type="spellEnd"/>
    </w:p>
    <w:p w:rsidR="00740AA3" w:rsidRPr="00DB13B1" w:rsidRDefault="00740AA3" w:rsidP="00740AA3">
      <w:pPr>
        <w:widowControl w:val="0"/>
        <w:ind w:firstLine="567"/>
        <w:jc w:val="both"/>
        <w:rPr>
          <w:lang w:val="uk-UA"/>
        </w:rPr>
      </w:pPr>
      <w:bookmarkStart w:id="1" w:name="_Hlk25326269"/>
      <w:r w:rsidRPr="00DB13B1">
        <w:rPr>
          <w:lang w:val="uk-UA"/>
        </w:rPr>
        <w:t>Після набрання чинності регуляторним актом його результативність визначатиметься такими показниками:</w:t>
      </w:r>
    </w:p>
    <w:p w:rsidR="00740AA3" w:rsidRPr="00DB13B1" w:rsidRDefault="00740AA3" w:rsidP="00740AA3">
      <w:pPr>
        <w:ind w:firstLine="567"/>
        <w:jc w:val="both"/>
        <w:rPr>
          <w:lang w:val="uk-UA"/>
        </w:rPr>
      </w:pPr>
      <w:r w:rsidRPr="00DB13B1">
        <w:rPr>
          <w:lang w:val="uk-UA"/>
        </w:rPr>
        <w:t xml:space="preserve">дія </w:t>
      </w:r>
      <w:proofErr w:type="spellStart"/>
      <w:r w:rsidRPr="00DB13B1">
        <w:rPr>
          <w:lang w:val="uk-UA"/>
        </w:rPr>
        <w:t>акта</w:t>
      </w:r>
      <w:proofErr w:type="spellEnd"/>
      <w:r w:rsidRPr="00DB13B1">
        <w:rPr>
          <w:lang w:val="uk-UA"/>
        </w:rPr>
        <w:t xml:space="preserve"> не передбачає надходжень та/або видатків з/до державного та місцевих бюджетів і державних цільових фондів, пов’язаних з дією </w:t>
      </w:r>
      <w:proofErr w:type="spellStart"/>
      <w:r w:rsidRPr="00DB13B1">
        <w:rPr>
          <w:lang w:val="uk-UA"/>
        </w:rPr>
        <w:t>акта</w:t>
      </w:r>
      <w:proofErr w:type="spellEnd"/>
      <w:r w:rsidRPr="00DB13B1">
        <w:rPr>
          <w:lang w:val="uk-UA"/>
        </w:rPr>
        <w:t>;</w:t>
      </w:r>
    </w:p>
    <w:bookmarkEnd w:id="1"/>
    <w:p w:rsidR="00536ED4" w:rsidRPr="00DB13B1" w:rsidRDefault="00740AA3" w:rsidP="00740AA3">
      <w:pPr>
        <w:ind w:firstLine="567"/>
        <w:jc w:val="both"/>
        <w:rPr>
          <w:lang w:val="uk-UA"/>
        </w:rPr>
      </w:pPr>
      <w:r w:rsidRPr="00DB13B1">
        <w:rPr>
          <w:lang w:val="uk-UA"/>
        </w:rPr>
        <w:t xml:space="preserve">кількість суб'єктів господарювання та/або фізичних осіб, на яких поширюватиметься дія </w:t>
      </w:r>
      <w:proofErr w:type="spellStart"/>
      <w:r w:rsidRPr="00DB13B1">
        <w:rPr>
          <w:lang w:val="uk-UA"/>
        </w:rPr>
        <w:t>акта</w:t>
      </w:r>
      <w:proofErr w:type="spellEnd"/>
      <w:r w:rsidRPr="00DB13B1">
        <w:rPr>
          <w:lang w:val="uk-UA"/>
        </w:rPr>
        <w:t>, – суб’єкти господарювання</w:t>
      </w:r>
      <w:r w:rsidR="00536ED4" w:rsidRPr="00DB13B1">
        <w:rPr>
          <w:lang w:val="uk-UA"/>
        </w:rPr>
        <w:t xml:space="preserve"> </w:t>
      </w:r>
      <w:r w:rsidR="008F2499" w:rsidRPr="00DB13B1">
        <w:rPr>
          <w:lang w:val="uk-UA"/>
        </w:rPr>
        <w:t xml:space="preserve">беруть </w:t>
      </w:r>
      <w:r w:rsidR="00536ED4" w:rsidRPr="00DB13B1">
        <w:rPr>
          <w:lang w:val="uk-UA"/>
        </w:rPr>
        <w:t>участь у розподілі пропускної спроможн</w:t>
      </w:r>
      <w:r w:rsidR="001C3DCC" w:rsidRPr="00DB13B1">
        <w:rPr>
          <w:lang w:val="uk-UA"/>
        </w:rPr>
        <w:t>і</w:t>
      </w:r>
      <w:r w:rsidR="00536ED4" w:rsidRPr="00DB13B1">
        <w:rPr>
          <w:lang w:val="uk-UA"/>
        </w:rPr>
        <w:t xml:space="preserve">сть </w:t>
      </w:r>
      <w:r w:rsidR="001C3DCC" w:rsidRPr="00DB13B1">
        <w:rPr>
          <w:lang w:val="uk-UA"/>
        </w:rPr>
        <w:t>міждержавних перетинів;</w:t>
      </w:r>
    </w:p>
    <w:p w:rsidR="00740AA3" w:rsidRPr="00DB13B1" w:rsidRDefault="00740AA3" w:rsidP="00740AA3">
      <w:pPr>
        <w:ind w:firstLine="567"/>
        <w:jc w:val="both"/>
        <w:rPr>
          <w:lang w:val="uk-UA"/>
        </w:rPr>
      </w:pPr>
      <w:r w:rsidRPr="00DB13B1">
        <w:rPr>
          <w:lang w:val="uk-UA"/>
        </w:rPr>
        <w:t xml:space="preserve">рівень поінформованості суб'єктів господарювання та/або фізичних осіб з основних положень </w:t>
      </w:r>
      <w:proofErr w:type="spellStart"/>
      <w:r w:rsidRPr="00DB13B1">
        <w:rPr>
          <w:lang w:val="uk-UA"/>
        </w:rPr>
        <w:t>акта</w:t>
      </w:r>
      <w:proofErr w:type="spellEnd"/>
      <w:r w:rsidRPr="00DB13B1">
        <w:rPr>
          <w:lang w:val="uk-UA"/>
        </w:rPr>
        <w:t xml:space="preserve"> – середній. Відповідно до вимог статті 15 Закону України «Про Національну комісію, що здійснює державне регулювання у сферах енергетики та комунальних послуг» регуляторн</w:t>
      </w:r>
      <w:r w:rsidR="00FD3F71" w:rsidRPr="00DB13B1">
        <w:rPr>
          <w:lang w:val="uk-UA"/>
        </w:rPr>
        <w:t>ий</w:t>
      </w:r>
      <w:r w:rsidRPr="00DB13B1">
        <w:rPr>
          <w:lang w:val="uk-UA"/>
        </w:rPr>
        <w:t xml:space="preserve"> акт, разом із матеріалами, що обґрунтовують необхідність прийняття такого рішення, та аналізом його впливу оприлюднено на офіційному </w:t>
      </w:r>
      <w:proofErr w:type="spellStart"/>
      <w:r w:rsidRPr="00DB13B1">
        <w:rPr>
          <w:lang w:val="uk-UA"/>
        </w:rPr>
        <w:t>вебсайті</w:t>
      </w:r>
      <w:proofErr w:type="spellEnd"/>
      <w:r w:rsidRPr="00DB13B1">
        <w:rPr>
          <w:lang w:val="uk-UA"/>
        </w:rPr>
        <w:t xml:space="preserve"> НКРЕКП (</w:t>
      </w:r>
      <w:hyperlink r:id="rId9" w:history="1">
        <w:r w:rsidRPr="00DB13B1">
          <w:rPr>
            <w:lang w:val="uk-UA"/>
          </w:rPr>
          <w:t>http://nerc.gov.ua</w:t>
        </w:r>
      </w:hyperlink>
      <w:r w:rsidRPr="00DB13B1">
        <w:rPr>
          <w:lang w:val="uk-UA"/>
        </w:rPr>
        <w:t xml:space="preserve">) з метою одержання зауважень і пропозицій від інших органів </w:t>
      </w:r>
      <w:r w:rsidRPr="00DB13B1">
        <w:rPr>
          <w:lang w:val="uk-UA"/>
        </w:rPr>
        <w:lastRenderedPageBreak/>
        <w:t>державної влади, фізичних та юридичних осіб, їх об'єднань та інших заінтересованих осіб.</w:t>
      </w:r>
    </w:p>
    <w:p w:rsidR="00740AA3" w:rsidRPr="00DB13B1" w:rsidRDefault="00740AA3" w:rsidP="00740AA3">
      <w:pPr>
        <w:ind w:firstLine="567"/>
        <w:jc w:val="both"/>
        <w:rPr>
          <w:lang w:val="uk-UA"/>
        </w:rPr>
      </w:pPr>
      <w:r w:rsidRPr="00DB13B1">
        <w:rPr>
          <w:lang w:val="uk-UA"/>
        </w:rPr>
        <w:t xml:space="preserve">НКРЕКП у межах компетенції надає необхідні роз’яснення щодо норм регуляторного </w:t>
      </w:r>
      <w:proofErr w:type="spellStart"/>
      <w:r w:rsidRPr="00DB13B1">
        <w:rPr>
          <w:lang w:val="uk-UA"/>
        </w:rPr>
        <w:t>акта</w:t>
      </w:r>
      <w:proofErr w:type="spellEnd"/>
      <w:r w:rsidRPr="00DB13B1">
        <w:rPr>
          <w:lang w:val="uk-UA"/>
        </w:rPr>
        <w:t xml:space="preserve"> і надаватиме роз’яснення щодо застосування </w:t>
      </w:r>
      <w:proofErr w:type="spellStart"/>
      <w:r w:rsidRPr="00DB13B1">
        <w:rPr>
          <w:lang w:val="uk-UA"/>
        </w:rPr>
        <w:t>акта</w:t>
      </w:r>
      <w:proofErr w:type="spellEnd"/>
      <w:r w:rsidRPr="00DB13B1">
        <w:rPr>
          <w:lang w:val="uk-UA"/>
        </w:rPr>
        <w:t>, який буде оприлюднено на офіційному вебсайті НКРЕКП після його прийняття.</w:t>
      </w:r>
    </w:p>
    <w:p w:rsidR="00740AA3" w:rsidRPr="00DB13B1" w:rsidRDefault="00740AA3" w:rsidP="00740AA3">
      <w:pPr>
        <w:ind w:firstLine="709"/>
        <w:jc w:val="center"/>
        <w:rPr>
          <w:b/>
          <w:lang w:val="uk-UA"/>
        </w:rPr>
      </w:pPr>
    </w:p>
    <w:p w:rsidR="00740AA3" w:rsidRPr="00DB13B1" w:rsidRDefault="00740AA3" w:rsidP="00740AA3">
      <w:pPr>
        <w:spacing w:after="120"/>
        <w:jc w:val="center"/>
        <w:rPr>
          <w:b/>
          <w:lang w:val="uk-UA"/>
        </w:rPr>
      </w:pPr>
      <w:r w:rsidRPr="00DB13B1">
        <w:rPr>
          <w:b/>
          <w:lang w:val="uk-UA"/>
        </w:rPr>
        <w:t xml:space="preserve">VІII. Очікувані результати прийняття регуляторного </w:t>
      </w:r>
      <w:proofErr w:type="spellStart"/>
      <w:r w:rsidRPr="00DB13B1">
        <w:rPr>
          <w:b/>
          <w:lang w:val="uk-UA"/>
        </w:rPr>
        <w:t>акта</w:t>
      </w:r>
      <w:proofErr w:type="spellEnd"/>
    </w:p>
    <w:p w:rsidR="00747006" w:rsidRPr="00DB13B1" w:rsidRDefault="00740AA3" w:rsidP="00747006">
      <w:pPr>
        <w:pStyle w:val="a7"/>
        <w:ind w:firstLine="567"/>
      </w:pPr>
      <w:r w:rsidRPr="00DB13B1">
        <w:t xml:space="preserve">Очікуваним результатом прийняття регуляторного </w:t>
      </w:r>
      <w:proofErr w:type="spellStart"/>
      <w:r w:rsidRPr="00DB13B1">
        <w:t>акта</w:t>
      </w:r>
      <w:proofErr w:type="spellEnd"/>
      <w:r w:rsidRPr="00DB13B1">
        <w:t xml:space="preserve"> має стати виконання положень Закону</w:t>
      </w:r>
      <w:r w:rsidR="00747006" w:rsidRPr="00DB13B1">
        <w:t xml:space="preserve">, що дозволить </w:t>
      </w:r>
      <w:proofErr w:type="spellStart"/>
      <w:r w:rsidR="00747006" w:rsidRPr="00DB13B1">
        <w:t>імплементувати</w:t>
      </w:r>
      <w:proofErr w:type="spellEnd"/>
      <w:r w:rsidR="00747006" w:rsidRPr="00DB13B1">
        <w:t xml:space="preserve"> положен</w:t>
      </w:r>
      <w:r w:rsidR="006A3F96" w:rsidRPr="00DB13B1">
        <w:t>ня</w:t>
      </w:r>
      <w:r w:rsidR="00747006" w:rsidRPr="00DB13B1">
        <w:t xml:space="preserve"> актів законодавства Енергетичного Співтовариства у сфері енергетики</w:t>
      </w:r>
      <w:r w:rsidR="00650E2A" w:rsidRPr="00DB13B1">
        <w:t xml:space="preserve"> в</w:t>
      </w:r>
      <w:r w:rsidR="00747006" w:rsidRPr="00DB13B1">
        <w:t xml:space="preserve"> частині залучення заінтересованих сторін до розробки правил розподілу пропускної спроможності міждержавних перетинів та визначення структури розподілу пропускної спроможності, а також  врах</w:t>
      </w:r>
      <w:r w:rsidR="002B522F" w:rsidRPr="00DB13B1">
        <w:t>у</w:t>
      </w:r>
      <w:r w:rsidR="00747006" w:rsidRPr="00DB13B1">
        <w:t>ва</w:t>
      </w:r>
      <w:r w:rsidR="002B522F" w:rsidRPr="00DB13B1">
        <w:t>ння</w:t>
      </w:r>
      <w:r w:rsidR="00747006" w:rsidRPr="00DB13B1">
        <w:t xml:space="preserve"> їх позиції при прийнятті рішень з цих питань.</w:t>
      </w:r>
    </w:p>
    <w:p w:rsidR="00747006" w:rsidRPr="00DB13B1" w:rsidRDefault="00747006" w:rsidP="00740AA3">
      <w:pPr>
        <w:pStyle w:val="a7"/>
        <w:ind w:firstLine="567"/>
      </w:pPr>
    </w:p>
    <w:p w:rsidR="00747006" w:rsidRPr="00DB13B1" w:rsidRDefault="00747006" w:rsidP="00740AA3">
      <w:pPr>
        <w:pStyle w:val="a7"/>
        <w:ind w:firstLine="567"/>
      </w:pPr>
    </w:p>
    <w:p w:rsidR="00740AA3" w:rsidRPr="00DB13B1" w:rsidRDefault="00740AA3" w:rsidP="00740AA3">
      <w:pPr>
        <w:ind w:firstLine="709"/>
        <w:jc w:val="both"/>
        <w:rPr>
          <w:lang w:val="uk-UA"/>
        </w:rPr>
      </w:pPr>
    </w:p>
    <w:p w:rsidR="00740AA3" w:rsidRPr="00DB13B1" w:rsidRDefault="00DB13B1" w:rsidP="00740AA3">
      <w:pPr>
        <w:jc w:val="both"/>
        <w:rPr>
          <w:lang w:val="uk-UA"/>
        </w:rPr>
      </w:pPr>
      <w:bookmarkStart w:id="2" w:name="_Hlk137728007"/>
      <w:r w:rsidRPr="00DB13B1">
        <w:rPr>
          <w:b/>
          <w:lang w:val="uk-UA" w:eastAsia="uk-UA"/>
        </w:rPr>
        <w:t xml:space="preserve">Т. в. о. Голови </w:t>
      </w:r>
      <w:r w:rsidR="00740AA3" w:rsidRPr="00DB13B1">
        <w:rPr>
          <w:b/>
          <w:lang w:val="uk-UA" w:eastAsia="uk-UA"/>
        </w:rPr>
        <w:t xml:space="preserve">НКРЕКП </w:t>
      </w:r>
      <w:r w:rsidR="00740AA3" w:rsidRPr="00DB13B1">
        <w:rPr>
          <w:b/>
          <w:lang w:val="uk-UA" w:eastAsia="uk-UA"/>
        </w:rPr>
        <w:tab/>
      </w:r>
      <w:r w:rsidRPr="00DB13B1">
        <w:rPr>
          <w:b/>
          <w:lang w:val="uk-UA" w:eastAsia="uk-UA"/>
        </w:rPr>
        <w:tab/>
      </w:r>
      <w:r w:rsidRPr="00DB13B1">
        <w:rPr>
          <w:b/>
          <w:lang w:val="uk-UA" w:eastAsia="uk-UA"/>
        </w:rPr>
        <w:tab/>
      </w:r>
      <w:bookmarkStart w:id="3" w:name="_GoBack"/>
      <w:bookmarkEnd w:id="3"/>
      <w:r w:rsidRPr="00DB13B1">
        <w:rPr>
          <w:b/>
          <w:lang w:val="uk-UA" w:eastAsia="uk-UA"/>
        </w:rPr>
        <w:tab/>
      </w:r>
      <w:r w:rsidRPr="00DB13B1">
        <w:rPr>
          <w:b/>
          <w:lang w:val="uk-UA" w:eastAsia="uk-UA"/>
        </w:rPr>
        <w:tab/>
      </w:r>
      <w:r w:rsidR="00740AA3" w:rsidRPr="00DB13B1">
        <w:rPr>
          <w:b/>
          <w:lang w:val="uk-UA" w:eastAsia="uk-UA"/>
        </w:rPr>
        <w:tab/>
      </w:r>
      <w:bookmarkEnd w:id="2"/>
      <w:r w:rsidRPr="00DB13B1">
        <w:rPr>
          <w:b/>
          <w:lang w:val="uk-UA" w:eastAsia="uk-UA"/>
        </w:rPr>
        <w:t>Руслан КАЙДАШ</w:t>
      </w:r>
    </w:p>
    <w:sectPr w:rsidR="00740AA3" w:rsidRPr="00DB13B1" w:rsidSect="008E4129">
      <w:headerReference w:type="default" r:id="rId10"/>
      <w:pgSz w:w="11907" w:h="16840" w:code="9"/>
      <w:pgMar w:top="891" w:right="680" w:bottom="1276" w:left="1644" w:header="284"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B5D" w:rsidRDefault="00F90B5D">
      <w:r>
        <w:separator/>
      </w:r>
    </w:p>
  </w:endnote>
  <w:endnote w:type="continuationSeparator" w:id="0">
    <w:p w:rsidR="00F90B5D" w:rsidRDefault="00F9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B5D" w:rsidRDefault="00F90B5D">
      <w:r>
        <w:separator/>
      </w:r>
    </w:p>
  </w:footnote>
  <w:footnote w:type="continuationSeparator" w:id="0">
    <w:p w:rsidR="00F90B5D" w:rsidRDefault="00F90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892020"/>
      <w:docPartObj>
        <w:docPartGallery w:val="Page Numbers (Top of Page)"/>
        <w:docPartUnique/>
      </w:docPartObj>
    </w:sdtPr>
    <w:sdtEndPr/>
    <w:sdtContent>
      <w:p w:rsidR="00DE05F8" w:rsidRDefault="00DE05F8" w:rsidP="008E4129">
        <w:pPr>
          <w:pStyle w:val="a3"/>
          <w:jc w:val="center"/>
        </w:pPr>
        <w:r>
          <w:fldChar w:fldCharType="begin"/>
        </w:r>
        <w:r>
          <w:instrText>PAGE   \* MERGEFORMAT</w:instrText>
        </w:r>
        <w:r>
          <w:fldChar w:fldCharType="separate"/>
        </w:r>
        <w:r w:rsidR="006A3F96" w:rsidRPr="006A3F96">
          <w:rPr>
            <w:noProof/>
            <w:lang w:val="uk-UA"/>
          </w:rPr>
          <w:t>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24D1B"/>
    <w:multiLevelType w:val="hybridMultilevel"/>
    <w:tmpl w:val="92FEB472"/>
    <w:lvl w:ilvl="0" w:tplc="04220011">
      <w:start w:val="3"/>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15:restartNumberingAfterBreak="0">
    <w:nsid w:val="1AA723C1"/>
    <w:multiLevelType w:val="hybridMultilevel"/>
    <w:tmpl w:val="C7D0278E"/>
    <w:lvl w:ilvl="0" w:tplc="CC182F94">
      <w:start w:val="1"/>
      <w:numFmt w:val="decimal"/>
      <w:lvlText w:val="%1)"/>
      <w:lvlJc w:val="left"/>
      <w:pPr>
        <w:ind w:left="1260" w:hanging="360"/>
      </w:pPr>
      <w:rPr>
        <w:rFonts w:hint="default"/>
      </w:rPr>
    </w:lvl>
    <w:lvl w:ilvl="1" w:tplc="04220019">
      <w:start w:val="1"/>
      <w:numFmt w:val="lowerLetter"/>
      <w:lvlText w:val="%2."/>
      <w:lvlJc w:val="left"/>
      <w:pPr>
        <w:ind w:left="1980" w:hanging="360"/>
      </w:pPr>
    </w:lvl>
    <w:lvl w:ilvl="2" w:tplc="0422001B">
      <w:start w:val="1"/>
      <w:numFmt w:val="lowerRoman"/>
      <w:lvlText w:val="%3."/>
      <w:lvlJc w:val="right"/>
      <w:pPr>
        <w:ind w:left="2700" w:hanging="180"/>
      </w:pPr>
    </w:lvl>
    <w:lvl w:ilvl="3" w:tplc="0422000F">
      <w:start w:val="1"/>
      <w:numFmt w:val="decimal"/>
      <w:lvlText w:val="%4."/>
      <w:lvlJc w:val="left"/>
      <w:pPr>
        <w:ind w:left="3420" w:hanging="360"/>
      </w:pPr>
    </w:lvl>
    <w:lvl w:ilvl="4" w:tplc="04220019">
      <w:start w:val="1"/>
      <w:numFmt w:val="lowerLetter"/>
      <w:lvlText w:val="%5."/>
      <w:lvlJc w:val="left"/>
      <w:pPr>
        <w:ind w:left="4140" w:hanging="360"/>
      </w:pPr>
    </w:lvl>
    <w:lvl w:ilvl="5" w:tplc="0422001B">
      <w:start w:val="1"/>
      <w:numFmt w:val="lowerRoman"/>
      <w:lvlText w:val="%6."/>
      <w:lvlJc w:val="right"/>
      <w:pPr>
        <w:ind w:left="4860" w:hanging="180"/>
      </w:pPr>
    </w:lvl>
    <w:lvl w:ilvl="6" w:tplc="0422000F">
      <w:start w:val="1"/>
      <w:numFmt w:val="decimal"/>
      <w:lvlText w:val="%7."/>
      <w:lvlJc w:val="left"/>
      <w:pPr>
        <w:ind w:left="5580" w:hanging="360"/>
      </w:pPr>
    </w:lvl>
    <w:lvl w:ilvl="7" w:tplc="04220019">
      <w:start w:val="1"/>
      <w:numFmt w:val="lowerLetter"/>
      <w:lvlText w:val="%8."/>
      <w:lvlJc w:val="left"/>
      <w:pPr>
        <w:ind w:left="6300" w:hanging="360"/>
      </w:pPr>
    </w:lvl>
    <w:lvl w:ilvl="8" w:tplc="0422001B">
      <w:start w:val="1"/>
      <w:numFmt w:val="lowerRoman"/>
      <w:lvlText w:val="%9."/>
      <w:lvlJc w:val="right"/>
      <w:pPr>
        <w:ind w:left="7020" w:hanging="180"/>
      </w:pPr>
    </w:lvl>
  </w:abstractNum>
  <w:abstractNum w:abstractNumId="2" w15:restartNumberingAfterBreak="0">
    <w:nsid w:val="316066F5"/>
    <w:multiLevelType w:val="hybridMultilevel"/>
    <w:tmpl w:val="9C865154"/>
    <w:lvl w:ilvl="0" w:tplc="B28AEC9C">
      <w:start w:val="3"/>
      <w:numFmt w:val="decimal"/>
      <w:lvlText w:val="%1)"/>
      <w:lvlJc w:val="left"/>
      <w:pPr>
        <w:tabs>
          <w:tab w:val="num" w:pos="928"/>
        </w:tabs>
        <w:ind w:left="928" w:hanging="360"/>
      </w:pPr>
      <w:rPr>
        <w:rFonts w:hint="default"/>
        <w:color w:val="auto"/>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 w15:restartNumberingAfterBreak="0">
    <w:nsid w:val="385F616C"/>
    <w:multiLevelType w:val="hybridMultilevel"/>
    <w:tmpl w:val="8C24ABA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3D5E05CB"/>
    <w:multiLevelType w:val="hybridMultilevel"/>
    <w:tmpl w:val="A7944952"/>
    <w:lvl w:ilvl="0" w:tplc="73E229B0">
      <w:start w:val="1"/>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47ED06A1"/>
    <w:multiLevelType w:val="multilevel"/>
    <w:tmpl w:val="D4369C00"/>
    <w:styleLink w:val="newnumbering"/>
    <w:lvl w:ilvl="0">
      <w:start w:val="1"/>
      <w:numFmt w:val="upperRoman"/>
      <w:lvlText w:val="%1. "/>
      <w:lvlJc w:val="left"/>
      <w:pPr>
        <w:ind w:firstLine="851"/>
      </w:pPr>
      <w:rPr>
        <w:rFonts w:hint="default"/>
        <w:b/>
        <w:bCs/>
        <w:i w:val="0"/>
        <w:iCs w:val="0"/>
        <w:sz w:val="28"/>
        <w:szCs w:val="28"/>
        <w:vertAlign w:val="baseline"/>
      </w:rPr>
    </w:lvl>
    <w:lvl w:ilvl="1">
      <w:start w:val="1"/>
      <w:numFmt w:val="decimal"/>
      <w:isLgl/>
      <w:lvlText w:val="%1.%2. "/>
      <w:lvlJc w:val="left"/>
      <w:pPr>
        <w:ind w:firstLine="851"/>
      </w:pPr>
      <w:rPr>
        <w:rFonts w:hint="default"/>
      </w:rPr>
    </w:lvl>
    <w:lvl w:ilvl="2">
      <w:start w:val="1"/>
      <w:numFmt w:val="decimal"/>
      <w:isLgl/>
      <w:lvlText w:val="%1.%2.%3. "/>
      <w:lvlJc w:val="left"/>
      <w:pPr>
        <w:ind w:left="142" w:firstLine="851"/>
      </w:pPr>
      <w:rPr>
        <w:rFonts w:hint="default"/>
      </w:rPr>
    </w:lvl>
    <w:lvl w:ilvl="3">
      <w:start w:val="1"/>
      <w:numFmt w:val="decimal"/>
      <w:lvlText w:val="%4) "/>
      <w:lvlJc w:val="left"/>
      <w:pPr>
        <w:tabs>
          <w:tab w:val="num" w:pos="2211"/>
        </w:tabs>
        <w:ind w:firstLine="851"/>
      </w:pPr>
      <w:rPr>
        <w:rFonts w:hint="default"/>
      </w:rPr>
    </w:lvl>
    <w:lvl w:ilvl="4">
      <w:start w:val="1"/>
      <w:numFmt w:val="russianLower"/>
      <w:lvlText w:val="%5) "/>
      <w:lvlJc w:val="left"/>
      <w:pPr>
        <w:ind w:firstLine="851"/>
      </w:pPr>
      <w:rPr>
        <w:rFonts w:hint="default"/>
        <w:color w:val="auto"/>
      </w:rPr>
    </w:lvl>
    <w:lvl w:ilvl="5">
      <w:start w:val="1"/>
      <w:numFmt w:val="lowerRoman"/>
      <w:lvlText w:val="%6."/>
      <w:lvlJc w:val="right"/>
      <w:pPr>
        <w:tabs>
          <w:tab w:val="num" w:pos="0"/>
        </w:tabs>
        <w:ind w:left="2835" w:firstLine="567"/>
      </w:pPr>
      <w:rPr>
        <w:rFonts w:hint="default"/>
      </w:rPr>
    </w:lvl>
    <w:lvl w:ilvl="6">
      <w:start w:val="1"/>
      <w:numFmt w:val="decimal"/>
      <w:lvlText w:val="%7."/>
      <w:lvlJc w:val="left"/>
      <w:pPr>
        <w:tabs>
          <w:tab w:val="num" w:pos="0"/>
        </w:tabs>
        <w:ind w:left="3402" w:firstLine="567"/>
      </w:pPr>
      <w:rPr>
        <w:rFonts w:hint="default"/>
      </w:rPr>
    </w:lvl>
    <w:lvl w:ilvl="7">
      <w:start w:val="1"/>
      <w:numFmt w:val="lowerLetter"/>
      <w:lvlText w:val="%8."/>
      <w:lvlJc w:val="left"/>
      <w:pPr>
        <w:tabs>
          <w:tab w:val="num" w:pos="0"/>
        </w:tabs>
        <w:ind w:left="3969" w:firstLine="567"/>
      </w:pPr>
      <w:rPr>
        <w:rFonts w:hint="default"/>
      </w:rPr>
    </w:lvl>
    <w:lvl w:ilvl="8">
      <w:start w:val="1"/>
      <w:numFmt w:val="lowerRoman"/>
      <w:lvlText w:val="%9."/>
      <w:lvlJc w:val="right"/>
      <w:pPr>
        <w:tabs>
          <w:tab w:val="num" w:pos="0"/>
        </w:tabs>
        <w:ind w:left="4536" w:firstLine="567"/>
      </w:pPr>
      <w:rPr>
        <w:rFonts w:hint="default"/>
      </w:rPr>
    </w:lvl>
  </w:abstractNum>
  <w:abstractNum w:abstractNumId="6" w15:restartNumberingAfterBreak="0">
    <w:nsid w:val="4E280B56"/>
    <w:multiLevelType w:val="hybridMultilevel"/>
    <w:tmpl w:val="5AB2E6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0D420CE"/>
    <w:multiLevelType w:val="hybridMultilevel"/>
    <w:tmpl w:val="86B445BE"/>
    <w:lvl w:ilvl="0" w:tplc="831A1E6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57813B4F"/>
    <w:multiLevelType w:val="hybridMultilevel"/>
    <w:tmpl w:val="C8A86840"/>
    <w:lvl w:ilvl="0" w:tplc="665C5C5C">
      <w:start w:val="1"/>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62716632"/>
    <w:multiLevelType w:val="hybridMultilevel"/>
    <w:tmpl w:val="624A37D6"/>
    <w:lvl w:ilvl="0" w:tplc="5AD4CAC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64294019"/>
    <w:multiLevelType w:val="hybridMultilevel"/>
    <w:tmpl w:val="37E4B3B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88C7564"/>
    <w:multiLevelType w:val="hybridMultilevel"/>
    <w:tmpl w:val="BA3C2060"/>
    <w:lvl w:ilvl="0" w:tplc="04220011">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6"/>
  </w:num>
  <w:num w:numId="2">
    <w:abstractNumId w:val="10"/>
  </w:num>
  <w:num w:numId="3">
    <w:abstractNumId w:val="8"/>
  </w:num>
  <w:num w:numId="4">
    <w:abstractNumId w:val="0"/>
  </w:num>
  <w:num w:numId="5">
    <w:abstractNumId w:val="11"/>
  </w:num>
  <w:num w:numId="6">
    <w:abstractNumId w:val="3"/>
  </w:num>
  <w:num w:numId="7">
    <w:abstractNumId w:val="4"/>
  </w:num>
  <w:num w:numId="8">
    <w:abstractNumId w:val="5"/>
  </w:num>
  <w:num w:numId="9">
    <w:abstractNumId w:val="1"/>
  </w:num>
  <w:num w:numId="10">
    <w:abstractNumId w:val="2"/>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FF9"/>
    <w:rsid w:val="00001D87"/>
    <w:rsid w:val="00002C4B"/>
    <w:rsid w:val="00002FF1"/>
    <w:rsid w:val="00003D53"/>
    <w:rsid w:val="00004367"/>
    <w:rsid w:val="00005021"/>
    <w:rsid w:val="000104E2"/>
    <w:rsid w:val="00015FF9"/>
    <w:rsid w:val="00016194"/>
    <w:rsid w:val="00016EB8"/>
    <w:rsid w:val="00020108"/>
    <w:rsid w:val="00021D79"/>
    <w:rsid w:val="0002454B"/>
    <w:rsid w:val="00026B1F"/>
    <w:rsid w:val="00030E2E"/>
    <w:rsid w:val="0003158C"/>
    <w:rsid w:val="00034FD4"/>
    <w:rsid w:val="00041DF0"/>
    <w:rsid w:val="0004347F"/>
    <w:rsid w:val="00045368"/>
    <w:rsid w:val="00045679"/>
    <w:rsid w:val="00045E15"/>
    <w:rsid w:val="0004712B"/>
    <w:rsid w:val="00050D70"/>
    <w:rsid w:val="00051B59"/>
    <w:rsid w:val="00053896"/>
    <w:rsid w:val="00054FBB"/>
    <w:rsid w:val="00055B8A"/>
    <w:rsid w:val="000577D4"/>
    <w:rsid w:val="00062986"/>
    <w:rsid w:val="00062A17"/>
    <w:rsid w:val="00062EE4"/>
    <w:rsid w:val="00063FFF"/>
    <w:rsid w:val="0006429F"/>
    <w:rsid w:val="00064EF4"/>
    <w:rsid w:val="000655E3"/>
    <w:rsid w:val="00065C09"/>
    <w:rsid w:val="00066DAB"/>
    <w:rsid w:val="000713E3"/>
    <w:rsid w:val="00072E90"/>
    <w:rsid w:val="00073AEB"/>
    <w:rsid w:val="00075252"/>
    <w:rsid w:val="00077220"/>
    <w:rsid w:val="0008019B"/>
    <w:rsid w:val="0008207D"/>
    <w:rsid w:val="000827DC"/>
    <w:rsid w:val="00083326"/>
    <w:rsid w:val="00084B02"/>
    <w:rsid w:val="0009167D"/>
    <w:rsid w:val="00093E81"/>
    <w:rsid w:val="00094679"/>
    <w:rsid w:val="000A2A64"/>
    <w:rsid w:val="000A2C61"/>
    <w:rsid w:val="000A2C88"/>
    <w:rsid w:val="000A68EF"/>
    <w:rsid w:val="000A79FC"/>
    <w:rsid w:val="000B0926"/>
    <w:rsid w:val="000B407C"/>
    <w:rsid w:val="000B7A30"/>
    <w:rsid w:val="000C2EC5"/>
    <w:rsid w:val="000C3273"/>
    <w:rsid w:val="000C6940"/>
    <w:rsid w:val="000D24F0"/>
    <w:rsid w:val="000D52C3"/>
    <w:rsid w:val="000D5680"/>
    <w:rsid w:val="000E212C"/>
    <w:rsid w:val="000E4B42"/>
    <w:rsid w:val="000E66BA"/>
    <w:rsid w:val="000E6E0A"/>
    <w:rsid w:val="000F68C9"/>
    <w:rsid w:val="001013AA"/>
    <w:rsid w:val="0010184A"/>
    <w:rsid w:val="001048C7"/>
    <w:rsid w:val="00104945"/>
    <w:rsid w:val="00104A26"/>
    <w:rsid w:val="00105AC0"/>
    <w:rsid w:val="00105B2A"/>
    <w:rsid w:val="001064EC"/>
    <w:rsid w:val="00111001"/>
    <w:rsid w:val="00112FF4"/>
    <w:rsid w:val="00114426"/>
    <w:rsid w:val="00115819"/>
    <w:rsid w:val="00124A5C"/>
    <w:rsid w:val="00124CC2"/>
    <w:rsid w:val="00125207"/>
    <w:rsid w:val="001374AE"/>
    <w:rsid w:val="001424CF"/>
    <w:rsid w:val="001464C5"/>
    <w:rsid w:val="0014664B"/>
    <w:rsid w:val="00146FFE"/>
    <w:rsid w:val="00150AE4"/>
    <w:rsid w:val="001537E3"/>
    <w:rsid w:val="00153FE7"/>
    <w:rsid w:val="001545DE"/>
    <w:rsid w:val="001548CF"/>
    <w:rsid w:val="0016100F"/>
    <w:rsid w:val="00162652"/>
    <w:rsid w:val="00163441"/>
    <w:rsid w:val="00166699"/>
    <w:rsid w:val="00166D91"/>
    <w:rsid w:val="00167C43"/>
    <w:rsid w:val="00171394"/>
    <w:rsid w:val="00172C40"/>
    <w:rsid w:val="0017385F"/>
    <w:rsid w:val="00177783"/>
    <w:rsid w:val="00177C76"/>
    <w:rsid w:val="00186EC9"/>
    <w:rsid w:val="0018755C"/>
    <w:rsid w:val="00191D17"/>
    <w:rsid w:val="00193ABD"/>
    <w:rsid w:val="001A4AAA"/>
    <w:rsid w:val="001A4CE8"/>
    <w:rsid w:val="001A7F15"/>
    <w:rsid w:val="001C200F"/>
    <w:rsid w:val="001C3DCC"/>
    <w:rsid w:val="001D3A3B"/>
    <w:rsid w:val="001D55E9"/>
    <w:rsid w:val="001D7DC3"/>
    <w:rsid w:val="001E196D"/>
    <w:rsid w:val="001E3F2E"/>
    <w:rsid w:val="001E6C7D"/>
    <w:rsid w:val="001E777A"/>
    <w:rsid w:val="001F4DFD"/>
    <w:rsid w:val="001F69D9"/>
    <w:rsid w:val="00200E6C"/>
    <w:rsid w:val="0020117F"/>
    <w:rsid w:val="00207995"/>
    <w:rsid w:val="00215CF3"/>
    <w:rsid w:val="00216A34"/>
    <w:rsid w:val="00216AF4"/>
    <w:rsid w:val="00220B5E"/>
    <w:rsid w:val="002306A5"/>
    <w:rsid w:val="002342E1"/>
    <w:rsid w:val="002570DE"/>
    <w:rsid w:val="00261823"/>
    <w:rsid w:val="00262A50"/>
    <w:rsid w:val="00262D6D"/>
    <w:rsid w:val="002644F4"/>
    <w:rsid w:val="00267F39"/>
    <w:rsid w:val="002761EA"/>
    <w:rsid w:val="002820DF"/>
    <w:rsid w:val="0028465C"/>
    <w:rsid w:val="00285413"/>
    <w:rsid w:val="00287472"/>
    <w:rsid w:val="002A2291"/>
    <w:rsid w:val="002A30FB"/>
    <w:rsid w:val="002A7134"/>
    <w:rsid w:val="002A7A36"/>
    <w:rsid w:val="002B2A4E"/>
    <w:rsid w:val="002B522F"/>
    <w:rsid w:val="002B56F4"/>
    <w:rsid w:val="002B62BB"/>
    <w:rsid w:val="002B69C3"/>
    <w:rsid w:val="002C0B5A"/>
    <w:rsid w:val="002C1A2F"/>
    <w:rsid w:val="002C248A"/>
    <w:rsid w:val="002C6010"/>
    <w:rsid w:val="002C7610"/>
    <w:rsid w:val="002D64C7"/>
    <w:rsid w:val="002D6F7A"/>
    <w:rsid w:val="002E060D"/>
    <w:rsid w:val="002E2299"/>
    <w:rsid w:val="002E5916"/>
    <w:rsid w:val="002E7D30"/>
    <w:rsid w:val="003032F6"/>
    <w:rsid w:val="003047AD"/>
    <w:rsid w:val="00306C89"/>
    <w:rsid w:val="00306DA9"/>
    <w:rsid w:val="003073E2"/>
    <w:rsid w:val="00307CF3"/>
    <w:rsid w:val="003108E3"/>
    <w:rsid w:val="00314B44"/>
    <w:rsid w:val="00315751"/>
    <w:rsid w:val="003171C2"/>
    <w:rsid w:val="00323EDB"/>
    <w:rsid w:val="0033471D"/>
    <w:rsid w:val="00337C29"/>
    <w:rsid w:val="0034271E"/>
    <w:rsid w:val="003500D6"/>
    <w:rsid w:val="0035089D"/>
    <w:rsid w:val="00350905"/>
    <w:rsid w:val="003543FA"/>
    <w:rsid w:val="0035790D"/>
    <w:rsid w:val="00366E77"/>
    <w:rsid w:val="003729A9"/>
    <w:rsid w:val="003732E5"/>
    <w:rsid w:val="0037426A"/>
    <w:rsid w:val="003748CF"/>
    <w:rsid w:val="00375D1B"/>
    <w:rsid w:val="003800ED"/>
    <w:rsid w:val="00380D6F"/>
    <w:rsid w:val="00382458"/>
    <w:rsid w:val="003825C5"/>
    <w:rsid w:val="00383652"/>
    <w:rsid w:val="00384712"/>
    <w:rsid w:val="00391240"/>
    <w:rsid w:val="00392042"/>
    <w:rsid w:val="00392BF8"/>
    <w:rsid w:val="003939A6"/>
    <w:rsid w:val="003948F4"/>
    <w:rsid w:val="003A1153"/>
    <w:rsid w:val="003A210D"/>
    <w:rsid w:val="003A3886"/>
    <w:rsid w:val="003A53FB"/>
    <w:rsid w:val="003A5427"/>
    <w:rsid w:val="003A5638"/>
    <w:rsid w:val="003A56FF"/>
    <w:rsid w:val="003A682E"/>
    <w:rsid w:val="003B208D"/>
    <w:rsid w:val="003B2A93"/>
    <w:rsid w:val="003B7BCA"/>
    <w:rsid w:val="003C1FF3"/>
    <w:rsid w:val="003C74E3"/>
    <w:rsid w:val="003D0F94"/>
    <w:rsid w:val="003D1B27"/>
    <w:rsid w:val="003D207D"/>
    <w:rsid w:val="003D356B"/>
    <w:rsid w:val="003D76E1"/>
    <w:rsid w:val="003E0B16"/>
    <w:rsid w:val="003E1382"/>
    <w:rsid w:val="003E3A3F"/>
    <w:rsid w:val="003E40B3"/>
    <w:rsid w:val="003E49D1"/>
    <w:rsid w:val="003F0200"/>
    <w:rsid w:val="003F321E"/>
    <w:rsid w:val="003F4034"/>
    <w:rsid w:val="003F5E0A"/>
    <w:rsid w:val="003F7029"/>
    <w:rsid w:val="0040001F"/>
    <w:rsid w:val="004047C0"/>
    <w:rsid w:val="00404F71"/>
    <w:rsid w:val="00410C0F"/>
    <w:rsid w:val="00411CD9"/>
    <w:rsid w:val="00412099"/>
    <w:rsid w:val="0041325C"/>
    <w:rsid w:val="00413B49"/>
    <w:rsid w:val="00415F5C"/>
    <w:rsid w:val="0041676C"/>
    <w:rsid w:val="00416E19"/>
    <w:rsid w:val="00423BE1"/>
    <w:rsid w:val="00423CBA"/>
    <w:rsid w:val="004257EE"/>
    <w:rsid w:val="00425C09"/>
    <w:rsid w:val="0043362B"/>
    <w:rsid w:val="00433B6E"/>
    <w:rsid w:val="00433C20"/>
    <w:rsid w:val="0044252B"/>
    <w:rsid w:val="00443884"/>
    <w:rsid w:val="00444045"/>
    <w:rsid w:val="00447972"/>
    <w:rsid w:val="0045061A"/>
    <w:rsid w:val="00453E9D"/>
    <w:rsid w:val="00460188"/>
    <w:rsid w:val="0046331B"/>
    <w:rsid w:val="004650E0"/>
    <w:rsid w:val="00465C3D"/>
    <w:rsid w:val="00470C16"/>
    <w:rsid w:val="00472E4C"/>
    <w:rsid w:val="00474254"/>
    <w:rsid w:val="00475438"/>
    <w:rsid w:val="00475ED7"/>
    <w:rsid w:val="00476219"/>
    <w:rsid w:val="004768F1"/>
    <w:rsid w:val="00477909"/>
    <w:rsid w:val="00483D3E"/>
    <w:rsid w:val="00484A07"/>
    <w:rsid w:val="0048565E"/>
    <w:rsid w:val="004872E6"/>
    <w:rsid w:val="00491898"/>
    <w:rsid w:val="0049427F"/>
    <w:rsid w:val="004976F1"/>
    <w:rsid w:val="004A207F"/>
    <w:rsid w:val="004A25CC"/>
    <w:rsid w:val="004A2C41"/>
    <w:rsid w:val="004B2155"/>
    <w:rsid w:val="004B7837"/>
    <w:rsid w:val="004B7D5F"/>
    <w:rsid w:val="004C0F20"/>
    <w:rsid w:val="004D4DCE"/>
    <w:rsid w:val="004D5380"/>
    <w:rsid w:val="004D6A33"/>
    <w:rsid w:val="004E0F74"/>
    <w:rsid w:val="004E49D4"/>
    <w:rsid w:val="004E5177"/>
    <w:rsid w:val="004E67BC"/>
    <w:rsid w:val="004E745D"/>
    <w:rsid w:val="004F0713"/>
    <w:rsid w:val="004F7B93"/>
    <w:rsid w:val="00500197"/>
    <w:rsid w:val="005030E5"/>
    <w:rsid w:val="0050424E"/>
    <w:rsid w:val="00504B9E"/>
    <w:rsid w:val="00512411"/>
    <w:rsid w:val="005159C1"/>
    <w:rsid w:val="005201AE"/>
    <w:rsid w:val="0052034A"/>
    <w:rsid w:val="005215B6"/>
    <w:rsid w:val="00521C15"/>
    <w:rsid w:val="00522557"/>
    <w:rsid w:val="00523D30"/>
    <w:rsid w:val="00524ECB"/>
    <w:rsid w:val="005254C9"/>
    <w:rsid w:val="005260EE"/>
    <w:rsid w:val="00527D31"/>
    <w:rsid w:val="00531691"/>
    <w:rsid w:val="00536512"/>
    <w:rsid w:val="00536ED4"/>
    <w:rsid w:val="0054198D"/>
    <w:rsid w:val="005439DC"/>
    <w:rsid w:val="00543DEE"/>
    <w:rsid w:val="00544ECB"/>
    <w:rsid w:val="00546843"/>
    <w:rsid w:val="00550688"/>
    <w:rsid w:val="00551C83"/>
    <w:rsid w:val="005525C3"/>
    <w:rsid w:val="005526D5"/>
    <w:rsid w:val="00553EB4"/>
    <w:rsid w:val="00554710"/>
    <w:rsid w:val="00555CF0"/>
    <w:rsid w:val="00560D54"/>
    <w:rsid w:val="00565872"/>
    <w:rsid w:val="005658F4"/>
    <w:rsid w:val="00567852"/>
    <w:rsid w:val="005750D3"/>
    <w:rsid w:val="005755B4"/>
    <w:rsid w:val="0057613B"/>
    <w:rsid w:val="005767B1"/>
    <w:rsid w:val="00576C07"/>
    <w:rsid w:val="00577B0F"/>
    <w:rsid w:val="005816EC"/>
    <w:rsid w:val="00583285"/>
    <w:rsid w:val="00584ED8"/>
    <w:rsid w:val="00585BC8"/>
    <w:rsid w:val="005871DC"/>
    <w:rsid w:val="00590403"/>
    <w:rsid w:val="005907BB"/>
    <w:rsid w:val="005951D7"/>
    <w:rsid w:val="00597A78"/>
    <w:rsid w:val="00597DFE"/>
    <w:rsid w:val="005A5426"/>
    <w:rsid w:val="005B06A8"/>
    <w:rsid w:val="005C05AF"/>
    <w:rsid w:val="005C0790"/>
    <w:rsid w:val="005C1EFD"/>
    <w:rsid w:val="005C3A2E"/>
    <w:rsid w:val="005C44B0"/>
    <w:rsid w:val="005D0551"/>
    <w:rsid w:val="005D1DCD"/>
    <w:rsid w:val="005D40EB"/>
    <w:rsid w:val="005E00D6"/>
    <w:rsid w:val="005E1CBC"/>
    <w:rsid w:val="005E2075"/>
    <w:rsid w:val="005E47A4"/>
    <w:rsid w:val="005E56B6"/>
    <w:rsid w:val="005E6384"/>
    <w:rsid w:val="005F313A"/>
    <w:rsid w:val="005F6CDD"/>
    <w:rsid w:val="006007F9"/>
    <w:rsid w:val="0060098B"/>
    <w:rsid w:val="00604E28"/>
    <w:rsid w:val="00605B71"/>
    <w:rsid w:val="006107DE"/>
    <w:rsid w:val="006124F0"/>
    <w:rsid w:val="00612922"/>
    <w:rsid w:val="00612C6B"/>
    <w:rsid w:val="00613BD1"/>
    <w:rsid w:val="006146B4"/>
    <w:rsid w:val="00616921"/>
    <w:rsid w:val="00620FA3"/>
    <w:rsid w:val="006221F2"/>
    <w:rsid w:val="00623D72"/>
    <w:rsid w:val="00626C1E"/>
    <w:rsid w:val="00631563"/>
    <w:rsid w:val="00631CFD"/>
    <w:rsid w:val="00635F39"/>
    <w:rsid w:val="00637171"/>
    <w:rsid w:val="00641927"/>
    <w:rsid w:val="00641F06"/>
    <w:rsid w:val="00643892"/>
    <w:rsid w:val="006467E1"/>
    <w:rsid w:val="006501AF"/>
    <w:rsid w:val="00650E2A"/>
    <w:rsid w:val="00650E8D"/>
    <w:rsid w:val="0065224B"/>
    <w:rsid w:val="00653E92"/>
    <w:rsid w:val="0065654F"/>
    <w:rsid w:val="00661E87"/>
    <w:rsid w:val="00665F9B"/>
    <w:rsid w:val="00666D38"/>
    <w:rsid w:val="006715E1"/>
    <w:rsid w:val="00671631"/>
    <w:rsid w:val="00672E19"/>
    <w:rsid w:val="00674320"/>
    <w:rsid w:val="00676022"/>
    <w:rsid w:val="00676654"/>
    <w:rsid w:val="00681DE6"/>
    <w:rsid w:val="006820D8"/>
    <w:rsid w:val="0068341D"/>
    <w:rsid w:val="00691C7D"/>
    <w:rsid w:val="006949D4"/>
    <w:rsid w:val="00696572"/>
    <w:rsid w:val="006A2CD8"/>
    <w:rsid w:val="006A3F96"/>
    <w:rsid w:val="006A4409"/>
    <w:rsid w:val="006A5006"/>
    <w:rsid w:val="006B3D2E"/>
    <w:rsid w:val="006B5484"/>
    <w:rsid w:val="006B60F0"/>
    <w:rsid w:val="006B7959"/>
    <w:rsid w:val="006B7BA8"/>
    <w:rsid w:val="006C02F5"/>
    <w:rsid w:val="006C0794"/>
    <w:rsid w:val="006C3596"/>
    <w:rsid w:val="006C4B89"/>
    <w:rsid w:val="006C6574"/>
    <w:rsid w:val="006D03D5"/>
    <w:rsid w:val="006D0A8F"/>
    <w:rsid w:val="006D0B2E"/>
    <w:rsid w:val="006D309E"/>
    <w:rsid w:val="006D7333"/>
    <w:rsid w:val="006E2F5D"/>
    <w:rsid w:val="006F060A"/>
    <w:rsid w:val="006F0D3C"/>
    <w:rsid w:val="006F2514"/>
    <w:rsid w:val="006F4FCC"/>
    <w:rsid w:val="007040EC"/>
    <w:rsid w:val="007057A9"/>
    <w:rsid w:val="00707FE5"/>
    <w:rsid w:val="007106C5"/>
    <w:rsid w:val="0071241B"/>
    <w:rsid w:val="0071392B"/>
    <w:rsid w:val="00713C31"/>
    <w:rsid w:val="00714581"/>
    <w:rsid w:val="007177BD"/>
    <w:rsid w:val="00717CB7"/>
    <w:rsid w:val="00720157"/>
    <w:rsid w:val="0072073C"/>
    <w:rsid w:val="007328B2"/>
    <w:rsid w:val="00733043"/>
    <w:rsid w:val="00734084"/>
    <w:rsid w:val="00735031"/>
    <w:rsid w:val="0074087A"/>
    <w:rsid w:val="00740AA3"/>
    <w:rsid w:val="00743D9A"/>
    <w:rsid w:val="00744B42"/>
    <w:rsid w:val="00747006"/>
    <w:rsid w:val="00752319"/>
    <w:rsid w:val="00755528"/>
    <w:rsid w:val="0075701D"/>
    <w:rsid w:val="00760D6D"/>
    <w:rsid w:val="00765865"/>
    <w:rsid w:val="007663D6"/>
    <w:rsid w:val="00770385"/>
    <w:rsid w:val="0077039B"/>
    <w:rsid w:val="00770C6B"/>
    <w:rsid w:val="00772846"/>
    <w:rsid w:val="00773335"/>
    <w:rsid w:val="00774282"/>
    <w:rsid w:val="007808CC"/>
    <w:rsid w:val="00785A8E"/>
    <w:rsid w:val="00790A25"/>
    <w:rsid w:val="00790BC4"/>
    <w:rsid w:val="0079241B"/>
    <w:rsid w:val="00792F36"/>
    <w:rsid w:val="007A1B85"/>
    <w:rsid w:val="007A1BF2"/>
    <w:rsid w:val="007A4732"/>
    <w:rsid w:val="007A6969"/>
    <w:rsid w:val="007A7922"/>
    <w:rsid w:val="007A7C5E"/>
    <w:rsid w:val="007B2406"/>
    <w:rsid w:val="007B67E8"/>
    <w:rsid w:val="007B79DD"/>
    <w:rsid w:val="007C081D"/>
    <w:rsid w:val="007C22AB"/>
    <w:rsid w:val="007C5F8E"/>
    <w:rsid w:val="007D3987"/>
    <w:rsid w:val="007D5523"/>
    <w:rsid w:val="007D67E9"/>
    <w:rsid w:val="007E0022"/>
    <w:rsid w:val="007E31F3"/>
    <w:rsid w:val="007E6E8A"/>
    <w:rsid w:val="007F0692"/>
    <w:rsid w:val="007F2046"/>
    <w:rsid w:val="007F296B"/>
    <w:rsid w:val="007F2B8F"/>
    <w:rsid w:val="007F4C52"/>
    <w:rsid w:val="007F7B7E"/>
    <w:rsid w:val="00801044"/>
    <w:rsid w:val="008026E7"/>
    <w:rsid w:val="008034CD"/>
    <w:rsid w:val="0080751F"/>
    <w:rsid w:val="00811A4B"/>
    <w:rsid w:val="0081210B"/>
    <w:rsid w:val="00813B6A"/>
    <w:rsid w:val="008151F0"/>
    <w:rsid w:val="00821AAF"/>
    <w:rsid w:val="008229D4"/>
    <w:rsid w:val="00825615"/>
    <w:rsid w:val="00827039"/>
    <w:rsid w:val="008274D9"/>
    <w:rsid w:val="00831E60"/>
    <w:rsid w:val="0083352A"/>
    <w:rsid w:val="008352B2"/>
    <w:rsid w:val="00835961"/>
    <w:rsid w:val="008373E2"/>
    <w:rsid w:val="00841251"/>
    <w:rsid w:val="00841EE3"/>
    <w:rsid w:val="00843BA4"/>
    <w:rsid w:val="0084550E"/>
    <w:rsid w:val="008519FF"/>
    <w:rsid w:val="00852853"/>
    <w:rsid w:val="00852C95"/>
    <w:rsid w:val="008562B3"/>
    <w:rsid w:val="00863F16"/>
    <w:rsid w:val="00872ED3"/>
    <w:rsid w:val="00876803"/>
    <w:rsid w:val="00876BD6"/>
    <w:rsid w:val="00877C43"/>
    <w:rsid w:val="00881EAB"/>
    <w:rsid w:val="00883273"/>
    <w:rsid w:val="00884131"/>
    <w:rsid w:val="00886012"/>
    <w:rsid w:val="00890B70"/>
    <w:rsid w:val="00891789"/>
    <w:rsid w:val="00894BDB"/>
    <w:rsid w:val="008967A9"/>
    <w:rsid w:val="008973E0"/>
    <w:rsid w:val="008A3700"/>
    <w:rsid w:val="008A5CA4"/>
    <w:rsid w:val="008A7280"/>
    <w:rsid w:val="008B25AC"/>
    <w:rsid w:val="008C1013"/>
    <w:rsid w:val="008C16D8"/>
    <w:rsid w:val="008C6D28"/>
    <w:rsid w:val="008C7DDE"/>
    <w:rsid w:val="008D000F"/>
    <w:rsid w:val="008D0C09"/>
    <w:rsid w:val="008D4829"/>
    <w:rsid w:val="008E27A1"/>
    <w:rsid w:val="008E299A"/>
    <w:rsid w:val="008E4129"/>
    <w:rsid w:val="008F00AF"/>
    <w:rsid w:val="008F18AB"/>
    <w:rsid w:val="008F2499"/>
    <w:rsid w:val="008F76EB"/>
    <w:rsid w:val="00900D8A"/>
    <w:rsid w:val="00901200"/>
    <w:rsid w:val="00901646"/>
    <w:rsid w:val="00901C0E"/>
    <w:rsid w:val="00905354"/>
    <w:rsid w:val="00906576"/>
    <w:rsid w:val="00907056"/>
    <w:rsid w:val="00907A73"/>
    <w:rsid w:val="00910F0B"/>
    <w:rsid w:val="00914A2C"/>
    <w:rsid w:val="0091584A"/>
    <w:rsid w:val="0092099D"/>
    <w:rsid w:val="00920FEE"/>
    <w:rsid w:val="00921E2D"/>
    <w:rsid w:val="0092341B"/>
    <w:rsid w:val="009260D7"/>
    <w:rsid w:val="00930F4A"/>
    <w:rsid w:val="009327A1"/>
    <w:rsid w:val="009455E1"/>
    <w:rsid w:val="009508B7"/>
    <w:rsid w:val="00955A4A"/>
    <w:rsid w:val="00957C3E"/>
    <w:rsid w:val="00963724"/>
    <w:rsid w:val="00963E73"/>
    <w:rsid w:val="0096420E"/>
    <w:rsid w:val="009654B7"/>
    <w:rsid w:val="00966B2C"/>
    <w:rsid w:val="00967F80"/>
    <w:rsid w:val="009707AF"/>
    <w:rsid w:val="00970D61"/>
    <w:rsid w:val="00972A23"/>
    <w:rsid w:val="0097606C"/>
    <w:rsid w:val="00976F25"/>
    <w:rsid w:val="0098031B"/>
    <w:rsid w:val="009808CD"/>
    <w:rsid w:val="00980B8E"/>
    <w:rsid w:val="00980DBF"/>
    <w:rsid w:val="00986C22"/>
    <w:rsid w:val="00991B9E"/>
    <w:rsid w:val="009A24F6"/>
    <w:rsid w:val="009A2605"/>
    <w:rsid w:val="009A7F96"/>
    <w:rsid w:val="009B1616"/>
    <w:rsid w:val="009B1F1F"/>
    <w:rsid w:val="009B26FC"/>
    <w:rsid w:val="009B41D9"/>
    <w:rsid w:val="009B48F0"/>
    <w:rsid w:val="009B6CD3"/>
    <w:rsid w:val="009B6CD8"/>
    <w:rsid w:val="009C046C"/>
    <w:rsid w:val="009C04CF"/>
    <w:rsid w:val="009C13AF"/>
    <w:rsid w:val="009C1E8E"/>
    <w:rsid w:val="009C5B95"/>
    <w:rsid w:val="009C5D1C"/>
    <w:rsid w:val="009D063A"/>
    <w:rsid w:val="009D3C8A"/>
    <w:rsid w:val="009D4579"/>
    <w:rsid w:val="009D4F3C"/>
    <w:rsid w:val="009E0554"/>
    <w:rsid w:val="009E241A"/>
    <w:rsid w:val="009E2566"/>
    <w:rsid w:val="009F2353"/>
    <w:rsid w:val="009F4093"/>
    <w:rsid w:val="009F5697"/>
    <w:rsid w:val="009F6364"/>
    <w:rsid w:val="00A01E38"/>
    <w:rsid w:val="00A02318"/>
    <w:rsid w:val="00A1361A"/>
    <w:rsid w:val="00A211DD"/>
    <w:rsid w:val="00A214FE"/>
    <w:rsid w:val="00A24545"/>
    <w:rsid w:val="00A25702"/>
    <w:rsid w:val="00A26B8A"/>
    <w:rsid w:val="00A32E41"/>
    <w:rsid w:val="00A33750"/>
    <w:rsid w:val="00A44282"/>
    <w:rsid w:val="00A500E4"/>
    <w:rsid w:val="00A612CA"/>
    <w:rsid w:val="00A61544"/>
    <w:rsid w:val="00A665DA"/>
    <w:rsid w:val="00A70657"/>
    <w:rsid w:val="00A71152"/>
    <w:rsid w:val="00A74C23"/>
    <w:rsid w:val="00A8277F"/>
    <w:rsid w:val="00A87406"/>
    <w:rsid w:val="00A87FF1"/>
    <w:rsid w:val="00A904C0"/>
    <w:rsid w:val="00A914A5"/>
    <w:rsid w:val="00A94827"/>
    <w:rsid w:val="00A96A66"/>
    <w:rsid w:val="00AA2383"/>
    <w:rsid w:val="00AA239A"/>
    <w:rsid w:val="00AA3411"/>
    <w:rsid w:val="00AA3EAB"/>
    <w:rsid w:val="00AA6F06"/>
    <w:rsid w:val="00AB20A7"/>
    <w:rsid w:val="00AB42F8"/>
    <w:rsid w:val="00AB5178"/>
    <w:rsid w:val="00AB55FB"/>
    <w:rsid w:val="00AB7004"/>
    <w:rsid w:val="00AC301E"/>
    <w:rsid w:val="00AC36E1"/>
    <w:rsid w:val="00AC37DF"/>
    <w:rsid w:val="00AC44A4"/>
    <w:rsid w:val="00AC478B"/>
    <w:rsid w:val="00AC7327"/>
    <w:rsid w:val="00AD44AC"/>
    <w:rsid w:val="00AE0F2D"/>
    <w:rsid w:val="00AE321E"/>
    <w:rsid w:val="00AE3400"/>
    <w:rsid w:val="00AF0BF0"/>
    <w:rsid w:val="00AF1488"/>
    <w:rsid w:val="00AF5A1E"/>
    <w:rsid w:val="00AF6DD8"/>
    <w:rsid w:val="00B0569B"/>
    <w:rsid w:val="00B0605B"/>
    <w:rsid w:val="00B07EA7"/>
    <w:rsid w:val="00B149E6"/>
    <w:rsid w:val="00B16D34"/>
    <w:rsid w:val="00B22677"/>
    <w:rsid w:val="00B22923"/>
    <w:rsid w:val="00B238F1"/>
    <w:rsid w:val="00B23DD8"/>
    <w:rsid w:val="00B2450F"/>
    <w:rsid w:val="00B31A8F"/>
    <w:rsid w:val="00B3246D"/>
    <w:rsid w:val="00B36FDF"/>
    <w:rsid w:val="00B46BFF"/>
    <w:rsid w:val="00B47512"/>
    <w:rsid w:val="00B52CEB"/>
    <w:rsid w:val="00B577C0"/>
    <w:rsid w:val="00B57C8D"/>
    <w:rsid w:val="00B72186"/>
    <w:rsid w:val="00B726F0"/>
    <w:rsid w:val="00B73663"/>
    <w:rsid w:val="00B80F7E"/>
    <w:rsid w:val="00B82A30"/>
    <w:rsid w:val="00B8320F"/>
    <w:rsid w:val="00B87AB8"/>
    <w:rsid w:val="00B928B9"/>
    <w:rsid w:val="00B930D1"/>
    <w:rsid w:val="00B94C2E"/>
    <w:rsid w:val="00B95E5E"/>
    <w:rsid w:val="00BA226D"/>
    <w:rsid w:val="00BA26FF"/>
    <w:rsid w:val="00BA4831"/>
    <w:rsid w:val="00BA5A2F"/>
    <w:rsid w:val="00BA5C9D"/>
    <w:rsid w:val="00BA60B6"/>
    <w:rsid w:val="00BA7B75"/>
    <w:rsid w:val="00BB26FB"/>
    <w:rsid w:val="00BB4C83"/>
    <w:rsid w:val="00BB6DF9"/>
    <w:rsid w:val="00BB78F8"/>
    <w:rsid w:val="00BB7E91"/>
    <w:rsid w:val="00BC1476"/>
    <w:rsid w:val="00BC4984"/>
    <w:rsid w:val="00BC6D25"/>
    <w:rsid w:val="00BD28BE"/>
    <w:rsid w:val="00BD5C4E"/>
    <w:rsid w:val="00BD7FCA"/>
    <w:rsid w:val="00BE0EF2"/>
    <w:rsid w:val="00BE15DE"/>
    <w:rsid w:val="00BE1DF7"/>
    <w:rsid w:val="00BE3049"/>
    <w:rsid w:val="00BF054C"/>
    <w:rsid w:val="00BF4953"/>
    <w:rsid w:val="00BF4D3D"/>
    <w:rsid w:val="00BF7B70"/>
    <w:rsid w:val="00C0066B"/>
    <w:rsid w:val="00C01C0E"/>
    <w:rsid w:val="00C05DA1"/>
    <w:rsid w:val="00C15495"/>
    <w:rsid w:val="00C16B9D"/>
    <w:rsid w:val="00C210D1"/>
    <w:rsid w:val="00C22505"/>
    <w:rsid w:val="00C32E85"/>
    <w:rsid w:val="00C336D0"/>
    <w:rsid w:val="00C34238"/>
    <w:rsid w:val="00C3611C"/>
    <w:rsid w:val="00C40A90"/>
    <w:rsid w:val="00C411AE"/>
    <w:rsid w:val="00C43A4A"/>
    <w:rsid w:val="00C44B4B"/>
    <w:rsid w:val="00C464FF"/>
    <w:rsid w:val="00C4686B"/>
    <w:rsid w:val="00C50300"/>
    <w:rsid w:val="00C5193C"/>
    <w:rsid w:val="00C51AC2"/>
    <w:rsid w:val="00C52586"/>
    <w:rsid w:val="00C55D0C"/>
    <w:rsid w:val="00C570FD"/>
    <w:rsid w:val="00C6052A"/>
    <w:rsid w:val="00C61B30"/>
    <w:rsid w:val="00C63094"/>
    <w:rsid w:val="00C63584"/>
    <w:rsid w:val="00C71736"/>
    <w:rsid w:val="00C73CBD"/>
    <w:rsid w:val="00C74538"/>
    <w:rsid w:val="00C83F22"/>
    <w:rsid w:val="00C842BB"/>
    <w:rsid w:val="00C87008"/>
    <w:rsid w:val="00C93DA7"/>
    <w:rsid w:val="00C94510"/>
    <w:rsid w:val="00C96D7F"/>
    <w:rsid w:val="00CA280C"/>
    <w:rsid w:val="00CA4A07"/>
    <w:rsid w:val="00CB0568"/>
    <w:rsid w:val="00CB1123"/>
    <w:rsid w:val="00CB1CC2"/>
    <w:rsid w:val="00CB2DF2"/>
    <w:rsid w:val="00CB5977"/>
    <w:rsid w:val="00CB7AC1"/>
    <w:rsid w:val="00CC1BE8"/>
    <w:rsid w:val="00CC2142"/>
    <w:rsid w:val="00CC2FA6"/>
    <w:rsid w:val="00CC34E9"/>
    <w:rsid w:val="00CC5964"/>
    <w:rsid w:val="00CC7B69"/>
    <w:rsid w:val="00CD43AC"/>
    <w:rsid w:val="00CE093E"/>
    <w:rsid w:val="00CE0E86"/>
    <w:rsid w:val="00CE2469"/>
    <w:rsid w:val="00CE449D"/>
    <w:rsid w:val="00CE4940"/>
    <w:rsid w:val="00CE7A1D"/>
    <w:rsid w:val="00CF3949"/>
    <w:rsid w:val="00CF497B"/>
    <w:rsid w:val="00D01097"/>
    <w:rsid w:val="00D04463"/>
    <w:rsid w:val="00D06F09"/>
    <w:rsid w:val="00D10395"/>
    <w:rsid w:val="00D140DB"/>
    <w:rsid w:val="00D14F7E"/>
    <w:rsid w:val="00D23A55"/>
    <w:rsid w:val="00D26169"/>
    <w:rsid w:val="00D3032D"/>
    <w:rsid w:val="00D420D8"/>
    <w:rsid w:val="00D42ECB"/>
    <w:rsid w:val="00D4331F"/>
    <w:rsid w:val="00D4400B"/>
    <w:rsid w:val="00D45AB2"/>
    <w:rsid w:val="00D473F3"/>
    <w:rsid w:val="00D528E8"/>
    <w:rsid w:val="00D54A93"/>
    <w:rsid w:val="00D56C94"/>
    <w:rsid w:val="00D573B7"/>
    <w:rsid w:val="00D635C9"/>
    <w:rsid w:val="00D63A1B"/>
    <w:rsid w:val="00D63EAA"/>
    <w:rsid w:val="00D6426E"/>
    <w:rsid w:val="00D6456F"/>
    <w:rsid w:val="00D65996"/>
    <w:rsid w:val="00D70D0E"/>
    <w:rsid w:val="00D71557"/>
    <w:rsid w:val="00D71777"/>
    <w:rsid w:val="00D729FF"/>
    <w:rsid w:val="00D739B5"/>
    <w:rsid w:val="00D74569"/>
    <w:rsid w:val="00D749A5"/>
    <w:rsid w:val="00D8062E"/>
    <w:rsid w:val="00D809EB"/>
    <w:rsid w:val="00D80E89"/>
    <w:rsid w:val="00D859DD"/>
    <w:rsid w:val="00D86260"/>
    <w:rsid w:val="00D94748"/>
    <w:rsid w:val="00D9507B"/>
    <w:rsid w:val="00D96263"/>
    <w:rsid w:val="00D97507"/>
    <w:rsid w:val="00DA11C7"/>
    <w:rsid w:val="00DA49FB"/>
    <w:rsid w:val="00DA77C4"/>
    <w:rsid w:val="00DB02B9"/>
    <w:rsid w:val="00DB0C8E"/>
    <w:rsid w:val="00DB13B1"/>
    <w:rsid w:val="00DB41D8"/>
    <w:rsid w:val="00DB6C76"/>
    <w:rsid w:val="00DB7FE4"/>
    <w:rsid w:val="00DC3327"/>
    <w:rsid w:val="00DC3689"/>
    <w:rsid w:val="00DD5E55"/>
    <w:rsid w:val="00DD608D"/>
    <w:rsid w:val="00DD663F"/>
    <w:rsid w:val="00DD6E97"/>
    <w:rsid w:val="00DE05F8"/>
    <w:rsid w:val="00DF2405"/>
    <w:rsid w:val="00DF4380"/>
    <w:rsid w:val="00DF680C"/>
    <w:rsid w:val="00E013B4"/>
    <w:rsid w:val="00E0215B"/>
    <w:rsid w:val="00E05CF7"/>
    <w:rsid w:val="00E104D5"/>
    <w:rsid w:val="00E126A7"/>
    <w:rsid w:val="00E1285E"/>
    <w:rsid w:val="00E14485"/>
    <w:rsid w:val="00E14BF9"/>
    <w:rsid w:val="00E166DB"/>
    <w:rsid w:val="00E16B96"/>
    <w:rsid w:val="00E17778"/>
    <w:rsid w:val="00E232DF"/>
    <w:rsid w:val="00E2596D"/>
    <w:rsid w:val="00E2640E"/>
    <w:rsid w:val="00E2661F"/>
    <w:rsid w:val="00E312AB"/>
    <w:rsid w:val="00E4677F"/>
    <w:rsid w:val="00E4735B"/>
    <w:rsid w:val="00E503E6"/>
    <w:rsid w:val="00E523D4"/>
    <w:rsid w:val="00E5325B"/>
    <w:rsid w:val="00E53D3D"/>
    <w:rsid w:val="00E56C12"/>
    <w:rsid w:val="00E631E1"/>
    <w:rsid w:val="00E636DC"/>
    <w:rsid w:val="00E66FED"/>
    <w:rsid w:val="00E70C86"/>
    <w:rsid w:val="00E72618"/>
    <w:rsid w:val="00E80173"/>
    <w:rsid w:val="00E8071D"/>
    <w:rsid w:val="00E823E9"/>
    <w:rsid w:val="00E83CA8"/>
    <w:rsid w:val="00E84718"/>
    <w:rsid w:val="00E85EF6"/>
    <w:rsid w:val="00E937DA"/>
    <w:rsid w:val="00E94698"/>
    <w:rsid w:val="00E94943"/>
    <w:rsid w:val="00E96BB6"/>
    <w:rsid w:val="00E97063"/>
    <w:rsid w:val="00EA7311"/>
    <w:rsid w:val="00EB0174"/>
    <w:rsid w:val="00EB2E35"/>
    <w:rsid w:val="00EB65FD"/>
    <w:rsid w:val="00EC37EE"/>
    <w:rsid w:val="00EC436D"/>
    <w:rsid w:val="00EC64D9"/>
    <w:rsid w:val="00ED1F81"/>
    <w:rsid w:val="00ED3E2E"/>
    <w:rsid w:val="00ED5DFD"/>
    <w:rsid w:val="00ED63C8"/>
    <w:rsid w:val="00ED76FA"/>
    <w:rsid w:val="00EE3C8D"/>
    <w:rsid w:val="00EE61CB"/>
    <w:rsid w:val="00EE6AEF"/>
    <w:rsid w:val="00EE6EC1"/>
    <w:rsid w:val="00EF09E9"/>
    <w:rsid w:val="00EF1FDF"/>
    <w:rsid w:val="00EF6872"/>
    <w:rsid w:val="00F077CC"/>
    <w:rsid w:val="00F10CF4"/>
    <w:rsid w:val="00F122F2"/>
    <w:rsid w:val="00F20F7B"/>
    <w:rsid w:val="00F22A47"/>
    <w:rsid w:val="00F3011C"/>
    <w:rsid w:val="00F3144B"/>
    <w:rsid w:val="00F3429B"/>
    <w:rsid w:val="00F37901"/>
    <w:rsid w:val="00F37FC9"/>
    <w:rsid w:val="00F41126"/>
    <w:rsid w:val="00F459FD"/>
    <w:rsid w:val="00F50624"/>
    <w:rsid w:val="00F53098"/>
    <w:rsid w:val="00F53DFB"/>
    <w:rsid w:val="00F54F48"/>
    <w:rsid w:val="00F550D1"/>
    <w:rsid w:val="00F568F0"/>
    <w:rsid w:val="00F60FFD"/>
    <w:rsid w:val="00F61245"/>
    <w:rsid w:val="00F63D52"/>
    <w:rsid w:val="00F6758D"/>
    <w:rsid w:val="00F67A92"/>
    <w:rsid w:val="00F67C82"/>
    <w:rsid w:val="00F67FC6"/>
    <w:rsid w:val="00F71C76"/>
    <w:rsid w:val="00F773E3"/>
    <w:rsid w:val="00F77DD5"/>
    <w:rsid w:val="00F77DEC"/>
    <w:rsid w:val="00F810AC"/>
    <w:rsid w:val="00F810D0"/>
    <w:rsid w:val="00F8503D"/>
    <w:rsid w:val="00F854F3"/>
    <w:rsid w:val="00F90B5D"/>
    <w:rsid w:val="00F91A4E"/>
    <w:rsid w:val="00F9547E"/>
    <w:rsid w:val="00F96D4D"/>
    <w:rsid w:val="00FA34BD"/>
    <w:rsid w:val="00FA5364"/>
    <w:rsid w:val="00FA63BE"/>
    <w:rsid w:val="00FA675D"/>
    <w:rsid w:val="00FA70C1"/>
    <w:rsid w:val="00FB1D8E"/>
    <w:rsid w:val="00FB59E4"/>
    <w:rsid w:val="00FB5F85"/>
    <w:rsid w:val="00FB76C5"/>
    <w:rsid w:val="00FB7B84"/>
    <w:rsid w:val="00FC3EA3"/>
    <w:rsid w:val="00FC4E1F"/>
    <w:rsid w:val="00FC6366"/>
    <w:rsid w:val="00FC6B05"/>
    <w:rsid w:val="00FD0B57"/>
    <w:rsid w:val="00FD0B5D"/>
    <w:rsid w:val="00FD3F71"/>
    <w:rsid w:val="00FD4108"/>
    <w:rsid w:val="00FD72EF"/>
    <w:rsid w:val="00FE414D"/>
    <w:rsid w:val="00FF1EA9"/>
    <w:rsid w:val="00FF44AF"/>
    <w:rsid w:val="00FF4F51"/>
    <w:rsid w:val="00FF7043"/>
    <w:rsid w:val="00FF716A"/>
    <w:rsid w:val="00FF7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D8AC6A"/>
  <w15:docId w15:val="{2CF2338D-9EAE-45CC-ADE3-FB04293BF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2499"/>
    <w:rPr>
      <w:sz w:val="28"/>
      <w:szCs w:val="28"/>
    </w:rPr>
  </w:style>
  <w:style w:type="paragraph" w:styleId="1">
    <w:name w:val="heading 1"/>
    <w:basedOn w:val="a"/>
    <w:next w:val="a"/>
    <w:link w:val="10"/>
    <w:uiPriority w:val="99"/>
    <w:qFormat/>
    <w:rsid w:val="0002454B"/>
    <w:pPr>
      <w:keepNext/>
      <w:tabs>
        <w:tab w:val="num" w:pos="0"/>
      </w:tabs>
      <w:jc w:val="both"/>
      <w:outlineLvl w:val="0"/>
    </w:pPr>
    <w:rPr>
      <w:lang w:val="uk-UA"/>
    </w:rPr>
  </w:style>
  <w:style w:type="paragraph" w:styleId="2">
    <w:name w:val="heading 2"/>
    <w:basedOn w:val="a"/>
    <w:next w:val="a"/>
    <w:link w:val="20"/>
    <w:uiPriority w:val="99"/>
    <w:qFormat/>
    <w:rsid w:val="0002454B"/>
    <w:pPr>
      <w:keepNext/>
      <w:tabs>
        <w:tab w:val="num" w:pos="0"/>
      </w:tabs>
      <w:ind w:right="-313" w:firstLine="709"/>
      <w:jc w:val="both"/>
      <w:outlineLvl w:val="1"/>
    </w:pPr>
    <w:rPr>
      <w:lang w:val="uk-UA"/>
    </w:rPr>
  </w:style>
  <w:style w:type="paragraph" w:styleId="3">
    <w:name w:val="heading 3"/>
    <w:basedOn w:val="a"/>
    <w:next w:val="a"/>
    <w:link w:val="30"/>
    <w:uiPriority w:val="99"/>
    <w:qFormat/>
    <w:rsid w:val="0008332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3F3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9B3F3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9B3F38"/>
    <w:rPr>
      <w:rFonts w:asciiTheme="majorHAnsi" w:eastAsiaTheme="majorEastAsia" w:hAnsiTheme="majorHAnsi" w:cstheme="majorBidi"/>
      <w:b/>
      <w:bCs/>
      <w:sz w:val="26"/>
      <w:szCs w:val="26"/>
    </w:rPr>
  </w:style>
  <w:style w:type="paragraph" w:styleId="a3">
    <w:name w:val="header"/>
    <w:basedOn w:val="a"/>
    <w:link w:val="a4"/>
    <w:uiPriority w:val="99"/>
    <w:rsid w:val="00423CBA"/>
    <w:pPr>
      <w:tabs>
        <w:tab w:val="center" w:pos="4536"/>
        <w:tab w:val="right" w:pos="9072"/>
      </w:tabs>
    </w:pPr>
  </w:style>
  <w:style w:type="character" w:customStyle="1" w:styleId="a4">
    <w:name w:val="Верхній колонтитул Знак"/>
    <w:basedOn w:val="a0"/>
    <w:link w:val="a3"/>
    <w:uiPriority w:val="99"/>
    <w:rsid w:val="009B3F38"/>
    <w:rPr>
      <w:sz w:val="28"/>
      <w:szCs w:val="28"/>
    </w:rPr>
  </w:style>
  <w:style w:type="paragraph" w:styleId="a5">
    <w:name w:val="footer"/>
    <w:basedOn w:val="a"/>
    <w:link w:val="a6"/>
    <w:uiPriority w:val="99"/>
    <w:rsid w:val="00423CBA"/>
    <w:pPr>
      <w:tabs>
        <w:tab w:val="center" w:pos="4536"/>
        <w:tab w:val="right" w:pos="9072"/>
      </w:tabs>
    </w:pPr>
  </w:style>
  <w:style w:type="character" w:customStyle="1" w:styleId="a6">
    <w:name w:val="Нижній колонтитул Знак"/>
    <w:basedOn w:val="a0"/>
    <w:link w:val="a5"/>
    <w:uiPriority w:val="99"/>
    <w:semiHidden/>
    <w:rsid w:val="009B3F38"/>
    <w:rPr>
      <w:sz w:val="28"/>
      <w:szCs w:val="28"/>
    </w:rPr>
  </w:style>
  <w:style w:type="paragraph" w:styleId="a7">
    <w:name w:val="Body Text Indent"/>
    <w:basedOn w:val="a"/>
    <w:link w:val="a8"/>
    <w:uiPriority w:val="99"/>
    <w:rsid w:val="0002454B"/>
    <w:pPr>
      <w:ind w:firstLine="851"/>
      <w:jc w:val="both"/>
    </w:pPr>
    <w:rPr>
      <w:lang w:val="uk-UA"/>
    </w:rPr>
  </w:style>
  <w:style w:type="character" w:customStyle="1" w:styleId="a8">
    <w:name w:val="Основний текст з відступом Знак"/>
    <w:basedOn w:val="a0"/>
    <w:link w:val="a7"/>
    <w:uiPriority w:val="99"/>
    <w:rsid w:val="009B3F38"/>
    <w:rPr>
      <w:sz w:val="28"/>
      <w:szCs w:val="28"/>
    </w:rPr>
  </w:style>
  <w:style w:type="paragraph" w:customStyle="1" w:styleId="11">
    <w:name w:val="Знак Знак Знак Знак Знак Знак Знак Знак1 Знак Знак Знак Знак Знак Знак Знак Знак"/>
    <w:basedOn w:val="a"/>
    <w:uiPriority w:val="99"/>
    <w:rsid w:val="0002454B"/>
    <w:rPr>
      <w:rFonts w:ascii="Verdana" w:hAnsi="Verdana" w:cs="Verdana"/>
      <w:sz w:val="20"/>
      <w:szCs w:val="20"/>
      <w:lang w:val="en-US" w:eastAsia="en-US"/>
    </w:rPr>
  </w:style>
  <w:style w:type="paragraph" w:styleId="31">
    <w:name w:val="Body Text Indent 3"/>
    <w:basedOn w:val="a"/>
    <w:link w:val="32"/>
    <w:uiPriority w:val="99"/>
    <w:rsid w:val="0002454B"/>
    <w:pPr>
      <w:spacing w:after="120"/>
      <w:ind w:left="283"/>
    </w:pPr>
    <w:rPr>
      <w:sz w:val="16"/>
      <w:szCs w:val="16"/>
    </w:rPr>
  </w:style>
  <w:style w:type="character" w:customStyle="1" w:styleId="32">
    <w:name w:val="Основний текст з відступом 3 Знак"/>
    <w:basedOn w:val="a0"/>
    <w:link w:val="31"/>
    <w:uiPriority w:val="99"/>
    <w:semiHidden/>
    <w:rsid w:val="009B3F38"/>
    <w:rPr>
      <w:sz w:val="16"/>
      <w:szCs w:val="16"/>
    </w:rPr>
  </w:style>
  <w:style w:type="paragraph" w:customStyle="1" w:styleId="a9">
    <w:name w:val="Знак Знак Знак Знак Знак Знак Знак Знак"/>
    <w:basedOn w:val="a"/>
    <w:uiPriority w:val="99"/>
    <w:rsid w:val="00005021"/>
    <w:rPr>
      <w:rFonts w:ascii="Verdana" w:hAnsi="Verdana" w:cs="Verdana"/>
      <w:sz w:val="20"/>
      <w:szCs w:val="20"/>
      <w:lang w:val="en-US" w:eastAsia="en-US"/>
    </w:rPr>
  </w:style>
  <w:style w:type="paragraph" w:customStyle="1" w:styleId="aa">
    <w:name w:val="Знак Знак Знак Знак Знак Знак Знак Знак Знак Знак Знак Знак"/>
    <w:basedOn w:val="a"/>
    <w:uiPriority w:val="99"/>
    <w:rsid w:val="007663D6"/>
    <w:rPr>
      <w:rFonts w:ascii="Verdana" w:hAnsi="Verdana" w:cs="Verdana"/>
      <w:sz w:val="20"/>
      <w:szCs w:val="20"/>
      <w:lang w:val="en-US" w:eastAsia="en-US"/>
    </w:rPr>
  </w:style>
  <w:style w:type="paragraph" w:customStyle="1" w:styleId="ab">
    <w:name w:val="Знак Знак Знак Знак"/>
    <w:basedOn w:val="a"/>
    <w:uiPriority w:val="99"/>
    <w:rsid w:val="00E312AB"/>
    <w:rPr>
      <w:rFonts w:ascii="Verdana" w:hAnsi="Verdana" w:cs="Verdana"/>
      <w:sz w:val="20"/>
      <w:szCs w:val="20"/>
      <w:lang w:val="en-US" w:eastAsia="en-US"/>
    </w:rPr>
  </w:style>
  <w:style w:type="paragraph" w:customStyle="1" w:styleId="12">
    <w:name w:val="Знак Знак Знак Знак1"/>
    <w:basedOn w:val="a"/>
    <w:uiPriority w:val="99"/>
    <w:rsid w:val="005F6CDD"/>
    <w:rPr>
      <w:rFonts w:ascii="Verdana" w:hAnsi="Verdana" w:cs="Verdana"/>
      <w:sz w:val="20"/>
      <w:szCs w:val="20"/>
      <w:lang w:val="en-US" w:eastAsia="en-US"/>
    </w:rPr>
  </w:style>
  <w:style w:type="paragraph" w:customStyle="1" w:styleId="ac">
    <w:name w:val="Знак Знак Знак Знак Знак Знак Знак Знак Знак Знак Знак Знак Знак Знак Знак Знак"/>
    <w:basedOn w:val="a"/>
    <w:uiPriority w:val="99"/>
    <w:rsid w:val="003E0B16"/>
    <w:rPr>
      <w:rFonts w:ascii="Verdana" w:hAnsi="Verdana" w:cs="Verdana"/>
      <w:sz w:val="20"/>
      <w:szCs w:val="20"/>
      <w:lang w:val="en-US" w:eastAsia="en-US"/>
    </w:rPr>
  </w:style>
  <w:style w:type="paragraph" w:customStyle="1" w:styleId="33">
    <w:name w:val="ком3"/>
    <w:basedOn w:val="a"/>
    <w:link w:val="34"/>
    <w:uiPriority w:val="99"/>
    <w:rsid w:val="0014664B"/>
    <w:pPr>
      <w:jc w:val="center"/>
    </w:pPr>
    <w:rPr>
      <w:b/>
      <w:bCs/>
      <w:color w:val="0000FF"/>
      <w:shd w:val="clear" w:color="auto" w:fill="FFFFFF"/>
      <w:lang w:val="uk-UA"/>
    </w:rPr>
  </w:style>
  <w:style w:type="character" w:customStyle="1" w:styleId="34">
    <w:name w:val="ком3 Знак"/>
    <w:link w:val="33"/>
    <w:uiPriority w:val="99"/>
    <w:locked/>
    <w:rsid w:val="0014664B"/>
    <w:rPr>
      <w:b/>
      <w:bCs/>
      <w:color w:val="0000FF"/>
      <w:sz w:val="28"/>
      <w:szCs w:val="28"/>
      <w:shd w:val="clear" w:color="auto" w:fill="FFFFFF"/>
      <w:lang w:val="uk-UA" w:eastAsia="ru-RU"/>
    </w:rPr>
  </w:style>
  <w:style w:type="paragraph" w:customStyle="1" w:styleId="ad">
    <w:name w:val="Знак"/>
    <w:basedOn w:val="a"/>
    <w:uiPriority w:val="99"/>
    <w:rsid w:val="0014664B"/>
    <w:rPr>
      <w:rFonts w:ascii="Verdana" w:hAnsi="Verdana" w:cs="Verdana"/>
      <w:sz w:val="20"/>
      <w:szCs w:val="20"/>
      <w:lang w:val="en-US" w:eastAsia="en-US"/>
    </w:rPr>
  </w:style>
  <w:style w:type="paragraph" w:customStyle="1" w:styleId="ae">
    <w:name w:val="Знак Знак Знак Знак Знак Знак Знак Знак Знак Знак"/>
    <w:basedOn w:val="a"/>
    <w:uiPriority w:val="99"/>
    <w:rsid w:val="00220B5E"/>
    <w:rPr>
      <w:rFonts w:ascii="Verdana" w:hAnsi="Verdana" w:cs="Verdana"/>
      <w:sz w:val="20"/>
      <w:szCs w:val="20"/>
      <w:lang w:val="en-US" w:eastAsia="en-US"/>
    </w:rPr>
  </w:style>
  <w:style w:type="paragraph" w:customStyle="1" w:styleId="13">
    <w:name w:val="Знак Знак Знак Знак Знак Знак Знак Знак1 Знак Знак Знак Знак"/>
    <w:basedOn w:val="a"/>
    <w:uiPriority w:val="99"/>
    <w:rsid w:val="006A2CD8"/>
    <w:rPr>
      <w:rFonts w:ascii="Verdana" w:hAnsi="Verdana" w:cs="Verdana"/>
      <w:sz w:val="20"/>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w:basedOn w:val="a"/>
    <w:uiPriority w:val="99"/>
    <w:rsid w:val="00565872"/>
    <w:rPr>
      <w:rFonts w:ascii="Verdana" w:hAnsi="Verdana" w:cs="Verdana"/>
      <w:sz w:val="20"/>
      <w:szCs w:val="20"/>
      <w:lang w:val="en-US" w:eastAsia="en-US"/>
    </w:rPr>
  </w:style>
  <w:style w:type="paragraph" w:styleId="af0">
    <w:name w:val="Normal (Web)"/>
    <w:basedOn w:val="a"/>
    <w:uiPriority w:val="99"/>
    <w:rsid w:val="00104945"/>
    <w:pPr>
      <w:spacing w:before="100" w:beforeAutospacing="1" w:after="100" w:afterAutospacing="1"/>
    </w:pPr>
    <w:rPr>
      <w:sz w:val="24"/>
      <w:szCs w:val="24"/>
    </w:rPr>
  </w:style>
  <w:style w:type="paragraph" w:customStyle="1" w:styleId="21">
    <w:name w:val="Основний текст 21"/>
    <w:basedOn w:val="a"/>
    <w:uiPriority w:val="99"/>
    <w:rsid w:val="00A32E41"/>
    <w:pPr>
      <w:ind w:firstLine="708"/>
      <w:jc w:val="both"/>
    </w:pPr>
    <w:rPr>
      <w:lang w:val="uk-UA"/>
    </w:rPr>
  </w:style>
  <w:style w:type="paragraph" w:customStyle="1" w:styleId="14">
    <w:name w:val="Знак Знак Знак Знак Знак Знак Знак Знак1 Знак Знак Знак Знак Знак Знак Знак Знак Знак Знак Знак Знак Знак Знак"/>
    <w:basedOn w:val="a"/>
    <w:uiPriority w:val="99"/>
    <w:rsid w:val="003047AD"/>
    <w:rPr>
      <w:rFonts w:ascii="Verdana" w:hAnsi="Verdana" w:cs="Verdana"/>
      <w:sz w:val="20"/>
      <w:szCs w:val="20"/>
      <w:lang w:val="en-US" w:eastAsia="en-US"/>
    </w:rPr>
  </w:style>
  <w:style w:type="paragraph" w:styleId="af1">
    <w:name w:val="Body Text"/>
    <w:basedOn w:val="a"/>
    <w:link w:val="af2"/>
    <w:uiPriority w:val="99"/>
    <w:rsid w:val="003047AD"/>
    <w:pPr>
      <w:spacing w:after="120"/>
    </w:pPr>
  </w:style>
  <w:style w:type="character" w:customStyle="1" w:styleId="af2">
    <w:name w:val="Основний текст Знак"/>
    <w:basedOn w:val="a0"/>
    <w:link w:val="af1"/>
    <w:uiPriority w:val="99"/>
    <w:semiHidden/>
    <w:rsid w:val="009B3F38"/>
    <w:rPr>
      <w:sz w:val="28"/>
      <w:szCs w:val="28"/>
    </w:rPr>
  </w:style>
  <w:style w:type="paragraph" w:customStyle="1" w:styleId="af3">
    <w:name w:val="Знак Знак"/>
    <w:basedOn w:val="a"/>
    <w:uiPriority w:val="99"/>
    <w:rsid w:val="007A7C5E"/>
    <w:rPr>
      <w:rFonts w:ascii="Verdana" w:hAnsi="Verdana" w:cs="Verdana"/>
      <w:sz w:val="20"/>
      <w:szCs w:val="20"/>
      <w:lang w:val="en-US" w:eastAsia="en-US"/>
    </w:rPr>
  </w:style>
  <w:style w:type="paragraph" w:styleId="af4">
    <w:name w:val="Balloon Text"/>
    <w:basedOn w:val="a"/>
    <w:link w:val="af5"/>
    <w:uiPriority w:val="99"/>
    <w:semiHidden/>
    <w:rsid w:val="00C94510"/>
    <w:rPr>
      <w:rFonts w:ascii="Tahoma" w:hAnsi="Tahoma" w:cs="Tahoma"/>
      <w:sz w:val="16"/>
      <w:szCs w:val="16"/>
    </w:rPr>
  </w:style>
  <w:style w:type="character" w:customStyle="1" w:styleId="af5">
    <w:name w:val="Текст у виносці Знак"/>
    <w:basedOn w:val="a0"/>
    <w:link w:val="af4"/>
    <w:uiPriority w:val="99"/>
    <w:semiHidden/>
    <w:rsid w:val="009B3F38"/>
    <w:rPr>
      <w:sz w:val="0"/>
      <w:szCs w:val="0"/>
    </w:rPr>
  </w:style>
  <w:style w:type="table" w:styleId="af6">
    <w:name w:val="Table Grid"/>
    <w:basedOn w:val="a1"/>
    <w:uiPriority w:val="99"/>
    <w:rsid w:val="0052255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 Знак Знак Знак Знак Знак1 Знак Знак Знак Знак Знак Знак Знак Знак Знак Знак Знак Знак"/>
    <w:basedOn w:val="a"/>
    <w:uiPriority w:val="99"/>
    <w:rsid w:val="00B94C2E"/>
    <w:rPr>
      <w:rFonts w:ascii="Verdana" w:hAnsi="Verdana" w:cs="Verdana"/>
      <w:sz w:val="20"/>
      <w:szCs w:val="20"/>
      <w:lang w:val="en-US" w:eastAsia="en-US"/>
    </w:rPr>
  </w:style>
  <w:style w:type="character" w:styleId="af7">
    <w:name w:val="Strong"/>
    <w:basedOn w:val="a0"/>
    <w:uiPriority w:val="99"/>
    <w:qFormat/>
    <w:rsid w:val="00991B9E"/>
    <w:rPr>
      <w:b/>
      <w:bCs/>
    </w:rPr>
  </w:style>
  <w:style w:type="character" w:styleId="af8">
    <w:name w:val="Hyperlink"/>
    <w:basedOn w:val="a0"/>
    <w:uiPriority w:val="99"/>
    <w:rsid w:val="00991B9E"/>
    <w:rPr>
      <w:color w:val="0000FF"/>
      <w:u w:val="single"/>
    </w:rPr>
  </w:style>
  <w:style w:type="character" w:customStyle="1" w:styleId="apple-converted-space">
    <w:name w:val="apple-converted-space"/>
    <w:basedOn w:val="a0"/>
    <w:uiPriority w:val="99"/>
    <w:rsid w:val="00991B9E"/>
  </w:style>
  <w:style w:type="paragraph" w:customStyle="1" w:styleId="16">
    <w:name w:val="Знак Знак1 Знак Знак Знак"/>
    <w:basedOn w:val="a"/>
    <w:uiPriority w:val="99"/>
    <w:rsid w:val="004C0F20"/>
    <w:rPr>
      <w:rFonts w:ascii="Verdana" w:hAnsi="Verdana" w:cs="Verdana"/>
      <w:sz w:val="20"/>
      <w:szCs w:val="20"/>
      <w:lang w:val="en-US" w:eastAsia="en-US"/>
    </w:rPr>
  </w:style>
  <w:style w:type="paragraph" w:customStyle="1" w:styleId="17">
    <w:name w:val="Абзац списку1"/>
    <w:basedOn w:val="a"/>
    <w:uiPriority w:val="99"/>
    <w:rsid w:val="00835961"/>
    <w:pPr>
      <w:spacing w:after="200" w:line="276" w:lineRule="auto"/>
      <w:ind w:left="720"/>
    </w:pPr>
    <w:rPr>
      <w:rFonts w:ascii="Calibri" w:hAnsi="Calibri" w:cs="Calibri"/>
      <w:sz w:val="22"/>
      <w:szCs w:val="22"/>
      <w:lang w:val="uk-UA" w:eastAsia="en-US"/>
    </w:rPr>
  </w:style>
  <w:style w:type="character" w:customStyle="1" w:styleId="FontStyle">
    <w:name w:val="Font Style"/>
    <w:uiPriority w:val="99"/>
    <w:rsid w:val="00835961"/>
    <w:rPr>
      <w:color w:val="000000"/>
    </w:rPr>
  </w:style>
  <w:style w:type="character" w:customStyle="1" w:styleId="spelle">
    <w:name w:val="spelle"/>
    <w:rsid w:val="00083326"/>
  </w:style>
  <w:style w:type="character" w:customStyle="1" w:styleId="grame">
    <w:name w:val="grame"/>
    <w:rsid w:val="00083326"/>
  </w:style>
  <w:style w:type="character" w:customStyle="1" w:styleId="st">
    <w:name w:val="st"/>
    <w:basedOn w:val="a0"/>
    <w:uiPriority w:val="99"/>
    <w:rsid w:val="00D94748"/>
  </w:style>
  <w:style w:type="character" w:styleId="af9">
    <w:name w:val="Emphasis"/>
    <w:basedOn w:val="a0"/>
    <w:uiPriority w:val="99"/>
    <w:qFormat/>
    <w:rsid w:val="00D94748"/>
    <w:rPr>
      <w:i/>
      <w:iCs/>
    </w:rPr>
  </w:style>
  <w:style w:type="paragraph" w:customStyle="1" w:styleId="22">
    <w:name w:val="Знак Знак2 Знак"/>
    <w:basedOn w:val="a"/>
    <w:uiPriority w:val="99"/>
    <w:rsid w:val="001A4CE8"/>
    <w:rPr>
      <w:rFonts w:ascii="Verdana" w:hAnsi="Verdana" w:cs="Verdana"/>
      <w:sz w:val="20"/>
      <w:szCs w:val="20"/>
      <w:lang w:val="en-US" w:eastAsia="en-US"/>
    </w:rPr>
  </w:style>
  <w:style w:type="paragraph" w:customStyle="1" w:styleId="Normalwithoutnum">
    <w:name w:val="Normal without num"/>
    <w:basedOn w:val="a"/>
    <w:uiPriority w:val="99"/>
    <w:rsid w:val="00A70657"/>
    <w:pPr>
      <w:widowControl w:val="0"/>
      <w:ind w:firstLine="851"/>
      <w:jc w:val="both"/>
      <w:outlineLvl w:val="2"/>
    </w:pPr>
    <w:rPr>
      <w:lang w:val="uk-UA" w:eastAsia="en-US"/>
    </w:rPr>
  </w:style>
  <w:style w:type="paragraph" w:customStyle="1" w:styleId="Normalnumbering">
    <w:name w:val="Normal numbering"/>
    <w:basedOn w:val="a"/>
    <w:link w:val="NormalnumberingChar"/>
    <w:uiPriority w:val="99"/>
    <w:rsid w:val="00A70657"/>
    <w:pPr>
      <w:widowControl w:val="0"/>
      <w:spacing w:before="120" w:after="120"/>
      <w:ind w:firstLine="851"/>
      <w:jc w:val="both"/>
      <w:outlineLvl w:val="0"/>
    </w:pPr>
    <w:rPr>
      <w:lang w:eastAsia="en-US"/>
    </w:rPr>
  </w:style>
  <w:style w:type="character" w:customStyle="1" w:styleId="NormalnumberingChar">
    <w:name w:val="Normal numbering Char"/>
    <w:link w:val="Normalnumbering"/>
    <w:uiPriority w:val="99"/>
    <w:locked/>
    <w:rsid w:val="00A70657"/>
    <w:rPr>
      <w:rFonts w:eastAsia="Times New Roman"/>
      <w:sz w:val="24"/>
      <w:szCs w:val="24"/>
      <w:lang w:val="ru-RU" w:eastAsia="en-US"/>
    </w:rPr>
  </w:style>
  <w:style w:type="paragraph" w:customStyle="1" w:styleId="afa">
    <w:name w:val="Обычный буквенный список"/>
    <w:basedOn w:val="a"/>
    <w:uiPriority w:val="99"/>
    <w:rsid w:val="00A70657"/>
    <w:pPr>
      <w:widowControl w:val="0"/>
      <w:tabs>
        <w:tab w:val="left" w:pos="1701"/>
      </w:tabs>
      <w:ind w:firstLine="851"/>
      <w:jc w:val="both"/>
      <w:outlineLvl w:val="2"/>
    </w:pPr>
    <w:rPr>
      <w:lang w:eastAsia="en-US"/>
    </w:rPr>
  </w:style>
  <w:style w:type="numbering" w:customStyle="1" w:styleId="newnumbering">
    <w:name w:val="new numbering"/>
    <w:rsid w:val="009B3F38"/>
    <w:pPr>
      <w:numPr>
        <w:numId w:val="8"/>
      </w:numPr>
    </w:pPr>
  </w:style>
  <w:style w:type="paragraph" w:customStyle="1" w:styleId="rvps2">
    <w:name w:val="rvps2"/>
    <w:basedOn w:val="a"/>
    <w:rsid w:val="00A25702"/>
    <w:pPr>
      <w:spacing w:before="100" w:beforeAutospacing="1" w:after="100" w:afterAutospacing="1"/>
    </w:pPr>
    <w:rPr>
      <w:sz w:val="24"/>
      <w:szCs w:val="24"/>
    </w:rPr>
  </w:style>
  <w:style w:type="paragraph" w:customStyle="1" w:styleId="23">
    <w:name w:val="Знак Знак2 Знак"/>
    <w:basedOn w:val="a"/>
    <w:rsid w:val="007D5523"/>
    <w:rPr>
      <w:rFonts w:ascii="Verdana" w:hAnsi="Verdana" w:cs="Verdana"/>
      <w:sz w:val="20"/>
      <w:szCs w:val="20"/>
      <w:lang w:val="en-US" w:eastAsia="en-US"/>
    </w:rPr>
  </w:style>
  <w:style w:type="paragraph" w:customStyle="1" w:styleId="afb">
    <w:name w:val="Обычный додатки"/>
    <w:basedOn w:val="a"/>
    <w:qFormat/>
    <w:rsid w:val="007F7B7E"/>
    <w:pPr>
      <w:widowControl w:val="0"/>
      <w:tabs>
        <w:tab w:val="left" w:pos="1701"/>
      </w:tabs>
      <w:spacing w:before="120" w:after="120"/>
      <w:jc w:val="both"/>
      <w:outlineLvl w:val="2"/>
    </w:pPr>
    <w:rPr>
      <w:rFonts w:eastAsia="Calibri"/>
      <w:lang w:val="uk-UA" w:eastAsia="en-US"/>
    </w:rPr>
  </w:style>
  <w:style w:type="paragraph" w:styleId="afc">
    <w:name w:val="List Paragraph"/>
    <w:basedOn w:val="a"/>
    <w:uiPriority w:val="34"/>
    <w:qFormat/>
    <w:rsid w:val="00E104D5"/>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24">
    <w:name w:val="Знак Знак2 Знак"/>
    <w:basedOn w:val="a"/>
    <w:rsid w:val="00740AA3"/>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515360">
      <w:marLeft w:val="0"/>
      <w:marRight w:val="0"/>
      <w:marTop w:val="0"/>
      <w:marBottom w:val="0"/>
      <w:divBdr>
        <w:top w:val="none" w:sz="0" w:space="0" w:color="auto"/>
        <w:left w:val="none" w:sz="0" w:space="0" w:color="auto"/>
        <w:bottom w:val="none" w:sz="0" w:space="0" w:color="auto"/>
        <w:right w:val="none" w:sz="0" w:space="0" w:color="auto"/>
      </w:divBdr>
    </w:div>
    <w:div w:id="238515361">
      <w:marLeft w:val="0"/>
      <w:marRight w:val="0"/>
      <w:marTop w:val="0"/>
      <w:marBottom w:val="0"/>
      <w:divBdr>
        <w:top w:val="none" w:sz="0" w:space="0" w:color="auto"/>
        <w:left w:val="none" w:sz="0" w:space="0" w:color="auto"/>
        <w:bottom w:val="none" w:sz="0" w:space="0" w:color="auto"/>
        <w:right w:val="none" w:sz="0" w:space="0" w:color="auto"/>
      </w:divBdr>
    </w:div>
    <w:div w:id="238515362">
      <w:marLeft w:val="0"/>
      <w:marRight w:val="0"/>
      <w:marTop w:val="0"/>
      <w:marBottom w:val="0"/>
      <w:divBdr>
        <w:top w:val="none" w:sz="0" w:space="0" w:color="auto"/>
        <w:left w:val="none" w:sz="0" w:space="0" w:color="auto"/>
        <w:bottom w:val="none" w:sz="0" w:space="0" w:color="auto"/>
        <w:right w:val="none" w:sz="0" w:space="0" w:color="auto"/>
      </w:divBdr>
    </w:div>
    <w:div w:id="728891477">
      <w:bodyDiv w:val="1"/>
      <w:marLeft w:val="0"/>
      <w:marRight w:val="0"/>
      <w:marTop w:val="0"/>
      <w:marBottom w:val="0"/>
      <w:divBdr>
        <w:top w:val="none" w:sz="0" w:space="0" w:color="auto"/>
        <w:left w:val="none" w:sz="0" w:space="0" w:color="auto"/>
        <w:bottom w:val="none" w:sz="0" w:space="0" w:color="auto"/>
        <w:right w:val="none" w:sz="0" w:space="0" w:color="auto"/>
      </w:divBdr>
    </w:div>
    <w:div w:id="917206154">
      <w:bodyDiv w:val="1"/>
      <w:marLeft w:val="0"/>
      <w:marRight w:val="0"/>
      <w:marTop w:val="0"/>
      <w:marBottom w:val="0"/>
      <w:divBdr>
        <w:top w:val="none" w:sz="0" w:space="0" w:color="auto"/>
        <w:left w:val="none" w:sz="0" w:space="0" w:color="auto"/>
        <w:bottom w:val="none" w:sz="0" w:space="0" w:color="auto"/>
        <w:right w:val="none" w:sz="0" w:space="0" w:color="auto"/>
      </w:divBdr>
    </w:div>
    <w:div w:id="185187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1.c1.rada.gov.ua/pls/zweb2/webproc4_1?pf3511=7155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erc.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C141B-5E8F-4372-8327-CF6915AAD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1573</Words>
  <Characters>8972</Characters>
  <Application>Microsoft Office Word</Application>
  <DocSecurity>0</DocSecurity>
  <Lines>74</Lines>
  <Paragraphs>21</Paragraphs>
  <ScaleCrop>false</ScaleCrop>
  <HeadingPairs>
    <vt:vector size="2" baseType="variant">
      <vt:variant>
        <vt:lpstr>Назва</vt:lpstr>
      </vt:variant>
      <vt:variant>
        <vt:i4>1</vt:i4>
      </vt:variant>
    </vt:vector>
  </HeadingPairs>
  <TitlesOfParts>
    <vt:vector size="1" baseType="lpstr">
      <vt:lpstr> </vt:lpstr>
    </vt:vector>
  </TitlesOfParts>
  <Company>NERC</Company>
  <LinksUpToDate>false</LinksUpToDate>
  <CharactersWithSpaces>10524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work</dc:creator>
  <cp:keywords/>
  <dc:description/>
  <cp:lastModifiedBy>Любов Плахута</cp:lastModifiedBy>
  <cp:revision>13</cp:revision>
  <cp:lastPrinted>2021-12-08T13:16:00Z</cp:lastPrinted>
  <dcterms:created xsi:type="dcterms:W3CDTF">2023-06-20T13:40:00Z</dcterms:created>
  <dcterms:modified xsi:type="dcterms:W3CDTF">2023-06-22T08:36:00Z</dcterms:modified>
</cp:coreProperties>
</file>