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72B03" w14:textId="77777777" w:rsidR="00363DC0" w:rsidRDefault="00363DC0" w:rsidP="00D91C74">
      <w:pPr>
        <w:spacing w:after="0"/>
        <w:jc w:val="center"/>
        <w:rPr>
          <w:rFonts w:ascii="Times New Roman" w:hAnsi="Times New Roman" w:cs="Times New Roman"/>
          <w:b/>
          <w:sz w:val="28"/>
          <w:szCs w:val="28"/>
        </w:rPr>
      </w:pPr>
      <w:bookmarkStart w:id="0" w:name="_GoBack"/>
      <w:bookmarkEnd w:id="0"/>
      <w:r w:rsidRPr="00943DFD">
        <w:rPr>
          <w:rFonts w:ascii="Times New Roman" w:hAnsi="Times New Roman" w:cs="Times New Roman"/>
          <w:b/>
          <w:sz w:val="28"/>
          <w:szCs w:val="28"/>
        </w:rPr>
        <w:t xml:space="preserve">АНАЛІЗ ВПЛИВУ </w:t>
      </w:r>
    </w:p>
    <w:p w14:paraId="5699CA96" w14:textId="77777777" w:rsidR="00B55CBF" w:rsidRPr="008F5F46" w:rsidRDefault="00DC1500" w:rsidP="00B55CBF">
      <w:pPr>
        <w:spacing w:after="0"/>
        <w:jc w:val="center"/>
        <w:rPr>
          <w:rFonts w:ascii="Times New Roman" w:hAnsi="Times New Roman" w:cs="Times New Roman"/>
          <w:b/>
          <w:sz w:val="28"/>
          <w:szCs w:val="28"/>
        </w:rPr>
      </w:pPr>
      <w:r w:rsidRPr="00943DFD">
        <w:rPr>
          <w:rFonts w:ascii="Times New Roman" w:hAnsi="Times New Roman" w:cs="Times New Roman"/>
          <w:b/>
          <w:sz w:val="28"/>
          <w:szCs w:val="28"/>
        </w:rPr>
        <w:t>про</w:t>
      </w:r>
      <w:r w:rsidR="004E2EFB" w:rsidRPr="00943DFD">
        <w:rPr>
          <w:rFonts w:ascii="Times New Roman" w:hAnsi="Times New Roman" w:cs="Times New Roman"/>
          <w:b/>
          <w:sz w:val="28"/>
          <w:szCs w:val="28"/>
        </w:rPr>
        <w:t>є</w:t>
      </w:r>
      <w:r w:rsidRPr="00943DFD">
        <w:rPr>
          <w:rFonts w:ascii="Times New Roman" w:hAnsi="Times New Roman" w:cs="Times New Roman"/>
          <w:b/>
          <w:sz w:val="28"/>
          <w:szCs w:val="28"/>
        </w:rPr>
        <w:t xml:space="preserve">кту  </w:t>
      </w:r>
      <w:r w:rsidR="00F312F8">
        <w:rPr>
          <w:rFonts w:ascii="Times New Roman" w:hAnsi="Times New Roman" w:cs="Times New Roman"/>
          <w:b/>
          <w:sz w:val="28"/>
          <w:szCs w:val="28"/>
        </w:rPr>
        <w:t xml:space="preserve">рішення </w:t>
      </w:r>
      <w:r w:rsidRPr="00943DFD">
        <w:rPr>
          <w:rFonts w:ascii="Times New Roman" w:hAnsi="Times New Roman" w:cs="Times New Roman"/>
          <w:b/>
          <w:sz w:val="28"/>
          <w:szCs w:val="28"/>
        </w:rPr>
        <w:t>НКРЕКП</w:t>
      </w:r>
      <w:r w:rsidR="00F312F8">
        <w:rPr>
          <w:rFonts w:ascii="Times New Roman" w:hAnsi="Times New Roman" w:cs="Times New Roman"/>
          <w:b/>
          <w:sz w:val="28"/>
          <w:szCs w:val="28"/>
        </w:rPr>
        <w:t>,</w:t>
      </w:r>
      <w:r w:rsidRPr="00943DFD">
        <w:rPr>
          <w:rFonts w:ascii="Times New Roman" w:hAnsi="Times New Roman" w:cs="Times New Roman"/>
          <w:b/>
          <w:sz w:val="28"/>
          <w:szCs w:val="28"/>
        </w:rPr>
        <w:t xml:space="preserve"> </w:t>
      </w:r>
      <w:r w:rsidR="00F312F8" w:rsidRPr="00D165E3">
        <w:rPr>
          <w:rFonts w:ascii="Times New Roman" w:hAnsi="Times New Roman" w:cs="Times New Roman"/>
          <w:b/>
          <w:sz w:val="28"/>
          <w:szCs w:val="28"/>
        </w:rPr>
        <w:t xml:space="preserve">що має ознаки регуляторного </w:t>
      </w:r>
      <w:proofErr w:type="spellStart"/>
      <w:r w:rsidR="00F312F8" w:rsidRPr="00D165E3">
        <w:rPr>
          <w:rFonts w:ascii="Times New Roman" w:hAnsi="Times New Roman" w:cs="Times New Roman"/>
          <w:b/>
          <w:sz w:val="28"/>
          <w:szCs w:val="28"/>
        </w:rPr>
        <w:t>акта</w:t>
      </w:r>
      <w:proofErr w:type="spellEnd"/>
      <w:r w:rsidR="00F312F8">
        <w:rPr>
          <w:rFonts w:ascii="Times New Roman" w:hAnsi="Times New Roman" w:cs="Times New Roman"/>
          <w:b/>
          <w:sz w:val="28"/>
          <w:szCs w:val="28"/>
        </w:rPr>
        <w:t>,</w:t>
      </w:r>
      <w:r w:rsidR="00B55CBF">
        <w:rPr>
          <w:rFonts w:ascii="Times New Roman" w:hAnsi="Times New Roman" w:cs="Times New Roman"/>
          <w:b/>
          <w:sz w:val="28"/>
          <w:szCs w:val="28"/>
        </w:rPr>
        <w:t xml:space="preserve"> –</w:t>
      </w:r>
    </w:p>
    <w:p w14:paraId="64FDB4AE" w14:textId="77777777" w:rsidR="00363DC0" w:rsidRPr="00655780" w:rsidRDefault="00F312F8" w:rsidP="00D91C74">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проєкту постанови НКРЕКП </w:t>
      </w:r>
      <w:r w:rsidR="00655780" w:rsidRPr="00655780">
        <w:rPr>
          <w:rFonts w:ascii="Times New Roman" w:hAnsi="Times New Roman" w:cs="Times New Roman"/>
          <w:b/>
          <w:sz w:val="28"/>
          <w:szCs w:val="28"/>
        </w:rPr>
        <w:t>«Про внесення зміни до Порядку визначення регуляторної бази активів суб’єктів природних монополій у сфері електроенергетики»</w:t>
      </w:r>
    </w:p>
    <w:p w14:paraId="74096F65" w14:textId="77777777" w:rsidR="00DC1500" w:rsidRPr="008F5F46" w:rsidRDefault="00DC1500" w:rsidP="00D91C74">
      <w:pPr>
        <w:spacing w:after="0"/>
        <w:jc w:val="center"/>
        <w:rPr>
          <w:rFonts w:ascii="Times New Roman" w:hAnsi="Times New Roman" w:cs="Times New Roman"/>
          <w:b/>
          <w:sz w:val="28"/>
          <w:szCs w:val="28"/>
        </w:rPr>
      </w:pPr>
    </w:p>
    <w:p w14:paraId="29035D05" w14:textId="77777777" w:rsidR="008F5F46" w:rsidRPr="00D165E3" w:rsidRDefault="008F5F46" w:rsidP="00A33081">
      <w:pPr>
        <w:spacing w:after="0" w:line="240" w:lineRule="auto"/>
        <w:jc w:val="center"/>
        <w:rPr>
          <w:rFonts w:ascii="Times New Roman" w:hAnsi="Times New Roman" w:cs="Times New Roman"/>
          <w:b/>
          <w:sz w:val="28"/>
          <w:szCs w:val="28"/>
        </w:rPr>
      </w:pPr>
    </w:p>
    <w:p w14:paraId="01144EE1" w14:textId="77777777" w:rsidR="00DC1500" w:rsidRPr="00943DFD" w:rsidRDefault="00DC1500" w:rsidP="00A33081">
      <w:pPr>
        <w:spacing w:after="0" w:line="240" w:lineRule="auto"/>
        <w:jc w:val="center"/>
        <w:rPr>
          <w:rFonts w:ascii="Times New Roman" w:hAnsi="Times New Roman" w:cs="Times New Roman"/>
          <w:b/>
          <w:bCs/>
          <w:sz w:val="28"/>
          <w:szCs w:val="28"/>
        </w:rPr>
      </w:pPr>
      <w:r w:rsidRPr="00943DFD">
        <w:rPr>
          <w:rFonts w:ascii="Times New Roman" w:hAnsi="Times New Roman" w:cs="Times New Roman"/>
          <w:b/>
          <w:bCs/>
          <w:sz w:val="28"/>
          <w:szCs w:val="28"/>
        </w:rPr>
        <w:t>I. Визначення проблеми</w:t>
      </w:r>
    </w:p>
    <w:p w14:paraId="0322BAD9" w14:textId="77777777" w:rsidR="00DC1500" w:rsidRPr="00943DFD" w:rsidRDefault="00DC1500" w:rsidP="00B719CF">
      <w:pPr>
        <w:spacing w:after="0" w:line="240" w:lineRule="auto"/>
        <w:ind w:firstLine="567"/>
        <w:jc w:val="center"/>
        <w:rPr>
          <w:rFonts w:ascii="Times New Roman" w:hAnsi="Times New Roman" w:cs="Times New Roman"/>
          <w:b/>
          <w:bCs/>
          <w:sz w:val="28"/>
          <w:szCs w:val="28"/>
        </w:rPr>
      </w:pPr>
    </w:p>
    <w:p w14:paraId="6666D7A5" w14:textId="772B58CF" w:rsidR="00BC477D" w:rsidRPr="00655780" w:rsidRDefault="00BC477D" w:rsidP="00BC477D">
      <w:pPr>
        <w:spacing w:after="0" w:line="240" w:lineRule="auto"/>
        <w:ind w:firstLine="709"/>
        <w:jc w:val="both"/>
        <w:rPr>
          <w:rFonts w:ascii="Times New Roman" w:hAnsi="Times New Roman" w:cs="Times New Roman"/>
          <w:bCs/>
          <w:sz w:val="28"/>
          <w:szCs w:val="28"/>
        </w:rPr>
      </w:pPr>
      <w:r w:rsidRPr="00BC477D">
        <w:rPr>
          <w:rFonts w:ascii="Times New Roman" w:hAnsi="Times New Roman" w:cs="Times New Roman"/>
          <w:bCs/>
          <w:sz w:val="28"/>
          <w:szCs w:val="28"/>
        </w:rPr>
        <w:t>Відповідно до законів України «Про Національну комісію, що здійснює державне регулювання у сферах енергетики та комунальних послуг»</w:t>
      </w:r>
      <w:r w:rsidRPr="0036258D">
        <w:rPr>
          <w:rFonts w:ascii="Times New Roman" w:hAnsi="Times New Roman" w:cs="Times New Roman"/>
          <w:bCs/>
          <w:sz w:val="28"/>
          <w:szCs w:val="28"/>
        </w:rPr>
        <w:t>,</w:t>
      </w:r>
      <w:r w:rsidRPr="00BC477D">
        <w:rPr>
          <w:rFonts w:ascii="Times New Roman" w:hAnsi="Times New Roman" w:cs="Times New Roman"/>
          <w:bCs/>
          <w:sz w:val="28"/>
          <w:szCs w:val="28"/>
        </w:rPr>
        <w:t xml:space="preserve"> «Про ринок електричної енергії» НКРЕКП здійснює державне регулювання ринку електричної енергії. </w:t>
      </w:r>
    </w:p>
    <w:p w14:paraId="126BBEDA" w14:textId="09217221" w:rsidR="00BC477D" w:rsidRDefault="00BC477D" w:rsidP="00BC477D">
      <w:pPr>
        <w:spacing w:after="0" w:line="240" w:lineRule="auto"/>
        <w:ind w:firstLine="709"/>
        <w:jc w:val="both"/>
        <w:rPr>
          <w:rFonts w:ascii="Times New Roman" w:hAnsi="Times New Roman" w:cs="Times New Roman"/>
          <w:bCs/>
          <w:sz w:val="28"/>
          <w:szCs w:val="28"/>
        </w:rPr>
      </w:pPr>
      <w:r w:rsidRPr="00BC477D">
        <w:rPr>
          <w:rFonts w:ascii="Times New Roman" w:hAnsi="Times New Roman" w:cs="Times New Roman"/>
          <w:bCs/>
          <w:sz w:val="28"/>
          <w:szCs w:val="28"/>
        </w:rPr>
        <w:t>Порядок визначення регуляторної бази активів суб’єктів природних монополій у сфері електроенергетики, затверджений постановою Національної комісії</w:t>
      </w:r>
      <w:r w:rsidR="004E23E9">
        <w:rPr>
          <w:rFonts w:ascii="Times New Roman" w:hAnsi="Times New Roman" w:cs="Times New Roman"/>
          <w:bCs/>
          <w:sz w:val="28"/>
          <w:szCs w:val="28"/>
        </w:rPr>
        <w:t>,</w:t>
      </w:r>
      <w:r w:rsidRPr="00BC477D">
        <w:rPr>
          <w:rFonts w:ascii="Times New Roman" w:hAnsi="Times New Roman" w:cs="Times New Roman"/>
          <w:bCs/>
          <w:sz w:val="28"/>
          <w:szCs w:val="28"/>
        </w:rPr>
        <w:t xml:space="preserve"> що здійснює державне регулювання у сфері енергетики</w:t>
      </w:r>
      <w:r w:rsidR="00A47828">
        <w:rPr>
          <w:rFonts w:ascii="Times New Roman" w:hAnsi="Times New Roman" w:cs="Times New Roman"/>
          <w:bCs/>
          <w:sz w:val="28"/>
          <w:szCs w:val="28"/>
        </w:rPr>
        <w:t>,</w:t>
      </w:r>
      <w:r w:rsidR="009C55B0">
        <w:rPr>
          <w:rFonts w:ascii="Times New Roman" w:hAnsi="Times New Roman" w:cs="Times New Roman"/>
          <w:bCs/>
          <w:sz w:val="28"/>
          <w:szCs w:val="28"/>
        </w:rPr>
        <w:t xml:space="preserve"> </w:t>
      </w:r>
      <w:r w:rsidRPr="00BC477D">
        <w:rPr>
          <w:rFonts w:ascii="Times New Roman" w:hAnsi="Times New Roman" w:cs="Times New Roman"/>
          <w:bCs/>
          <w:sz w:val="28"/>
          <w:szCs w:val="28"/>
        </w:rPr>
        <w:t xml:space="preserve">від 11.07.2013 </w:t>
      </w:r>
      <w:r w:rsidR="009C55B0">
        <w:rPr>
          <w:rFonts w:ascii="Times New Roman" w:hAnsi="Times New Roman" w:cs="Times New Roman"/>
          <w:bCs/>
          <w:sz w:val="28"/>
          <w:szCs w:val="28"/>
        </w:rPr>
        <w:br/>
      </w:r>
      <w:r w:rsidRPr="00BC477D">
        <w:rPr>
          <w:rFonts w:ascii="Times New Roman" w:hAnsi="Times New Roman" w:cs="Times New Roman"/>
          <w:bCs/>
          <w:sz w:val="28"/>
          <w:szCs w:val="28"/>
        </w:rPr>
        <w:t xml:space="preserve">№ 899 (далі – </w:t>
      </w:r>
      <w:r w:rsidRPr="00A920EC">
        <w:rPr>
          <w:rFonts w:ascii="Times New Roman" w:hAnsi="Times New Roman" w:cs="Times New Roman"/>
          <w:bCs/>
          <w:sz w:val="28"/>
          <w:szCs w:val="28"/>
        </w:rPr>
        <w:t>Порядок</w:t>
      </w:r>
      <w:r w:rsidR="00331745" w:rsidRPr="00A920EC">
        <w:rPr>
          <w:rFonts w:ascii="Times New Roman" w:hAnsi="Times New Roman" w:cs="Times New Roman"/>
          <w:bCs/>
          <w:sz w:val="28"/>
          <w:szCs w:val="28"/>
        </w:rPr>
        <w:t xml:space="preserve"> 899</w:t>
      </w:r>
      <w:r w:rsidRPr="00A920EC">
        <w:rPr>
          <w:rFonts w:ascii="Times New Roman" w:hAnsi="Times New Roman" w:cs="Times New Roman"/>
          <w:bCs/>
          <w:sz w:val="28"/>
          <w:szCs w:val="28"/>
        </w:rPr>
        <w:t>), установлює</w:t>
      </w:r>
      <w:r w:rsidRPr="00BC477D">
        <w:rPr>
          <w:rFonts w:ascii="Times New Roman" w:hAnsi="Times New Roman" w:cs="Times New Roman"/>
          <w:bCs/>
          <w:sz w:val="28"/>
          <w:szCs w:val="28"/>
        </w:rPr>
        <w:t xml:space="preserve"> механізм визначення ліцензіатами регуляторної бази активів, груп активів, що входять до складу регуляторної бази активів ліцензіатів, строки їх корисного використання та метод їх обліку для розрахунку необхідного доходу від провадження діяльності з розподілу електричної енергії</w:t>
      </w:r>
      <w:r w:rsidR="00043652">
        <w:rPr>
          <w:rFonts w:ascii="Times New Roman" w:hAnsi="Times New Roman" w:cs="Times New Roman"/>
          <w:bCs/>
          <w:sz w:val="28"/>
          <w:szCs w:val="28"/>
        </w:rPr>
        <w:t>.</w:t>
      </w:r>
    </w:p>
    <w:p w14:paraId="4A857D9F" w14:textId="77777777" w:rsidR="00331745" w:rsidRDefault="00331745" w:rsidP="00331745">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При цьому</w:t>
      </w:r>
      <w:r w:rsidRPr="00331745">
        <w:t xml:space="preserve"> </w:t>
      </w:r>
      <w:r w:rsidRPr="00331745">
        <w:rPr>
          <w:rFonts w:ascii="Times New Roman" w:hAnsi="Times New Roman" w:cs="Times New Roman"/>
          <w:bCs/>
          <w:sz w:val="28"/>
          <w:szCs w:val="28"/>
        </w:rPr>
        <w:t xml:space="preserve">пунктами 2.3, 2.4 та 2.7 розділу II Порядку 899 визначено обмеження щодо включення активів до </w:t>
      </w:r>
      <w:r w:rsidR="004F793F" w:rsidRPr="004F793F">
        <w:rPr>
          <w:rFonts w:ascii="Times New Roman" w:hAnsi="Times New Roman" w:cs="Times New Roman"/>
          <w:sz w:val="28"/>
          <w:szCs w:val="28"/>
        </w:rPr>
        <w:t>регуляторної бази активів, яка була створена на дату переходу до стимулюючого регулювання</w:t>
      </w:r>
      <w:r w:rsidR="004F793F">
        <w:rPr>
          <w:rFonts w:ascii="Times New Roman" w:hAnsi="Times New Roman" w:cs="Times New Roman"/>
          <w:sz w:val="28"/>
          <w:szCs w:val="28"/>
        </w:rPr>
        <w:t>.</w:t>
      </w:r>
    </w:p>
    <w:p w14:paraId="7E312116" w14:textId="77777777" w:rsidR="005C30BB" w:rsidRPr="0036258D" w:rsidRDefault="007744D0" w:rsidP="005C30BB">
      <w:pPr>
        <w:spacing w:after="0"/>
        <w:ind w:firstLine="567"/>
        <w:jc w:val="both"/>
        <w:rPr>
          <w:rFonts w:ascii="Times New Roman" w:hAnsi="Times New Roman" w:cs="Times New Roman"/>
          <w:bCs/>
          <w:sz w:val="28"/>
          <w:szCs w:val="28"/>
        </w:rPr>
      </w:pPr>
      <w:r w:rsidRPr="007744D0">
        <w:rPr>
          <w:rFonts w:ascii="Times New Roman" w:hAnsi="Times New Roman" w:cs="Times New Roman"/>
          <w:bCs/>
          <w:sz w:val="28"/>
          <w:szCs w:val="28"/>
        </w:rPr>
        <w:t xml:space="preserve">Згідно з пунктом 2.7 розділу ІІ Порядку 899 до складу </w:t>
      </w:r>
      <w:r w:rsidR="004F793F" w:rsidRPr="004F793F">
        <w:rPr>
          <w:rFonts w:ascii="Times New Roman" w:hAnsi="Times New Roman" w:cs="Times New Roman"/>
          <w:sz w:val="28"/>
          <w:szCs w:val="28"/>
        </w:rPr>
        <w:t>регуляторної бази активів, яка була створена на дату переходу до стимулюючого регулювання,</w:t>
      </w:r>
      <w:r w:rsidRPr="007744D0">
        <w:rPr>
          <w:rFonts w:ascii="Times New Roman" w:hAnsi="Times New Roman" w:cs="Times New Roman"/>
          <w:bCs/>
          <w:sz w:val="28"/>
          <w:szCs w:val="28"/>
        </w:rPr>
        <w:t xml:space="preserve"> не </w:t>
      </w:r>
      <w:r w:rsidRPr="0036258D">
        <w:rPr>
          <w:rFonts w:ascii="Times New Roman" w:hAnsi="Times New Roman" w:cs="Times New Roman"/>
          <w:bCs/>
          <w:sz w:val="28"/>
          <w:szCs w:val="28"/>
        </w:rPr>
        <w:t>включаються</w:t>
      </w:r>
      <w:r w:rsidR="005C30BB" w:rsidRPr="0036258D">
        <w:rPr>
          <w:rFonts w:ascii="Times New Roman" w:hAnsi="Times New Roman" w:cs="Times New Roman"/>
          <w:bCs/>
          <w:sz w:val="28"/>
          <w:szCs w:val="28"/>
        </w:rPr>
        <w:t>:</w:t>
      </w:r>
    </w:p>
    <w:p w14:paraId="3DCF5183" w14:textId="484B1163" w:rsidR="005C30BB" w:rsidRDefault="007744D0" w:rsidP="005C30BB">
      <w:pPr>
        <w:spacing w:after="0"/>
        <w:ind w:firstLine="567"/>
        <w:jc w:val="both"/>
        <w:rPr>
          <w:rFonts w:ascii="Times New Roman" w:hAnsi="Times New Roman" w:cs="Times New Roman"/>
          <w:bCs/>
          <w:sz w:val="28"/>
          <w:szCs w:val="28"/>
        </w:rPr>
      </w:pPr>
      <w:r w:rsidRPr="007744D0">
        <w:rPr>
          <w:rFonts w:ascii="Times New Roman" w:hAnsi="Times New Roman" w:cs="Times New Roman"/>
          <w:bCs/>
          <w:sz w:val="28"/>
          <w:szCs w:val="28"/>
        </w:rPr>
        <w:t xml:space="preserve"> частина активів, що перевищують встановлені обмеження, – будівлі адміністративного призначення площею понад 10 м</w:t>
      </w:r>
      <w:r w:rsidRPr="007744D0">
        <w:rPr>
          <w:rFonts w:ascii="Times New Roman" w:hAnsi="Times New Roman" w:cs="Times New Roman"/>
          <w:bCs/>
          <w:sz w:val="28"/>
          <w:szCs w:val="28"/>
          <w:vertAlign w:val="superscript"/>
        </w:rPr>
        <w:t>2</w:t>
      </w:r>
      <w:r w:rsidRPr="007744D0">
        <w:rPr>
          <w:rFonts w:ascii="Times New Roman" w:hAnsi="Times New Roman" w:cs="Times New Roman"/>
          <w:bCs/>
          <w:sz w:val="28"/>
          <w:szCs w:val="28"/>
        </w:rPr>
        <w:t xml:space="preserve"> на</w:t>
      </w:r>
      <w:r w:rsidR="000D7A58">
        <w:rPr>
          <w:rFonts w:ascii="Times New Roman" w:hAnsi="Times New Roman" w:cs="Times New Roman"/>
          <w:bCs/>
          <w:sz w:val="28"/>
          <w:szCs w:val="28"/>
        </w:rPr>
        <w:t xml:space="preserve"> </w:t>
      </w:r>
      <w:r w:rsidR="00D45C47" w:rsidRPr="007744D0">
        <w:rPr>
          <w:rFonts w:ascii="Times New Roman" w:hAnsi="Times New Roman" w:cs="Times New Roman"/>
          <w:bCs/>
          <w:sz w:val="28"/>
          <w:szCs w:val="28"/>
        </w:rPr>
        <w:t>1</w:t>
      </w:r>
      <w:r w:rsidR="00D45C47">
        <w:rPr>
          <w:rFonts w:ascii="Times New Roman" w:hAnsi="Times New Roman" w:cs="Times New Roman"/>
          <w:bCs/>
          <w:sz w:val="28"/>
          <w:szCs w:val="28"/>
        </w:rPr>
        <w:t> </w:t>
      </w:r>
      <w:r w:rsidRPr="007744D0">
        <w:rPr>
          <w:rFonts w:ascii="Times New Roman" w:hAnsi="Times New Roman" w:cs="Times New Roman"/>
          <w:bCs/>
          <w:sz w:val="28"/>
          <w:szCs w:val="28"/>
        </w:rPr>
        <w:t>працюючого в ній за штатним розписом</w:t>
      </w:r>
      <w:r w:rsidR="005C30BB">
        <w:rPr>
          <w:rFonts w:ascii="Times New Roman" w:hAnsi="Times New Roman" w:cs="Times New Roman"/>
          <w:bCs/>
          <w:sz w:val="28"/>
          <w:szCs w:val="28"/>
        </w:rPr>
        <w:t>;</w:t>
      </w:r>
    </w:p>
    <w:p w14:paraId="5576E6A1" w14:textId="77777777" w:rsidR="000722D1" w:rsidRPr="0036258D" w:rsidRDefault="000722D1" w:rsidP="005C30BB">
      <w:pPr>
        <w:spacing w:after="0"/>
        <w:ind w:firstLine="567"/>
        <w:jc w:val="both"/>
        <w:rPr>
          <w:rFonts w:ascii="Times New Roman" w:hAnsi="Times New Roman" w:cs="Times New Roman"/>
          <w:bCs/>
          <w:sz w:val="28"/>
          <w:szCs w:val="28"/>
        </w:rPr>
      </w:pPr>
      <w:r w:rsidRPr="0036258D">
        <w:rPr>
          <w:rFonts w:ascii="Times New Roman" w:hAnsi="Times New Roman" w:cs="Times New Roman"/>
          <w:bCs/>
          <w:sz w:val="28"/>
          <w:szCs w:val="28"/>
        </w:rPr>
        <w:t>легкові автомобілі балансовою первісною вартістю понад 500 тис. грн за одиницю (без урахування податку на додану вартість) та легкові автомобілі, кількість яких перевищує 3 на 100 працівників.</w:t>
      </w:r>
    </w:p>
    <w:p w14:paraId="4D7A98BC" w14:textId="77777777" w:rsidR="000722D1" w:rsidRPr="000722D1" w:rsidRDefault="007744D0" w:rsidP="00BC477D">
      <w:pPr>
        <w:spacing w:after="0" w:line="240" w:lineRule="auto"/>
        <w:ind w:firstLine="709"/>
        <w:jc w:val="both"/>
        <w:rPr>
          <w:rFonts w:ascii="Times New Roman" w:hAnsi="Times New Roman" w:cs="Times New Roman"/>
          <w:bCs/>
          <w:color w:val="FF0000"/>
          <w:sz w:val="28"/>
          <w:szCs w:val="28"/>
        </w:rPr>
      </w:pPr>
      <w:r w:rsidRPr="007744D0">
        <w:rPr>
          <w:rFonts w:ascii="Times New Roman" w:hAnsi="Times New Roman" w:cs="Times New Roman"/>
          <w:bCs/>
          <w:sz w:val="28"/>
          <w:szCs w:val="28"/>
        </w:rPr>
        <w:t xml:space="preserve">З метою уникнення подвійного тлумачення норм Порядку 899, пропонується уточнити редакцію пункту 2.7 (без зміни </w:t>
      </w:r>
      <w:r w:rsidR="00AD1A81">
        <w:rPr>
          <w:rFonts w:ascii="Times New Roman" w:hAnsi="Times New Roman" w:cs="Times New Roman"/>
          <w:bCs/>
          <w:sz w:val="28"/>
          <w:szCs w:val="28"/>
        </w:rPr>
        <w:t>змісту</w:t>
      </w:r>
      <w:r w:rsidRPr="007744D0">
        <w:rPr>
          <w:rFonts w:ascii="Times New Roman" w:hAnsi="Times New Roman" w:cs="Times New Roman"/>
          <w:bCs/>
          <w:sz w:val="28"/>
          <w:szCs w:val="28"/>
        </w:rPr>
        <w:t xml:space="preserve"> вимог цього пункту), а саме передбачити, що до складу </w:t>
      </w:r>
      <w:r w:rsidR="004F793F" w:rsidRPr="004F793F">
        <w:rPr>
          <w:rFonts w:ascii="Times New Roman" w:hAnsi="Times New Roman" w:cs="Times New Roman"/>
          <w:sz w:val="28"/>
          <w:szCs w:val="28"/>
        </w:rPr>
        <w:t>регуляторної бази активів, яка була створена на дату переходу до стимулюючого регулювання,</w:t>
      </w:r>
      <w:r w:rsidRPr="00AD1A81">
        <w:rPr>
          <w:rFonts w:ascii="Times New Roman" w:hAnsi="Times New Roman" w:cs="Times New Roman"/>
          <w:bCs/>
          <w:sz w:val="28"/>
          <w:szCs w:val="28"/>
          <w:vertAlign w:val="subscript"/>
        </w:rPr>
        <w:t xml:space="preserve"> </w:t>
      </w:r>
      <w:r w:rsidRPr="007744D0">
        <w:rPr>
          <w:rFonts w:ascii="Times New Roman" w:hAnsi="Times New Roman" w:cs="Times New Roman"/>
          <w:bCs/>
          <w:sz w:val="28"/>
          <w:szCs w:val="28"/>
        </w:rPr>
        <w:t>не включаються</w:t>
      </w:r>
      <w:r w:rsidR="005C30BB">
        <w:rPr>
          <w:rFonts w:ascii="Times New Roman" w:hAnsi="Times New Roman" w:cs="Times New Roman"/>
          <w:bCs/>
          <w:sz w:val="28"/>
          <w:szCs w:val="28"/>
        </w:rPr>
        <w:t>:</w:t>
      </w:r>
      <w:r w:rsidRPr="007744D0">
        <w:rPr>
          <w:rFonts w:ascii="Times New Roman" w:hAnsi="Times New Roman" w:cs="Times New Roman"/>
          <w:bCs/>
          <w:sz w:val="28"/>
          <w:szCs w:val="28"/>
        </w:rPr>
        <w:t xml:space="preserve"> </w:t>
      </w:r>
    </w:p>
    <w:p w14:paraId="734253DD" w14:textId="77777777" w:rsidR="000722D1" w:rsidRPr="0036258D" w:rsidRDefault="000722D1" w:rsidP="000722D1">
      <w:pPr>
        <w:spacing w:after="0" w:line="240" w:lineRule="auto"/>
        <w:ind w:firstLine="567"/>
        <w:jc w:val="both"/>
        <w:rPr>
          <w:rFonts w:ascii="Times New Roman" w:eastAsia="Times New Roman" w:hAnsi="Times New Roman" w:cs="Times New Roman"/>
          <w:bCs/>
          <w:sz w:val="28"/>
          <w:szCs w:val="28"/>
          <w:lang w:eastAsia="ru-RU"/>
        </w:rPr>
      </w:pPr>
      <w:r w:rsidRPr="0036258D">
        <w:rPr>
          <w:rFonts w:ascii="Times New Roman" w:eastAsia="Times New Roman" w:hAnsi="Times New Roman" w:cs="Times New Roman"/>
          <w:sz w:val="28"/>
          <w:szCs w:val="28"/>
          <w:lang w:eastAsia="ru-RU"/>
        </w:rPr>
        <w:t xml:space="preserve">частина активів, що перевищують встановлені обмеження, – </w:t>
      </w:r>
      <w:r w:rsidRPr="0036258D">
        <w:rPr>
          <w:rFonts w:ascii="Times New Roman" w:eastAsia="Times New Roman" w:hAnsi="Times New Roman" w:cs="Times New Roman"/>
          <w:bCs/>
          <w:sz w:val="28"/>
          <w:szCs w:val="28"/>
          <w:lang w:eastAsia="ru-RU"/>
        </w:rPr>
        <w:t xml:space="preserve">частина </w:t>
      </w:r>
      <w:r w:rsidRPr="0036258D">
        <w:rPr>
          <w:rFonts w:ascii="Times New Roman" w:eastAsia="Times New Roman" w:hAnsi="Times New Roman" w:cs="Times New Roman"/>
          <w:sz w:val="28"/>
          <w:szCs w:val="28"/>
          <w:lang w:eastAsia="ru-RU"/>
        </w:rPr>
        <w:t>будівлі адміністративного призначення площею понад 10 м</w:t>
      </w:r>
      <w:r w:rsidRPr="0036258D">
        <w:rPr>
          <w:rFonts w:ascii="Times New Roman" w:eastAsia="Times New Roman" w:hAnsi="Times New Roman" w:cs="Times New Roman"/>
          <w:sz w:val="28"/>
          <w:szCs w:val="28"/>
          <w:vertAlign w:val="superscript"/>
          <w:lang w:eastAsia="ru-RU"/>
        </w:rPr>
        <w:t xml:space="preserve">2 </w:t>
      </w:r>
      <w:r w:rsidRPr="0036258D">
        <w:rPr>
          <w:rFonts w:ascii="Times New Roman" w:eastAsia="Times New Roman" w:hAnsi="Times New Roman" w:cs="Times New Roman"/>
          <w:sz w:val="28"/>
          <w:szCs w:val="28"/>
          <w:lang w:eastAsia="ru-RU"/>
        </w:rPr>
        <w:t xml:space="preserve">на 1 </w:t>
      </w:r>
      <w:r w:rsidRPr="0036258D">
        <w:rPr>
          <w:rFonts w:ascii="Times New Roman" w:eastAsia="Times New Roman" w:hAnsi="Times New Roman" w:cs="Times New Roman"/>
          <w:bCs/>
          <w:sz w:val="28"/>
          <w:szCs w:val="28"/>
          <w:lang w:eastAsia="ru-RU"/>
        </w:rPr>
        <w:t>працівника в ній за загальним штатним розписом на дату переходу до стимулюючого регулювання;</w:t>
      </w:r>
    </w:p>
    <w:p w14:paraId="529830E2" w14:textId="7E486900" w:rsidR="000722D1" w:rsidRPr="0036258D" w:rsidRDefault="000722D1" w:rsidP="000722D1">
      <w:pPr>
        <w:spacing w:after="0" w:line="240" w:lineRule="auto"/>
        <w:ind w:firstLine="567"/>
        <w:jc w:val="both"/>
        <w:rPr>
          <w:rFonts w:ascii="Times New Roman" w:eastAsia="Times New Roman" w:hAnsi="Times New Roman" w:cs="Times New Roman"/>
          <w:bCs/>
          <w:sz w:val="28"/>
          <w:szCs w:val="28"/>
          <w:lang w:eastAsia="ru-RU"/>
        </w:rPr>
      </w:pPr>
      <w:r w:rsidRPr="0036258D">
        <w:rPr>
          <w:rFonts w:ascii="Times New Roman" w:eastAsia="Times New Roman" w:hAnsi="Times New Roman" w:cs="Times New Roman"/>
          <w:bCs/>
          <w:sz w:val="28"/>
          <w:szCs w:val="28"/>
          <w:lang w:eastAsia="ru-RU"/>
        </w:rPr>
        <w:t>активи, для яких встановлені обмеження, – легкові автомобілі балансовою первісною вартістю понад 500 тис. грн за одиницю (без урахування податку на додану вартість) та легкові автомобілі, кількість яких перевищує</w:t>
      </w:r>
      <w:r w:rsidR="00A920EC" w:rsidRPr="0036258D">
        <w:rPr>
          <w:rFonts w:ascii="Times New Roman" w:eastAsia="Times New Roman" w:hAnsi="Times New Roman" w:cs="Times New Roman"/>
          <w:bCs/>
          <w:sz w:val="28"/>
          <w:szCs w:val="28"/>
          <w:lang w:eastAsia="ru-RU"/>
        </w:rPr>
        <w:t xml:space="preserve"> </w:t>
      </w:r>
      <w:r w:rsidRPr="0036258D">
        <w:rPr>
          <w:rFonts w:ascii="Times New Roman" w:eastAsia="Times New Roman" w:hAnsi="Times New Roman" w:cs="Times New Roman"/>
          <w:bCs/>
          <w:sz w:val="28"/>
          <w:szCs w:val="28"/>
          <w:lang w:eastAsia="ru-RU"/>
        </w:rPr>
        <w:t xml:space="preserve">3 на </w:t>
      </w:r>
      <w:r w:rsidR="00A920EC">
        <w:rPr>
          <w:rFonts w:ascii="Times New Roman" w:eastAsia="Times New Roman" w:hAnsi="Times New Roman" w:cs="Times New Roman"/>
          <w:bCs/>
          <w:color w:val="FF0000"/>
          <w:sz w:val="28"/>
          <w:szCs w:val="28"/>
          <w:lang w:eastAsia="ru-RU"/>
        </w:rPr>
        <w:br/>
      </w:r>
      <w:r w:rsidRPr="0036258D">
        <w:rPr>
          <w:rFonts w:ascii="Times New Roman" w:eastAsia="Times New Roman" w:hAnsi="Times New Roman" w:cs="Times New Roman"/>
          <w:bCs/>
          <w:sz w:val="28"/>
          <w:szCs w:val="28"/>
          <w:lang w:eastAsia="ru-RU"/>
        </w:rPr>
        <w:lastRenderedPageBreak/>
        <w:t xml:space="preserve">100 працівників за загальним штатним розписом на дату переходу до стимулюючого регулювання. </w:t>
      </w:r>
    </w:p>
    <w:p w14:paraId="339821A6" w14:textId="7C9F25A5" w:rsidR="00BC477D" w:rsidRPr="00B005DA" w:rsidRDefault="00BC477D" w:rsidP="00BC477D">
      <w:pPr>
        <w:spacing w:after="0" w:line="240" w:lineRule="auto"/>
        <w:ind w:firstLine="567"/>
        <w:jc w:val="both"/>
        <w:rPr>
          <w:rFonts w:ascii="Times New Roman" w:hAnsi="Times New Roman" w:cs="Times New Roman"/>
          <w:sz w:val="28"/>
          <w:szCs w:val="28"/>
        </w:rPr>
      </w:pPr>
      <w:r w:rsidRPr="00B005DA">
        <w:rPr>
          <w:rFonts w:ascii="Times New Roman" w:hAnsi="Times New Roman" w:cs="Times New Roman"/>
          <w:sz w:val="28"/>
          <w:szCs w:val="28"/>
        </w:rPr>
        <w:t>З огляду на зазначене</w:t>
      </w:r>
      <w:r w:rsidR="002E591F">
        <w:rPr>
          <w:rFonts w:ascii="Times New Roman" w:hAnsi="Times New Roman" w:cs="Times New Roman"/>
          <w:sz w:val="28"/>
          <w:szCs w:val="28"/>
        </w:rPr>
        <w:t>,</w:t>
      </w:r>
      <w:r w:rsidRPr="00B005DA">
        <w:rPr>
          <w:rFonts w:ascii="Times New Roman" w:hAnsi="Times New Roman" w:cs="Times New Roman"/>
          <w:sz w:val="28"/>
          <w:szCs w:val="28"/>
        </w:rPr>
        <w:t xml:space="preserve"> </w:t>
      </w:r>
      <w:r>
        <w:rPr>
          <w:rFonts w:ascii="Times New Roman" w:hAnsi="Times New Roman" w:cs="Times New Roman"/>
          <w:sz w:val="28"/>
          <w:szCs w:val="28"/>
        </w:rPr>
        <w:t xml:space="preserve">НКРЕКП </w:t>
      </w:r>
      <w:r w:rsidRPr="00B005DA">
        <w:rPr>
          <w:rFonts w:ascii="Times New Roman" w:hAnsi="Times New Roman" w:cs="Times New Roman"/>
          <w:sz w:val="28"/>
          <w:szCs w:val="28"/>
        </w:rPr>
        <w:t xml:space="preserve">розроблено проєкт постанови </w:t>
      </w:r>
      <w:r w:rsidR="00A80292" w:rsidRPr="00A80292">
        <w:rPr>
          <w:rFonts w:ascii="Times New Roman" w:hAnsi="Times New Roman" w:cs="Times New Roman"/>
          <w:sz w:val="28"/>
          <w:szCs w:val="28"/>
        </w:rPr>
        <w:t>«Про внесення зміни до Порядку визначення регуляторної бази активів суб’єктів природних монополій у сфері електроенергетики»</w:t>
      </w:r>
      <w:r w:rsidR="00F312F8">
        <w:rPr>
          <w:rFonts w:ascii="Times New Roman" w:hAnsi="Times New Roman" w:cs="Times New Roman"/>
          <w:sz w:val="28"/>
          <w:szCs w:val="28"/>
        </w:rPr>
        <w:t xml:space="preserve"> </w:t>
      </w:r>
      <w:r w:rsidRPr="008F5F46">
        <w:rPr>
          <w:rFonts w:ascii="Times New Roman" w:hAnsi="Times New Roman" w:cs="Times New Roman"/>
          <w:sz w:val="28"/>
          <w:szCs w:val="28"/>
        </w:rPr>
        <w:t>(</w:t>
      </w:r>
      <w:r w:rsidRPr="00B005DA">
        <w:rPr>
          <w:rFonts w:ascii="Times New Roman" w:hAnsi="Times New Roman" w:cs="Times New Roman"/>
          <w:sz w:val="28"/>
          <w:szCs w:val="28"/>
        </w:rPr>
        <w:t xml:space="preserve">далі – Проєкт </w:t>
      </w:r>
      <w:r w:rsidR="001F3E02">
        <w:rPr>
          <w:rFonts w:ascii="Times New Roman" w:hAnsi="Times New Roman" w:cs="Times New Roman"/>
          <w:sz w:val="28"/>
          <w:szCs w:val="28"/>
        </w:rPr>
        <w:t>рішення</w:t>
      </w:r>
      <w:r w:rsidRPr="00B005DA">
        <w:rPr>
          <w:rFonts w:ascii="Times New Roman" w:hAnsi="Times New Roman" w:cs="Times New Roman"/>
          <w:sz w:val="28"/>
          <w:szCs w:val="28"/>
        </w:rPr>
        <w:t xml:space="preserve">). </w:t>
      </w:r>
    </w:p>
    <w:p w14:paraId="6E4FA515" w14:textId="77777777" w:rsidR="00BC477D" w:rsidRDefault="00BC477D" w:rsidP="00A33081">
      <w:pPr>
        <w:spacing w:after="0" w:line="240" w:lineRule="auto"/>
        <w:ind w:firstLine="567"/>
        <w:jc w:val="center"/>
        <w:rPr>
          <w:rFonts w:ascii="Times New Roman" w:hAnsi="Times New Roman" w:cs="Times New Roman"/>
          <w:sz w:val="28"/>
          <w:szCs w:val="28"/>
        </w:rPr>
      </w:pPr>
    </w:p>
    <w:p w14:paraId="007D1749" w14:textId="77777777" w:rsidR="00DC1500" w:rsidRDefault="00D165E3" w:rsidP="00A33081">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Основні групи (підгрупи), на які проблема справляє вплив:</w:t>
      </w:r>
    </w:p>
    <w:p w14:paraId="59F2FA59" w14:textId="77777777" w:rsidR="0087391A" w:rsidRPr="00943DFD" w:rsidRDefault="0087391A" w:rsidP="00A33081">
      <w:pPr>
        <w:spacing w:after="0" w:line="240" w:lineRule="auto"/>
        <w:ind w:firstLine="567"/>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1985"/>
      </w:tblGrid>
      <w:tr w:rsidR="00101840" w:rsidRPr="00943DFD" w14:paraId="68D03646" w14:textId="77777777" w:rsidTr="00DC6752">
        <w:trPr>
          <w:trHeight w:val="70"/>
          <w:jc w:val="center"/>
        </w:trPr>
        <w:tc>
          <w:tcPr>
            <w:tcW w:w="3202" w:type="dxa"/>
          </w:tcPr>
          <w:p w14:paraId="597B1654" w14:textId="77777777" w:rsidR="00DC1500" w:rsidRPr="00943DFD" w:rsidRDefault="00DC1500" w:rsidP="008223F7">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Групи (підгрупи)</w:t>
            </w:r>
          </w:p>
        </w:tc>
        <w:tc>
          <w:tcPr>
            <w:tcW w:w="4383" w:type="dxa"/>
            <w:vAlign w:val="center"/>
          </w:tcPr>
          <w:p w14:paraId="62146C54" w14:textId="77777777" w:rsidR="00DC1500" w:rsidRPr="00943DFD" w:rsidRDefault="00DC1500" w:rsidP="00EF292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Так</w:t>
            </w:r>
          </w:p>
        </w:tc>
        <w:tc>
          <w:tcPr>
            <w:tcW w:w="1985" w:type="dxa"/>
            <w:vAlign w:val="center"/>
          </w:tcPr>
          <w:p w14:paraId="448CCE39" w14:textId="77777777" w:rsidR="00DC1500" w:rsidRPr="00943DFD" w:rsidRDefault="00DC1500" w:rsidP="00EF292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Ні</w:t>
            </w:r>
          </w:p>
        </w:tc>
      </w:tr>
      <w:tr w:rsidR="00101840" w:rsidRPr="00943DFD" w14:paraId="37927AF6" w14:textId="77777777" w:rsidTr="00DC6752">
        <w:trPr>
          <w:trHeight w:val="70"/>
          <w:jc w:val="center"/>
        </w:trPr>
        <w:tc>
          <w:tcPr>
            <w:tcW w:w="3202" w:type="dxa"/>
          </w:tcPr>
          <w:p w14:paraId="16BF05E8" w14:textId="77777777"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Громадяни</w:t>
            </w:r>
          </w:p>
        </w:tc>
        <w:tc>
          <w:tcPr>
            <w:tcW w:w="4383" w:type="dxa"/>
            <w:vAlign w:val="center"/>
          </w:tcPr>
          <w:p w14:paraId="39524D07" w14:textId="77777777" w:rsidR="00DC1500" w:rsidRPr="00943DFD" w:rsidRDefault="00DC1500" w:rsidP="00DC6752">
            <w:pPr>
              <w:spacing w:after="0" w:line="240" w:lineRule="auto"/>
              <w:jc w:val="both"/>
              <w:rPr>
                <w:rFonts w:ascii="Times New Roman" w:hAnsi="Times New Roman" w:cs="Times New Roman"/>
                <w:sz w:val="28"/>
                <w:szCs w:val="28"/>
              </w:rPr>
            </w:pPr>
          </w:p>
        </w:tc>
        <w:tc>
          <w:tcPr>
            <w:tcW w:w="1985" w:type="dxa"/>
            <w:vAlign w:val="center"/>
          </w:tcPr>
          <w:p w14:paraId="2561E4C7" w14:textId="77777777" w:rsidR="00DC1500" w:rsidRPr="00943DFD" w:rsidRDefault="008223F7" w:rsidP="008223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Ні</w:t>
            </w:r>
          </w:p>
        </w:tc>
      </w:tr>
      <w:tr w:rsidR="00101840" w:rsidRPr="00943DFD" w14:paraId="1BA183F0" w14:textId="77777777" w:rsidTr="00DC6752">
        <w:trPr>
          <w:trHeight w:val="70"/>
          <w:jc w:val="center"/>
        </w:trPr>
        <w:tc>
          <w:tcPr>
            <w:tcW w:w="3202" w:type="dxa"/>
          </w:tcPr>
          <w:p w14:paraId="098412F3" w14:textId="77777777"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Держава</w:t>
            </w:r>
          </w:p>
        </w:tc>
        <w:tc>
          <w:tcPr>
            <w:tcW w:w="4383" w:type="dxa"/>
            <w:vAlign w:val="center"/>
          </w:tcPr>
          <w:p w14:paraId="2AD7B71D" w14:textId="7FDC6842" w:rsidR="00DC1500" w:rsidRPr="00943DFD" w:rsidRDefault="00791BB7" w:rsidP="00B260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DC1500" w:rsidRPr="00943DFD">
              <w:rPr>
                <w:rFonts w:ascii="Times New Roman" w:hAnsi="Times New Roman" w:cs="Times New Roman"/>
                <w:sz w:val="28"/>
                <w:szCs w:val="28"/>
              </w:rPr>
              <w:t xml:space="preserve">табільне функціонування </w:t>
            </w:r>
            <w:r w:rsidR="00C01350">
              <w:rPr>
                <w:rFonts w:ascii="Times New Roman" w:hAnsi="Times New Roman" w:cs="Times New Roman"/>
                <w:sz w:val="28"/>
                <w:szCs w:val="28"/>
              </w:rPr>
              <w:t>ринку електричної енергії</w:t>
            </w:r>
            <w:r w:rsidR="002E591F">
              <w:rPr>
                <w:rFonts w:ascii="Times New Roman" w:hAnsi="Times New Roman" w:cs="Times New Roman"/>
                <w:sz w:val="28"/>
                <w:szCs w:val="28"/>
              </w:rPr>
              <w:t>.</w:t>
            </w:r>
          </w:p>
          <w:p w14:paraId="3098AE46" w14:textId="34B3A14E" w:rsidR="00B53773" w:rsidRPr="00943DFD" w:rsidRDefault="00DC1500">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Реалізація державної політики </w:t>
            </w:r>
            <w:r w:rsidR="00D45C47">
              <w:rPr>
                <w:rFonts w:ascii="Times New Roman" w:hAnsi="Times New Roman" w:cs="Times New Roman"/>
                <w:sz w:val="28"/>
                <w:szCs w:val="28"/>
              </w:rPr>
              <w:t>у</w:t>
            </w:r>
            <w:r w:rsidR="00D45C47" w:rsidRPr="00943DFD">
              <w:rPr>
                <w:rFonts w:ascii="Times New Roman" w:hAnsi="Times New Roman" w:cs="Times New Roman"/>
                <w:sz w:val="28"/>
                <w:szCs w:val="28"/>
              </w:rPr>
              <w:t xml:space="preserve"> </w:t>
            </w:r>
            <w:r w:rsidRPr="00943DFD">
              <w:rPr>
                <w:rFonts w:ascii="Times New Roman" w:hAnsi="Times New Roman" w:cs="Times New Roman"/>
                <w:sz w:val="28"/>
                <w:szCs w:val="28"/>
              </w:rPr>
              <w:t xml:space="preserve">сфері </w:t>
            </w:r>
            <w:r w:rsidR="00C01350">
              <w:rPr>
                <w:rFonts w:ascii="Times New Roman" w:hAnsi="Times New Roman" w:cs="Times New Roman"/>
                <w:sz w:val="28"/>
                <w:szCs w:val="28"/>
              </w:rPr>
              <w:t>енергетики</w:t>
            </w:r>
            <w:r w:rsidR="00CE19A1" w:rsidRPr="00B1760D">
              <w:rPr>
                <w:rFonts w:ascii="Times New Roman" w:hAnsi="Times New Roman" w:cs="Times New Roman"/>
                <w:sz w:val="28"/>
                <w:szCs w:val="28"/>
              </w:rPr>
              <w:t>,</w:t>
            </w:r>
            <w:r w:rsidR="00AD14D1">
              <w:rPr>
                <w:rFonts w:ascii="Times New Roman" w:hAnsi="Times New Roman" w:cs="Times New Roman"/>
                <w:sz w:val="28"/>
                <w:szCs w:val="28"/>
              </w:rPr>
              <w:t xml:space="preserve"> </w:t>
            </w:r>
            <w:r w:rsidR="00BC477D">
              <w:rPr>
                <w:rFonts w:ascii="Times New Roman" w:hAnsi="Times New Roman" w:cs="Times New Roman"/>
                <w:sz w:val="28"/>
                <w:szCs w:val="28"/>
              </w:rPr>
              <w:t xml:space="preserve">вдосконалення </w:t>
            </w:r>
            <w:r w:rsidR="00BC477D" w:rsidRPr="004F793F">
              <w:rPr>
                <w:rFonts w:ascii="Times New Roman" w:hAnsi="Times New Roman" w:cs="Times New Roman"/>
                <w:sz w:val="28"/>
                <w:szCs w:val="28"/>
              </w:rPr>
              <w:t>Порядку</w:t>
            </w:r>
            <w:r w:rsidR="006B01AE" w:rsidRPr="004F793F">
              <w:rPr>
                <w:rFonts w:ascii="Times New Roman" w:hAnsi="Times New Roman" w:cs="Times New Roman"/>
                <w:sz w:val="28"/>
                <w:szCs w:val="28"/>
              </w:rPr>
              <w:t xml:space="preserve"> 899</w:t>
            </w:r>
            <w:r w:rsidR="00F07C67" w:rsidRPr="002A59CE">
              <w:rPr>
                <w:rFonts w:ascii="Times New Roman" w:hAnsi="Times New Roman" w:cs="Times New Roman"/>
                <w:color w:val="FF0000"/>
                <w:sz w:val="28"/>
                <w:szCs w:val="28"/>
              </w:rPr>
              <w:t xml:space="preserve"> </w:t>
            </w:r>
            <w:r w:rsidR="000F04DB">
              <w:rPr>
                <w:rFonts w:ascii="Times New Roman" w:hAnsi="Times New Roman" w:cs="Times New Roman"/>
                <w:sz w:val="28"/>
                <w:szCs w:val="28"/>
              </w:rPr>
              <w:t>шляхом</w:t>
            </w:r>
            <w:r w:rsidR="00BC477D" w:rsidRPr="00034654">
              <w:rPr>
                <w:rFonts w:ascii="Times New Roman" w:hAnsi="Times New Roman" w:cs="Times New Roman"/>
                <w:sz w:val="28"/>
                <w:szCs w:val="28"/>
              </w:rPr>
              <w:t xml:space="preserve"> </w:t>
            </w:r>
            <w:r w:rsidR="00CE19A1" w:rsidRPr="00B1760D">
              <w:rPr>
                <w:rFonts w:ascii="Times New Roman" w:hAnsi="Times New Roman" w:cs="Times New Roman"/>
                <w:sz w:val="28"/>
                <w:szCs w:val="28"/>
              </w:rPr>
              <w:t>уточнення норм</w:t>
            </w:r>
            <w:r w:rsidR="00CE19A1">
              <w:rPr>
                <w:rFonts w:ascii="Times New Roman" w:hAnsi="Times New Roman" w:cs="Times New Roman"/>
                <w:sz w:val="28"/>
                <w:szCs w:val="28"/>
              </w:rPr>
              <w:t xml:space="preserve"> щодо</w:t>
            </w:r>
            <w:r w:rsidR="004F793F" w:rsidRPr="004F793F">
              <w:rPr>
                <w:rFonts w:ascii="Times New Roman" w:hAnsi="Times New Roman" w:cs="Times New Roman"/>
                <w:sz w:val="28"/>
                <w:szCs w:val="28"/>
              </w:rPr>
              <w:t xml:space="preserve"> активів, що підпадають під обмеження</w:t>
            </w:r>
            <w:r w:rsidR="009545B0">
              <w:rPr>
                <w:rFonts w:ascii="Times New Roman" w:hAnsi="Times New Roman" w:cs="Times New Roman"/>
                <w:sz w:val="28"/>
                <w:szCs w:val="28"/>
              </w:rPr>
              <w:t xml:space="preserve"> </w:t>
            </w:r>
            <w:r w:rsidR="009545B0" w:rsidRPr="004F793F">
              <w:rPr>
                <w:rFonts w:ascii="Times New Roman" w:hAnsi="Times New Roman" w:cs="Times New Roman"/>
                <w:sz w:val="28"/>
                <w:szCs w:val="28"/>
              </w:rPr>
              <w:t>(</w:t>
            </w:r>
            <w:r w:rsidR="009545B0" w:rsidRPr="0036258D">
              <w:rPr>
                <w:rFonts w:ascii="Times New Roman" w:hAnsi="Times New Roman" w:cs="Times New Roman"/>
                <w:sz w:val="28"/>
                <w:szCs w:val="28"/>
              </w:rPr>
              <w:t>зокрема будівель адміністративного призначення, легкових автомобілів)</w:t>
            </w:r>
            <w:r w:rsidR="00C0147D" w:rsidRPr="0036258D">
              <w:rPr>
                <w:rFonts w:ascii="Times New Roman" w:hAnsi="Times New Roman" w:cs="Times New Roman"/>
                <w:sz w:val="28"/>
                <w:szCs w:val="28"/>
              </w:rPr>
              <w:t>.</w:t>
            </w:r>
          </w:p>
        </w:tc>
        <w:tc>
          <w:tcPr>
            <w:tcW w:w="1985" w:type="dxa"/>
            <w:vAlign w:val="center"/>
          </w:tcPr>
          <w:p w14:paraId="6C628BFE" w14:textId="77777777" w:rsidR="00DC1500" w:rsidRPr="00943DFD" w:rsidRDefault="00DC1500" w:rsidP="00DC6752">
            <w:pPr>
              <w:spacing w:after="0" w:line="240" w:lineRule="auto"/>
              <w:ind w:firstLine="567"/>
              <w:jc w:val="center"/>
              <w:rPr>
                <w:rFonts w:ascii="Times New Roman" w:hAnsi="Times New Roman" w:cs="Times New Roman"/>
                <w:sz w:val="28"/>
                <w:szCs w:val="28"/>
              </w:rPr>
            </w:pPr>
          </w:p>
        </w:tc>
      </w:tr>
      <w:tr w:rsidR="00101840" w:rsidRPr="00943DFD" w14:paraId="52BF48AD" w14:textId="77777777" w:rsidTr="00DC6752">
        <w:trPr>
          <w:trHeight w:val="70"/>
          <w:jc w:val="center"/>
        </w:trPr>
        <w:tc>
          <w:tcPr>
            <w:tcW w:w="3202" w:type="dxa"/>
          </w:tcPr>
          <w:p w14:paraId="1E4F60FC" w14:textId="77777777"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Суб’єкти господарювання</w:t>
            </w:r>
          </w:p>
        </w:tc>
        <w:tc>
          <w:tcPr>
            <w:tcW w:w="4383" w:type="dxa"/>
            <w:vAlign w:val="center"/>
          </w:tcPr>
          <w:p w14:paraId="6648725F" w14:textId="162DA9AD" w:rsidR="00B005DA" w:rsidRPr="00943DFD" w:rsidRDefault="00F52FC8">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Дозволить </w:t>
            </w:r>
            <w:bookmarkStart w:id="1" w:name="_Hlk51591308"/>
            <w:r w:rsidR="008223F7">
              <w:rPr>
                <w:rFonts w:ascii="Times New Roman" w:hAnsi="Times New Roman" w:cs="Times New Roman"/>
                <w:sz w:val="28"/>
                <w:szCs w:val="28"/>
              </w:rPr>
              <w:t xml:space="preserve">удосконалити </w:t>
            </w:r>
            <w:r w:rsidR="00B005DA" w:rsidRPr="00B005DA">
              <w:rPr>
                <w:rFonts w:ascii="Times New Roman" w:hAnsi="Times New Roman" w:cs="Times New Roman"/>
                <w:sz w:val="28"/>
                <w:szCs w:val="28"/>
              </w:rPr>
              <w:t xml:space="preserve"> положення</w:t>
            </w:r>
            <w:r w:rsidR="00B719CF">
              <w:rPr>
                <w:rFonts w:ascii="Times New Roman" w:hAnsi="Times New Roman" w:cs="Times New Roman"/>
                <w:sz w:val="28"/>
                <w:szCs w:val="28"/>
              </w:rPr>
              <w:t xml:space="preserve"> </w:t>
            </w:r>
            <w:bookmarkEnd w:id="1"/>
            <w:r w:rsidR="00AD14D1" w:rsidRPr="004F793F">
              <w:rPr>
                <w:rFonts w:ascii="Times New Roman" w:hAnsi="Times New Roman" w:cs="Times New Roman"/>
                <w:sz w:val="28"/>
                <w:szCs w:val="28"/>
              </w:rPr>
              <w:t>Порядку 899</w:t>
            </w:r>
            <w:r w:rsidR="000F04DB">
              <w:rPr>
                <w:rFonts w:ascii="Times New Roman" w:hAnsi="Times New Roman" w:cs="Times New Roman"/>
                <w:sz w:val="28"/>
                <w:szCs w:val="28"/>
              </w:rPr>
              <w:t xml:space="preserve"> шляхом</w:t>
            </w:r>
            <w:r w:rsidR="00AD14D1">
              <w:rPr>
                <w:rFonts w:ascii="Times New Roman" w:hAnsi="Times New Roman" w:cs="Times New Roman"/>
                <w:sz w:val="28"/>
                <w:szCs w:val="28"/>
              </w:rPr>
              <w:t xml:space="preserve"> </w:t>
            </w:r>
            <w:r w:rsidR="00CE19A1" w:rsidRPr="0047543A">
              <w:rPr>
                <w:rFonts w:ascii="Times New Roman" w:hAnsi="Times New Roman" w:cs="Times New Roman"/>
                <w:sz w:val="28"/>
                <w:szCs w:val="28"/>
              </w:rPr>
              <w:t>уточнення норм</w:t>
            </w:r>
            <w:r w:rsidR="00CE19A1">
              <w:rPr>
                <w:rFonts w:ascii="Times New Roman" w:hAnsi="Times New Roman" w:cs="Times New Roman"/>
                <w:sz w:val="28"/>
                <w:szCs w:val="28"/>
              </w:rPr>
              <w:t xml:space="preserve"> </w:t>
            </w:r>
            <w:r w:rsidR="003268A2">
              <w:rPr>
                <w:rFonts w:ascii="Times New Roman" w:hAnsi="Times New Roman" w:cs="Times New Roman"/>
                <w:sz w:val="28"/>
                <w:szCs w:val="28"/>
              </w:rPr>
              <w:t>щодо</w:t>
            </w:r>
            <w:r w:rsidR="003268A2" w:rsidRPr="004F793F">
              <w:rPr>
                <w:rFonts w:ascii="Times New Roman" w:hAnsi="Times New Roman" w:cs="Times New Roman"/>
                <w:sz w:val="28"/>
                <w:szCs w:val="28"/>
              </w:rPr>
              <w:t xml:space="preserve"> активів, що підпадають під обмеження</w:t>
            </w:r>
            <w:r w:rsidR="003268A2">
              <w:rPr>
                <w:rFonts w:ascii="Times New Roman" w:hAnsi="Times New Roman" w:cs="Times New Roman"/>
                <w:sz w:val="28"/>
                <w:szCs w:val="28"/>
              </w:rPr>
              <w:t xml:space="preserve"> </w:t>
            </w:r>
            <w:r w:rsidR="003268A2" w:rsidRPr="0036258D">
              <w:rPr>
                <w:rFonts w:ascii="Times New Roman" w:hAnsi="Times New Roman" w:cs="Times New Roman"/>
                <w:sz w:val="28"/>
                <w:szCs w:val="28"/>
              </w:rPr>
              <w:t>(зокрема будівель адміністративного призначення, легкових автомобілів</w:t>
            </w:r>
            <w:r w:rsidR="003268A2" w:rsidRPr="004F793F">
              <w:rPr>
                <w:rFonts w:ascii="Times New Roman" w:hAnsi="Times New Roman" w:cs="Times New Roman"/>
                <w:sz w:val="28"/>
                <w:szCs w:val="28"/>
              </w:rPr>
              <w:t>)</w:t>
            </w:r>
            <w:r w:rsidR="003268A2">
              <w:rPr>
                <w:rFonts w:ascii="Times New Roman" w:hAnsi="Times New Roman" w:cs="Times New Roman"/>
                <w:sz w:val="28"/>
                <w:szCs w:val="28"/>
              </w:rPr>
              <w:t>.</w:t>
            </w:r>
          </w:p>
        </w:tc>
        <w:tc>
          <w:tcPr>
            <w:tcW w:w="1985" w:type="dxa"/>
            <w:vAlign w:val="center"/>
          </w:tcPr>
          <w:p w14:paraId="045883A7" w14:textId="77777777" w:rsidR="00DC1500" w:rsidRPr="00943DFD" w:rsidRDefault="00DC1500" w:rsidP="00DC6752">
            <w:pPr>
              <w:spacing w:after="0" w:line="240" w:lineRule="auto"/>
              <w:ind w:firstLine="567"/>
              <w:jc w:val="center"/>
              <w:rPr>
                <w:rFonts w:ascii="Times New Roman" w:hAnsi="Times New Roman" w:cs="Times New Roman"/>
                <w:sz w:val="28"/>
                <w:szCs w:val="28"/>
              </w:rPr>
            </w:pPr>
          </w:p>
        </w:tc>
      </w:tr>
    </w:tbl>
    <w:p w14:paraId="0F53F8BB" w14:textId="77777777" w:rsidR="00014069" w:rsidRDefault="00014069" w:rsidP="00DC6752">
      <w:pPr>
        <w:spacing w:after="0" w:line="240" w:lineRule="auto"/>
        <w:ind w:firstLine="567"/>
        <w:jc w:val="center"/>
        <w:rPr>
          <w:rFonts w:ascii="Times New Roman" w:hAnsi="Times New Roman" w:cs="Times New Roman"/>
          <w:b/>
          <w:bCs/>
          <w:sz w:val="28"/>
          <w:szCs w:val="28"/>
        </w:rPr>
      </w:pPr>
    </w:p>
    <w:p w14:paraId="2379D648"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II. Цілі державного регулювання</w:t>
      </w:r>
    </w:p>
    <w:p w14:paraId="141E526A" w14:textId="77777777" w:rsidR="00DC1500" w:rsidRPr="00B1760D" w:rsidRDefault="00DC1500" w:rsidP="00DC6752">
      <w:pPr>
        <w:spacing w:after="0" w:line="240" w:lineRule="auto"/>
        <w:ind w:firstLine="567"/>
        <w:jc w:val="center"/>
        <w:rPr>
          <w:rFonts w:ascii="Times New Roman" w:hAnsi="Times New Roman" w:cs="Times New Roman"/>
          <w:b/>
          <w:bCs/>
          <w:sz w:val="28"/>
          <w:szCs w:val="28"/>
        </w:rPr>
      </w:pPr>
    </w:p>
    <w:p w14:paraId="6A4C6035" w14:textId="1A144D02" w:rsidR="000B4E9E" w:rsidRPr="0036258D" w:rsidRDefault="00DC1500" w:rsidP="000B4E9E">
      <w:pPr>
        <w:spacing w:after="0" w:line="240" w:lineRule="auto"/>
        <w:ind w:firstLine="709"/>
        <w:jc w:val="both"/>
        <w:rPr>
          <w:rFonts w:ascii="Times New Roman" w:hAnsi="Times New Roman" w:cs="Times New Roman"/>
          <w:bCs/>
          <w:sz w:val="28"/>
          <w:szCs w:val="28"/>
        </w:rPr>
      </w:pPr>
      <w:r w:rsidRPr="00943DFD">
        <w:rPr>
          <w:rFonts w:ascii="Times New Roman" w:hAnsi="Times New Roman" w:cs="Times New Roman"/>
          <w:sz w:val="28"/>
          <w:szCs w:val="28"/>
        </w:rPr>
        <w:t xml:space="preserve">Метою прийняття </w:t>
      </w:r>
      <w:r w:rsidR="00B26044">
        <w:rPr>
          <w:rFonts w:ascii="Times New Roman" w:hAnsi="Times New Roman" w:cs="Times New Roman"/>
          <w:sz w:val="28"/>
          <w:szCs w:val="28"/>
        </w:rPr>
        <w:t>П</w:t>
      </w:r>
      <w:r w:rsidR="008C6D40" w:rsidRPr="00943DFD">
        <w:rPr>
          <w:rFonts w:ascii="Times New Roman" w:hAnsi="Times New Roman" w:cs="Times New Roman"/>
          <w:sz w:val="28"/>
          <w:szCs w:val="28"/>
        </w:rPr>
        <w:t>роєкту постанови</w:t>
      </w:r>
      <w:r w:rsidRPr="00943DFD">
        <w:rPr>
          <w:rFonts w:ascii="Times New Roman" w:hAnsi="Times New Roman" w:cs="Times New Roman"/>
          <w:sz w:val="28"/>
          <w:szCs w:val="28"/>
        </w:rPr>
        <w:t xml:space="preserve"> </w:t>
      </w:r>
      <w:r w:rsidR="009C561D" w:rsidRPr="00101840">
        <w:rPr>
          <w:rFonts w:ascii="Times New Roman" w:hAnsi="Times New Roman" w:cs="Times New Roman"/>
          <w:sz w:val="28"/>
          <w:szCs w:val="28"/>
        </w:rPr>
        <w:t xml:space="preserve">є </w:t>
      </w:r>
      <w:r w:rsidR="000B4E9E" w:rsidRPr="00BC477D">
        <w:rPr>
          <w:rFonts w:ascii="Times New Roman" w:hAnsi="Times New Roman" w:cs="Times New Roman"/>
          <w:bCs/>
          <w:sz w:val="28"/>
          <w:szCs w:val="28"/>
        </w:rPr>
        <w:t>удосконалення</w:t>
      </w:r>
      <w:r w:rsidR="00CE19A1">
        <w:rPr>
          <w:rFonts w:ascii="Times New Roman" w:hAnsi="Times New Roman" w:cs="Times New Roman"/>
          <w:bCs/>
          <w:sz w:val="28"/>
          <w:szCs w:val="28"/>
        </w:rPr>
        <w:t xml:space="preserve"> методології</w:t>
      </w:r>
      <w:r w:rsidR="000B4E9E" w:rsidRPr="00BC477D">
        <w:rPr>
          <w:rFonts w:ascii="Times New Roman" w:hAnsi="Times New Roman" w:cs="Times New Roman"/>
          <w:bCs/>
          <w:sz w:val="28"/>
          <w:szCs w:val="28"/>
        </w:rPr>
        <w:t xml:space="preserve"> стимулюючого тарифоутворення для операторів систем розподілу</w:t>
      </w:r>
      <w:r w:rsidR="000B4E9E">
        <w:rPr>
          <w:rFonts w:ascii="Times New Roman" w:hAnsi="Times New Roman" w:cs="Times New Roman"/>
          <w:bCs/>
          <w:sz w:val="28"/>
          <w:szCs w:val="28"/>
        </w:rPr>
        <w:t xml:space="preserve"> шляхом</w:t>
      </w:r>
      <w:r w:rsidR="000B4E9E" w:rsidRPr="00BC477D">
        <w:rPr>
          <w:rFonts w:ascii="Times New Roman" w:hAnsi="Times New Roman" w:cs="Times New Roman"/>
          <w:bCs/>
          <w:sz w:val="28"/>
          <w:szCs w:val="28"/>
        </w:rPr>
        <w:t xml:space="preserve"> </w:t>
      </w:r>
      <w:r w:rsidR="000226FC">
        <w:rPr>
          <w:rFonts w:ascii="Times New Roman" w:hAnsi="Times New Roman" w:cs="Times New Roman"/>
          <w:bCs/>
          <w:sz w:val="28"/>
          <w:szCs w:val="28"/>
        </w:rPr>
        <w:t xml:space="preserve">уточнення </w:t>
      </w:r>
      <w:r w:rsidR="000B4E9E" w:rsidRPr="00BC477D">
        <w:rPr>
          <w:rFonts w:ascii="Times New Roman" w:hAnsi="Times New Roman" w:cs="Times New Roman"/>
          <w:bCs/>
          <w:sz w:val="28"/>
          <w:szCs w:val="28"/>
        </w:rPr>
        <w:t>окрем</w:t>
      </w:r>
      <w:r w:rsidR="003268A2">
        <w:rPr>
          <w:rFonts w:ascii="Times New Roman" w:hAnsi="Times New Roman" w:cs="Times New Roman"/>
          <w:bCs/>
          <w:sz w:val="28"/>
          <w:szCs w:val="28"/>
        </w:rPr>
        <w:t>их</w:t>
      </w:r>
      <w:r w:rsidR="000B4E9E" w:rsidRPr="00BC477D">
        <w:rPr>
          <w:rFonts w:ascii="Times New Roman" w:hAnsi="Times New Roman" w:cs="Times New Roman"/>
          <w:bCs/>
          <w:sz w:val="28"/>
          <w:szCs w:val="28"/>
        </w:rPr>
        <w:t xml:space="preserve"> </w:t>
      </w:r>
      <w:r w:rsidR="00FA4947">
        <w:rPr>
          <w:rFonts w:ascii="Times New Roman" w:hAnsi="Times New Roman" w:cs="Times New Roman"/>
          <w:bCs/>
          <w:sz w:val="28"/>
          <w:szCs w:val="28"/>
        </w:rPr>
        <w:t>норм</w:t>
      </w:r>
      <w:r w:rsidR="00FA4947" w:rsidRPr="00BC477D">
        <w:rPr>
          <w:rFonts w:ascii="Times New Roman" w:hAnsi="Times New Roman" w:cs="Times New Roman"/>
          <w:bCs/>
          <w:sz w:val="28"/>
          <w:szCs w:val="28"/>
        </w:rPr>
        <w:t xml:space="preserve"> </w:t>
      </w:r>
      <w:r w:rsidR="000226FC" w:rsidRPr="000226FC">
        <w:rPr>
          <w:rFonts w:ascii="Times New Roman" w:hAnsi="Times New Roman" w:cs="Times New Roman"/>
          <w:bCs/>
          <w:sz w:val="28"/>
          <w:szCs w:val="28"/>
        </w:rPr>
        <w:t xml:space="preserve">Порядку </w:t>
      </w:r>
      <w:r w:rsidR="001F3E02">
        <w:rPr>
          <w:rFonts w:ascii="Times New Roman" w:hAnsi="Times New Roman" w:cs="Times New Roman"/>
          <w:bCs/>
          <w:sz w:val="28"/>
          <w:szCs w:val="28"/>
        </w:rPr>
        <w:t>899</w:t>
      </w:r>
      <w:r w:rsidR="00CE19A1">
        <w:rPr>
          <w:rFonts w:ascii="Times New Roman" w:hAnsi="Times New Roman" w:cs="Times New Roman"/>
          <w:bCs/>
          <w:sz w:val="28"/>
          <w:szCs w:val="28"/>
        </w:rPr>
        <w:t>,</w:t>
      </w:r>
      <w:r w:rsidR="00F07C67">
        <w:rPr>
          <w:rFonts w:ascii="Times New Roman" w:hAnsi="Times New Roman" w:cs="Times New Roman"/>
          <w:bCs/>
          <w:sz w:val="28"/>
          <w:szCs w:val="28"/>
        </w:rPr>
        <w:t xml:space="preserve"> </w:t>
      </w:r>
      <w:r w:rsidR="00CE19A1">
        <w:rPr>
          <w:rFonts w:ascii="Times New Roman" w:hAnsi="Times New Roman" w:cs="Times New Roman"/>
          <w:sz w:val="28"/>
          <w:szCs w:val="28"/>
        </w:rPr>
        <w:t xml:space="preserve">зокрема </w:t>
      </w:r>
      <w:r w:rsidR="003268A2">
        <w:rPr>
          <w:rFonts w:ascii="Times New Roman" w:hAnsi="Times New Roman" w:cs="Times New Roman"/>
          <w:sz w:val="28"/>
          <w:szCs w:val="28"/>
        </w:rPr>
        <w:t>щодо</w:t>
      </w:r>
      <w:r w:rsidR="003268A2" w:rsidRPr="004F793F">
        <w:rPr>
          <w:rFonts w:ascii="Times New Roman" w:hAnsi="Times New Roman" w:cs="Times New Roman"/>
          <w:sz w:val="28"/>
          <w:szCs w:val="28"/>
        </w:rPr>
        <w:t xml:space="preserve"> активів, що підпадають під </w:t>
      </w:r>
      <w:r w:rsidR="003268A2" w:rsidRPr="0036258D">
        <w:rPr>
          <w:rFonts w:ascii="Times New Roman" w:hAnsi="Times New Roman" w:cs="Times New Roman"/>
          <w:sz w:val="28"/>
          <w:szCs w:val="28"/>
        </w:rPr>
        <w:t>обмеження (зокрема будівель адміністративного призначення, легкових автомобілів).</w:t>
      </w:r>
    </w:p>
    <w:p w14:paraId="0F13B7D6" w14:textId="77777777" w:rsidR="006238DE" w:rsidRDefault="006238DE" w:rsidP="00B005DA">
      <w:pPr>
        <w:spacing w:after="0" w:line="240" w:lineRule="auto"/>
        <w:ind w:firstLine="567"/>
        <w:jc w:val="both"/>
        <w:rPr>
          <w:rFonts w:ascii="Times New Roman" w:hAnsi="Times New Roman" w:cs="Times New Roman"/>
          <w:sz w:val="28"/>
          <w:szCs w:val="28"/>
        </w:rPr>
      </w:pPr>
    </w:p>
    <w:p w14:paraId="02803369" w14:textId="77777777" w:rsidR="00DC1500" w:rsidRDefault="00DC1500" w:rsidP="006C13C0">
      <w:pPr>
        <w:spacing w:after="0" w:line="240" w:lineRule="auto"/>
        <w:ind w:firstLine="567"/>
        <w:rPr>
          <w:rFonts w:ascii="Times New Roman" w:hAnsi="Times New Roman" w:cs="Times New Roman"/>
          <w:b/>
          <w:bCs/>
          <w:sz w:val="28"/>
          <w:szCs w:val="28"/>
        </w:rPr>
      </w:pPr>
      <w:r w:rsidRPr="00943DFD">
        <w:rPr>
          <w:rFonts w:ascii="Times New Roman" w:hAnsi="Times New Roman" w:cs="Times New Roman"/>
          <w:b/>
          <w:bCs/>
          <w:sz w:val="28"/>
          <w:szCs w:val="28"/>
        </w:rPr>
        <w:t>III. Визначення та оцінка альтернативних способів досягнення цілей</w:t>
      </w:r>
    </w:p>
    <w:p w14:paraId="0B40EC22" w14:textId="77777777" w:rsidR="00014069" w:rsidRDefault="00014069" w:rsidP="00C15B38">
      <w:pPr>
        <w:spacing w:after="0" w:line="240" w:lineRule="auto"/>
        <w:ind w:firstLine="567"/>
        <w:jc w:val="both"/>
        <w:rPr>
          <w:rFonts w:ascii="Times New Roman" w:hAnsi="Times New Roman" w:cs="Times New Roman"/>
          <w:sz w:val="28"/>
          <w:szCs w:val="28"/>
        </w:rPr>
      </w:pPr>
    </w:p>
    <w:p w14:paraId="54AF958A" w14:textId="77777777" w:rsidR="00DC1500" w:rsidRPr="00943DFD" w:rsidRDefault="00C15B38" w:rsidP="00C15B3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DC1500" w:rsidRPr="00943DFD">
        <w:rPr>
          <w:rFonts w:ascii="Times New Roman" w:hAnsi="Times New Roman" w:cs="Times New Roman"/>
          <w:sz w:val="28"/>
          <w:szCs w:val="28"/>
        </w:rPr>
        <w:t>Визначення альтернативних способів</w:t>
      </w:r>
    </w:p>
    <w:p w14:paraId="6F08C103" w14:textId="77777777" w:rsidR="00DC1500" w:rsidRPr="00943DFD" w:rsidRDefault="00DC1500" w:rsidP="00DC6752">
      <w:pPr>
        <w:spacing w:after="0" w:line="240" w:lineRule="auto"/>
        <w:ind w:left="1068" w:firstLine="56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4"/>
      </w:tblGrid>
      <w:tr w:rsidR="00101840" w:rsidRPr="00943DFD" w14:paraId="5F858FB0" w14:textId="77777777" w:rsidTr="00DC6752">
        <w:trPr>
          <w:jc w:val="center"/>
        </w:trPr>
        <w:tc>
          <w:tcPr>
            <w:tcW w:w="4786" w:type="dxa"/>
          </w:tcPr>
          <w:p w14:paraId="3DE1849B" w14:textId="77777777" w:rsidR="00DC1500" w:rsidRPr="00943DFD" w:rsidRDefault="00DC1500" w:rsidP="00DC6752">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4784" w:type="dxa"/>
          </w:tcPr>
          <w:p w14:paraId="0FA8F32C" w14:textId="77777777" w:rsidR="00DC1500" w:rsidRPr="00943DFD" w:rsidRDefault="00DC1500" w:rsidP="00DC6752">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Опис альтернативи</w:t>
            </w:r>
          </w:p>
        </w:tc>
      </w:tr>
      <w:tr w:rsidR="00101840" w:rsidRPr="00943DFD" w14:paraId="7ECF3A61" w14:textId="77777777" w:rsidTr="00DC6752">
        <w:trPr>
          <w:trHeight w:val="1134"/>
          <w:jc w:val="center"/>
        </w:trPr>
        <w:tc>
          <w:tcPr>
            <w:tcW w:w="4786" w:type="dxa"/>
          </w:tcPr>
          <w:p w14:paraId="21E62F54"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16B25B92"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4784" w:type="dxa"/>
          </w:tcPr>
          <w:p w14:paraId="536FB067" w14:textId="30E7C6E4" w:rsidR="00DB6DB7" w:rsidRPr="00943DFD" w:rsidRDefault="008B074C" w:rsidP="00B3115E">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Не </w:t>
            </w:r>
            <w:r w:rsidR="000B4E9E">
              <w:rPr>
                <w:rFonts w:ascii="Times New Roman" w:hAnsi="Times New Roman" w:cs="Times New Roman"/>
                <w:sz w:val="28"/>
                <w:szCs w:val="28"/>
              </w:rPr>
              <w:t xml:space="preserve">забезпечує </w:t>
            </w:r>
            <w:r w:rsidR="001C5FB3" w:rsidRPr="00BC477D">
              <w:rPr>
                <w:rFonts w:ascii="Times New Roman" w:hAnsi="Times New Roman" w:cs="Times New Roman"/>
                <w:bCs/>
                <w:sz w:val="28"/>
                <w:szCs w:val="28"/>
              </w:rPr>
              <w:t>однозначн</w:t>
            </w:r>
            <w:r w:rsidR="001C5FB3">
              <w:rPr>
                <w:rFonts w:ascii="Times New Roman" w:hAnsi="Times New Roman" w:cs="Times New Roman"/>
                <w:bCs/>
                <w:sz w:val="28"/>
                <w:szCs w:val="28"/>
              </w:rPr>
              <w:t>е</w:t>
            </w:r>
            <w:r w:rsidR="001C5FB3" w:rsidRPr="00BC477D">
              <w:rPr>
                <w:rFonts w:ascii="Times New Roman" w:hAnsi="Times New Roman" w:cs="Times New Roman"/>
                <w:bCs/>
                <w:sz w:val="28"/>
                <w:szCs w:val="28"/>
              </w:rPr>
              <w:t xml:space="preserve"> тлумачення </w:t>
            </w:r>
            <w:r w:rsidR="001C5FB3" w:rsidRPr="0036258D">
              <w:rPr>
                <w:rFonts w:ascii="Times New Roman" w:hAnsi="Times New Roman" w:cs="Times New Roman"/>
                <w:bCs/>
                <w:sz w:val="28"/>
                <w:szCs w:val="28"/>
              </w:rPr>
              <w:t>термін</w:t>
            </w:r>
            <w:r w:rsidR="008A41B4" w:rsidRPr="0036258D">
              <w:rPr>
                <w:rFonts w:ascii="Times New Roman" w:hAnsi="Times New Roman" w:cs="Times New Roman"/>
                <w:bCs/>
                <w:sz w:val="28"/>
                <w:szCs w:val="28"/>
              </w:rPr>
              <w:t>ів</w:t>
            </w:r>
            <w:r w:rsidR="001C5FB3" w:rsidRPr="0036258D">
              <w:rPr>
                <w:rFonts w:ascii="Times New Roman" w:hAnsi="Times New Roman" w:cs="Times New Roman"/>
                <w:bCs/>
                <w:sz w:val="28"/>
                <w:szCs w:val="28"/>
              </w:rPr>
              <w:t xml:space="preserve">, </w:t>
            </w:r>
            <w:r w:rsidR="001C5FB3" w:rsidRPr="0036258D">
              <w:rPr>
                <w:rFonts w:ascii="Times New Roman" w:hAnsi="Times New Roman" w:cs="Times New Roman"/>
                <w:sz w:val="28"/>
                <w:szCs w:val="28"/>
              </w:rPr>
              <w:t>передбачен</w:t>
            </w:r>
            <w:r w:rsidR="008A41B4" w:rsidRPr="0036258D">
              <w:rPr>
                <w:rFonts w:ascii="Times New Roman" w:hAnsi="Times New Roman" w:cs="Times New Roman"/>
                <w:sz w:val="28"/>
                <w:szCs w:val="28"/>
              </w:rPr>
              <w:t>их</w:t>
            </w:r>
            <w:r w:rsidR="001C5FB3" w:rsidRPr="0036258D">
              <w:rPr>
                <w:rFonts w:ascii="Times New Roman" w:hAnsi="Times New Roman" w:cs="Times New Roman"/>
                <w:sz w:val="28"/>
                <w:szCs w:val="28"/>
              </w:rPr>
              <w:t xml:space="preserve"> пункт</w:t>
            </w:r>
            <w:r w:rsidR="00B3115E" w:rsidRPr="0036258D">
              <w:rPr>
                <w:rFonts w:ascii="Times New Roman" w:hAnsi="Times New Roman" w:cs="Times New Roman"/>
                <w:sz w:val="28"/>
                <w:szCs w:val="28"/>
              </w:rPr>
              <w:t xml:space="preserve">ом </w:t>
            </w:r>
            <w:r w:rsidR="001C5FB3" w:rsidRPr="0036258D">
              <w:rPr>
                <w:rFonts w:ascii="Times New Roman" w:hAnsi="Times New Roman" w:cs="Times New Roman"/>
                <w:sz w:val="28"/>
                <w:szCs w:val="28"/>
              </w:rPr>
              <w:t>2.</w:t>
            </w:r>
            <w:r w:rsidR="00B3115E" w:rsidRPr="0036258D">
              <w:rPr>
                <w:rFonts w:ascii="Times New Roman" w:hAnsi="Times New Roman" w:cs="Times New Roman"/>
                <w:sz w:val="28"/>
                <w:szCs w:val="28"/>
              </w:rPr>
              <w:t>7</w:t>
            </w:r>
            <w:r w:rsidR="001C5FB3" w:rsidRPr="0036258D">
              <w:rPr>
                <w:rFonts w:ascii="Times New Roman" w:hAnsi="Times New Roman" w:cs="Times New Roman"/>
                <w:sz w:val="28"/>
                <w:szCs w:val="28"/>
              </w:rPr>
              <w:t xml:space="preserve"> розділу II Порядку</w:t>
            </w:r>
            <w:r w:rsidR="00B3115E" w:rsidRPr="0036258D">
              <w:rPr>
                <w:rFonts w:ascii="Times New Roman" w:hAnsi="Times New Roman" w:cs="Times New Roman"/>
                <w:sz w:val="28"/>
                <w:szCs w:val="28"/>
              </w:rPr>
              <w:t xml:space="preserve"> 899</w:t>
            </w:r>
            <w:r w:rsidR="001C5FB3" w:rsidRPr="0036258D">
              <w:rPr>
                <w:rFonts w:ascii="Times New Roman" w:hAnsi="Times New Roman" w:cs="Times New Roman"/>
                <w:sz w:val="28"/>
                <w:szCs w:val="28"/>
              </w:rPr>
              <w:t xml:space="preserve">, </w:t>
            </w:r>
            <w:r w:rsidR="00D45C47" w:rsidRPr="0036258D">
              <w:rPr>
                <w:rFonts w:ascii="Times New Roman" w:hAnsi="Times New Roman" w:cs="Times New Roman"/>
                <w:sz w:val="28"/>
                <w:szCs w:val="28"/>
              </w:rPr>
              <w:t xml:space="preserve">у </w:t>
            </w:r>
            <w:r w:rsidR="001C5FB3" w:rsidRPr="0036258D">
              <w:rPr>
                <w:rFonts w:ascii="Times New Roman" w:hAnsi="Times New Roman" w:cs="Times New Roman"/>
                <w:sz w:val="28"/>
                <w:szCs w:val="28"/>
              </w:rPr>
              <w:t>частині</w:t>
            </w:r>
            <w:r w:rsidR="00B3115E" w:rsidRPr="0036258D">
              <w:rPr>
                <w:rFonts w:ascii="Times New Roman" w:hAnsi="Times New Roman" w:cs="Times New Roman"/>
                <w:sz w:val="28"/>
                <w:szCs w:val="28"/>
              </w:rPr>
              <w:t xml:space="preserve"> визначення</w:t>
            </w:r>
            <w:r w:rsidR="00B3115E" w:rsidRPr="0036258D">
              <w:rPr>
                <w:rFonts w:ascii="Times New Roman" w:hAnsi="Times New Roman" w:cs="Times New Roman"/>
                <w:bCs/>
                <w:sz w:val="28"/>
                <w:szCs w:val="28"/>
              </w:rPr>
              <w:t xml:space="preserve"> вартості активів (</w:t>
            </w:r>
            <w:r w:rsidR="005C30BB" w:rsidRPr="0036258D">
              <w:rPr>
                <w:rFonts w:ascii="Times New Roman" w:hAnsi="Times New Roman" w:cs="Times New Roman"/>
                <w:bCs/>
                <w:sz w:val="28"/>
                <w:szCs w:val="28"/>
              </w:rPr>
              <w:t xml:space="preserve">зокрема </w:t>
            </w:r>
            <w:r w:rsidR="00B3115E" w:rsidRPr="00331745">
              <w:rPr>
                <w:rFonts w:ascii="Times New Roman" w:hAnsi="Times New Roman" w:cs="Times New Roman"/>
                <w:bCs/>
                <w:sz w:val="28"/>
                <w:szCs w:val="28"/>
              </w:rPr>
              <w:t xml:space="preserve">будівель адміністративного </w:t>
            </w:r>
            <w:r w:rsidR="00B3115E" w:rsidRPr="00331745">
              <w:rPr>
                <w:rFonts w:ascii="Times New Roman" w:hAnsi="Times New Roman" w:cs="Times New Roman"/>
                <w:bCs/>
                <w:sz w:val="28"/>
                <w:szCs w:val="28"/>
              </w:rPr>
              <w:lastRenderedPageBreak/>
              <w:t>призначення</w:t>
            </w:r>
            <w:r w:rsidR="00A000D0" w:rsidRPr="0036258D">
              <w:rPr>
                <w:rFonts w:ascii="Times New Roman" w:hAnsi="Times New Roman" w:cs="Times New Roman"/>
                <w:bCs/>
                <w:sz w:val="28"/>
                <w:szCs w:val="28"/>
              </w:rPr>
              <w:t>, легкових автомобілів</w:t>
            </w:r>
            <w:r w:rsidR="00B3115E" w:rsidRPr="0036258D">
              <w:rPr>
                <w:rFonts w:ascii="Times New Roman" w:hAnsi="Times New Roman" w:cs="Times New Roman"/>
                <w:bCs/>
                <w:sz w:val="28"/>
                <w:szCs w:val="28"/>
              </w:rPr>
              <w:t>), що підпадають під обмеження</w:t>
            </w:r>
            <w:r w:rsidR="00C0147D" w:rsidRPr="0036258D">
              <w:rPr>
                <w:rFonts w:ascii="Times New Roman" w:hAnsi="Times New Roman" w:cs="Times New Roman"/>
                <w:bCs/>
                <w:sz w:val="28"/>
                <w:szCs w:val="28"/>
              </w:rPr>
              <w:t>.</w:t>
            </w:r>
            <w:r w:rsidR="001C5FB3" w:rsidRPr="0036258D">
              <w:rPr>
                <w:rFonts w:ascii="Times New Roman" w:hAnsi="Times New Roman" w:cs="Times New Roman"/>
                <w:bCs/>
                <w:sz w:val="28"/>
                <w:szCs w:val="28"/>
              </w:rPr>
              <w:t xml:space="preserve"> </w:t>
            </w:r>
          </w:p>
        </w:tc>
      </w:tr>
      <w:tr w:rsidR="008F37C0" w:rsidRPr="00943DFD" w14:paraId="4DAD14CC" w14:textId="77777777" w:rsidTr="00DC6752">
        <w:trPr>
          <w:trHeight w:val="317"/>
          <w:jc w:val="center"/>
        </w:trPr>
        <w:tc>
          <w:tcPr>
            <w:tcW w:w="4786" w:type="dxa"/>
          </w:tcPr>
          <w:p w14:paraId="6EFF88B5" w14:textId="77777777" w:rsidR="008F37C0" w:rsidRPr="00943DFD" w:rsidRDefault="008F37C0" w:rsidP="008F37C0">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lastRenderedPageBreak/>
              <w:t>Альтернатива 2.</w:t>
            </w:r>
          </w:p>
          <w:p w14:paraId="5C2C7021" w14:textId="77777777" w:rsidR="008F37C0" w:rsidRPr="00943DFD" w:rsidRDefault="008F37C0" w:rsidP="008F37C0">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чинного регуляторного акта</w:t>
            </w:r>
          </w:p>
        </w:tc>
        <w:tc>
          <w:tcPr>
            <w:tcW w:w="4784" w:type="dxa"/>
          </w:tcPr>
          <w:p w14:paraId="528183E0" w14:textId="6C062CAC" w:rsidR="008F37C0" w:rsidRPr="001C5FB3" w:rsidRDefault="00B26044">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У</w:t>
            </w:r>
            <w:r w:rsidR="008F37C0">
              <w:rPr>
                <w:rFonts w:ascii="Times New Roman" w:hAnsi="Times New Roman" w:cs="Times New Roman"/>
                <w:sz w:val="28"/>
                <w:szCs w:val="28"/>
              </w:rPr>
              <w:t>доскона</w:t>
            </w:r>
            <w:r>
              <w:rPr>
                <w:rFonts w:ascii="Times New Roman" w:hAnsi="Times New Roman" w:cs="Times New Roman"/>
                <w:sz w:val="28"/>
                <w:szCs w:val="28"/>
              </w:rPr>
              <w:t>лює</w:t>
            </w:r>
            <w:r w:rsidR="008F37C0">
              <w:rPr>
                <w:rFonts w:ascii="Times New Roman" w:hAnsi="Times New Roman" w:cs="Times New Roman"/>
                <w:sz w:val="28"/>
                <w:szCs w:val="28"/>
              </w:rPr>
              <w:t xml:space="preserve"> </w:t>
            </w:r>
            <w:r w:rsidR="00574E71">
              <w:rPr>
                <w:rFonts w:ascii="Times New Roman" w:hAnsi="Times New Roman" w:cs="Times New Roman"/>
                <w:sz w:val="28"/>
                <w:szCs w:val="28"/>
              </w:rPr>
              <w:t>окрем</w:t>
            </w:r>
            <w:r w:rsidR="003268A2">
              <w:rPr>
                <w:rFonts w:ascii="Times New Roman" w:hAnsi="Times New Roman" w:cs="Times New Roman"/>
                <w:sz w:val="28"/>
                <w:szCs w:val="28"/>
              </w:rPr>
              <w:t>і</w:t>
            </w:r>
            <w:r w:rsidR="008F37C0" w:rsidRPr="00B005DA">
              <w:rPr>
                <w:rFonts w:ascii="Times New Roman" w:hAnsi="Times New Roman" w:cs="Times New Roman"/>
                <w:sz w:val="28"/>
                <w:szCs w:val="28"/>
              </w:rPr>
              <w:t xml:space="preserve"> </w:t>
            </w:r>
            <w:r w:rsidR="00F53891" w:rsidRPr="00B005DA">
              <w:rPr>
                <w:rFonts w:ascii="Times New Roman" w:hAnsi="Times New Roman" w:cs="Times New Roman"/>
                <w:sz w:val="28"/>
                <w:szCs w:val="28"/>
              </w:rPr>
              <w:t>положе</w:t>
            </w:r>
            <w:r w:rsidR="00F53891">
              <w:rPr>
                <w:rFonts w:ascii="Times New Roman" w:hAnsi="Times New Roman" w:cs="Times New Roman"/>
                <w:sz w:val="28"/>
                <w:szCs w:val="28"/>
              </w:rPr>
              <w:t>ння</w:t>
            </w:r>
            <w:r w:rsidR="00054881">
              <w:rPr>
                <w:rFonts w:ascii="Times New Roman" w:hAnsi="Times New Roman" w:cs="Times New Roman"/>
                <w:sz w:val="28"/>
                <w:szCs w:val="28"/>
              </w:rPr>
              <w:t xml:space="preserve"> </w:t>
            </w:r>
            <w:r w:rsidR="00CC2056" w:rsidRPr="000226FC">
              <w:rPr>
                <w:rFonts w:ascii="Times New Roman" w:hAnsi="Times New Roman" w:cs="Times New Roman"/>
                <w:bCs/>
                <w:sz w:val="28"/>
                <w:szCs w:val="28"/>
              </w:rPr>
              <w:t>Порядку</w:t>
            </w:r>
            <w:r w:rsidR="00F07C67">
              <w:rPr>
                <w:rFonts w:ascii="Times New Roman" w:hAnsi="Times New Roman" w:cs="Times New Roman"/>
                <w:bCs/>
                <w:sz w:val="28"/>
                <w:szCs w:val="28"/>
              </w:rPr>
              <w:t xml:space="preserve"> </w:t>
            </w:r>
            <w:r w:rsidR="001F3E02">
              <w:rPr>
                <w:rFonts w:ascii="Times New Roman" w:hAnsi="Times New Roman" w:cs="Times New Roman"/>
                <w:bCs/>
                <w:sz w:val="28"/>
                <w:szCs w:val="28"/>
              </w:rPr>
              <w:t xml:space="preserve">899 </w:t>
            </w:r>
            <w:r w:rsidR="00980C70">
              <w:rPr>
                <w:rFonts w:ascii="Times New Roman" w:hAnsi="Times New Roman" w:cs="Times New Roman"/>
                <w:sz w:val="28"/>
                <w:szCs w:val="28"/>
              </w:rPr>
              <w:t>шляхом</w:t>
            </w:r>
            <w:r w:rsidR="00CC2056">
              <w:rPr>
                <w:rFonts w:ascii="Times New Roman" w:hAnsi="Times New Roman" w:cs="Times New Roman"/>
                <w:sz w:val="28"/>
                <w:szCs w:val="28"/>
              </w:rPr>
              <w:t xml:space="preserve"> уточнення </w:t>
            </w:r>
            <w:r w:rsidR="007A30EC">
              <w:rPr>
                <w:rFonts w:ascii="Times New Roman" w:hAnsi="Times New Roman" w:cs="Times New Roman"/>
                <w:bCs/>
                <w:sz w:val="28"/>
                <w:szCs w:val="28"/>
              </w:rPr>
              <w:t xml:space="preserve">норм </w:t>
            </w:r>
            <w:r w:rsidR="003268A2">
              <w:rPr>
                <w:rFonts w:ascii="Times New Roman" w:hAnsi="Times New Roman" w:cs="Times New Roman"/>
                <w:sz w:val="28"/>
                <w:szCs w:val="28"/>
              </w:rPr>
              <w:t>щодо</w:t>
            </w:r>
            <w:r w:rsidR="003268A2" w:rsidRPr="004F793F">
              <w:rPr>
                <w:rFonts w:ascii="Times New Roman" w:hAnsi="Times New Roman" w:cs="Times New Roman"/>
                <w:sz w:val="28"/>
                <w:szCs w:val="28"/>
              </w:rPr>
              <w:t xml:space="preserve"> активів, що підпадають під обмеження</w:t>
            </w:r>
            <w:r w:rsidR="003268A2">
              <w:rPr>
                <w:rFonts w:ascii="Times New Roman" w:hAnsi="Times New Roman" w:cs="Times New Roman"/>
                <w:sz w:val="28"/>
                <w:szCs w:val="28"/>
              </w:rPr>
              <w:t xml:space="preserve"> </w:t>
            </w:r>
            <w:r w:rsidR="003268A2" w:rsidRPr="004F793F">
              <w:rPr>
                <w:rFonts w:ascii="Times New Roman" w:hAnsi="Times New Roman" w:cs="Times New Roman"/>
                <w:sz w:val="28"/>
                <w:szCs w:val="28"/>
              </w:rPr>
              <w:t>(</w:t>
            </w:r>
            <w:r w:rsidR="003268A2" w:rsidRPr="0036258D">
              <w:rPr>
                <w:rFonts w:ascii="Times New Roman" w:hAnsi="Times New Roman" w:cs="Times New Roman"/>
                <w:sz w:val="28"/>
                <w:szCs w:val="28"/>
              </w:rPr>
              <w:t>зокрема будівель адміністративного призначення, легкових автомобілів</w:t>
            </w:r>
            <w:r w:rsidR="003268A2" w:rsidRPr="004F793F">
              <w:rPr>
                <w:rFonts w:ascii="Times New Roman" w:hAnsi="Times New Roman" w:cs="Times New Roman"/>
                <w:sz w:val="28"/>
                <w:szCs w:val="28"/>
              </w:rPr>
              <w:t>)</w:t>
            </w:r>
            <w:r w:rsidR="003268A2">
              <w:rPr>
                <w:rFonts w:ascii="Times New Roman" w:hAnsi="Times New Roman" w:cs="Times New Roman"/>
                <w:sz w:val="28"/>
                <w:szCs w:val="28"/>
              </w:rPr>
              <w:t>.</w:t>
            </w:r>
          </w:p>
        </w:tc>
      </w:tr>
    </w:tbl>
    <w:p w14:paraId="0403A995" w14:textId="77777777" w:rsidR="000E0120" w:rsidRPr="00671B74" w:rsidRDefault="000E0120" w:rsidP="00DC6752">
      <w:pPr>
        <w:spacing w:after="0" w:line="240" w:lineRule="auto"/>
        <w:ind w:firstLine="567"/>
        <w:jc w:val="both"/>
        <w:rPr>
          <w:rFonts w:ascii="Times New Roman" w:hAnsi="Times New Roman" w:cs="Times New Roman"/>
          <w:sz w:val="18"/>
          <w:szCs w:val="18"/>
        </w:rPr>
      </w:pPr>
    </w:p>
    <w:p w14:paraId="1B8D79F2" w14:textId="77777777"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2. Оцінка вибраних альтернативних способів досягнення цілей</w:t>
      </w:r>
    </w:p>
    <w:p w14:paraId="1D8BF0F6" w14:textId="77777777" w:rsidR="00DC1500" w:rsidRPr="00943DFD" w:rsidRDefault="00DC1500" w:rsidP="00DC6752">
      <w:pPr>
        <w:pStyle w:val="aa"/>
        <w:spacing w:after="0" w:line="240" w:lineRule="auto"/>
        <w:ind w:firstLine="567"/>
        <w:jc w:val="both"/>
        <w:rPr>
          <w:rFonts w:ascii="Times New Roman" w:hAnsi="Times New Roman" w:cs="Times New Roman"/>
          <w:sz w:val="28"/>
          <w:szCs w:val="28"/>
        </w:rPr>
      </w:pPr>
    </w:p>
    <w:p w14:paraId="1CA7E21D" w14:textId="77777777" w:rsidR="00DC1500" w:rsidRPr="00C15B38" w:rsidRDefault="00DC1500" w:rsidP="00C15B38">
      <w:pPr>
        <w:pStyle w:val="aa"/>
        <w:numPr>
          <w:ilvl w:val="0"/>
          <w:numId w:val="6"/>
        </w:numPr>
        <w:spacing w:after="0" w:line="240" w:lineRule="auto"/>
        <w:jc w:val="both"/>
        <w:rPr>
          <w:rFonts w:ascii="Times New Roman" w:hAnsi="Times New Roman" w:cs="Times New Roman"/>
          <w:sz w:val="28"/>
          <w:szCs w:val="28"/>
        </w:rPr>
      </w:pPr>
      <w:r w:rsidRPr="00C15B38">
        <w:rPr>
          <w:rFonts w:ascii="Times New Roman" w:hAnsi="Times New Roman" w:cs="Times New Roman"/>
          <w:sz w:val="28"/>
          <w:szCs w:val="28"/>
        </w:rPr>
        <w:t>оцінка впливу на сферу інтересів держави:</w:t>
      </w:r>
    </w:p>
    <w:p w14:paraId="6F9A36B8" w14:textId="77777777" w:rsidR="00DC6752" w:rsidRPr="00943DFD" w:rsidRDefault="00DC6752" w:rsidP="00DC6752">
      <w:pPr>
        <w:pStyle w:val="aa"/>
        <w:spacing w:after="0" w:line="240" w:lineRule="auto"/>
        <w:ind w:left="1647"/>
        <w:jc w:val="both"/>
        <w:rPr>
          <w:rFonts w:ascii="Times New Roman" w:hAnsi="Times New Roman" w:cs="Times New Roman"/>
          <w:sz w:val="28"/>
          <w:szCs w:val="28"/>
        </w:rPr>
      </w:pP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4779"/>
        <w:gridCol w:w="3686"/>
        <w:gridCol w:w="1276"/>
      </w:tblGrid>
      <w:tr w:rsidR="00101840" w:rsidRPr="00943DFD" w14:paraId="00BA9154" w14:textId="77777777" w:rsidTr="00DC6752">
        <w:trPr>
          <w:trHeight w:val="28"/>
          <w:jc w:val="center"/>
        </w:trPr>
        <w:tc>
          <w:tcPr>
            <w:tcW w:w="4779" w:type="dxa"/>
          </w:tcPr>
          <w:p w14:paraId="0A3215ED"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3686" w:type="dxa"/>
          </w:tcPr>
          <w:p w14:paraId="3E7FD9EC"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276" w:type="dxa"/>
          </w:tcPr>
          <w:p w14:paraId="49D80EBF"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14:paraId="2914F556" w14:textId="77777777" w:rsidTr="00DC6752">
        <w:trPr>
          <w:trHeight w:val="169"/>
          <w:jc w:val="center"/>
        </w:trPr>
        <w:tc>
          <w:tcPr>
            <w:tcW w:w="4779" w:type="dxa"/>
          </w:tcPr>
          <w:p w14:paraId="1065F220"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3206685B"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3686" w:type="dxa"/>
          </w:tcPr>
          <w:p w14:paraId="3ADE28EA"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c>
          <w:tcPr>
            <w:tcW w:w="1276" w:type="dxa"/>
          </w:tcPr>
          <w:p w14:paraId="77D45D87"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r w:rsidR="00101840" w:rsidRPr="00943DFD" w14:paraId="6F4324F2" w14:textId="77777777" w:rsidTr="00DC6752">
        <w:trPr>
          <w:jc w:val="center"/>
        </w:trPr>
        <w:tc>
          <w:tcPr>
            <w:tcW w:w="4779" w:type="dxa"/>
          </w:tcPr>
          <w:p w14:paraId="2414B04C"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14:paraId="48BC1519" w14:textId="77777777" w:rsidR="00DC1500" w:rsidRPr="00943DFD" w:rsidRDefault="00092636"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чинного регуляторного акта</w:t>
            </w:r>
          </w:p>
        </w:tc>
        <w:tc>
          <w:tcPr>
            <w:tcW w:w="3686" w:type="dxa"/>
          </w:tcPr>
          <w:p w14:paraId="7282307A" w14:textId="012296E3" w:rsidR="0077202A" w:rsidRPr="00943DFD" w:rsidRDefault="00616112" w:rsidP="008F1C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Удосконалює</w:t>
            </w:r>
            <w:r w:rsidR="00574E71">
              <w:rPr>
                <w:rFonts w:ascii="Times New Roman" w:hAnsi="Times New Roman" w:cs="Times New Roman"/>
                <w:sz w:val="28"/>
                <w:szCs w:val="28"/>
              </w:rPr>
              <w:t xml:space="preserve"> окрем</w:t>
            </w:r>
            <w:r w:rsidR="003268A2">
              <w:rPr>
                <w:rFonts w:ascii="Times New Roman" w:hAnsi="Times New Roman" w:cs="Times New Roman"/>
                <w:sz w:val="28"/>
                <w:szCs w:val="28"/>
              </w:rPr>
              <w:t>і</w:t>
            </w:r>
            <w:r w:rsidRPr="00B005DA">
              <w:rPr>
                <w:rFonts w:ascii="Times New Roman" w:hAnsi="Times New Roman" w:cs="Times New Roman"/>
                <w:sz w:val="28"/>
                <w:szCs w:val="28"/>
              </w:rPr>
              <w:t xml:space="preserve"> положен</w:t>
            </w:r>
            <w:r>
              <w:rPr>
                <w:rFonts w:ascii="Times New Roman" w:hAnsi="Times New Roman" w:cs="Times New Roman"/>
                <w:sz w:val="28"/>
                <w:szCs w:val="28"/>
              </w:rPr>
              <w:t>ня</w:t>
            </w:r>
            <w:r w:rsidRPr="00B005DA">
              <w:rPr>
                <w:rFonts w:ascii="Times New Roman" w:hAnsi="Times New Roman" w:cs="Times New Roman"/>
                <w:sz w:val="28"/>
                <w:szCs w:val="28"/>
              </w:rPr>
              <w:t xml:space="preserve"> </w:t>
            </w:r>
            <w:r w:rsidR="00DC2315">
              <w:rPr>
                <w:rFonts w:ascii="Times New Roman" w:hAnsi="Times New Roman" w:cs="Times New Roman"/>
                <w:sz w:val="28"/>
                <w:szCs w:val="28"/>
              </w:rPr>
              <w:t>Порядку 899</w:t>
            </w:r>
            <w:r w:rsidR="009C561D">
              <w:rPr>
                <w:rFonts w:ascii="Times New Roman" w:hAnsi="Times New Roman" w:cs="Times New Roman"/>
                <w:sz w:val="28"/>
                <w:szCs w:val="28"/>
              </w:rPr>
              <w:t xml:space="preserve"> </w:t>
            </w:r>
            <w:r>
              <w:rPr>
                <w:rFonts w:ascii="Times New Roman" w:hAnsi="Times New Roman" w:cs="Times New Roman"/>
                <w:sz w:val="28"/>
                <w:szCs w:val="28"/>
              </w:rPr>
              <w:t xml:space="preserve">та забезпечує </w:t>
            </w:r>
            <w:r w:rsidRPr="00B005DA">
              <w:rPr>
                <w:rFonts w:ascii="Times New Roman" w:hAnsi="Times New Roman" w:cs="Times New Roman"/>
                <w:sz w:val="28"/>
                <w:szCs w:val="28"/>
              </w:rPr>
              <w:t xml:space="preserve">уникнення </w:t>
            </w:r>
            <w:r w:rsidR="008F1C2A">
              <w:rPr>
                <w:rFonts w:ascii="Times New Roman" w:hAnsi="Times New Roman" w:cs="Times New Roman"/>
                <w:sz w:val="28"/>
                <w:szCs w:val="28"/>
              </w:rPr>
              <w:t xml:space="preserve">неоднозначного </w:t>
            </w:r>
            <w:r w:rsidRPr="0036258D">
              <w:rPr>
                <w:rFonts w:ascii="Times New Roman" w:hAnsi="Times New Roman" w:cs="Times New Roman"/>
                <w:sz w:val="28"/>
                <w:szCs w:val="28"/>
              </w:rPr>
              <w:t>тлумачення норм</w:t>
            </w:r>
            <w:r w:rsidR="00A36C7B" w:rsidRPr="0036258D">
              <w:rPr>
                <w:rFonts w:ascii="Times New Roman" w:hAnsi="Times New Roman" w:cs="Times New Roman"/>
                <w:sz w:val="28"/>
                <w:szCs w:val="28"/>
              </w:rPr>
              <w:t>, передбачен</w:t>
            </w:r>
            <w:r w:rsidR="001675AE" w:rsidRPr="0036258D">
              <w:rPr>
                <w:rFonts w:ascii="Times New Roman" w:hAnsi="Times New Roman" w:cs="Times New Roman"/>
                <w:sz w:val="28"/>
                <w:szCs w:val="28"/>
              </w:rPr>
              <w:t>их</w:t>
            </w:r>
            <w:r w:rsidR="00DC2315" w:rsidRPr="0036258D">
              <w:rPr>
                <w:rFonts w:ascii="Times New Roman" w:hAnsi="Times New Roman" w:cs="Times New Roman"/>
                <w:sz w:val="28"/>
                <w:szCs w:val="28"/>
              </w:rPr>
              <w:t xml:space="preserve"> </w:t>
            </w:r>
            <w:r w:rsidR="00D45C47" w:rsidRPr="0036258D">
              <w:rPr>
                <w:rFonts w:ascii="Times New Roman" w:hAnsi="Times New Roman" w:cs="Times New Roman"/>
                <w:sz w:val="28"/>
                <w:szCs w:val="28"/>
              </w:rPr>
              <w:t xml:space="preserve">                       </w:t>
            </w:r>
            <w:r w:rsidR="00DC2315" w:rsidRPr="003B155F">
              <w:rPr>
                <w:rFonts w:ascii="Times New Roman" w:hAnsi="Times New Roman" w:cs="Times New Roman"/>
                <w:sz w:val="28"/>
                <w:szCs w:val="28"/>
              </w:rPr>
              <w:t>пункт</w:t>
            </w:r>
            <w:r w:rsidR="00A36C7B">
              <w:rPr>
                <w:rFonts w:ascii="Times New Roman" w:hAnsi="Times New Roman" w:cs="Times New Roman"/>
                <w:sz w:val="28"/>
                <w:szCs w:val="28"/>
              </w:rPr>
              <w:t>ом</w:t>
            </w:r>
            <w:r w:rsidR="00DC2315" w:rsidRPr="003B155F">
              <w:rPr>
                <w:rFonts w:ascii="Times New Roman" w:hAnsi="Times New Roman" w:cs="Times New Roman"/>
                <w:sz w:val="28"/>
                <w:szCs w:val="28"/>
              </w:rPr>
              <w:t xml:space="preserve"> 2.7 розділу II</w:t>
            </w:r>
            <w:r w:rsidR="00C0147D">
              <w:rPr>
                <w:rFonts w:ascii="Times New Roman" w:hAnsi="Times New Roman" w:cs="Times New Roman"/>
                <w:sz w:val="28"/>
                <w:szCs w:val="28"/>
              </w:rPr>
              <w:t>.</w:t>
            </w:r>
          </w:p>
        </w:tc>
        <w:tc>
          <w:tcPr>
            <w:tcW w:w="1276" w:type="dxa"/>
          </w:tcPr>
          <w:p w14:paraId="078AB4B4"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bl>
    <w:p w14:paraId="7DED43A8" w14:textId="77777777" w:rsidR="00476B9E" w:rsidRPr="00943DFD" w:rsidRDefault="00476B9E" w:rsidP="00DC6752">
      <w:pPr>
        <w:spacing w:after="0" w:line="240" w:lineRule="auto"/>
        <w:ind w:firstLine="567"/>
        <w:jc w:val="both"/>
        <w:rPr>
          <w:rFonts w:ascii="Times New Roman" w:hAnsi="Times New Roman" w:cs="Times New Roman"/>
          <w:sz w:val="28"/>
          <w:szCs w:val="28"/>
        </w:rPr>
      </w:pPr>
    </w:p>
    <w:p w14:paraId="12498C07" w14:textId="77777777" w:rsidR="00DC1500" w:rsidRPr="00C15B38" w:rsidRDefault="00DC1500" w:rsidP="00C15B38">
      <w:pPr>
        <w:pStyle w:val="aa"/>
        <w:numPr>
          <w:ilvl w:val="0"/>
          <w:numId w:val="6"/>
        </w:numPr>
        <w:spacing w:after="0" w:line="240" w:lineRule="auto"/>
        <w:jc w:val="both"/>
        <w:rPr>
          <w:rFonts w:ascii="Times New Roman" w:hAnsi="Times New Roman" w:cs="Times New Roman"/>
          <w:sz w:val="28"/>
          <w:szCs w:val="28"/>
        </w:rPr>
      </w:pPr>
      <w:r w:rsidRPr="00C15B38">
        <w:rPr>
          <w:rFonts w:ascii="Times New Roman" w:hAnsi="Times New Roman" w:cs="Times New Roman"/>
          <w:sz w:val="28"/>
          <w:szCs w:val="28"/>
        </w:rPr>
        <w:t>оцінка впливу на сферу інтересів громадян:</w:t>
      </w:r>
    </w:p>
    <w:p w14:paraId="2A8DB618" w14:textId="77777777" w:rsidR="00DC6752" w:rsidRPr="00DC6752" w:rsidRDefault="00DC6752" w:rsidP="00DC6752">
      <w:pPr>
        <w:spacing w:after="0" w:line="240" w:lineRule="auto"/>
        <w:ind w:left="720"/>
        <w:jc w:val="both"/>
        <w:rPr>
          <w:rFonts w:ascii="Times New Roman" w:hAnsi="Times New Roman" w:cs="Times New Roman"/>
          <w:sz w:val="28"/>
          <w:szCs w:val="28"/>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3"/>
        <w:gridCol w:w="2580"/>
        <w:gridCol w:w="1531"/>
      </w:tblGrid>
      <w:tr w:rsidR="00101840" w:rsidRPr="00943DFD" w14:paraId="557B7630" w14:textId="77777777" w:rsidTr="00DC6752">
        <w:trPr>
          <w:jc w:val="center"/>
        </w:trPr>
        <w:tc>
          <w:tcPr>
            <w:tcW w:w="5743" w:type="dxa"/>
          </w:tcPr>
          <w:p w14:paraId="198F907C" w14:textId="77777777" w:rsidR="00DC1500" w:rsidRPr="00943DFD" w:rsidRDefault="00DC1500" w:rsidP="00A045B4">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2580" w:type="dxa"/>
          </w:tcPr>
          <w:p w14:paraId="33A6AFC0"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531" w:type="dxa"/>
          </w:tcPr>
          <w:p w14:paraId="1CB13643"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14:paraId="0BEDDA74" w14:textId="77777777" w:rsidTr="00DC6752">
        <w:trPr>
          <w:jc w:val="center"/>
        </w:trPr>
        <w:tc>
          <w:tcPr>
            <w:tcW w:w="5743" w:type="dxa"/>
          </w:tcPr>
          <w:p w14:paraId="7C720512"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3D398A7C"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2580" w:type="dxa"/>
          </w:tcPr>
          <w:p w14:paraId="63829621"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c>
          <w:tcPr>
            <w:tcW w:w="1531" w:type="dxa"/>
          </w:tcPr>
          <w:p w14:paraId="23C65D16"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r w:rsidR="00101840" w:rsidRPr="00943DFD" w14:paraId="212565A5" w14:textId="77777777" w:rsidTr="00DC6752">
        <w:trPr>
          <w:jc w:val="center"/>
        </w:trPr>
        <w:tc>
          <w:tcPr>
            <w:tcW w:w="5743" w:type="dxa"/>
          </w:tcPr>
          <w:p w14:paraId="3EE2563A"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14:paraId="0C12D0DB" w14:textId="77777777" w:rsidR="00DC1500" w:rsidRPr="00943DFD" w:rsidRDefault="00411CCB"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w:t>
            </w:r>
            <w:r w:rsidR="00092636" w:rsidRPr="00943DFD">
              <w:rPr>
                <w:rFonts w:ascii="Times New Roman" w:hAnsi="Times New Roman" w:cs="Times New Roman"/>
                <w:sz w:val="28"/>
                <w:szCs w:val="28"/>
              </w:rPr>
              <w:t>ого</w:t>
            </w:r>
            <w:r w:rsidRPr="00943DFD">
              <w:rPr>
                <w:rFonts w:ascii="Times New Roman" w:hAnsi="Times New Roman" w:cs="Times New Roman"/>
                <w:sz w:val="28"/>
                <w:szCs w:val="28"/>
              </w:rPr>
              <w:t xml:space="preserve"> регуляторн</w:t>
            </w:r>
            <w:r w:rsidR="00092636" w:rsidRPr="00943DFD">
              <w:rPr>
                <w:rFonts w:ascii="Times New Roman" w:hAnsi="Times New Roman" w:cs="Times New Roman"/>
                <w:sz w:val="28"/>
                <w:szCs w:val="28"/>
              </w:rPr>
              <w:t>ого</w:t>
            </w:r>
            <w:r w:rsidRPr="00943DFD">
              <w:rPr>
                <w:rFonts w:ascii="Times New Roman" w:hAnsi="Times New Roman" w:cs="Times New Roman"/>
                <w:sz w:val="28"/>
                <w:szCs w:val="28"/>
              </w:rPr>
              <w:t xml:space="preserve"> акт</w:t>
            </w:r>
            <w:r w:rsidR="00092636" w:rsidRPr="00943DFD">
              <w:rPr>
                <w:rFonts w:ascii="Times New Roman" w:hAnsi="Times New Roman" w:cs="Times New Roman"/>
                <w:sz w:val="28"/>
                <w:szCs w:val="28"/>
              </w:rPr>
              <w:t>а</w:t>
            </w:r>
          </w:p>
        </w:tc>
        <w:tc>
          <w:tcPr>
            <w:tcW w:w="2580" w:type="dxa"/>
          </w:tcPr>
          <w:p w14:paraId="48E3169C" w14:textId="77777777" w:rsidR="00DC1500" w:rsidRPr="00943DFD" w:rsidRDefault="008223F7" w:rsidP="00A045B4">
            <w:pPr>
              <w:pStyle w:val="ab"/>
              <w:widowControl w:val="0"/>
              <w:jc w:val="center"/>
              <w:rPr>
                <w:rFonts w:ascii="Times New Roman" w:hAnsi="Times New Roman"/>
                <w:b w:val="0"/>
                <w:color w:val="auto"/>
                <w:sz w:val="28"/>
                <w:szCs w:val="28"/>
                <w:lang w:val="uk-UA"/>
              </w:rPr>
            </w:pPr>
            <w:r>
              <w:rPr>
                <w:rFonts w:ascii="Times New Roman" w:hAnsi="Times New Roman"/>
                <w:b w:val="0"/>
                <w:color w:val="auto"/>
                <w:sz w:val="28"/>
                <w:szCs w:val="28"/>
                <w:lang w:val="uk-UA"/>
              </w:rPr>
              <w:t>Відсутні</w:t>
            </w:r>
          </w:p>
        </w:tc>
        <w:tc>
          <w:tcPr>
            <w:tcW w:w="1531" w:type="dxa"/>
          </w:tcPr>
          <w:p w14:paraId="4AE7293A"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bl>
    <w:p w14:paraId="32B94109" w14:textId="77777777" w:rsidR="00014069" w:rsidRDefault="00C15B38" w:rsidP="00DC67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0800C4CC" w14:textId="77777777"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3) оцінка впливу на сферу інтересів суб’єктів господарювання:</w:t>
      </w:r>
    </w:p>
    <w:p w14:paraId="208A8760" w14:textId="77777777" w:rsidR="00B26044" w:rsidRPr="00943DFD" w:rsidRDefault="00B26044" w:rsidP="00DC6752">
      <w:pPr>
        <w:spacing w:after="0" w:line="240" w:lineRule="auto"/>
        <w:ind w:firstLine="567"/>
        <w:jc w:val="both"/>
        <w:rPr>
          <w:rFonts w:ascii="Times New Roman" w:hAnsi="Times New Roman" w:cs="Times New Roman"/>
          <w:sz w:val="28"/>
          <w:szCs w:val="28"/>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757"/>
        <w:gridCol w:w="4139"/>
        <w:gridCol w:w="1986"/>
      </w:tblGrid>
      <w:tr w:rsidR="00101840" w:rsidRPr="00943DFD" w14:paraId="39AA97ED" w14:textId="77777777" w:rsidTr="00DC5497">
        <w:trPr>
          <w:trHeight w:val="28"/>
          <w:jc w:val="center"/>
        </w:trPr>
        <w:tc>
          <w:tcPr>
            <w:tcW w:w="3894" w:type="dxa"/>
          </w:tcPr>
          <w:p w14:paraId="7D78295D"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4327" w:type="dxa"/>
          </w:tcPr>
          <w:p w14:paraId="05D7DD88"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661" w:type="dxa"/>
          </w:tcPr>
          <w:p w14:paraId="455A70EA"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14:paraId="5AEE7A8C" w14:textId="77777777" w:rsidTr="00DC5497">
        <w:trPr>
          <w:jc w:val="center"/>
        </w:trPr>
        <w:tc>
          <w:tcPr>
            <w:tcW w:w="3894" w:type="dxa"/>
          </w:tcPr>
          <w:p w14:paraId="60932D8C"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09473485"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4327" w:type="dxa"/>
          </w:tcPr>
          <w:p w14:paraId="0BB691EF" w14:textId="77777777" w:rsidR="00DC1500" w:rsidRPr="00943DFD" w:rsidRDefault="00DC1500" w:rsidP="00DC6752">
            <w:pPr>
              <w:pStyle w:val="ad"/>
              <w:spacing w:before="0" w:beforeAutospacing="0" w:after="0" w:afterAutospacing="0"/>
              <w:textAlignment w:val="baseline"/>
              <w:rPr>
                <w:rFonts w:ascii="Times New Roman" w:hAnsi="Times New Roman" w:cs="Times New Roman"/>
                <w:sz w:val="28"/>
                <w:szCs w:val="28"/>
                <w:lang w:val="uk-UA" w:eastAsia="en-US"/>
              </w:rPr>
            </w:pPr>
            <w:r w:rsidRPr="00943DFD">
              <w:rPr>
                <w:rFonts w:ascii="Times New Roman" w:hAnsi="Times New Roman" w:cs="Times New Roman"/>
                <w:sz w:val="28"/>
                <w:szCs w:val="28"/>
                <w:lang w:val="uk-UA" w:eastAsia="en-US"/>
              </w:rPr>
              <w:t>Додаткових витрат немає</w:t>
            </w:r>
          </w:p>
        </w:tc>
        <w:tc>
          <w:tcPr>
            <w:tcW w:w="1661" w:type="dxa"/>
          </w:tcPr>
          <w:p w14:paraId="76093977" w14:textId="77777777" w:rsidR="00DC1500" w:rsidRPr="00943DFD" w:rsidRDefault="00DC1500" w:rsidP="00DC6752">
            <w:pPr>
              <w:pStyle w:val="ad"/>
              <w:spacing w:before="0" w:beforeAutospacing="0" w:after="0" w:afterAutospacing="0"/>
              <w:textAlignment w:val="baseline"/>
              <w:rPr>
                <w:rFonts w:ascii="Times New Roman" w:hAnsi="Times New Roman" w:cs="Times New Roman"/>
                <w:sz w:val="28"/>
                <w:szCs w:val="28"/>
                <w:lang w:val="uk-UA"/>
              </w:rPr>
            </w:pPr>
            <w:r w:rsidRPr="00943DFD">
              <w:rPr>
                <w:rFonts w:ascii="Times New Roman" w:hAnsi="Times New Roman" w:cs="Times New Roman"/>
                <w:sz w:val="28"/>
                <w:szCs w:val="28"/>
                <w:lang w:val="uk-UA"/>
              </w:rPr>
              <w:t>Відсутні</w:t>
            </w:r>
          </w:p>
        </w:tc>
      </w:tr>
      <w:tr w:rsidR="00101840" w:rsidRPr="00943DFD" w14:paraId="06C42903" w14:textId="77777777" w:rsidTr="00DC5497">
        <w:trPr>
          <w:jc w:val="center"/>
        </w:trPr>
        <w:tc>
          <w:tcPr>
            <w:tcW w:w="3894" w:type="dxa"/>
          </w:tcPr>
          <w:p w14:paraId="09E0317E" w14:textId="77777777" w:rsidR="006777CE" w:rsidRPr="00943DFD" w:rsidRDefault="006777CE"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14:paraId="78D76013" w14:textId="77777777" w:rsidR="006777CE" w:rsidRPr="00943DFD" w:rsidRDefault="00411CCB"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чинних регуляторних актів</w:t>
            </w:r>
          </w:p>
        </w:tc>
        <w:tc>
          <w:tcPr>
            <w:tcW w:w="4327" w:type="dxa"/>
          </w:tcPr>
          <w:p w14:paraId="798DA6AB" w14:textId="59FEA154" w:rsidR="006777CE" w:rsidRPr="00054881" w:rsidRDefault="00607D72" w:rsidP="008F1C2A">
            <w:pPr>
              <w:pStyle w:val="ad"/>
              <w:spacing w:before="0" w:beforeAutospacing="0" w:after="0" w:afterAutospacing="0"/>
              <w:jc w:val="both"/>
              <w:textAlignment w:val="baseline"/>
              <w:rPr>
                <w:rFonts w:ascii="Times New Roman" w:hAnsi="Times New Roman" w:cs="Times New Roman"/>
                <w:sz w:val="28"/>
                <w:szCs w:val="28"/>
                <w:lang w:val="uk-UA"/>
              </w:rPr>
            </w:pPr>
            <w:r w:rsidRPr="00054881">
              <w:rPr>
                <w:rFonts w:ascii="Times New Roman" w:hAnsi="Times New Roman" w:cs="Times New Roman"/>
                <w:sz w:val="28"/>
                <w:szCs w:val="28"/>
                <w:lang w:val="uk-UA"/>
              </w:rPr>
              <w:t>Дозволяє удосконалити</w:t>
            </w:r>
            <w:r w:rsidR="00054881" w:rsidRPr="00054881">
              <w:rPr>
                <w:rFonts w:ascii="Times New Roman" w:hAnsi="Times New Roman" w:cs="Times New Roman"/>
                <w:sz w:val="28"/>
                <w:szCs w:val="28"/>
                <w:lang w:val="uk-UA"/>
              </w:rPr>
              <w:t xml:space="preserve"> </w:t>
            </w:r>
            <w:r w:rsidR="005E2D6B">
              <w:rPr>
                <w:rFonts w:ascii="Times New Roman" w:hAnsi="Times New Roman" w:cs="Times New Roman"/>
                <w:sz w:val="28"/>
                <w:szCs w:val="28"/>
                <w:lang w:val="uk-UA"/>
              </w:rPr>
              <w:t>окреме</w:t>
            </w:r>
            <w:r w:rsidR="00054881" w:rsidRPr="00054881">
              <w:rPr>
                <w:rFonts w:ascii="Times New Roman" w:hAnsi="Times New Roman" w:cs="Times New Roman"/>
                <w:sz w:val="28"/>
                <w:szCs w:val="28"/>
                <w:lang w:val="uk-UA"/>
              </w:rPr>
              <w:t xml:space="preserve"> положення </w:t>
            </w:r>
            <w:r w:rsidR="00A36C7B">
              <w:rPr>
                <w:rFonts w:ascii="Times New Roman" w:hAnsi="Times New Roman" w:cs="Times New Roman"/>
                <w:sz w:val="28"/>
                <w:szCs w:val="28"/>
                <w:lang w:val="uk-UA"/>
              </w:rPr>
              <w:t>Порядку 899</w:t>
            </w:r>
            <w:r w:rsidR="009C561D">
              <w:rPr>
                <w:rFonts w:ascii="Times New Roman" w:hAnsi="Times New Roman" w:cs="Times New Roman"/>
                <w:sz w:val="28"/>
                <w:szCs w:val="28"/>
                <w:lang w:val="uk-UA"/>
              </w:rPr>
              <w:t xml:space="preserve"> </w:t>
            </w:r>
            <w:r w:rsidR="00054881" w:rsidRPr="00054881">
              <w:rPr>
                <w:rFonts w:ascii="Times New Roman" w:hAnsi="Times New Roman" w:cs="Times New Roman"/>
                <w:sz w:val="28"/>
                <w:szCs w:val="28"/>
                <w:lang w:val="uk-UA"/>
              </w:rPr>
              <w:t xml:space="preserve">та </w:t>
            </w:r>
            <w:r w:rsidR="00054881" w:rsidRPr="00A36C7B">
              <w:rPr>
                <w:rFonts w:ascii="Times New Roman" w:hAnsi="Times New Roman" w:cs="Times New Roman"/>
                <w:sz w:val="28"/>
                <w:szCs w:val="28"/>
                <w:lang w:val="uk-UA"/>
              </w:rPr>
              <w:t xml:space="preserve">уникнути </w:t>
            </w:r>
            <w:r w:rsidR="008F1C2A" w:rsidRPr="00A36C7B">
              <w:rPr>
                <w:rFonts w:ascii="Times New Roman" w:hAnsi="Times New Roman" w:cs="Times New Roman"/>
                <w:sz w:val="28"/>
                <w:szCs w:val="28"/>
                <w:lang w:val="uk-UA"/>
              </w:rPr>
              <w:t xml:space="preserve">неоднозначного </w:t>
            </w:r>
            <w:r w:rsidR="00054881" w:rsidRPr="00A36C7B">
              <w:rPr>
                <w:rFonts w:ascii="Times New Roman" w:hAnsi="Times New Roman" w:cs="Times New Roman"/>
                <w:sz w:val="28"/>
                <w:szCs w:val="28"/>
                <w:lang w:val="uk-UA"/>
              </w:rPr>
              <w:t xml:space="preserve">тлумачення </w:t>
            </w:r>
            <w:r w:rsidR="005E2D6B" w:rsidRPr="00A36C7B">
              <w:rPr>
                <w:rFonts w:ascii="Times New Roman" w:hAnsi="Times New Roman" w:cs="Times New Roman"/>
                <w:sz w:val="28"/>
                <w:szCs w:val="28"/>
                <w:lang w:val="uk-UA"/>
              </w:rPr>
              <w:t>його</w:t>
            </w:r>
            <w:r w:rsidR="00054881" w:rsidRPr="00A36C7B">
              <w:rPr>
                <w:rFonts w:ascii="Times New Roman" w:hAnsi="Times New Roman" w:cs="Times New Roman"/>
                <w:sz w:val="28"/>
                <w:szCs w:val="28"/>
                <w:lang w:val="uk-UA"/>
              </w:rPr>
              <w:t xml:space="preserve"> </w:t>
            </w:r>
            <w:r w:rsidR="00054881" w:rsidRPr="0036258D">
              <w:rPr>
                <w:rFonts w:ascii="Times New Roman" w:hAnsi="Times New Roman" w:cs="Times New Roman"/>
                <w:sz w:val="28"/>
                <w:szCs w:val="28"/>
                <w:lang w:val="uk-UA"/>
              </w:rPr>
              <w:t>норм</w:t>
            </w:r>
            <w:r w:rsidR="00A36C7B" w:rsidRPr="0036258D">
              <w:rPr>
                <w:rFonts w:ascii="Times New Roman" w:hAnsi="Times New Roman" w:cs="Times New Roman"/>
                <w:sz w:val="28"/>
                <w:szCs w:val="28"/>
                <w:lang w:val="uk-UA"/>
              </w:rPr>
              <w:t>, передбачен</w:t>
            </w:r>
            <w:r w:rsidR="001675AE" w:rsidRPr="0036258D">
              <w:rPr>
                <w:rFonts w:ascii="Times New Roman" w:hAnsi="Times New Roman" w:cs="Times New Roman"/>
                <w:sz w:val="28"/>
                <w:szCs w:val="28"/>
                <w:lang w:val="uk-UA"/>
              </w:rPr>
              <w:t>их</w:t>
            </w:r>
            <w:r w:rsidR="00A36C7B" w:rsidRPr="0036258D">
              <w:rPr>
                <w:rFonts w:ascii="Times New Roman" w:hAnsi="Times New Roman" w:cs="Times New Roman"/>
                <w:sz w:val="28"/>
                <w:szCs w:val="28"/>
                <w:lang w:val="uk-UA"/>
              </w:rPr>
              <w:t xml:space="preserve"> пунктом</w:t>
            </w:r>
            <w:r w:rsidR="00A36C7B" w:rsidRPr="00A36C7B">
              <w:rPr>
                <w:rFonts w:ascii="Times New Roman" w:hAnsi="Times New Roman" w:cs="Times New Roman"/>
                <w:sz w:val="28"/>
                <w:szCs w:val="28"/>
                <w:lang w:val="uk-UA"/>
              </w:rPr>
              <w:t xml:space="preserve"> 2.7 </w:t>
            </w:r>
            <w:r w:rsidR="00A36C7B">
              <w:rPr>
                <w:rFonts w:ascii="Times New Roman" w:hAnsi="Times New Roman" w:cs="Times New Roman"/>
                <w:sz w:val="28"/>
                <w:szCs w:val="28"/>
                <w:lang w:val="uk-UA"/>
              </w:rPr>
              <w:br/>
            </w:r>
            <w:r w:rsidR="00A36C7B" w:rsidRPr="00A36C7B">
              <w:rPr>
                <w:rFonts w:ascii="Times New Roman" w:hAnsi="Times New Roman" w:cs="Times New Roman"/>
                <w:sz w:val="28"/>
                <w:szCs w:val="28"/>
                <w:lang w:val="uk-UA"/>
              </w:rPr>
              <w:t>розділу II</w:t>
            </w:r>
            <w:r w:rsidR="00C0147D">
              <w:rPr>
                <w:rFonts w:ascii="Times New Roman" w:hAnsi="Times New Roman" w:cs="Times New Roman"/>
                <w:sz w:val="28"/>
                <w:szCs w:val="28"/>
                <w:lang w:val="uk-UA"/>
              </w:rPr>
              <w:t>.</w:t>
            </w:r>
          </w:p>
        </w:tc>
        <w:tc>
          <w:tcPr>
            <w:tcW w:w="1661" w:type="dxa"/>
          </w:tcPr>
          <w:p w14:paraId="4A3FF25F" w14:textId="77777777" w:rsidR="005B4C3F" w:rsidRPr="005B4C3F" w:rsidRDefault="000820F1" w:rsidP="008F1C2A">
            <w:pPr>
              <w:spacing w:after="0" w:line="240" w:lineRule="auto"/>
              <w:jc w:val="both"/>
              <w:rPr>
                <w:rFonts w:ascii="Times New Roman" w:hAnsi="Times New Roman" w:cs="Times New Roman"/>
                <w:sz w:val="28"/>
                <w:szCs w:val="28"/>
              </w:rPr>
            </w:pPr>
            <w:r w:rsidRPr="005B4C3F">
              <w:rPr>
                <w:rFonts w:ascii="Times New Roman" w:hAnsi="Times New Roman" w:cs="Times New Roman"/>
                <w:sz w:val="28"/>
                <w:szCs w:val="28"/>
              </w:rPr>
              <w:t>Дозволить</w:t>
            </w:r>
            <w:r w:rsidR="007B5019" w:rsidRPr="005B4C3F">
              <w:rPr>
                <w:rFonts w:ascii="Times New Roman" w:hAnsi="Times New Roman" w:cs="Times New Roman"/>
                <w:sz w:val="28"/>
                <w:szCs w:val="28"/>
              </w:rPr>
              <w:t xml:space="preserve"> </w:t>
            </w:r>
            <w:proofErr w:type="spellStart"/>
            <w:r w:rsidR="00A36C7B" w:rsidRPr="005B4C3F">
              <w:rPr>
                <w:rFonts w:ascii="Times New Roman" w:hAnsi="Times New Roman" w:cs="Times New Roman"/>
                <w:sz w:val="28"/>
                <w:szCs w:val="28"/>
              </w:rPr>
              <w:t>ко</w:t>
            </w:r>
            <w:r w:rsidR="00A36C7B">
              <w:rPr>
                <w:rFonts w:ascii="Times New Roman" w:hAnsi="Times New Roman" w:cs="Times New Roman"/>
                <w:sz w:val="28"/>
                <w:szCs w:val="28"/>
              </w:rPr>
              <w:t>р</w:t>
            </w:r>
            <w:r w:rsidR="00A36C7B" w:rsidRPr="005B4C3F">
              <w:rPr>
                <w:rFonts w:ascii="Times New Roman" w:hAnsi="Times New Roman" w:cs="Times New Roman"/>
                <w:sz w:val="28"/>
                <w:szCs w:val="28"/>
              </w:rPr>
              <w:t>ектн</w:t>
            </w:r>
            <w:r w:rsidR="00A36C7B">
              <w:rPr>
                <w:rFonts w:ascii="Times New Roman" w:hAnsi="Times New Roman" w:cs="Times New Roman"/>
                <w:sz w:val="28"/>
                <w:szCs w:val="28"/>
              </w:rPr>
              <w:t>о</w:t>
            </w:r>
            <w:proofErr w:type="spellEnd"/>
            <w:r w:rsidR="00F05A07" w:rsidRPr="005B4C3F">
              <w:rPr>
                <w:rFonts w:ascii="Times New Roman" w:hAnsi="Times New Roman" w:cs="Times New Roman"/>
                <w:sz w:val="28"/>
                <w:szCs w:val="28"/>
              </w:rPr>
              <w:t xml:space="preserve"> </w:t>
            </w:r>
            <w:r w:rsidR="005B4C3F" w:rsidRPr="005B4C3F">
              <w:rPr>
                <w:rFonts w:ascii="Times New Roman" w:hAnsi="Times New Roman" w:cs="Times New Roman"/>
                <w:sz w:val="28"/>
                <w:szCs w:val="28"/>
              </w:rPr>
              <w:t xml:space="preserve">враховувати </w:t>
            </w:r>
          </w:p>
          <w:p w14:paraId="1241F0EB" w14:textId="77777777" w:rsidR="007B5019" w:rsidRPr="005B4C3F" w:rsidRDefault="005B4C3F">
            <w:pPr>
              <w:spacing w:after="0" w:line="240" w:lineRule="auto"/>
              <w:jc w:val="both"/>
              <w:rPr>
                <w:rFonts w:ascii="Times New Roman" w:hAnsi="Times New Roman" w:cs="Times New Roman"/>
                <w:sz w:val="28"/>
                <w:szCs w:val="28"/>
                <w:highlight w:val="yellow"/>
              </w:rPr>
            </w:pPr>
            <w:r w:rsidRPr="005B4C3F">
              <w:rPr>
                <w:rFonts w:ascii="Times New Roman" w:hAnsi="Times New Roman" w:cs="Times New Roman"/>
                <w:sz w:val="28"/>
                <w:szCs w:val="28"/>
              </w:rPr>
              <w:t>складов</w:t>
            </w:r>
            <w:r w:rsidR="00F05A07">
              <w:rPr>
                <w:rFonts w:ascii="Times New Roman" w:hAnsi="Times New Roman" w:cs="Times New Roman"/>
                <w:sz w:val="28"/>
                <w:szCs w:val="28"/>
              </w:rPr>
              <w:t>і</w:t>
            </w:r>
            <w:r w:rsidRPr="005B4C3F">
              <w:rPr>
                <w:rFonts w:ascii="Times New Roman" w:hAnsi="Times New Roman" w:cs="Times New Roman"/>
                <w:sz w:val="28"/>
                <w:szCs w:val="28"/>
              </w:rPr>
              <w:t xml:space="preserve"> регуляторної бази активів, </w:t>
            </w:r>
            <w:r w:rsidRPr="005B4C3F">
              <w:rPr>
                <w:rFonts w:ascii="Times New Roman" w:hAnsi="Times New Roman" w:cs="Times New Roman"/>
                <w:sz w:val="28"/>
                <w:szCs w:val="28"/>
              </w:rPr>
              <w:lastRenderedPageBreak/>
              <w:t xml:space="preserve">яка створена на дату переходу </w:t>
            </w:r>
            <w:r w:rsidR="00A36C7B">
              <w:rPr>
                <w:rFonts w:ascii="Times New Roman" w:hAnsi="Times New Roman" w:cs="Times New Roman"/>
                <w:sz w:val="28"/>
                <w:szCs w:val="28"/>
              </w:rPr>
              <w:t>до</w:t>
            </w:r>
            <w:r w:rsidRPr="005B4C3F">
              <w:rPr>
                <w:rFonts w:ascii="Times New Roman" w:hAnsi="Times New Roman" w:cs="Times New Roman"/>
                <w:sz w:val="28"/>
                <w:szCs w:val="28"/>
              </w:rPr>
              <w:t xml:space="preserve"> стимулююч</w:t>
            </w:r>
            <w:r w:rsidR="00A36C7B">
              <w:rPr>
                <w:rFonts w:ascii="Times New Roman" w:hAnsi="Times New Roman" w:cs="Times New Roman"/>
                <w:sz w:val="28"/>
                <w:szCs w:val="28"/>
              </w:rPr>
              <w:t>ого</w:t>
            </w:r>
            <w:r w:rsidRPr="005B4C3F">
              <w:rPr>
                <w:rFonts w:ascii="Times New Roman" w:hAnsi="Times New Roman" w:cs="Times New Roman"/>
                <w:sz w:val="28"/>
                <w:szCs w:val="28"/>
              </w:rPr>
              <w:t xml:space="preserve"> регулювання, на як</w:t>
            </w:r>
            <w:r w:rsidR="00F05A07">
              <w:rPr>
                <w:rFonts w:ascii="Times New Roman" w:hAnsi="Times New Roman" w:cs="Times New Roman"/>
                <w:sz w:val="28"/>
                <w:szCs w:val="28"/>
              </w:rPr>
              <w:t>у</w:t>
            </w:r>
            <w:r w:rsidRPr="005B4C3F">
              <w:rPr>
                <w:rFonts w:ascii="Times New Roman" w:hAnsi="Times New Roman" w:cs="Times New Roman"/>
                <w:sz w:val="28"/>
                <w:szCs w:val="28"/>
              </w:rPr>
              <w:t xml:space="preserve"> </w:t>
            </w:r>
            <w:r w:rsidR="00CE19A1" w:rsidRPr="005B4C3F">
              <w:rPr>
                <w:rFonts w:ascii="Times New Roman" w:hAnsi="Times New Roman" w:cs="Times New Roman"/>
                <w:sz w:val="28"/>
                <w:szCs w:val="28"/>
              </w:rPr>
              <w:t>ма</w:t>
            </w:r>
            <w:r w:rsidR="00CE19A1">
              <w:rPr>
                <w:rFonts w:ascii="Times New Roman" w:hAnsi="Times New Roman" w:cs="Times New Roman"/>
                <w:sz w:val="28"/>
                <w:szCs w:val="28"/>
              </w:rPr>
              <w:t>є</w:t>
            </w:r>
            <w:r w:rsidR="00CE19A1" w:rsidRPr="005B4C3F">
              <w:rPr>
                <w:rFonts w:ascii="Times New Roman" w:hAnsi="Times New Roman" w:cs="Times New Roman"/>
                <w:sz w:val="28"/>
                <w:szCs w:val="28"/>
              </w:rPr>
              <w:t xml:space="preserve"> </w:t>
            </w:r>
            <w:r w:rsidRPr="005B4C3F">
              <w:rPr>
                <w:rFonts w:ascii="Times New Roman" w:hAnsi="Times New Roman" w:cs="Times New Roman"/>
                <w:sz w:val="28"/>
                <w:szCs w:val="28"/>
              </w:rPr>
              <w:t>нараховуватись встановлен</w:t>
            </w:r>
            <w:r w:rsidR="00411B7B">
              <w:rPr>
                <w:rFonts w:ascii="Times New Roman" w:hAnsi="Times New Roman" w:cs="Times New Roman"/>
                <w:sz w:val="28"/>
                <w:szCs w:val="28"/>
              </w:rPr>
              <w:t>а</w:t>
            </w:r>
            <w:r w:rsidRPr="005B4C3F">
              <w:rPr>
                <w:rFonts w:ascii="Times New Roman" w:hAnsi="Times New Roman" w:cs="Times New Roman"/>
                <w:sz w:val="28"/>
                <w:szCs w:val="28"/>
              </w:rPr>
              <w:t xml:space="preserve"> НКРЕКП регуляторн</w:t>
            </w:r>
            <w:r w:rsidR="00411B7B">
              <w:rPr>
                <w:rFonts w:ascii="Times New Roman" w:hAnsi="Times New Roman" w:cs="Times New Roman"/>
                <w:sz w:val="28"/>
                <w:szCs w:val="28"/>
              </w:rPr>
              <w:t xml:space="preserve">а </w:t>
            </w:r>
            <w:r w:rsidRPr="005B4C3F">
              <w:rPr>
                <w:rFonts w:ascii="Times New Roman" w:hAnsi="Times New Roman" w:cs="Times New Roman"/>
                <w:sz w:val="28"/>
                <w:szCs w:val="28"/>
              </w:rPr>
              <w:t>норм</w:t>
            </w:r>
            <w:r w:rsidR="00411B7B">
              <w:rPr>
                <w:rFonts w:ascii="Times New Roman" w:hAnsi="Times New Roman" w:cs="Times New Roman"/>
                <w:sz w:val="28"/>
                <w:szCs w:val="28"/>
              </w:rPr>
              <w:t>а</w:t>
            </w:r>
            <w:r w:rsidRPr="005B4C3F">
              <w:rPr>
                <w:rFonts w:ascii="Times New Roman" w:hAnsi="Times New Roman" w:cs="Times New Roman"/>
                <w:sz w:val="28"/>
                <w:szCs w:val="28"/>
              </w:rPr>
              <w:t xml:space="preserve"> доходу на регуляторн</w:t>
            </w:r>
            <w:r w:rsidR="00411B7B">
              <w:rPr>
                <w:rFonts w:ascii="Times New Roman" w:hAnsi="Times New Roman" w:cs="Times New Roman"/>
                <w:sz w:val="28"/>
                <w:szCs w:val="28"/>
              </w:rPr>
              <w:t>у</w:t>
            </w:r>
            <w:r w:rsidRPr="005B4C3F">
              <w:rPr>
                <w:rFonts w:ascii="Times New Roman" w:hAnsi="Times New Roman" w:cs="Times New Roman"/>
                <w:sz w:val="28"/>
                <w:szCs w:val="28"/>
              </w:rPr>
              <w:t xml:space="preserve"> баз</w:t>
            </w:r>
            <w:r w:rsidR="00411B7B">
              <w:rPr>
                <w:rFonts w:ascii="Times New Roman" w:hAnsi="Times New Roman" w:cs="Times New Roman"/>
                <w:sz w:val="28"/>
                <w:szCs w:val="28"/>
              </w:rPr>
              <w:t>у</w:t>
            </w:r>
            <w:r w:rsidRPr="005B4C3F">
              <w:rPr>
                <w:rFonts w:ascii="Times New Roman" w:hAnsi="Times New Roman" w:cs="Times New Roman"/>
                <w:sz w:val="28"/>
                <w:szCs w:val="28"/>
              </w:rPr>
              <w:t xml:space="preserve"> активів</w:t>
            </w:r>
            <w:r w:rsidR="005E2D6B">
              <w:rPr>
                <w:rFonts w:ascii="Times New Roman" w:hAnsi="Times New Roman" w:cs="Times New Roman"/>
                <w:sz w:val="28"/>
                <w:szCs w:val="28"/>
              </w:rPr>
              <w:t>,</w:t>
            </w:r>
            <w:r w:rsidR="005E2D6B" w:rsidRPr="005B4C3F">
              <w:rPr>
                <w:rFonts w:ascii="Times New Roman" w:hAnsi="Times New Roman" w:cs="Times New Roman"/>
                <w:sz w:val="28"/>
                <w:szCs w:val="28"/>
              </w:rPr>
              <w:t xml:space="preserve"> як</w:t>
            </w:r>
            <w:r w:rsidR="00E76BDF">
              <w:rPr>
                <w:rFonts w:ascii="Times New Roman" w:hAnsi="Times New Roman" w:cs="Times New Roman"/>
                <w:sz w:val="28"/>
                <w:szCs w:val="28"/>
              </w:rPr>
              <w:t>а</w:t>
            </w:r>
            <w:r w:rsidR="005E2D6B" w:rsidRPr="005B4C3F">
              <w:rPr>
                <w:rFonts w:ascii="Times New Roman" w:hAnsi="Times New Roman" w:cs="Times New Roman"/>
                <w:sz w:val="28"/>
                <w:szCs w:val="28"/>
              </w:rPr>
              <w:t xml:space="preserve"> створен</w:t>
            </w:r>
            <w:r w:rsidR="00E76BDF">
              <w:rPr>
                <w:rFonts w:ascii="Times New Roman" w:hAnsi="Times New Roman" w:cs="Times New Roman"/>
                <w:sz w:val="28"/>
                <w:szCs w:val="28"/>
              </w:rPr>
              <w:t>а</w:t>
            </w:r>
            <w:r w:rsidR="005E2D6B" w:rsidRPr="005B4C3F">
              <w:rPr>
                <w:rFonts w:ascii="Times New Roman" w:hAnsi="Times New Roman" w:cs="Times New Roman"/>
                <w:sz w:val="28"/>
                <w:szCs w:val="28"/>
              </w:rPr>
              <w:t xml:space="preserve"> на дату переходу </w:t>
            </w:r>
            <w:r w:rsidR="00E76BDF">
              <w:rPr>
                <w:rFonts w:ascii="Times New Roman" w:hAnsi="Times New Roman" w:cs="Times New Roman"/>
                <w:sz w:val="28"/>
                <w:szCs w:val="28"/>
              </w:rPr>
              <w:t xml:space="preserve">до </w:t>
            </w:r>
            <w:r w:rsidR="005E2D6B" w:rsidRPr="005B4C3F">
              <w:rPr>
                <w:rFonts w:ascii="Times New Roman" w:hAnsi="Times New Roman" w:cs="Times New Roman"/>
                <w:sz w:val="28"/>
                <w:szCs w:val="28"/>
              </w:rPr>
              <w:t>стимулююч</w:t>
            </w:r>
            <w:r w:rsidR="00E76BDF">
              <w:rPr>
                <w:rFonts w:ascii="Times New Roman" w:hAnsi="Times New Roman" w:cs="Times New Roman"/>
                <w:sz w:val="28"/>
                <w:szCs w:val="28"/>
              </w:rPr>
              <w:t>ого</w:t>
            </w:r>
            <w:r w:rsidR="005E2D6B" w:rsidRPr="005B4C3F">
              <w:rPr>
                <w:rFonts w:ascii="Times New Roman" w:hAnsi="Times New Roman" w:cs="Times New Roman"/>
                <w:sz w:val="28"/>
                <w:szCs w:val="28"/>
              </w:rPr>
              <w:t xml:space="preserve"> регулювання</w:t>
            </w:r>
            <w:r w:rsidR="00C0147D">
              <w:rPr>
                <w:rFonts w:ascii="Times New Roman" w:hAnsi="Times New Roman" w:cs="Times New Roman"/>
                <w:sz w:val="28"/>
                <w:szCs w:val="28"/>
              </w:rPr>
              <w:t>.</w:t>
            </w:r>
          </w:p>
        </w:tc>
      </w:tr>
    </w:tbl>
    <w:p w14:paraId="2E661010" w14:textId="77777777" w:rsidR="00DC6752" w:rsidRDefault="00DC6752" w:rsidP="00DC6752">
      <w:pPr>
        <w:widowControl w:val="0"/>
        <w:spacing w:after="0" w:line="240" w:lineRule="auto"/>
        <w:ind w:firstLine="567"/>
        <w:jc w:val="center"/>
        <w:rPr>
          <w:rFonts w:ascii="Times New Roman" w:hAnsi="Times New Roman" w:cs="Times New Roman"/>
          <w:b/>
          <w:bCs/>
          <w:sz w:val="28"/>
          <w:szCs w:val="28"/>
        </w:rPr>
      </w:pPr>
    </w:p>
    <w:p w14:paraId="1C830397" w14:textId="77777777" w:rsidR="00DC1500" w:rsidRDefault="00DC1500" w:rsidP="00DC6752">
      <w:pPr>
        <w:widowControl w:val="0"/>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IV. Вибір найбільш оптимального альтернативного способу</w:t>
      </w:r>
      <w:r w:rsidRPr="00943DFD">
        <w:rPr>
          <w:rFonts w:ascii="Times New Roman" w:hAnsi="Times New Roman" w:cs="Times New Roman"/>
          <w:b/>
          <w:bCs/>
          <w:sz w:val="28"/>
          <w:szCs w:val="28"/>
        </w:rPr>
        <w:br/>
        <w:t>досягнення цілей</w:t>
      </w:r>
    </w:p>
    <w:p w14:paraId="692D8029" w14:textId="77777777" w:rsidR="00B26044" w:rsidRPr="00671B74" w:rsidRDefault="00B26044" w:rsidP="00DC6752">
      <w:pPr>
        <w:widowControl w:val="0"/>
        <w:spacing w:after="0" w:line="240" w:lineRule="auto"/>
        <w:ind w:firstLine="567"/>
        <w:jc w:val="center"/>
        <w:rPr>
          <w:rFonts w:ascii="Times New Roman" w:hAnsi="Times New Roman" w:cs="Times New Roman"/>
          <w:b/>
          <w:bCs/>
          <w:sz w:val="18"/>
          <w:szCs w:val="18"/>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3"/>
        <w:gridCol w:w="2991"/>
        <w:gridCol w:w="2476"/>
      </w:tblGrid>
      <w:tr w:rsidR="00101840" w:rsidRPr="00943DFD" w14:paraId="046202D4" w14:textId="77777777" w:rsidTr="00476B9E">
        <w:trPr>
          <w:jc w:val="center"/>
        </w:trPr>
        <w:tc>
          <w:tcPr>
            <w:tcW w:w="4273" w:type="dxa"/>
          </w:tcPr>
          <w:p w14:paraId="119A899A"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Рейтинг результативності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(досягнення цілей під час вирішення проблеми)</w:t>
            </w:r>
          </w:p>
        </w:tc>
        <w:tc>
          <w:tcPr>
            <w:tcW w:w="2991" w:type="dxa"/>
          </w:tcPr>
          <w:p w14:paraId="709D9137"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Бал результативності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(за чотирибальною системою оцінки)</w:t>
            </w:r>
          </w:p>
        </w:tc>
        <w:tc>
          <w:tcPr>
            <w:tcW w:w="2476" w:type="dxa"/>
          </w:tcPr>
          <w:p w14:paraId="67D8D4A1"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Коментарі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щодо присвоєння відповідного бала</w:t>
            </w:r>
          </w:p>
        </w:tc>
      </w:tr>
      <w:tr w:rsidR="00101840" w:rsidRPr="00943DFD" w14:paraId="0BE9C729" w14:textId="77777777" w:rsidTr="00476B9E">
        <w:trPr>
          <w:jc w:val="center"/>
        </w:trPr>
        <w:tc>
          <w:tcPr>
            <w:tcW w:w="4273" w:type="dxa"/>
            <w:tcBorders>
              <w:bottom w:val="single" w:sz="4" w:space="0" w:color="auto"/>
            </w:tcBorders>
          </w:tcPr>
          <w:p w14:paraId="3F13266E"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5CB61244"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2991" w:type="dxa"/>
            <w:tcBorders>
              <w:bottom w:val="single" w:sz="4" w:space="0" w:color="auto"/>
            </w:tcBorders>
          </w:tcPr>
          <w:p w14:paraId="4FE79F68" w14:textId="77777777" w:rsidR="00DC1500" w:rsidRPr="00943DFD" w:rsidRDefault="00DC1500" w:rsidP="00DC6752">
            <w:pPr>
              <w:pStyle w:val="2"/>
              <w:spacing w:before="0" w:beforeAutospacing="0" w:after="0" w:afterAutospacing="0"/>
              <w:jc w:val="center"/>
              <w:rPr>
                <w:rFonts w:ascii="Times New Roman" w:hAnsi="Times New Roman"/>
                <w:bCs/>
                <w:sz w:val="28"/>
                <w:szCs w:val="28"/>
                <w:lang w:val="uk-UA"/>
              </w:rPr>
            </w:pPr>
            <w:r w:rsidRPr="00943DFD">
              <w:rPr>
                <w:rFonts w:ascii="Times New Roman" w:hAnsi="Times New Roman"/>
                <w:bCs/>
                <w:sz w:val="28"/>
                <w:szCs w:val="28"/>
                <w:lang w:val="uk-UA"/>
              </w:rPr>
              <w:t>2</w:t>
            </w:r>
          </w:p>
        </w:tc>
        <w:tc>
          <w:tcPr>
            <w:tcW w:w="2476" w:type="dxa"/>
            <w:tcBorders>
              <w:bottom w:val="single" w:sz="4" w:space="0" w:color="auto"/>
            </w:tcBorders>
          </w:tcPr>
          <w:p w14:paraId="03DB376B" w14:textId="77777777" w:rsidR="00DC1500" w:rsidRPr="00943DFD" w:rsidRDefault="00DC1500" w:rsidP="00DC6752">
            <w:pPr>
              <w:pStyle w:val="2"/>
              <w:spacing w:before="0" w:beforeAutospacing="0" w:after="0" w:afterAutospacing="0"/>
              <w:jc w:val="both"/>
              <w:rPr>
                <w:rFonts w:ascii="Times New Roman" w:hAnsi="Times New Roman"/>
                <w:b w:val="0"/>
                <w:sz w:val="28"/>
                <w:szCs w:val="28"/>
                <w:lang w:val="uk-UA"/>
              </w:rPr>
            </w:pPr>
            <w:r w:rsidRPr="00943DFD">
              <w:rPr>
                <w:rFonts w:ascii="Times New Roman" w:hAnsi="Times New Roman"/>
                <w:b w:val="0"/>
                <w:sz w:val="28"/>
                <w:szCs w:val="28"/>
                <w:lang w:val="uk-UA"/>
              </w:rPr>
              <w:t>Не досягає поставленої мети</w:t>
            </w:r>
            <w:r w:rsidR="007C594C">
              <w:rPr>
                <w:rFonts w:ascii="Times New Roman" w:hAnsi="Times New Roman"/>
                <w:b w:val="0"/>
                <w:sz w:val="28"/>
                <w:szCs w:val="28"/>
                <w:lang w:val="uk-UA"/>
              </w:rPr>
              <w:t>.</w:t>
            </w:r>
            <w:r w:rsidRPr="00943DFD">
              <w:rPr>
                <w:rFonts w:ascii="Times New Roman" w:hAnsi="Times New Roman"/>
                <w:b w:val="0"/>
                <w:sz w:val="28"/>
                <w:szCs w:val="28"/>
                <w:lang w:val="uk-UA"/>
              </w:rPr>
              <w:t xml:space="preserve"> </w:t>
            </w:r>
          </w:p>
        </w:tc>
      </w:tr>
      <w:tr w:rsidR="00101840" w:rsidRPr="00943DFD" w14:paraId="6B2733A8" w14:textId="77777777" w:rsidTr="00CB0C9B">
        <w:trPr>
          <w:trHeight w:val="416"/>
          <w:jc w:val="center"/>
        </w:trPr>
        <w:tc>
          <w:tcPr>
            <w:tcW w:w="4273" w:type="dxa"/>
            <w:tcBorders>
              <w:bottom w:val="single" w:sz="4" w:space="0" w:color="auto"/>
            </w:tcBorders>
          </w:tcPr>
          <w:p w14:paraId="228A27B8"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Обрана Альтернатива 2.</w:t>
            </w:r>
          </w:p>
          <w:p w14:paraId="29227DAF" w14:textId="77777777" w:rsidR="00DC1500" w:rsidRPr="00943DFD" w:rsidRDefault="003061E1"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чинних регуляторних актів</w:t>
            </w:r>
          </w:p>
        </w:tc>
        <w:tc>
          <w:tcPr>
            <w:tcW w:w="2991" w:type="dxa"/>
            <w:tcBorders>
              <w:bottom w:val="single" w:sz="4" w:space="0" w:color="auto"/>
            </w:tcBorders>
          </w:tcPr>
          <w:p w14:paraId="2B3C7320" w14:textId="77777777" w:rsidR="00DC1500" w:rsidRPr="00943DFD" w:rsidRDefault="00DC1500" w:rsidP="00DC6752">
            <w:pPr>
              <w:pStyle w:val="2"/>
              <w:spacing w:before="0" w:beforeAutospacing="0" w:after="0" w:afterAutospacing="0"/>
              <w:jc w:val="center"/>
              <w:rPr>
                <w:rFonts w:ascii="Times New Roman" w:hAnsi="Times New Roman"/>
                <w:bCs/>
                <w:sz w:val="28"/>
                <w:szCs w:val="28"/>
                <w:lang w:val="uk-UA"/>
              </w:rPr>
            </w:pPr>
            <w:r w:rsidRPr="00943DFD">
              <w:rPr>
                <w:rFonts w:ascii="Times New Roman" w:hAnsi="Times New Roman"/>
                <w:bCs/>
                <w:sz w:val="28"/>
                <w:szCs w:val="28"/>
                <w:lang w:val="uk-UA"/>
              </w:rPr>
              <w:t>4</w:t>
            </w:r>
          </w:p>
        </w:tc>
        <w:tc>
          <w:tcPr>
            <w:tcW w:w="2476" w:type="dxa"/>
            <w:tcBorders>
              <w:bottom w:val="single" w:sz="4" w:space="0" w:color="auto"/>
            </w:tcBorders>
          </w:tcPr>
          <w:p w14:paraId="49195037" w14:textId="77777777" w:rsidR="00476B9E" w:rsidRPr="00943DFD" w:rsidRDefault="00DC1500" w:rsidP="00DC6752">
            <w:pPr>
              <w:pStyle w:val="2"/>
              <w:spacing w:before="0" w:beforeAutospacing="0" w:after="0" w:afterAutospacing="0"/>
              <w:jc w:val="both"/>
              <w:rPr>
                <w:rFonts w:ascii="Times New Roman" w:hAnsi="Times New Roman"/>
                <w:b w:val="0"/>
                <w:sz w:val="28"/>
                <w:szCs w:val="28"/>
                <w:lang w:val="uk-UA"/>
              </w:rPr>
            </w:pPr>
            <w:r w:rsidRPr="00943DFD">
              <w:rPr>
                <w:rFonts w:ascii="Times New Roman" w:hAnsi="Times New Roman"/>
                <w:b w:val="0"/>
                <w:sz w:val="28"/>
                <w:szCs w:val="28"/>
                <w:lang w:val="uk-UA"/>
              </w:rPr>
              <w:t>Дозволяє вирішити проблему самим ефективним шляхо</w:t>
            </w:r>
            <w:r w:rsidR="00CB0C9B">
              <w:rPr>
                <w:rFonts w:ascii="Times New Roman" w:hAnsi="Times New Roman"/>
                <w:b w:val="0"/>
                <w:sz w:val="28"/>
                <w:szCs w:val="28"/>
                <w:lang w:val="uk-UA"/>
              </w:rPr>
              <w:t>м</w:t>
            </w:r>
            <w:r w:rsidR="007C594C">
              <w:rPr>
                <w:rFonts w:ascii="Times New Roman" w:hAnsi="Times New Roman"/>
                <w:b w:val="0"/>
                <w:sz w:val="28"/>
                <w:szCs w:val="28"/>
                <w:lang w:val="uk-UA"/>
              </w:rPr>
              <w:t>.</w:t>
            </w:r>
          </w:p>
        </w:tc>
      </w:tr>
    </w:tbl>
    <w:p w14:paraId="59F5A087" w14:textId="77777777" w:rsidR="00D165E3" w:rsidRDefault="00D165E3"/>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8"/>
        <w:gridCol w:w="1817"/>
        <w:gridCol w:w="2186"/>
        <w:gridCol w:w="2927"/>
      </w:tblGrid>
      <w:tr w:rsidR="00101840" w:rsidRPr="00943DFD" w14:paraId="181CF97C" w14:textId="77777777" w:rsidTr="00D165E3">
        <w:trPr>
          <w:jc w:val="center"/>
        </w:trPr>
        <w:tc>
          <w:tcPr>
            <w:tcW w:w="2778" w:type="dxa"/>
          </w:tcPr>
          <w:p w14:paraId="3F1C357B" w14:textId="77777777" w:rsidR="000E0120" w:rsidRDefault="000E0120" w:rsidP="00DC6752">
            <w:pPr>
              <w:spacing w:after="0" w:line="240" w:lineRule="auto"/>
              <w:jc w:val="center"/>
              <w:rPr>
                <w:rFonts w:ascii="Times New Roman" w:hAnsi="Times New Roman" w:cs="Times New Roman"/>
                <w:b/>
                <w:sz w:val="28"/>
                <w:szCs w:val="28"/>
              </w:rPr>
            </w:pPr>
          </w:p>
          <w:p w14:paraId="383C92BD"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Рейтинг результативності</w:t>
            </w:r>
          </w:p>
        </w:tc>
        <w:tc>
          <w:tcPr>
            <w:tcW w:w="1817" w:type="dxa"/>
          </w:tcPr>
          <w:p w14:paraId="06D63B73"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Вигоди (підсумок)</w:t>
            </w:r>
          </w:p>
        </w:tc>
        <w:tc>
          <w:tcPr>
            <w:tcW w:w="2186" w:type="dxa"/>
          </w:tcPr>
          <w:p w14:paraId="63B355A2"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Витрати (підсумок)</w:t>
            </w:r>
          </w:p>
        </w:tc>
        <w:tc>
          <w:tcPr>
            <w:tcW w:w="2927" w:type="dxa"/>
          </w:tcPr>
          <w:p w14:paraId="71E92428"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Обґрунтування відповідного місця альтернативи у рейтингу</w:t>
            </w:r>
          </w:p>
        </w:tc>
      </w:tr>
      <w:tr w:rsidR="00101840" w:rsidRPr="00943DFD" w14:paraId="6AE5B9DA" w14:textId="77777777" w:rsidTr="00D165E3">
        <w:trPr>
          <w:jc w:val="center"/>
        </w:trPr>
        <w:tc>
          <w:tcPr>
            <w:tcW w:w="2778" w:type="dxa"/>
          </w:tcPr>
          <w:p w14:paraId="2A9BD3B4"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Альтернатива 1.</w:t>
            </w:r>
            <w:r w:rsidRPr="00943DFD">
              <w:rPr>
                <w:rFonts w:ascii="Times New Roman" w:hAnsi="Times New Roman" w:cs="Times New Roman"/>
                <w:sz w:val="28"/>
                <w:szCs w:val="28"/>
              </w:rPr>
              <w:t xml:space="preserve"> Збереження чинного регулювання</w:t>
            </w:r>
          </w:p>
        </w:tc>
        <w:tc>
          <w:tcPr>
            <w:tcW w:w="1817" w:type="dxa"/>
          </w:tcPr>
          <w:p w14:paraId="37156912" w14:textId="77777777" w:rsidR="00DC1500" w:rsidRPr="00943DFD" w:rsidRDefault="00DC1500" w:rsidP="00DC6752">
            <w:pPr>
              <w:spacing w:after="0" w:line="240" w:lineRule="auto"/>
              <w:ind w:firstLine="567"/>
              <w:jc w:val="both"/>
              <w:rPr>
                <w:rFonts w:ascii="Times New Roman" w:hAnsi="Times New Roman" w:cs="Times New Roman"/>
                <w:sz w:val="28"/>
                <w:szCs w:val="28"/>
              </w:rPr>
            </w:pPr>
          </w:p>
          <w:p w14:paraId="4B6CB8B8"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Відсутні</w:t>
            </w:r>
          </w:p>
          <w:p w14:paraId="24F75B3D" w14:textId="77777777" w:rsidR="00DC1500" w:rsidRPr="00943DFD" w:rsidRDefault="00DC1500" w:rsidP="00DC6752">
            <w:pPr>
              <w:spacing w:after="0" w:line="240" w:lineRule="auto"/>
              <w:ind w:firstLine="567"/>
              <w:jc w:val="both"/>
              <w:rPr>
                <w:rFonts w:ascii="Times New Roman" w:hAnsi="Times New Roman" w:cs="Times New Roman"/>
                <w:sz w:val="28"/>
                <w:szCs w:val="28"/>
              </w:rPr>
            </w:pPr>
          </w:p>
        </w:tc>
        <w:tc>
          <w:tcPr>
            <w:tcW w:w="2186" w:type="dxa"/>
          </w:tcPr>
          <w:p w14:paraId="4073F852" w14:textId="77777777" w:rsidR="00DC1500" w:rsidRPr="00943DFD" w:rsidRDefault="00DC1500" w:rsidP="00DC6752">
            <w:pPr>
              <w:spacing w:after="0" w:line="240" w:lineRule="auto"/>
              <w:ind w:firstLine="567"/>
              <w:jc w:val="both"/>
              <w:rPr>
                <w:rFonts w:ascii="Times New Roman" w:hAnsi="Times New Roman" w:cs="Times New Roman"/>
                <w:sz w:val="28"/>
                <w:szCs w:val="28"/>
              </w:rPr>
            </w:pPr>
          </w:p>
          <w:p w14:paraId="3C0A2E5E"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Відсутні</w:t>
            </w:r>
          </w:p>
        </w:tc>
        <w:tc>
          <w:tcPr>
            <w:tcW w:w="2927" w:type="dxa"/>
          </w:tcPr>
          <w:p w14:paraId="6DA1980C" w14:textId="77777777" w:rsidR="00DC1500" w:rsidRPr="00943DFD" w:rsidRDefault="00DC1500" w:rsidP="00DC6752">
            <w:pPr>
              <w:spacing w:after="0" w:line="240" w:lineRule="auto"/>
              <w:ind w:firstLine="567"/>
              <w:jc w:val="both"/>
              <w:rPr>
                <w:rFonts w:ascii="Times New Roman" w:hAnsi="Times New Roman" w:cs="Times New Roman"/>
                <w:sz w:val="28"/>
                <w:szCs w:val="28"/>
              </w:rPr>
            </w:pPr>
          </w:p>
          <w:p w14:paraId="6B5304A2"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Не вирішує проблему </w:t>
            </w:r>
          </w:p>
        </w:tc>
      </w:tr>
      <w:tr w:rsidR="00DC1500" w:rsidRPr="00943DFD" w14:paraId="3E75621C" w14:textId="77777777" w:rsidTr="00D165E3">
        <w:trPr>
          <w:jc w:val="center"/>
        </w:trPr>
        <w:tc>
          <w:tcPr>
            <w:tcW w:w="2778" w:type="dxa"/>
          </w:tcPr>
          <w:p w14:paraId="0A17DBE8"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Обрана Альтернатива 2.</w:t>
            </w:r>
            <w:r w:rsidRPr="00943DFD">
              <w:rPr>
                <w:rFonts w:ascii="Times New Roman" w:hAnsi="Times New Roman" w:cs="Times New Roman"/>
                <w:sz w:val="28"/>
                <w:szCs w:val="28"/>
              </w:rPr>
              <w:t xml:space="preserve"> </w:t>
            </w:r>
            <w:r w:rsidR="003061E1" w:rsidRPr="00943DFD">
              <w:rPr>
                <w:rFonts w:ascii="Times New Roman" w:hAnsi="Times New Roman" w:cs="Times New Roman"/>
                <w:sz w:val="28"/>
                <w:szCs w:val="28"/>
              </w:rPr>
              <w:t>Внесення змін до чинних регуляторних актів</w:t>
            </w:r>
          </w:p>
        </w:tc>
        <w:tc>
          <w:tcPr>
            <w:tcW w:w="1817" w:type="dxa"/>
          </w:tcPr>
          <w:p w14:paraId="505C028F"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Забезпечує досягнення цілей державного регулювання</w:t>
            </w:r>
          </w:p>
        </w:tc>
        <w:tc>
          <w:tcPr>
            <w:tcW w:w="2186" w:type="dxa"/>
          </w:tcPr>
          <w:p w14:paraId="74DB1963" w14:textId="77777777" w:rsidR="00205B59" w:rsidRPr="00E76BDF" w:rsidRDefault="00F05A07">
            <w:pPr>
              <w:spacing w:after="0" w:line="240" w:lineRule="auto"/>
              <w:jc w:val="both"/>
              <w:rPr>
                <w:rFonts w:ascii="Times New Roman" w:hAnsi="Times New Roman" w:cs="Times New Roman"/>
                <w:bCs/>
                <w:sz w:val="28"/>
                <w:szCs w:val="28"/>
              </w:rPr>
            </w:pPr>
            <w:r w:rsidRPr="005B4C3F">
              <w:rPr>
                <w:rFonts w:ascii="Times New Roman" w:hAnsi="Times New Roman" w:cs="Times New Roman"/>
                <w:sz w:val="28"/>
                <w:szCs w:val="28"/>
              </w:rPr>
              <w:t xml:space="preserve">Дозволить </w:t>
            </w:r>
            <w:proofErr w:type="spellStart"/>
            <w:r w:rsidRPr="005B4C3F">
              <w:rPr>
                <w:rFonts w:ascii="Times New Roman" w:hAnsi="Times New Roman" w:cs="Times New Roman"/>
                <w:sz w:val="28"/>
                <w:szCs w:val="28"/>
              </w:rPr>
              <w:t>коректн</w:t>
            </w:r>
            <w:r>
              <w:rPr>
                <w:rFonts w:ascii="Times New Roman" w:hAnsi="Times New Roman" w:cs="Times New Roman"/>
                <w:sz w:val="28"/>
                <w:szCs w:val="28"/>
              </w:rPr>
              <w:t>о</w:t>
            </w:r>
            <w:proofErr w:type="spellEnd"/>
            <w:r w:rsidRPr="005B4C3F">
              <w:rPr>
                <w:rFonts w:ascii="Times New Roman" w:hAnsi="Times New Roman" w:cs="Times New Roman"/>
                <w:sz w:val="28"/>
                <w:szCs w:val="28"/>
              </w:rPr>
              <w:t xml:space="preserve"> враховувати складов</w:t>
            </w:r>
            <w:r>
              <w:rPr>
                <w:rFonts w:ascii="Times New Roman" w:hAnsi="Times New Roman" w:cs="Times New Roman"/>
                <w:sz w:val="28"/>
                <w:szCs w:val="28"/>
              </w:rPr>
              <w:t>і</w:t>
            </w:r>
            <w:r w:rsidRPr="005B4C3F">
              <w:rPr>
                <w:rFonts w:ascii="Times New Roman" w:hAnsi="Times New Roman" w:cs="Times New Roman"/>
                <w:sz w:val="28"/>
                <w:szCs w:val="28"/>
              </w:rPr>
              <w:t xml:space="preserve"> регуляторної </w:t>
            </w:r>
            <w:r w:rsidRPr="005B4C3F">
              <w:rPr>
                <w:rFonts w:ascii="Times New Roman" w:hAnsi="Times New Roman" w:cs="Times New Roman"/>
                <w:sz w:val="28"/>
                <w:szCs w:val="28"/>
              </w:rPr>
              <w:lastRenderedPageBreak/>
              <w:t xml:space="preserve">бази активів, яка створена на дату переходу </w:t>
            </w:r>
            <w:r w:rsidR="00E76BDF">
              <w:rPr>
                <w:rFonts w:ascii="Times New Roman" w:hAnsi="Times New Roman" w:cs="Times New Roman"/>
                <w:sz w:val="28"/>
                <w:szCs w:val="28"/>
              </w:rPr>
              <w:t>до</w:t>
            </w:r>
            <w:r w:rsidRPr="005B4C3F">
              <w:rPr>
                <w:rFonts w:ascii="Times New Roman" w:hAnsi="Times New Roman" w:cs="Times New Roman"/>
                <w:sz w:val="28"/>
                <w:szCs w:val="28"/>
              </w:rPr>
              <w:t xml:space="preserve"> стимулююч</w:t>
            </w:r>
            <w:r w:rsidR="00E76BDF">
              <w:rPr>
                <w:rFonts w:ascii="Times New Roman" w:hAnsi="Times New Roman" w:cs="Times New Roman"/>
                <w:sz w:val="28"/>
                <w:szCs w:val="28"/>
              </w:rPr>
              <w:t>ого</w:t>
            </w:r>
            <w:r w:rsidRPr="005B4C3F">
              <w:rPr>
                <w:rFonts w:ascii="Times New Roman" w:hAnsi="Times New Roman" w:cs="Times New Roman"/>
                <w:sz w:val="28"/>
                <w:szCs w:val="28"/>
              </w:rPr>
              <w:t xml:space="preserve"> регулювання</w:t>
            </w:r>
            <w:r w:rsidR="007C594C">
              <w:rPr>
                <w:rFonts w:ascii="Times New Roman" w:hAnsi="Times New Roman" w:cs="Times New Roman"/>
                <w:sz w:val="28"/>
                <w:szCs w:val="28"/>
              </w:rPr>
              <w:t>.</w:t>
            </w:r>
          </w:p>
        </w:tc>
        <w:tc>
          <w:tcPr>
            <w:tcW w:w="2927" w:type="dxa"/>
          </w:tcPr>
          <w:p w14:paraId="1469EB52"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lastRenderedPageBreak/>
              <w:t>Дозволяє досягти цілей державного регулювання самим ефективним шляхом</w:t>
            </w:r>
            <w:r w:rsidR="007C594C">
              <w:rPr>
                <w:rFonts w:ascii="Times New Roman" w:hAnsi="Times New Roman" w:cs="Times New Roman"/>
                <w:sz w:val="28"/>
                <w:szCs w:val="28"/>
              </w:rPr>
              <w:t>.</w:t>
            </w:r>
          </w:p>
        </w:tc>
      </w:tr>
    </w:tbl>
    <w:p w14:paraId="3841A44A" w14:textId="77777777" w:rsidR="000E0120" w:rsidRPr="00D165E3" w:rsidRDefault="000E0120" w:rsidP="00DC6752">
      <w:pPr>
        <w:pStyle w:val="2"/>
        <w:spacing w:before="0" w:beforeAutospacing="0" w:after="0" w:afterAutospacing="0"/>
        <w:ind w:firstLine="567"/>
        <w:jc w:val="both"/>
        <w:rPr>
          <w:rFonts w:ascii="Times New Roman" w:hAnsi="Times New Roman"/>
          <w:sz w:val="24"/>
          <w:szCs w:val="24"/>
          <w:lang w:val="uk-U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3"/>
        <w:gridCol w:w="4252"/>
        <w:gridCol w:w="2761"/>
      </w:tblGrid>
      <w:tr w:rsidR="00101840" w:rsidRPr="00943DFD" w14:paraId="6924B2BC" w14:textId="77777777" w:rsidTr="00D165E3">
        <w:trPr>
          <w:trHeight w:val="1734"/>
          <w:jc w:val="center"/>
        </w:trPr>
        <w:tc>
          <w:tcPr>
            <w:tcW w:w="2763" w:type="dxa"/>
          </w:tcPr>
          <w:p w14:paraId="494875BC"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Рейтинг</w:t>
            </w:r>
          </w:p>
        </w:tc>
        <w:tc>
          <w:tcPr>
            <w:tcW w:w="4252" w:type="dxa"/>
          </w:tcPr>
          <w:p w14:paraId="7BD998BE"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Аргументи щодо переваги обраної альтернативи / причини відмови від альтернативи</w:t>
            </w:r>
          </w:p>
        </w:tc>
        <w:tc>
          <w:tcPr>
            <w:tcW w:w="2761" w:type="dxa"/>
          </w:tcPr>
          <w:p w14:paraId="65C59CFE"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Оцінка ризику зовнішніх чинників на дію запропонованого регуляторного акта</w:t>
            </w:r>
          </w:p>
        </w:tc>
      </w:tr>
      <w:tr w:rsidR="00101840" w:rsidRPr="00943DFD" w14:paraId="1DB9E655" w14:textId="77777777" w:rsidTr="00D165E3">
        <w:trPr>
          <w:jc w:val="center"/>
        </w:trPr>
        <w:tc>
          <w:tcPr>
            <w:tcW w:w="2763" w:type="dxa"/>
          </w:tcPr>
          <w:p w14:paraId="3FE9B6CE" w14:textId="77777777" w:rsidR="00DC1500" w:rsidRPr="00943DFD" w:rsidRDefault="00DC1500" w:rsidP="00D165E3">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Альтернатива</w:t>
            </w:r>
            <w:r w:rsidR="00D165E3">
              <w:rPr>
                <w:rFonts w:ascii="Times New Roman" w:hAnsi="Times New Roman" w:cs="Times New Roman"/>
                <w:b/>
                <w:sz w:val="28"/>
                <w:szCs w:val="28"/>
              </w:rPr>
              <w:t> </w:t>
            </w:r>
            <w:r w:rsidRPr="00943DFD">
              <w:rPr>
                <w:rFonts w:ascii="Times New Roman" w:hAnsi="Times New Roman" w:cs="Times New Roman"/>
                <w:b/>
                <w:sz w:val="28"/>
                <w:szCs w:val="28"/>
              </w:rPr>
              <w:t>1.</w:t>
            </w:r>
            <w:r w:rsidRPr="00943DFD">
              <w:rPr>
                <w:rFonts w:ascii="Times New Roman" w:hAnsi="Times New Roman" w:cs="Times New Roman"/>
                <w:sz w:val="28"/>
                <w:szCs w:val="28"/>
              </w:rPr>
              <w:t xml:space="preserve"> Збереження чинного регулювання</w:t>
            </w:r>
          </w:p>
        </w:tc>
        <w:tc>
          <w:tcPr>
            <w:tcW w:w="4252" w:type="dxa"/>
          </w:tcPr>
          <w:p w14:paraId="0416D4E1" w14:textId="77777777"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Не вирішує проблему та не забезпечує цілей державного регулювання</w:t>
            </w:r>
            <w:r w:rsidR="007C594C">
              <w:rPr>
                <w:rFonts w:ascii="Times New Roman" w:hAnsi="Times New Roman" w:cs="Times New Roman"/>
                <w:sz w:val="28"/>
                <w:szCs w:val="28"/>
              </w:rPr>
              <w:t>.</w:t>
            </w:r>
          </w:p>
        </w:tc>
        <w:tc>
          <w:tcPr>
            <w:tcW w:w="2761" w:type="dxa"/>
          </w:tcPr>
          <w:p w14:paraId="7AF17F9F" w14:textId="77777777" w:rsidR="00DC1500" w:rsidRPr="00943DFD" w:rsidRDefault="00DC1500" w:rsidP="0082428B">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Відсутній</w:t>
            </w:r>
          </w:p>
        </w:tc>
      </w:tr>
      <w:tr w:rsidR="00DC1500" w:rsidRPr="00943DFD" w14:paraId="7DB5DBB5" w14:textId="77777777" w:rsidTr="00D165E3">
        <w:trPr>
          <w:jc w:val="center"/>
        </w:trPr>
        <w:tc>
          <w:tcPr>
            <w:tcW w:w="2763" w:type="dxa"/>
          </w:tcPr>
          <w:p w14:paraId="7FC6102F" w14:textId="77777777"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Обрана Альтернатива</w:t>
            </w:r>
            <w:r w:rsidR="00D165E3">
              <w:rPr>
                <w:rFonts w:ascii="Times New Roman" w:hAnsi="Times New Roman" w:cs="Times New Roman"/>
                <w:b/>
                <w:sz w:val="28"/>
                <w:szCs w:val="28"/>
              </w:rPr>
              <w:t> </w:t>
            </w:r>
            <w:r w:rsidRPr="00943DFD">
              <w:rPr>
                <w:rFonts w:ascii="Times New Roman" w:hAnsi="Times New Roman" w:cs="Times New Roman"/>
                <w:b/>
                <w:sz w:val="28"/>
                <w:szCs w:val="28"/>
              </w:rPr>
              <w:t>2.</w:t>
            </w:r>
            <w:r w:rsidRPr="00943DFD">
              <w:rPr>
                <w:rFonts w:ascii="Times New Roman" w:hAnsi="Times New Roman" w:cs="Times New Roman"/>
                <w:sz w:val="28"/>
                <w:szCs w:val="28"/>
              </w:rPr>
              <w:t xml:space="preserve"> </w:t>
            </w:r>
            <w:r w:rsidR="003061E1" w:rsidRPr="00943DFD">
              <w:rPr>
                <w:rFonts w:ascii="Times New Roman" w:hAnsi="Times New Roman" w:cs="Times New Roman"/>
                <w:sz w:val="28"/>
                <w:szCs w:val="28"/>
              </w:rPr>
              <w:t>Внесення змін до чинних регуляторних актів</w:t>
            </w:r>
          </w:p>
        </w:tc>
        <w:tc>
          <w:tcPr>
            <w:tcW w:w="4252" w:type="dxa"/>
          </w:tcPr>
          <w:p w14:paraId="6C67DBF3" w14:textId="77777777"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Дозволяє вирішити проблему самим ефективним шляхом з найменшими витратами ресурсів, забезпечує досягнення цілей державного регулювання</w:t>
            </w:r>
            <w:r w:rsidR="007C594C">
              <w:rPr>
                <w:rFonts w:ascii="Times New Roman" w:hAnsi="Times New Roman" w:cs="Times New Roman"/>
                <w:sz w:val="28"/>
                <w:szCs w:val="28"/>
              </w:rPr>
              <w:t>.</w:t>
            </w:r>
          </w:p>
        </w:tc>
        <w:tc>
          <w:tcPr>
            <w:tcW w:w="2761" w:type="dxa"/>
          </w:tcPr>
          <w:p w14:paraId="676DE34C" w14:textId="77777777" w:rsidR="00DC1500" w:rsidRPr="00943DFD" w:rsidRDefault="00DC1500" w:rsidP="0082428B">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Відсутній</w:t>
            </w:r>
          </w:p>
        </w:tc>
      </w:tr>
    </w:tbl>
    <w:p w14:paraId="44BAADAF" w14:textId="77777777" w:rsidR="00DC1500" w:rsidRPr="00B1760D" w:rsidRDefault="00DC1500" w:rsidP="00DC6752">
      <w:pPr>
        <w:spacing w:after="0" w:line="240" w:lineRule="auto"/>
        <w:ind w:firstLine="567"/>
        <w:jc w:val="center"/>
        <w:rPr>
          <w:rFonts w:ascii="Times New Roman" w:hAnsi="Times New Roman" w:cs="Times New Roman"/>
          <w:b/>
          <w:bCs/>
          <w:sz w:val="28"/>
          <w:szCs w:val="28"/>
        </w:rPr>
      </w:pPr>
    </w:p>
    <w:p w14:paraId="48A5E106"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 Механізми та заходи, які забезпечать розв’язання визначеної проблеми</w:t>
      </w:r>
    </w:p>
    <w:p w14:paraId="1EB683D7" w14:textId="77777777" w:rsidR="00DC1500" w:rsidRPr="00D165E3" w:rsidRDefault="00DC1500" w:rsidP="00DC6752">
      <w:pPr>
        <w:spacing w:after="0" w:line="240" w:lineRule="auto"/>
        <w:ind w:firstLine="567"/>
        <w:jc w:val="center"/>
        <w:rPr>
          <w:rFonts w:ascii="Times New Roman" w:hAnsi="Times New Roman" w:cs="Times New Roman"/>
          <w:b/>
          <w:bCs/>
          <w:sz w:val="24"/>
          <w:szCs w:val="24"/>
          <w:lang w:val="ru-RU"/>
        </w:rPr>
      </w:pPr>
    </w:p>
    <w:p w14:paraId="5AEC8EB8" w14:textId="77777777" w:rsidR="00891511" w:rsidRPr="00A33081" w:rsidRDefault="008C6D40" w:rsidP="00891511">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Прийняття </w:t>
      </w:r>
      <w:r w:rsidR="0053670C">
        <w:rPr>
          <w:rFonts w:ascii="Times New Roman" w:hAnsi="Times New Roman" w:cs="Times New Roman"/>
          <w:sz w:val="28"/>
          <w:szCs w:val="28"/>
        </w:rPr>
        <w:t>П</w:t>
      </w:r>
      <w:r w:rsidRPr="00943DFD">
        <w:rPr>
          <w:rFonts w:ascii="Times New Roman" w:hAnsi="Times New Roman" w:cs="Times New Roman"/>
          <w:sz w:val="28"/>
          <w:szCs w:val="28"/>
        </w:rPr>
        <w:t>роє</w:t>
      </w:r>
      <w:r w:rsidR="00DC1500" w:rsidRPr="00943DFD">
        <w:rPr>
          <w:rFonts w:ascii="Times New Roman" w:hAnsi="Times New Roman" w:cs="Times New Roman"/>
          <w:sz w:val="28"/>
          <w:szCs w:val="28"/>
        </w:rPr>
        <w:t xml:space="preserve">кту </w:t>
      </w:r>
      <w:r w:rsidR="00E76BDF">
        <w:rPr>
          <w:rFonts w:ascii="Times New Roman" w:hAnsi="Times New Roman" w:cs="Times New Roman"/>
          <w:sz w:val="28"/>
          <w:szCs w:val="28"/>
        </w:rPr>
        <w:t>рішення</w:t>
      </w:r>
      <w:r w:rsidR="00DC1500" w:rsidRPr="00943DFD">
        <w:rPr>
          <w:rFonts w:ascii="Times New Roman" w:hAnsi="Times New Roman" w:cs="Times New Roman"/>
          <w:sz w:val="28"/>
          <w:szCs w:val="28"/>
        </w:rPr>
        <w:t xml:space="preserve"> </w:t>
      </w:r>
      <w:r w:rsidR="00640C31">
        <w:rPr>
          <w:rFonts w:ascii="Times New Roman" w:hAnsi="Times New Roman" w:cs="Times New Roman"/>
          <w:sz w:val="28"/>
          <w:szCs w:val="28"/>
        </w:rPr>
        <w:t xml:space="preserve">дозволить </w:t>
      </w:r>
      <w:r w:rsidR="00B26044">
        <w:rPr>
          <w:rFonts w:ascii="Times New Roman" w:hAnsi="Times New Roman" w:cs="Times New Roman"/>
          <w:sz w:val="28"/>
          <w:szCs w:val="28"/>
        </w:rPr>
        <w:t>уточнит</w:t>
      </w:r>
      <w:r w:rsidR="00640C31">
        <w:rPr>
          <w:rFonts w:ascii="Times New Roman" w:hAnsi="Times New Roman" w:cs="Times New Roman"/>
          <w:sz w:val="28"/>
          <w:szCs w:val="28"/>
        </w:rPr>
        <w:t>и</w:t>
      </w:r>
      <w:r w:rsidR="00616112">
        <w:rPr>
          <w:rFonts w:ascii="Times New Roman" w:hAnsi="Times New Roman" w:cs="Times New Roman"/>
          <w:sz w:val="28"/>
          <w:szCs w:val="28"/>
        </w:rPr>
        <w:t xml:space="preserve"> норми Порядку</w:t>
      </w:r>
      <w:r w:rsidR="00E76BDF">
        <w:rPr>
          <w:rFonts w:ascii="Times New Roman" w:hAnsi="Times New Roman" w:cs="Times New Roman"/>
          <w:sz w:val="28"/>
          <w:szCs w:val="28"/>
        </w:rPr>
        <w:t xml:space="preserve"> 899</w:t>
      </w:r>
      <w:r w:rsidR="003B2344">
        <w:rPr>
          <w:rFonts w:ascii="Times New Roman" w:hAnsi="Times New Roman" w:cs="Times New Roman"/>
          <w:sz w:val="28"/>
          <w:szCs w:val="28"/>
        </w:rPr>
        <w:t xml:space="preserve"> </w:t>
      </w:r>
      <w:r w:rsidR="00640C31">
        <w:rPr>
          <w:rFonts w:ascii="Times New Roman" w:hAnsi="Times New Roman" w:cs="Times New Roman"/>
          <w:sz w:val="28"/>
          <w:szCs w:val="28"/>
        </w:rPr>
        <w:t xml:space="preserve">для </w:t>
      </w:r>
      <w:r w:rsidR="00F05A07">
        <w:rPr>
          <w:rFonts w:ascii="Times New Roman" w:hAnsi="Times New Roman" w:cs="Times New Roman"/>
          <w:sz w:val="28"/>
          <w:szCs w:val="28"/>
        </w:rPr>
        <w:t>коректно</w:t>
      </w:r>
      <w:r w:rsidR="00640C31">
        <w:rPr>
          <w:rFonts w:ascii="Times New Roman" w:hAnsi="Times New Roman" w:cs="Times New Roman"/>
          <w:sz w:val="28"/>
          <w:szCs w:val="28"/>
        </w:rPr>
        <w:t>го</w:t>
      </w:r>
      <w:r w:rsidR="00F05A07">
        <w:rPr>
          <w:rFonts w:ascii="Times New Roman" w:hAnsi="Times New Roman" w:cs="Times New Roman"/>
          <w:sz w:val="28"/>
          <w:szCs w:val="28"/>
        </w:rPr>
        <w:t xml:space="preserve"> </w:t>
      </w:r>
      <w:r w:rsidR="00B26044">
        <w:rPr>
          <w:rFonts w:ascii="Times New Roman" w:hAnsi="Times New Roman" w:cs="Times New Roman"/>
          <w:sz w:val="28"/>
          <w:szCs w:val="28"/>
        </w:rPr>
        <w:t>у</w:t>
      </w:r>
      <w:r w:rsidR="000B3CCB">
        <w:rPr>
          <w:rFonts w:ascii="Times New Roman" w:hAnsi="Times New Roman" w:cs="Times New Roman"/>
          <w:sz w:val="28"/>
          <w:szCs w:val="28"/>
        </w:rPr>
        <w:t>рахува</w:t>
      </w:r>
      <w:r w:rsidR="00640C31">
        <w:rPr>
          <w:rFonts w:ascii="Times New Roman" w:hAnsi="Times New Roman" w:cs="Times New Roman"/>
          <w:sz w:val="28"/>
          <w:szCs w:val="28"/>
        </w:rPr>
        <w:t>ння</w:t>
      </w:r>
      <w:r w:rsidR="00616112" w:rsidRPr="00943DFD">
        <w:rPr>
          <w:rFonts w:ascii="Times New Roman" w:hAnsi="Times New Roman" w:cs="Times New Roman"/>
          <w:sz w:val="28"/>
          <w:szCs w:val="28"/>
        </w:rPr>
        <w:t xml:space="preserve"> </w:t>
      </w:r>
      <w:r w:rsidR="00616112" w:rsidRPr="00B005DA">
        <w:rPr>
          <w:rFonts w:ascii="Times New Roman" w:hAnsi="Times New Roman" w:cs="Times New Roman"/>
          <w:sz w:val="28"/>
          <w:szCs w:val="28"/>
        </w:rPr>
        <w:t xml:space="preserve">в тарифах на послуги з розподілу електричної енергії </w:t>
      </w:r>
      <w:r w:rsidR="00891511" w:rsidRPr="00A33081">
        <w:rPr>
          <w:rFonts w:ascii="Times New Roman" w:hAnsi="Times New Roman" w:cs="Times New Roman"/>
          <w:sz w:val="28"/>
          <w:szCs w:val="28"/>
        </w:rPr>
        <w:t xml:space="preserve">(із застосуванням стимулюючого тарифоутворення) </w:t>
      </w:r>
      <w:r w:rsidR="00891511">
        <w:rPr>
          <w:rFonts w:ascii="Times New Roman" w:hAnsi="Times New Roman" w:cs="Times New Roman"/>
          <w:sz w:val="28"/>
          <w:szCs w:val="28"/>
        </w:rPr>
        <w:t>складов</w:t>
      </w:r>
      <w:r w:rsidR="00640C31">
        <w:rPr>
          <w:rFonts w:ascii="Times New Roman" w:hAnsi="Times New Roman" w:cs="Times New Roman"/>
          <w:sz w:val="28"/>
          <w:szCs w:val="28"/>
        </w:rPr>
        <w:t>их</w:t>
      </w:r>
      <w:r w:rsidR="00891511">
        <w:rPr>
          <w:rFonts w:ascii="Times New Roman" w:hAnsi="Times New Roman" w:cs="Times New Roman"/>
          <w:sz w:val="28"/>
          <w:szCs w:val="28"/>
        </w:rPr>
        <w:t xml:space="preserve"> </w:t>
      </w:r>
      <w:r w:rsidR="00891511" w:rsidRPr="00A33081">
        <w:rPr>
          <w:rFonts w:ascii="Times New Roman" w:hAnsi="Times New Roman" w:cs="Times New Roman"/>
          <w:sz w:val="28"/>
          <w:szCs w:val="28"/>
        </w:rPr>
        <w:t>регуляторної</w:t>
      </w:r>
      <w:r w:rsidR="00891511">
        <w:rPr>
          <w:rFonts w:ascii="Times New Roman" w:hAnsi="Times New Roman" w:cs="Times New Roman"/>
          <w:sz w:val="28"/>
          <w:szCs w:val="28"/>
        </w:rPr>
        <w:t xml:space="preserve"> </w:t>
      </w:r>
      <w:r w:rsidR="00891511" w:rsidRPr="00A33081">
        <w:rPr>
          <w:rFonts w:ascii="Times New Roman" w:hAnsi="Times New Roman" w:cs="Times New Roman"/>
          <w:sz w:val="28"/>
          <w:szCs w:val="28"/>
        </w:rPr>
        <w:t xml:space="preserve">бази активів, яка створена </w:t>
      </w:r>
      <w:r w:rsidR="00205B59">
        <w:rPr>
          <w:rFonts w:ascii="Times New Roman" w:hAnsi="Times New Roman" w:cs="Times New Roman"/>
          <w:sz w:val="28"/>
          <w:szCs w:val="28"/>
        </w:rPr>
        <w:t xml:space="preserve">на дату </w:t>
      </w:r>
      <w:r w:rsidR="00891511" w:rsidRPr="00A33081">
        <w:rPr>
          <w:rFonts w:ascii="Times New Roman" w:hAnsi="Times New Roman" w:cs="Times New Roman"/>
          <w:sz w:val="28"/>
          <w:szCs w:val="28"/>
        </w:rPr>
        <w:t xml:space="preserve">переходу </w:t>
      </w:r>
      <w:r w:rsidR="00E76BDF">
        <w:rPr>
          <w:rFonts w:ascii="Times New Roman" w:hAnsi="Times New Roman" w:cs="Times New Roman"/>
          <w:sz w:val="28"/>
          <w:szCs w:val="28"/>
        </w:rPr>
        <w:t>до</w:t>
      </w:r>
      <w:r w:rsidR="00891511" w:rsidRPr="00A33081">
        <w:rPr>
          <w:rFonts w:ascii="Times New Roman" w:hAnsi="Times New Roman" w:cs="Times New Roman"/>
          <w:sz w:val="28"/>
          <w:szCs w:val="28"/>
        </w:rPr>
        <w:t xml:space="preserve"> стимулююч</w:t>
      </w:r>
      <w:r w:rsidR="00E76BDF">
        <w:rPr>
          <w:rFonts w:ascii="Times New Roman" w:hAnsi="Times New Roman" w:cs="Times New Roman"/>
          <w:sz w:val="28"/>
          <w:szCs w:val="28"/>
        </w:rPr>
        <w:t>ого</w:t>
      </w:r>
      <w:r w:rsidR="00891511" w:rsidRPr="00A33081">
        <w:rPr>
          <w:rFonts w:ascii="Times New Roman" w:hAnsi="Times New Roman" w:cs="Times New Roman"/>
          <w:sz w:val="28"/>
          <w:szCs w:val="28"/>
        </w:rPr>
        <w:t xml:space="preserve"> регулювання, на яку ма</w:t>
      </w:r>
      <w:r w:rsidR="00411B7B">
        <w:rPr>
          <w:rFonts w:ascii="Times New Roman" w:hAnsi="Times New Roman" w:cs="Times New Roman"/>
          <w:sz w:val="28"/>
          <w:szCs w:val="28"/>
        </w:rPr>
        <w:t>є</w:t>
      </w:r>
      <w:r w:rsidR="00891511" w:rsidRPr="00A33081">
        <w:rPr>
          <w:rFonts w:ascii="Times New Roman" w:hAnsi="Times New Roman" w:cs="Times New Roman"/>
          <w:sz w:val="28"/>
          <w:szCs w:val="28"/>
        </w:rPr>
        <w:t xml:space="preserve"> нараховуватись встановлен</w:t>
      </w:r>
      <w:r w:rsidR="00411B7B">
        <w:rPr>
          <w:rFonts w:ascii="Times New Roman" w:hAnsi="Times New Roman" w:cs="Times New Roman"/>
          <w:sz w:val="28"/>
          <w:szCs w:val="28"/>
        </w:rPr>
        <w:t xml:space="preserve">а </w:t>
      </w:r>
      <w:r w:rsidR="00891511" w:rsidRPr="00A33081">
        <w:rPr>
          <w:rFonts w:ascii="Times New Roman" w:hAnsi="Times New Roman" w:cs="Times New Roman"/>
          <w:sz w:val="28"/>
          <w:szCs w:val="28"/>
        </w:rPr>
        <w:t>НКРЕКП регуляторн</w:t>
      </w:r>
      <w:r w:rsidR="00411B7B">
        <w:rPr>
          <w:rFonts w:ascii="Times New Roman" w:hAnsi="Times New Roman" w:cs="Times New Roman"/>
          <w:sz w:val="28"/>
          <w:szCs w:val="28"/>
        </w:rPr>
        <w:t>а</w:t>
      </w:r>
      <w:r w:rsidR="00891511" w:rsidRPr="00A33081">
        <w:rPr>
          <w:rFonts w:ascii="Times New Roman" w:hAnsi="Times New Roman" w:cs="Times New Roman"/>
          <w:sz w:val="28"/>
          <w:szCs w:val="28"/>
        </w:rPr>
        <w:t xml:space="preserve"> норм</w:t>
      </w:r>
      <w:r w:rsidR="00411B7B">
        <w:rPr>
          <w:rFonts w:ascii="Times New Roman" w:hAnsi="Times New Roman" w:cs="Times New Roman"/>
          <w:sz w:val="28"/>
          <w:szCs w:val="28"/>
        </w:rPr>
        <w:t>а</w:t>
      </w:r>
      <w:r w:rsidR="00891511" w:rsidRPr="00A33081">
        <w:rPr>
          <w:rFonts w:ascii="Times New Roman" w:hAnsi="Times New Roman" w:cs="Times New Roman"/>
          <w:sz w:val="28"/>
          <w:szCs w:val="28"/>
        </w:rPr>
        <w:t xml:space="preserve"> доходу на регуляторн</w:t>
      </w:r>
      <w:r w:rsidR="00411B7B">
        <w:rPr>
          <w:rFonts w:ascii="Times New Roman" w:hAnsi="Times New Roman" w:cs="Times New Roman"/>
          <w:sz w:val="28"/>
          <w:szCs w:val="28"/>
        </w:rPr>
        <w:t xml:space="preserve">у </w:t>
      </w:r>
      <w:r w:rsidR="00891511" w:rsidRPr="00A33081">
        <w:rPr>
          <w:rFonts w:ascii="Times New Roman" w:hAnsi="Times New Roman" w:cs="Times New Roman"/>
          <w:sz w:val="28"/>
          <w:szCs w:val="28"/>
        </w:rPr>
        <w:t>баз</w:t>
      </w:r>
      <w:r w:rsidR="00411B7B">
        <w:rPr>
          <w:rFonts w:ascii="Times New Roman" w:hAnsi="Times New Roman" w:cs="Times New Roman"/>
          <w:sz w:val="28"/>
          <w:szCs w:val="28"/>
        </w:rPr>
        <w:t>у</w:t>
      </w:r>
      <w:r w:rsidR="00891511" w:rsidRPr="00A33081">
        <w:rPr>
          <w:rFonts w:ascii="Times New Roman" w:hAnsi="Times New Roman" w:cs="Times New Roman"/>
          <w:sz w:val="28"/>
          <w:szCs w:val="28"/>
        </w:rPr>
        <w:t xml:space="preserve"> актив</w:t>
      </w:r>
      <w:r w:rsidR="00411B7B">
        <w:rPr>
          <w:rFonts w:ascii="Times New Roman" w:hAnsi="Times New Roman" w:cs="Times New Roman"/>
          <w:sz w:val="28"/>
          <w:szCs w:val="28"/>
        </w:rPr>
        <w:t>у,</w:t>
      </w:r>
      <w:r w:rsidR="00411B7B" w:rsidRPr="00411B7B">
        <w:rPr>
          <w:rFonts w:ascii="Times New Roman" w:hAnsi="Times New Roman" w:cs="Times New Roman"/>
          <w:sz w:val="28"/>
          <w:szCs w:val="28"/>
        </w:rPr>
        <w:t xml:space="preserve"> </w:t>
      </w:r>
      <w:r w:rsidR="00411B7B" w:rsidRPr="00A33081">
        <w:rPr>
          <w:rFonts w:ascii="Times New Roman" w:hAnsi="Times New Roman" w:cs="Times New Roman"/>
          <w:sz w:val="28"/>
          <w:szCs w:val="28"/>
        </w:rPr>
        <w:t xml:space="preserve">яка </w:t>
      </w:r>
      <w:r w:rsidR="00411B7B">
        <w:rPr>
          <w:rFonts w:ascii="Times New Roman" w:hAnsi="Times New Roman" w:cs="Times New Roman"/>
          <w:sz w:val="28"/>
          <w:szCs w:val="28"/>
        </w:rPr>
        <w:t xml:space="preserve">була </w:t>
      </w:r>
      <w:r w:rsidR="00411B7B" w:rsidRPr="00A33081">
        <w:rPr>
          <w:rFonts w:ascii="Times New Roman" w:hAnsi="Times New Roman" w:cs="Times New Roman"/>
          <w:sz w:val="28"/>
          <w:szCs w:val="28"/>
        </w:rPr>
        <w:t xml:space="preserve">створена </w:t>
      </w:r>
      <w:r w:rsidR="00411B7B">
        <w:rPr>
          <w:rFonts w:ascii="Times New Roman" w:hAnsi="Times New Roman" w:cs="Times New Roman"/>
          <w:sz w:val="28"/>
          <w:szCs w:val="28"/>
        </w:rPr>
        <w:t xml:space="preserve">на дату </w:t>
      </w:r>
      <w:r w:rsidR="00411B7B" w:rsidRPr="00A33081">
        <w:rPr>
          <w:rFonts w:ascii="Times New Roman" w:hAnsi="Times New Roman" w:cs="Times New Roman"/>
          <w:sz w:val="28"/>
          <w:szCs w:val="28"/>
        </w:rPr>
        <w:t>переходу на стимулююче регулювання</w:t>
      </w:r>
      <w:r w:rsidR="00205B59">
        <w:rPr>
          <w:rFonts w:ascii="Times New Roman" w:hAnsi="Times New Roman" w:cs="Times New Roman"/>
          <w:sz w:val="28"/>
          <w:szCs w:val="28"/>
        </w:rPr>
        <w:t>.</w:t>
      </w:r>
    </w:p>
    <w:p w14:paraId="402C0ADA" w14:textId="77777777" w:rsidR="00256BE4" w:rsidRPr="00943DFD" w:rsidRDefault="00053BCF"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Впливу зовнішніх факторів, що можуть мати негативний вплив на виконання вимог регуляторного акта, не очікується.</w:t>
      </w:r>
    </w:p>
    <w:p w14:paraId="74A91726" w14:textId="77777777" w:rsidR="00053BCF" w:rsidRPr="00943DFD" w:rsidRDefault="00053BCF"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Характеристика механізму повної або часткової компенсації можливої шкоди у разі настання очікуваних наслідків дії акта не розроблялась, оскільки введення в дію положен</w:t>
      </w:r>
      <w:r w:rsidR="005E2D6B">
        <w:rPr>
          <w:rFonts w:ascii="Times New Roman" w:hAnsi="Times New Roman" w:cs="Times New Roman"/>
          <w:sz w:val="28"/>
          <w:szCs w:val="28"/>
        </w:rPr>
        <w:t>ня</w:t>
      </w:r>
      <w:r w:rsidRPr="00943DFD">
        <w:rPr>
          <w:rFonts w:ascii="Times New Roman" w:hAnsi="Times New Roman" w:cs="Times New Roman"/>
          <w:sz w:val="28"/>
          <w:szCs w:val="28"/>
        </w:rPr>
        <w:t xml:space="preserve"> регуляторного акта не призведе до настання будь-яких негативних наслідків.</w:t>
      </w:r>
    </w:p>
    <w:p w14:paraId="15E9F15D" w14:textId="77777777" w:rsidR="00053BCF" w:rsidRDefault="00053BCF" w:rsidP="00DC6752">
      <w:pPr>
        <w:widowControl w:val="0"/>
        <w:shd w:val="clear" w:color="auto" w:fill="FFFFFF"/>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Функції в частині здійснення державного контролю та нагляду за додержанням вимог акта будуть </w:t>
      </w:r>
      <w:r w:rsidR="00256259" w:rsidRPr="00943DFD">
        <w:rPr>
          <w:rFonts w:ascii="Times New Roman" w:hAnsi="Times New Roman" w:cs="Times New Roman"/>
          <w:sz w:val="28"/>
          <w:szCs w:val="28"/>
        </w:rPr>
        <w:t>здійснюватися</w:t>
      </w:r>
      <w:r w:rsidRPr="00943DFD">
        <w:rPr>
          <w:rFonts w:ascii="Times New Roman" w:hAnsi="Times New Roman" w:cs="Times New Roman"/>
          <w:sz w:val="28"/>
          <w:szCs w:val="28"/>
        </w:rPr>
        <w:t xml:space="preserve"> державними органами, яким, відповідно до законодавства, надані такі повноваження. </w:t>
      </w:r>
    </w:p>
    <w:p w14:paraId="4ADD2745" w14:textId="77777777" w:rsidR="00D165E3" w:rsidRDefault="00D165E3" w:rsidP="00DC6752">
      <w:pPr>
        <w:widowControl w:val="0"/>
        <w:shd w:val="clear" w:color="auto" w:fill="FFFFFF"/>
        <w:spacing w:after="0" w:line="240" w:lineRule="auto"/>
        <w:ind w:firstLine="567"/>
        <w:jc w:val="both"/>
        <w:rPr>
          <w:rFonts w:ascii="Times New Roman" w:hAnsi="Times New Roman" w:cs="Times New Roman"/>
          <w:sz w:val="28"/>
          <w:szCs w:val="28"/>
        </w:rPr>
      </w:pPr>
    </w:p>
    <w:p w14:paraId="21385B88" w14:textId="77777777" w:rsidR="00DC1500" w:rsidRPr="00943DFD" w:rsidRDefault="00DC1500" w:rsidP="00DC6752">
      <w:pPr>
        <w:widowControl w:val="0"/>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 Обґрунтування запропонованого строку дії регуляторного акта</w:t>
      </w:r>
    </w:p>
    <w:p w14:paraId="0A1C459A" w14:textId="77777777" w:rsidR="00DC1500" w:rsidRPr="00B54DEF" w:rsidRDefault="00DC1500" w:rsidP="00DC6752">
      <w:pPr>
        <w:widowControl w:val="0"/>
        <w:spacing w:after="0" w:line="240" w:lineRule="auto"/>
        <w:ind w:firstLine="567"/>
        <w:jc w:val="center"/>
        <w:rPr>
          <w:rFonts w:ascii="Times New Roman" w:hAnsi="Times New Roman" w:cs="Times New Roman"/>
          <w:b/>
          <w:bCs/>
          <w:sz w:val="20"/>
          <w:szCs w:val="20"/>
        </w:rPr>
      </w:pPr>
    </w:p>
    <w:p w14:paraId="79A6EC93" w14:textId="77777777" w:rsidR="00DC1500" w:rsidRDefault="00640C31" w:rsidP="00DC6752">
      <w:pPr>
        <w:pStyle w:val="ad"/>
        <w:widowControl w:val="0"/>
        <w:spacing w:before="0" w:beforeAutospacing="0" w:after="0" w:afterAutospacing="0"/>
        <w:ind w:firstLine="567"/>
        <w:jc w:val="both"/>
        <w:textAlignment w:val="baseline"/>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Строк</w:t>
      </w:r>
      <w:r w:rsidRPr="00943DFD">
        <w:rPr>
          <w:rFonts w:ascii="Times New Roman" w:hAnsi="Times New Roman" w:cs="Times New Roman"/>
          <w:sz w:val="28"/>
          <w:szCs w:val="28"/>
          <w:lang w:val="uk-UA" w:eastAsia="en-US"/>
        </w:rPr>
        <w:t xml:space="preserve"> </w:t>
      </w:r>
      <w:r w:rsidR="00DC1500" w:rsidRPr="00943DFD">
        <w:rPr>
          <w:rFonts w:ascii="Times New Roman" w:hAnsi="Times New Roman" w:cs="Times New Roman"/>
          <w:sz w:val="28"/>
          <w:szCs w:val="28"/>
          <w:lang w:val="uk-UA" w:eastAsia="en-US"/>
        </w:rPr>
        <w:t>дії акта необмежений та може бути змінений у разі внесення відповідних змін до законодавства.</w:t>
      </w:r>
    </w:p>
    <w:p w14:paraId="13CEB61F" w14:textId="77777777" w:rsidR="007B5019" w:rsidRPr="00B1760D" w:rsidRDefault="007B5019" w:rsidP="00DC6752">
      <w:pPr>
        <w:pStyle w:val="ad"/>
        <w:widowControl w:val="0"/>
        <w:spacing w:before="0" w:beforeAutospacing="0" w:after="0" w:afterAutospacing="0"/>
        <w:ind w:firstLine="567"/>
        <w:jc w:val="both"/>
        <w:textAlignment w:val="baseline"/>
        <w:rPr>
          <w:rFonts w:ascii="Times New Roman" w:hAnsi="Times New Roman" w:cs="Times New Roman"/>
          <w:sz w:val="28"/>
          <w:szCs w:val="28"/>
          <w:lang w:val="uk-UA" w:eastAsia="en-US"/>
        </w:rPr>
      </w:pPr>
    </w:p>
    <w:p w14:paraId="7C2D7A55"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VII. Визначення показників результативності дії регуляторного акта</w:t>
      </w:r>
    </w:p>
    <w:p w14:paraId="77BAFC1F" w14:textId="77777777" w:rsidR="004C290A" w:rsidRPr="00B1760D" w:rsidRDefault="004C290A" w:rsidP="00DC6752">
      <w:pPr>
        <w:spacing w:after="0" w:line="240" w:lineRule="auto"/>
        <w:ind w:firstLine="567"/>
        <w:jc w:val="both"/>
        <w:rPr>
          <w:rFonts w:ascii="Times New Roman" w:hAnsi="Times New Roman" w:cs="Times New Roman"/>
          <w:sz w:val="28"/>
          <w:szCs w:val="28"/>
        </w:rPr>
      </w:pPr>
    </w:p>
    <w:p w14:paraId="5B672B2B" w14:textId="77777777"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lastRenderedPageBreak/>
        <w:t>Після набрання чинності постанов</w:t>
      </w:r>
      <w:r w:rsidR="001D69A1" w:rsidRPr="00943DFD">
        <w:rPr>
          <w:rFonts w:ascii="Times New Roman" w:hAnsi="Times New Roman" w:cs="Times New Roman"/>
          <w:sz w:val="28"/>
          <w:szCs w:val="28"/>
        </w:rPr>
        <w:t>ою</w:t>
      </w:r>
      <w:r w:rsidRPr="00943DFD">
        <w:rPr>
          <w:rFonts w:ascii="Times New Roman" w:hAnsi="Times New Roman" w:cs="Times New Roman"/>
          <w:sz w:val="28"/>
          <w:szCs w:val="28"/>
        </w:rPr>
        <w:t xml:space="preserve"> НКРЕКП </w:t>
      </w:r>
      <w:r w:rsidR="00FB0665" w:rsidRPr="00A80292">
        <w:rPr>
          <w:rFonts w:ascii="Times New Roman" w:hAnsi="Times New Roman" w:cs="Times New Roman"/>
          <w:sz w:val="28"/>
          <w:szCs w:val="28"/>
        </w:rPr>
        <w:t>«Про внесення зміни до Порядку визначення регуляторної бази активів суб’єктів природних монополій у сфері електроенергетики»</w:t>
      </w:r>
      <w:r w:rsidR="009C561D">
        <w:rPr>
          <w:rFonts w:ascii="Times New Roman" w:hAnsi="Times New Roman" w:cs="Times New Roman"/>
          <w:sz w:val="28"/>
          <w:szCs w:val="28"/>
        </w:rPr>
        <w:t xml:space="preserve"> </w:t>
      </w:r>
      <w:r w:rsidRPr="00943DFD">
        <w:rPr>
          <w:rFonts w:ascii="Times New Roman" w:hAnsi="Times New Roman" w:cs="Times New Roman"/>
          <w:sz w:val="28"/>
          <w:szCs w:val="28"/>
        </w:rPr>
        <w:t>її результативність визначатиметься такими показниками:</w:t>
      </w:r>
    </w:p>
    <w:p w14:paraId="1FEFFED8" w14:textId="77777777" w:rsidR="00256BE4" w:rsidRPr="00943DFD" w:rsidRDefault="00256BE4" w:rsidP="00DC6752">
      <w:pPr>
        <w:widowControl w:val="0"/>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1) </w:t>
      </w:r>
      <w:r w:rsidR="00DC1500" w:rsidRPr="00943DFD">
        <w:rPr>
          <w:rFonts w:ascii="Times New Roman" w:hAnsi="Times New Roman" w:cs="Times New Roman"/>
          <w:sz w:val="28"/>
          <w:szCs w:val="28"/>
        </w:rPr>
        <w:t>розміром надходжень до державного та місцевих бюджетів і державних цільових фондів, пов'язаних з дією акта</w:t>
      </w:r>
      <w:r w:rsidR="00E355B0">
        <w:rPr>
          <w:rFonts w:ascii="Times New Roman" w:hAnsi="Times New Roman" w:cs="Times New Roman"/>
          <w:sz w:val="28"/>
          <w:szCs w:val="28"/>
        </w:rPr>
        <w:t>,</w:t>
      </w:r>
      <w:r w:rsidR="00DC1500" w:rsidRPr="00943DFD">
        <w:rPr>
          <w:rFonts w:ascii="Times New Roman" w:hAnsi="Times New Roman" w:cs="Times New Roman"/>
          <w:sz w:val="28"/>
          <w:szCs w:val="28"/>
        </w:rPr>
        <w:t xml:space="preserve"> – не передбачаються;</w:t>
      </w:r>
    </w:p>
    <w:p w14:paraId="55105F5D" w14:textId="77777777" w:rsidR="00891511" w:rsidRDefault="00256BE4" w:rsidP="00891511">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2) </w:t>
      </w:r>
      <w:r w:rsidR="00DC1500" w:rsidRPr="00943DFD">
        <w:rPr>
          <w:rFonts w:ascii="Times New Roman" w:hAnsi="Times New Roman" w:cs="Times New Roman"/>
          <w:sz w:val="28"/>
          <w:szCs w:val="28"/>
        </w:rPr>
        <w:t>кількістю суб’єктів господарювання та/або фізичних осіб, на яких поширюватиметься дія акта</w:t>
      </w:r>
      <w:r w:rsidR="00E355B0">
        <w:rPr>
          <w:rFonts w:ascii="Times New Roman" w:hAnsi="Times New Roman" w:cs="Times New Roman"/>
          <w:sz w:val="28"/>
          <w:szCs w:val="28"/>
        </w:rPr>
        <w:t>,</w:t>
      </w:r>
      <w:r w:rsidR="00DC1500" w:rsidRPr="00943DFD">
        <w:rPr>
          <w:rFonts w:ascii="Times New Roman" w:hAnsi="Times New Roman" w:cs="Times New Roman"/>
          <w:sz w:val="28"/>
          <w:szCs w:val="28"/>
        </w:rPr>
        <w:t xml:space="preserve"> – </w:t>
      </w:r>
      <w:r w:rsidR="001D69A1" w:rsidRPr="00943DFD">
        <w:rPr>
          <w:rFonts w:ascii="Times New Roman" w:hAnsi="Times New Roman" w:cs="Times New Roman"/>
          <w:sz w:val="28"/>
          <w:szCs w:val="28"/>
        </w:rPr>
        <w:t>дія акта поширюватиметься</w:t>
      </w:r>
      <w:r w:rsidR="00F45F91" w:rsidRPr="00F45F91">
        <w:rPr>
          <w:rFonts w:ascii="Times New Roman" w:hAnsi="Times New Roman" w:cs="Times New Roman"/>
          <w:sz w:val="28"/>
          <w:szCs w:val="28"/>
        </w:rPr>
        <w:t xml:space="preserve"> </w:t>
      </w:r>
      <w:r w:rsidR="00F45F91">
        <w:rPr>
          <w:rFonts w:ascii="Times New Roman" w:hAnsi="Times New Roman" w:cs="Times New Roman"/>
          <w:sz w:val="28"/>
          <w:szCs w:val="28"/>
        </w:rPr>
        <w:t>на</w:t>
      </w:r>
      <w:r w:rsidR="001D69A1" w:rsidRPr="00943DFD">
        <w:rPr>
          <w:rFonts w:ascii="Times New Roman" w:hAnsi="Times New Roman" w:cs="Times New Roman"/>
          <w:sz w:val="28"/>
          <w:szCs w:val="28"/>
        </w:rPr>
        <w:t xml:space="preserve"> </w:t>
      </w:r>
      <w:r w:rsidR="00BC671E" w:rsidRPr="00943DFD">
        <w:rPr>
          <w:rFonts w:ascii="Times New Roman" w:hAnsi="Times New Roman" w:cs="Times New Roman"/>
          <w:sz w:val="28"/>
          <w:szCs w:val="28"/>
        </w:rPr>
        <w:t>суб’єктів господарювання, які здійсню</w:t>
      </w:r>
      <w:r w:rsidR="003061E1" w:rsidRPr="00943DFD">
        <w:rPr>
          <w:rFonts w:ascii="Times New Roman" w:hAnsi="Times New Roman" w:cs="Times New Roman"/>
          <w:sz w:val="28"/>
          <w:szCs w:val="28"/>
        </w:rPr>
        <w:t>ють</w:t>
      </w:r>
      <w:r w:rsidR="00BC671E" w:rsidRPr="00943DFD">
        <w:rPr>
          <w:rFonts w:ascii="Times New Roman" w:hAnsi="Times New Roman" w:cs="Times New Roman"/>
          <w:sz w:val="28"/>
          <w:szCs w:val="28"/>
        </w:rPr>
        <w:t xml:space="preserve"> діяльність з розподілу електричної енергії</w:t>
      </w:r>
      <w:r w:rsidR="00760BBD">
        <w:rPr>
          <w:rFonts w:ascii="Times New Roman" w:hAnsi="Times New Roman" w:cs="Times New Roman"/>
          <w:sz w:val="28"/>
          <w:szCs w:val="28"/>
        </w:rPr>
        <w:t xml:space="preserve"> </w:t>
      </w:r>
      <w:r w:rsidR="00891511" w:rsidRPr="00A33081">
        <w:rPr>
          <w:rFonts w:ascii="Times New Roman" w:hAnsi="Times New Roman" w:cs="Times New Roman"/>
          <w:sz w:val="28"/>
          <w:szCs w:val="28"/>
        </w:rPr>
        <w:t>(із застосуванням стимулюючого тарифоутворення)</w:t>
      </w:r>
      <w:r w:rsidR="00891511">
        <w:rPr>
          <w:rFonts w:ascii="Times New Roman" w:hAnsi="Times New Roman" w:cs="Times New Roman"/>
          <w:sz w:val="28"/>
          <w:szCs w:val="28"/>
        </w:rPr>
        <w:t>;</w:t>
      </w:r>
    </w:p>
    <w:p w14:paraId="702743C8" w14:textId="21057340" w:rsidR="00CB0C9B" w:rsidRDefault="00112D23" w:rsidP="00CB0C9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w:t>
      </w:r>
      <w:r w:rsidRPr="002A62E0">
        <w:rPr>
          <w:rFonts w:ascii="Times New Roman" w:hAnsi="Times New Roman" w:cs="Times New Roman"/>
          <w:sz w:val="28"/>
          <w:szCs w:val="28"/>
        </w:rPr>
        <w:t>рівн</w:t>
      </w:r>
      <w:r>
        <w:rPr>
          <w:rFonts w:ascii="Times New Roman" w:hAnsi="Times New Roman" w:cs="Times New Roman"/>
          <w:sz w:val="28"/>
          <w:szCs w:val="28"/>
        </w:rPr>
        <w:t>ем</w:t>
      </w:r>
      <w:r w:rsidRPr="002A62E0">
        <w:rPr>
          <w:rFonts w:ascii="Times New Roman" w:hAnsi="Times New Roman" w:cs="Times New Roman"/>
          <w:sz w:val="28"/>
          <w:szCs w:val="28"/>
        </w:rPr>
        <w:t xml:space="preserve"> прибутку на регуляторну базу активів, </w:t>
      </w:r>
      <w:r w:rsidR="00055385" w:rsidRPr="00A33081">
        <w:rPr>
          <w:rFonts w:ascii="Times New Roman" w:hAnsi="Times New Roman" w:cs="Times New Roman"/>
          <w:sz w:val="28"/>
          <w:szCs w:val="28"/>
        </w:rPr>
        <w:t>що включається до необхідного</w:t>
      </w:r>
      <w:r w:rsidR="00055385">
        <w:rPr>
          <w:rFonts w:ascii="Times New Roman" w:hAnsi="Times New Roman" w:cs="Times New Roman"/>
          <w:sz w:val="28"/>
          <w:szCs w:val="28"/>
        </w:rPr>
        <w:t xml:space="preserve"> </w:t>
      </w:r>
      <w:r w:rsidR="00055385" w:rsidRPr="00A33081">
        <w:rPr>
          <w:rFonts w:ascii="Times New Roman" w:hAnsi="Times New Roman" w:cs="Times New Roman"/>
          <w:sz w:val="28"/>
          <w:szCs w:val="28"/>
        </w:rPr>
        <w:t>доходу операторів системи розподілу</w:t>
      </w:r>
      <w:r w:rsidR="002C4B67">
        <w:rPr>
          <w:rFonts w:ascii="Times New Roman" w:hAnsi="Times New Roman" w:cs="Times New Roman"/>
          <w:sz w:val="28"/>
          <w:szCs w:val="28"/>
        </w:rPr>
        <w:t xml:space="preserve"> </w:t>
      </w:r>
      <w:r w:rsidR="002C4B67" w:rsidRPr="00A33081">
        <w:rPr>
          <w:rFonts w:ascii="Times New Roman" w:hAnsi="Times New Roman" w:cs="Times New Roman"/>
          <w:sz w:val="28"/>
          <w:szCs w:val="28"/>
        </w:rPr>
        <w:t>(</w:t>
      </w:r>
      <w:r w:rsidR="002C4B67">
        <w:rPr>
          <w:rFonts w:ascii="Times New Roman" w:hAnsi="Times New Roman" w:cs="Times New Roman"/>
          <w:sz w:val="28"/>
          <w:szCs w:val="28"/>
        </w:rPr>
        <w:t>при</w:t>
      </w:r>
      <w:r w:rsidR="002C4B67" w:rsidRPr="00A33081">
        <w:rPr>
          <w:rFonts w:ascii="Times New Roman" w:hAnsi="Times New Roman" w:cs="Times New Roman"/>
          <w:sz w:val="28"/>
          <w:szCs w:val="28"/>
        </w:rPr>
        <w:t xml:space="preserve"> застосуванн</w:t>
      </w:r>
      <w:r w:rsidR="002C4B67">
        <w:rPr>
          <w:rFonts w:ascii="Times New Roman" w:hAnsi="Times New Roman" w:cs="Times New Roman"/>
          <w:sz w:val="28"/>
          <w:szCs w:val="28"/>
        </w:rPr>
        <w:t>і</w:t>
      </w:r>
      <w:r w:rsidR="002C4B67" w:rsidRPr="00A33081">
        <w:rPr>
          <w:rFonts w:ascii="Times New Roman" w:hAnsi="Times New Roman" w:cs="Times New Roman"/>
          <w:sz w:val="28"/>
          <w:szCs w:val="28"/>
        </w:rPr>
        <w:t xml:space="preserve"> стимулюючого тарифоутворення)</w:t>
      </w:r>
      <w:r w:rsidR="00055385" w:rsidRPr="00A33081">
        <w:rPr>
          <w:rFonts w:ascii="Times New Roman" w:hAnsi="Times New Roman" w:cs="Times New Roman"/>
          <w:sz w:val="28"/>
          <w:szCs w:val="28"/>
        </w:rPr>
        <w:t>, який враховує</w:t>
      </w:r>
      <w:r w:rsidR="00055385">
        <w:rPr>
          <w:rFonts w:ascii="Times New Roman" w:hAnsi="Times New Roman" w:cs="Times New Roman"/>
          <w:sz w:val="28"/>
          <w:szCs w:val="28"/>
        </w:rPr>
        <w:t xml:space="preserve"> </w:t>
      </w:r>
      <w:r w:rsidRPr="00B005DA">
        <w:rPr>
          <w:rFonts w:ascii="Times New Roman" w:hAnsi="Times New Roman" w:cs="Times New Roman"/>
          <w:sz w:val="28"/>
          <w:szCs w:val="28"/>
        </w:rPr>
        <w:t xml:space="preserve">розмір </w:t>
      </w:r>
      <w:r w:rsidRPr="00A33081">
        <w:rPr>
          <w:rFonts w:ascii="Times New Roman" w:hAnsi="Times New Roman" w:cs="Times New Roman"/>
          <w:sz w:val="28"/>
          <w:szCs w:val="28"/>
        </w:rPr>
        <w:t>регуляторної</w:t>
      </w:r>
      <w:r>
        <w:rPr>
          <w:rFonts w:ascii="Times New Roman" w:hAnsi="Times New Roman" w:cs="Times New Roman"/>
          <w:sz w:val="28"/>
          <w:szCs w:val="28"/>
        </w:rPr>
        <w:t xml:space="preserve"> </w:t>
      </w:r>
      <w:r w:rsidRPr="00A33081">
        <w:rPr>
          <w:rFonts w:ascii="Times New Roman" w:hAnsi="Times New Roman" w:cs="Times New Roman"/>
          <w:sz w:val="28"/>
          <w:szCs w:val="28"/>
        </w:rPr>
        <w:t>бази активів, яка створена</w:t>
      </w:r>
      <w:r w:rsidR="00411B7B">
        <w:rPr>
          <w:rFonts w:ascii="Times New Roman" w:hAnsi="Times New Roman" w:cs="Times New Roman"/>
          <w:sz w:val="28"/>
          <w:szCs w:val="28"/>
        </w:rPr>
        <w:t xml:space="preserve"> </w:t>
      </w:r>
      <w:r w:rsidR="004A1C5D">
        <w:rPr>
          <w:rFonts w:ascii="Times New Roman" w:hAnsi="Times New Roman" w:cs="Times New Roman"/>
          <w:sz w:val="28"/>
          <w:szCs w:val="28"/>
        </w:rPr>
        <w:t xml:space="preserve">на дату </w:t>
      </w:r>
      <w:r w:rsidR="004A1C5D" w:rsidRPr="00A33081">
        <w:rPr>
          <w:rFonts w:ascii="Times New Roman" w:hAnsi="Times New Roman" w:cs="Times New Roman"/>
          <w:sz w:val="28"/>
          <w:szCs w:val="28"/>
        </w:rPr>
        <w:t xml:space="preserve">переходу </w:t>
      </w:r>
      <w:r w:rsidR="0065324F">
        <w:rPr>
          <w:rFonts w:ascii="Times New Roman" w:hAnsi="Times New Roman" w:cs="Times New Roman"/>
          <w:sz w:val="28"/>
          <w:szCs w:val="28"/>
        </w:rPr>
        <w:t xml:space="preserve">до </w:t>
      </w:r>
      <w:r w:rsidR="004A1C5D" w:rsidRPr="00A33081">
        <w:rPr>
          <w:rFonts w:ascii="Times New Roman" w:hAnsi="Times New Roman" w:cs="Times New Roman"/>
          <w:sz w:val="28"/>
          <w:szCs w:val="28"/>
        </w:rPr>
        <w:t>стимулююч</w:t>
      </w:r>
      <w:r w:rsidR="0065324F">
        <w:rPr>
          <w:rFonts w:ascii="Times New Roman" w:hAnsi="Times New Roman" w:cs="Times New Roman"/>
          <w:sz w:val="28"/>
          <w:szCs w:val="28"/>
        </w:rPr>
        <w:t>ого</w:t>
      </w:r>
      <w:r w:rsidR="004A1C5D" w:rsidRPr="00A33081">
        <w:rPr>
          <w:rFonts w:ascii="Times New Roman" w:hAnsi="Times New Roman" w:cs="Times New Roman"/>
          <w:sz w:val="28"/>
          <w:szCs w:val="28"/>
        </w:rPr>
        <w:t xml:space="preserve"> регулювання, на яку має нараховуватись встановлена НКРЕКП регуляторн</w:t>
      </w:r>
      <w:r w:rsidR="004A1C5D">
        <w:rPr>
          <w:rFonts w:ascii="Times New Roman" w:hAnsi="Times New Roman" w:cs="Times New Roman"/>
          <w:sz w:val="28"/>
          <w:szCs w:val="28"/>
        </w:rPr>
        <w:t>а</w:t>
      </w:r>
      <w:r w:rsidR="004A1C5D" w:rsidRPr="00A33081">
        <w:rPr>
          <w:rFonts w:ascii="Times New Roman" w:hAnsi="Times New Roman" w:cs="Times New Roman"/>
          <w:sz w:val="28"/>
          <w:szCs w:val="28"/>
        </w:rPr>
        <w:t xml:space="preserve"> норм</w:t>
      </w:r>
      <w:r w:rsidR="004A1C5D">
        <w:rPr>
          <w:rFonts w:ascii="Times New Roman" w:hAnsi="Times New Roman" w:cs="Times New Roman"/>
          <w:sz w:val="28"/>
          <w:szCs w:val="28"/>
        </w:rPr>
        <w:t>а</w:t>
      </w:r>
      <w:r w:rsidR="004A1C5D" w:rsidRPr="00A33081">
        <w:rPr>
          <w:rFonts w:ascii="Times New Roman" w:hAnsi="Times New Roman" w:cs="Times New Roman"/>
          <w:sz w:val="28"/>
          <w:szCs w:val="28"/>
        </w:rPr>
        <w:t xml:space="preserve"> доходу на регуляторну базу активів, яка створена </w:t>
      </w:r>
      <w:r w:rsidR="004A1C5D">
        <w:rPr>
          <w:rFonts w:ascii="Times New Roman" w:hAnsi="Times New Roman" w:cs="Times New Roman"/>
          <w:sz w:val="28"/>
          <w:szCs w:val="28"/>
        </w:rPr>
        <w:t>на дату</w:t>
      </w:r>
      <w:r w:rsidR="004A1C5D" w:rsidRPr="00A33081">
        <w:rPr>
          <w:rFonts w:ascii="Times New Roman" w:hAnsi="Times New Roman" w:cs="Times New Roman"/>
          <w:sz w:val="28"/>
          <w:szCs w:val="28"/>
        </w:rPr>
        <w:t xml:space="preserve"> переходу на с</w:t>
      </w:r>
      <w:r w:rsidR="004A1C5D">
        <w:rPr>
          <w:rFonts w:ascii="Times New Roman" w:hAnsi="Times New Roman" w:cs="Times New Roman"/>
          <w:sz w:val="28"/>
          <w:szCs w:val="28"/>
        </w:rPr>
        <w:t>тимулююче регулювання (3,0 %);</w:t>
      </w:r>
    </w:p>
    <w:p w14:paraId="2D60370F" w14:textId="77777777" w:rsidR="00DC1500" w:rsidRPr="00943DFD" w:rsidRDefault="00112D23" w:rsidP="0089151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256BE4" w:rsidRPr="00943DFD">
        <w:rPr>
          <w:rFonts w:ascii="Times New Roman" w:hAnsi="Times New Roman" w:cs="Times New Roman"/>
          <w:sz w:val="28"/>
          <w:szCs w:val="28"/>
        </w:rPr>
        <w:t>) </w:t>
      </w:r>
      <w:r w:rsidR="00DC1500" w:rsidRPr="00943DFD">
        <w:rPr>
          <w:rFonts w:ascii="Times New Roman" w:hAnsi="Times New Roman" w:cs="Times New Roman"/>
          <w:sz w:val="28"/>
          <w:szCs w:val="28"/>
        </w:rPr>
        <w:t xml:space="preserve">рівнем поінформованості суб’єктів господарювання та/або фізичних осіб з основних положень акта </w:t>
      </w:r>
      <w:r w:rsidR="00B26044">
        <w:rPr>
          <w:rFonts w:ascii="Times New Roman" w:hAnsi="Times New Roman" w:cs="Times New Roman"/>
          <w:sz w:val="28"/>
          <w:szCs w:val="28"/>
        </w:rPr>
        <w:t xml:space="preserve">– </w:t>
      </w:r>
      <w:r w:rsidR="00DC1500" w:rsidRPr="00943DFD">
        <w:rPr>
          <w:rFonts w:ascii="Times New Roman" w:hAnsi="Times New Roman" w:cs="Times New Roman"/>
          <w:sz w:val="28"/>
          <w:szCs w:val="28"/>
        </w:rPr>
        <w:t xml:space="preserve">середній. </w:t>
      </w:r>
    </w:p>
    <w:p w14:paraId="5F2D0766" w14:textId="77777777" w:rsidR="00DC1500" w:rsidRPr="009B5AB8" w:rsidRDefault="00DC1500" w:rsidP="00DC6752">
      <w:pPr>
        <w:spacing w:after="0" w:line="240" w:lineRule="auto"/>
        <w:ind w:firstLine="567"/>
        <w:jc w:val="both"/>
        <w:rPr>
          <w:rFonts w:ascii="Times New Roman" w:hAnsi="Times New Roman" w:cs="Times New Roman"/>
          <w:i/>
          <w:sz w:val="28"/>
          <w:szCs w:val="28"/>
        </w:rPr>
      </w:pPr>
      <w:r w:rsidRPr="00943DFD">
        <w:rPr>
          <w:rFonts w:ascii="Times New Roman" w:hAnsi="Times New Roman" w:cs="Times New Roman"/>
          <w:sz w:val="28"/>
          <w:szCs w:val="28"/>
        </w:rPr>
        <w:t>Відповідно до статті 15 Закону України «Про Національну комісію, що здійснює державне регулювання у сферах енергетики та комунальних послуг» про</w:t>
      </w:r>
      <w:r w:rsidR="008C6D40" w:rsidRPr="00943DFD">
        <w:rPr>
          <w:rFonts w:ascii="Times New Roman" w:hAnsi="Times New Roman" w:cs="Times New Roman"/>
          <w:sz w:val="28"/>
          <w:szCs w:val="28"/>
        </w:rPr>
        <w:t>є</w:t>
      </w:r>
      <w:r w:rsidRPr="00943DFD">
        <w:rPr>
          <w:rFonts w:ascii="Times New Roman" w:hAnsi="Times New Roman" w:cs="Times New Roman"/>
          <w:sz w:val="28"/>
          <w:szCs w:val="28"/>
        </w:rPr>
        <w:t xml:space="preserve">кт постанови НКРЕКП </w:t>
      </w:r>
      <w:r w:rsidR="00FB0665" w:rsidRPr="00A80292">
        <w:rPr>
          <w:rFonts w:ascii="Times New Roman" w:hAnsi="Times New Roman" w:cs="Times New Roman"/>
          <w:sz w:val="28"/>
          <w:szCs w:val="28"/>
        </w:rPr>
        <w:t>«Про внесення зміни до Порядку визначення регуляторної бази активів суб’єктів природних монополій у сфері електроенергетики»</w:t>
      </w:r>
      <w:r w:rsidR="003B2344" w:rsidRPr="00A045B4">
        <w:rPr>
          <w:rFonts w:ascii="Times New Roman" w:hAnsi="Times New Roman" w:cs="Times New Roman"/>
          <w:sz w:val="28"/>
          <w:szCs w:val="28"/>
        </w:rPr>
        <w:t>,</w:t>
      </w:r>
      <w:r w:rsidR="003B2344">
        <w:rPr>
          <w:rFonts w:ascii="Times New Roman" w:hAnsi="Times New Roman" w:cs="Times New Roman"/>
          <w:sz w:val="28"/>
          <w:szCs w:val="28"/>
        </w:rPr>
        <w:t xml:space="preserve"> </w:t>
      </w:r>
      <w:r w:rsidRPr="00943DFD">
        <w:rPr>
          <w:rFonts w:ascii="Times New Roman" w:hAnsi="Times New Roman" w:cs="Times New Roman"/>
          <w:sz w:val="28"/>
          <w:szCs w:val="28"/>
        </w:rPr>
        <w:t>аналіз впливу рішення НКРЕКП, що має ознаки регуляторного акта</w:t>
      </w:r>
      <w:r w:rsidR="001228F1">
        <w:rPr>
          <w:rFonts w:ascii="Times New Roman" w:hAnsi="Times New Roman" w:cs="Times New Roman"/>
          <w:sz w:val="28"/>
          <w:szCs w:val="28"/>
        </w:rPr>
        <w:t>,</w:t>
      </w:r>
      <w:r w:rsidRPr="00943DFD">
        <w:rPr>
          <w:rFonts w:ascii="Times New Roman" w:hAnsi="Times New Roman" w:cs="Times New Roman"/>
          <w:sz w:val="28"/>
          <w:szCs w:val="28"/>
        </w:rPr>
        <w:t xml:space="preserve"> та повідомлення про оприлюднення розміщено на офіційному вебсайті Національної комісії, що здійснює державне регулювання у сферах енергетики та комунальних послуг, </w:t>
      </w:r>
      <w:r w:rsidR="00E355B0">
        <w:rPr>
          <w:rFonts w:ascii="Times New Roman" w:hAnsi="Times New Roman" w:cs="Times New Roman"/>
          <w:sz w:val="28"/>
          <w:szCs w:val="28"/>
        </w:rPr>
        <w:t>у</w:t>
      </w:r>
      <w:r w:rsidR="00E355B0" w:rsidRPr="00943DFD">
        <w:rPr>
          <w:rFonts w:ascii="Times New Roman" w:hAnsi="Times New Roman" w:cs="Times New Roman"/>
          <w:sz w:val="28"/>
          <w:szCs w:val="28"/>
        </w:rPr>
        <w:t xml:space="preserve"> </w:t>
      </w:r>
      <w:r w:rsidRPr="00943DFD">
        <w:rPr>
          <w:rFonts w:ascii="Times New Roman" w:hAnsi="Times New Roman" w:cs="Times New Roman"/>
          <w:sz w:val="28"/>
          <w:szCs w:val="28"/>
        </w:rPr>
        <w:t xml:space="preserve">мережі Інтернет </w:t>
      </w:r>
      <w:r w:rsidR="00B26044">
        <w:rPr>
          <w:rFonts w:ascii="Times New Roman" w:hAnsi="Times New Roman" w:cs="Times New Roman"/>
          <w:sz w:val="28"/>
          <w:szCs w:val="28"/>
        </w:rPr>
        <w:t xml:space="preserve">за посиланням: </w:t>
      </w:r>
      <w:r w:rsidRPr="009B5AB8">
        <w:rPr>
          <w:rFonts w:ascii="Times New Roman" w:hAnsi="Times New Roman" w:cs="Times New Roman"/>
          <w:i/>
          <w:sz w:val="28"/>
          <w:szCs w:val="28"/>
        </w:rPr>
        <w:t xml:space="preserve">http://nerc.gov.ua. </w:t>
      </w:r>
    </w:p>
    <w:p w14:paraId="5D81C2CC" w14:textId="77777777" w:rsidR="00B26044" w:rsidRDefault="00DC1500" w:rsidP="00DC6752">
      <w:pPr>
        <w:widowControl w:val="0"/>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НКРЕКП у межах компетенції надає необ</w:t>
      </w:r>
      <w:r w:rsidR="008C6D40" w:rsidRPr="00943DFD">
        <w:rPr>
          <w:rFonts w:ascii="Times New Roman" w:hAnsi="Times New Roman" w:cs="Times New Roman"/>
          <w:sz w:val="28"/>
          <w:szCs w:val="28"/>
        </w:rPr>
        <w:t xml:space="preserve">хідні роз’яснення щодо норм </w:t>
      </w:r>
      <w:proofErr w:type="spellStart"/>
      <w:r w:rsidR="008C6D40" w:rsidRPr="00943DFD">
        <w:rPr>
          <w:rFonts w:ascii="Times New Roman" w:hAnsi="Times New Roman" w:cs="Times New Roman"/>
          <w:sz w:val="28"/>
          <w:szCs w:val="28"/>
        </w:rPr>
        <w:t>проє</w:t>
      </w:r>
      <w:r w:rsidRPr="00943DFD">
        <w:rPr>
          <w:rFonts w:ascii="Times New Roman" w:hAnsi="Times New Roman" w:cs="Times New Roman"/>
          <w:sz w:val="28"/>
          <w:szCs w:val="28"/>
        </w:rPr>
        <w:t>кту</w:t>
      </w:r>
      <w:proofErr w:type="spellEnd"/>
      <w:r w:rsidRPr="00943DFD">
        <w:rPr>
          <w:rFonts w:ascii="Times New Roman" w:hAnsi="Times New Roman" w:cs="Times New Roman"/>
          <w:sz w:val="28"/>
          <w:szCs w:val="28"/>
        </w:rPr>
        <w:t xml:space="preserve"> регуляторного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і надаватиме роз’яснення щодо застосування акта, який буде </w:t>
      </w:r>
      <w:r w:rsidR="001228F1">
        <w:rPr>
          <w:rFonts w:ascii="Times New Roman" w:hAnsi="Times New Roman" w:cs="Times New Roman"/>
          <w:sz w:val="28"/>
          <w:szCs w:val="28"/>
        </w:rPr>
        <w:t>оприлюднено</w:t>
      </w:r>
      <w:r w:rsidR="001228F1" w:rsidRPr="00943DFD">
        <w:rPr>
          <w:rFonts w:ascii="Times New Roman" w:hAnsi="Times New Roman" w:cs="Times New Roman"/>
          <w:sz w:val="28"/>
          <w:szCs w:val="28"/>
        </w:rPr>
        <w:t xml:space="preserve"> </w:t>
      </w:r>
      <w:r w:rsidR="00B26044">
        <w:rPr>
          <w:rFonts w:ascii="Times New Roman" w:hAnsi="Times New Roman" w:cs="Times New Roman"/>
          <w:sz w:val="28"/>
          <w:szCs w:val="28"/>
        </w:rPr>
        <w:t xml:space="preserve">на офіційному вебсайті </w:t>
      </w:r>
      <w:r w:rsidR="001228F1">
        <w:rPr>
          <w:rFonts w:ascii="Times New Roman" w:hAnsi="Times New Roman" w:cs="Times New Roman"/>
          <w:sz w:val="28"/>
          <w:szCs w:val="28"/>
        </w:rPr>
        <w:t>НКРЕКП після його прийняття</w:t>
      </w:r>
      <w:r w:rsidR="00B26044">
        <w:rPr>
          <w:rFonts w:ascii="Times New Roman" w:hAnsi="Times New Roman" w:cs="Times New Roman"/>
          <w:sz w:val="28"/>
          <w:szCs w:val="28"/>
        </w:rPr>
        <w:t>.</w:t>
      </w:r>
    </w:p>
    <w:p w14:paraId="561AF7C8" w14:textId="77777777" w:rsidR="00D165E3" w:rsidRDefault="00D165E3" w:rsidP="00DC6752">
      <w:pPr>
        <w:spacing w:after="0" w:line="240" w:lineRule="auto"/>
        <w:ind w:firstLine="567"/>
        <w:jc w:val="center"/>
        <w:rPr>
          <w:rFonts w:ascii="Times New Roman" w:hAnsi="Times New Roman" w:cs="Times New Roman"/>
          <w:b/>
          <w:bCs/>
          <w:sz w:val="28"/>
          <w:szCs w:val="28"/>
        </w:rPr>
      </w:pPr>
    </w:p>
    <w:p w14:paraId="63A08E2B"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VII</w:t>
      </w:r>
      <w:r w:rsidRPr="00943DFD">
        <w:rPr>
          <w:rFonts w:ascii="Times New Roman" w:hAnsi="Times New Roman" w:cs="Times New Roman"/>
          <w:b/>
          <w:bCs/>
          <w:sz w:val="28"/>
          <w:szCs w:val="28"/>
          <w:lang w:val="en-US"/>
        </w:rPr>
        <w:t>I</w:t>
      </w:r>
      <w:r w:rsidRPr="00943DFD">
        <w:rPr>
          <w:rFonts w:ascii="Times New Roman" w:hAnsi="Times New Roman" w:cs="Times New Roman"/>
          <w:b/>
          <w:bCs/>
          <w:sz w:val="28"/>
          <w:szCs w:val="28"/>
        </w:rPr>
        <w:t>.</w:t>
      </w:r>
      <w:r w:rsidRPr="00943DFD">
        <w:rPr>
          <w:rFonts w:ascii="Times New Roman" w:hAnsi="Times New Roman" w:cs="Times New Roman"/>
          <w:b/>
          <w:bCs/>
          <w:sz w:val="28"/>
          <w:szCs w:val="28"/>
          <w:lang w:val="ru-RU"/>
        </w:rPr>
        <w:t xml:space="preserve"> </w:t>
      </w:r>
      <w:r w:rsidRPr="00943DFD">
        <w:rPr>
          <w:rFonts w:ascii="Times New Roman" w:hAnsi="Times New Roman" w:cs="Times New Roman"/>
          <w:b/>
          <w:bCs/>
          <w:sz w:val="28"/>
          <w:szCs w:val="28"/>
        </w:rPr>
        <w:t>Очікуванні результати прийняття регуляторного акта</w:t>
      </w:r>
    </w:p>
    <w:p w14:paraId="217AF1A6" w14:textId="77777777" w:rsidR="00DC1500" w:rsidRPr="00B1760D" w:rsidRDefault="00DC1500" w:rsidP="00DC6752">
      <w:pPr>
        <w:spacing w:after="0" w:line="240" w:lineRule="auto"/>
        <w:ind w:firstLine="567"/>
        <w:jc w:val="both"/>
        <w:rPr>
          <w:rFonts w:ascii="Times New Roman" w:hAnsi="Times New Roman" w:cs="Times New Roman"/>
          <w:sz w:val="28"/>
          <w:szCs w:val="28"/>
        </w:rPr>
      </w:pPr>
    </w:p>
    <w:p w14:paraId="0495219C" w14:textId="77777777" w:rsidR="009C561D" w:rsidRDefault="00CF3C5E" w:rsidP="00DC67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Очікуваним р</w:t>
      </w:r>
      <w:r w:rsidR="007927C0" w:rsidRPr="00943DFD">
        <w:rPr>
          <w:rFonts w:ascii="Times New Roman" w:hAnsi="Times New Roman" w:cs="Times New Roman"/>
          <w:sz w:val="28"/>
          <w:szCs w:val="28"/>
        </w:rPr>
        <w:t>езультатом п</w:t>
      </w:r>
      <w:r w:rsidR="00DC1500" w:rsidRPr="00943DFD">
        <w:rPr>
          <w:rFonts w:ascii="Times New Roman" w:hAnsi="Times New Roman" w:cs="Times New Roman"/>
          <w:sz w:val="28"/>
          <w:szCs w:val="28"/>
        </w:rPr>
        <w:t>рийняття про</w:t>
      </w:r>
      <w:r w:rsidR="001D69A1" w:rsidRPr="00943DFD">
        <w:rPr>
          <w:rFonts w:ascii="Times New Roman" w:hAnsi="Times New Roman" w:cs="Times New Roman"/>
          <w:sz w:val="28"/>
          <w:szCs w:val="28"/>
        </w:rPr>
        <w:t>є</w:t>
      </w:r>
      <w:r w:rsidR="00DC1500" w:rsidRPr="00943DFD">
        <w:rPr>
          <w:rFonts w:ascii="Times New Roman" w:hAnsi="Times New Roman" w:cs="Times New Roman"/>
          <w:sz w:val="28"/>
          <w:szCs w:val="28"/>
        </w:rPr>
        <w:t xml:space="preserve">кту постанови НКРЕКП </w:t>
      </w:r>
      <w:r w:rsidR="00FB0665" w:rsidRPr="00A80292">
        <w:rPr>
          <w:rFonts w:ascii="Times New Roman" w:hAnsi="Times New Roman" w:cs="Times New Roman"/>
          <w:sz w:val="28"/>
          <w:szCs w:val="28"/>
        </w:rPr>
        <w:t>«Про внесення зміни до Порядку визначення регуляторної бази активів суб’єктів природних монополій у сфері електроенергетики»</w:t>
      </w:r>
      <w:r w:rsidR="009C561D" w:rsidRPr="008F5F46">
        <w:rPr>
          <w:rFonts w:ascii="Times New Roman" w:hAnsi="Times New Roman" w:cs="Times New Roman"/>
          <w:sz w:val="28"/>
          <w:szCs w:val="28"/>
        </w:rPr>
        <w:t xml:space="preserve"> </w:t>
      </w:r>
      <w:r w:rsidR="00CB39EA" w:rsidRPr="00943DFD">
        <w:rPr>
          <w:rFonts w:ascii="Times New Roman" w:hAnsi="Times New Roman" w:cs="Times New Roman"/>
          <w:sz w:val="28"/>
          <w:szCs w:val="28"/>
        </w:rPr>
        <w:t xml:space="preserve">має стати </w:t>
      </w:r>
      <w:r w:rsidR="007927C0" w:rsidRPr="00943DFD">
        <w:rPr>
          <w:rFonts w:ascii="Times New Roman" w:hAnsi="Times New Roman" w:cs="Times New Roman"/>
          <w:sz w:val="28"/>
          <w:szCs w:val="28"/>
        </w:rPr>
        <w:t xml:space="preserve">удосконалення та актуалізація </w:t>
      </w:r>
      <w:r w:rsidR="00671B74">
        <w:rPr>
          <w:rFonts w:ascii="Times New Roman" w:hAnsi="Times New Roman" w:cs="Times New Roman"/>
          <w:sz w:val="28"/>
          <w:szCs w:val="28"/>
        </w:rPr>
        <w:t>Порядку 899</w:t>
      </w:r>
      <w:r w:rsidR="009C561D" w:rsidRPr="00101840">
        <w:rPr>
          <w:rFonts w:ascii="Times New Roman" w:hAnsi="Times New Roman" w:cs="Times New Roman"/>
          <w:sz w:val="28"/>
          <w:szCs w:val="28"/>
        </w:rPr>
        <w:t xml:space="preserve"> </w:t>
      </w:r>
      <w:r w:rsidR="009C561D">
        <w:rPr>
          <w:rFonts w:ascii="Times New Roman" w:hAnsi="Times New Roman" w:cs="Times New Roman"/>
          <w:sz w:val="28"/>
          <w:szCs w:val="28"/>
        </w:rPr>
        <w:t xml:space="preserve">та </w:t>
      </w:r>
      <w:r w:rsidR="009C561D" w:rsidRPr="00943DFD">
        <w:rPr>
          <w:rFonts w:ascii="Times New Roman" w:hAnsi="Times New Roman" w:cs="Times New Roman"/>
          <w:sz w:val="28"/>
          <w:szCs w:val="28"/>
        </w:rPr>
        <w:t>забезпечення принципу прозорості при формуванні та встановленн</w:t>
      </w:r>
      <w:r w:rsidR="009C561D">
        <w:rPr>
          <w:rFonts w:ascii="Times New Roman" w:hAnsi="Times New Roman" w:cs="Times New Roman"/>
          <w:sz w:val="28"/>
          <w:szCs w:val="28"/>
        </w:rPr>
        <w:t>і</w:t>
      </w:r>
      <w:r w:rsidR="009C561D" w:rsidRPr="00943DFD">
        <w:rPr>
          <w:rFonts w:ascii="Times New Roman" w:hAnsi="Times New Roman" w:cs="Times New Roman"/>
          <w:sz w:val="28"/>
          <w:szCs w:val="28"/>
        </w:rPr>
        <w:t xml:space="preserve"> тарифів на послуги з розподілу електричної енергії</w:t>
      </w:r>
      <w:r w:rsidR="004A1C5D" w:rsidRPr="004A1C5D">
        <w:rPr>
          <w:rFonts w:ascii="Times New Roman" w:hAnsi="Times New Roman" w:cs="Times New Roman"/>
          <w:sz w:val="28"/>
          <w:szCs w:val="28"/>
        </w:rPr>
        <w:t xml:space="preserve"> </w:t>
      </w:r>
      <w:r w:rsidR="004A1C5D">
        <w:rPr>
          <w:rFonts w:ascii="Times New Roman" w:hAnsi="Times New Roman" w:cs="Times New Roman"/>
          <w:sz w:val="28"/>
          <w:szCs w:val="28"/>
        </w:rPr>
        <w:t>(</w:t>
      </w:r>
      <w:r w:rsidR="004A1C5D" w:rsidRPr="00A33081">
        <w:rPr>
          <w:rFonts w:ascii="Times New Roman" w:hAnsi="Times New Roman" w:cs="Times New Roman"/>
          <w:sz w:val="28"/>
          <w:szCs w:val="28"/>
        </w:rPr>
        <w:t>із застосуванням стимулюючого тарифоутворення)</w:t>
      </w:r>
      <w:r w:rsidR="009C561D" w:rsidRPr="00943DFD">
        <w:rPr>
          <w:rFonts w:ascii="Times New Roman" w:hAnsi="Times New Roman" w:cs="Times New Roman"/>
          <w:sz w:val="28"/>
          <w:szCs w:val="28"/>
        </w:rPr>
        <w:t>.</w:t>
      </w:r>
    </w:p>
    <w:p w14:paraId="683708E7" w14:textId="77777777" w:rsidR="00CB39EA" w:rsidRDefault="00CB39EA" w:rsidP="00DC6752">
      <w:pPr>
        <w:spacing w:after="0" w:line="240" w:lineRule="auto"/>
        <w:ind w:firstLine="708"/>
        <w:jc w:val="both"/>
        <w:rPr>
          <w:rFonts w:ascii="Times New Roman" w:hAnsi="Times New Roman" w:cs="Times New Roman"/>
          <w:sz w:val="28"/>
          <w:szCs w:val="28"/>
        </w:rPr>
      </w:pPr>
    </w:p>
    <w:p w14:paraId="225D7EB4" w14:textId="77777777" w:rsidR="00671B74" w:rsidRDefault="00671B74" w:rsidP="00DC6752">
      <w:pPr>
        <w:spacing w:after="0" w:line="240" w:lineRule="auto"/>
        <w:ind w:firstLine="708"/>
        <w:jc w:val="both"/>
        <w:rPr>
          <w:rFonts w:ascii="Times New Roman" w:hAnsi="Times New Roman" w:cs="Times New Roman"/>
          <w:sz w:val="28"/>
          <w:szCs w:val="28"/>
        </w:rPr>
      </w:pPr>
    </w:p>
    <w:p w14:paraId="77D291BC" w14:textId="77777777" w:rsidR="00671B74" w:rsidRDefault="00671B74" w:rsidP="00DC6752">
      <w:pPr>
        <w:spacing w:after="0" w:line="240" w:lineRule="auto"/>
        <w:ind w:firstLine="708"/>
        <w:jc w:val="both"/>
        <w:rPr>
          <w:rFonts w:ascii="Times New Roman" w:hAnsi="Times New Roman" w:cs="Times New Roman"/>
          <w:sz w:val="28"/>
          <w:szCs w:val="28"/>
        </w:rPr>
      </w:pPr>
    </w:p>
    <w:p w14:paraId="642DCB09"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Голов</w:t>
      </w:r>
      <w:r w:rsidR="003B2344">
        <w:rPr>
          <w:rFonts w:ascii="Times New Roman" w:hAnsi="Times New Roman" w:cs="Times New Roman"/>
          <w:sz w:val="28"/>
          <w:szCs w:val="28"/>
        </w:rPr>
        <w:t>а</w:t>
      </w:r>
      <w:r w:rsidRPr="00943DFD">
        <w:rPr>
          <w:rFonts w:ascii="Times New Roman" w:hAnsi="Times New Roman" w:cs="Times New Roman"/>
          <w:sz w:val="28"/>
          <w:szCs w:val="28"/>
        </w:rPr>
        <w:t xml:space="preserve"> НКРЕКП</w:t>
      </w:r>
      <w:r w:rsidRPr="00943DFD">
        <w:rPr>
          <w:rFonts w:ascii="Times New Roman" w:hAnsi="Times New Roman" w:cs="Times New Roman"/>
          <w:sz w:val="28"/>
          <w:szCs w:val="28"/>
        </w:rPr>
        <w:tab/>
      </w:r>
      <w:r w:rsidRPr="00943DFD">
        <w:rPr>
          <w:rFonts w:ascii="Times New Roman" w:hAnsi="Times New Roman" w:cs="Times New Roman"/>
          <w:sz w:val="28"/>
          <w:szCs w:val="28"/>
        </w:rPr>
        <w:tab/>
      </w:r>
      <w:r w:rsidR="005B495A">
        <w:rPr>
          <w:rFonts w:ascii="Times New Roman" w:hAnsi="Times New Roman" w:cs="Times New Roman"/>
          <w:sz w:val="28"/>
          <w:szCs w:val="28"/>
        </w:rPr>
        <w:t xml:space="preserve">                                           Костянтин УЩАПОВСЬКИЙ</w:t>
      </w:r>
    </w:p>
    <w:sectPr w:rsidR="00DC1500" w:rsidRPr="00943DFD" w:rsidSect="000820F1">
      <w:headerReference w:type="default" r:id="rId8"/>
      <w:pgSz w:w="11906" w:h="16838"/>
      <w:pgMar w:top="993" w:right="567" w:bottom="709"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B251D" w14:textId="77777777" w:rsidR="009313D8" w:rsidRDefault="009313D8" w:rsidP="00B4485B">
      <w:pPr>
        <w:spacing w:after="0" w:line="240" w:lineRule="auto"/>
      </w:pPr>
      <w:r>
        <w:separator/>
      </w:r>
    </w:p>
  </w:endnote>
  <w:endnote w:type="continuationSeparator" w:id="0">
    <w:p w14:paraId="03782E65" w14:textId="77777777" w:rsidR="009313D8" w:rsidRDefault="009313D8"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3952C" w14:textId="77777777" w:rsidR="009313D8" w:rsidRDefault="009313D8" w:rsidP="00B4485B">
      <w:pPr>
        <w:spacing w:after="0" w:line="240" w:lineRule="auto"/>
      </w:pPr>
      <w:r>
        <w:separator/>
      </w:r>
    </w:p>
  </w:footnote>
  <w:footnote w:type="continuationSeparator" w:id="0">
    <w:p w14:paraId="56F0AF42" w14:textId="77777777" w:rsidR="009313D8" w:rsidRDefault="009313D8"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06EED" w14:textId="7EB4A3B9" w:rsidR="00A33081" w:rsidRPr="00D165E3" w:rsidRDefault="00A33081" w:rsidP="00D165E3">
    <w:pPr>
      <w:pStyle w:val="a4"/>
      <w:jc w:val="center"/>
      <w:rPr>
        <w:rFonts w:ascii="Times New Roman" w:hAnsi="Times New Roman" w:cs="Times New Roman"/>
      </w:rPr>
    </w:pPr>
    <w:r w:rsidRPr="00726447">
      <w:rPr>
        <w:rFonts w:ascii="Times New Roman" w:hAnsi="Times New Roman" w:cs="Times New Roman"/>
      </w:rPr>
      <w:fldChar w:fldCharType="begin"/>
    </w:r>
    <w:r w:rsidRPr="00726447">
      <w:rPr>
        <w:rFonts w:ascii="Times New Roman" w:hAnsi="Times New Roman" w:cs="Times New Roman"/>
      </w:rPr>
      <w:instrText>PAGE   \* MERGEFORMAT</w:instrText>
    </w:r>
    <w:r w:rsidRPr="00726447">
      <w:rPr>
        <w:rFonts w:ascii="Times New Roman" w:hAnsi="Times New Roman" w:cs="Times New Roman"/>
      </w:rPr>
      <w:fldChar w:fldCharType="separate"/>
    </w:r>
    <w:r w:rsidR="003D6AD0">
      <w:rPr>
        <w:rFonts w:ascii="Times New Roman" w:hAnsi="Times New Roman" w:cs="Times New Roman"/>
        <w:noProof/>
      </w:rPr>
      <w:t>6</w:t>
    </w:r>
    <w:r w:rsidRPr="00726447">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1F61642"/>
    <w:multiLevelType w:val="hybridMultilevel"/>
    <w:tmpl w:val="84E839AA"/>
    <w:lvl w:ilvl="0" w:tplc="04220011">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BA4204"/>
    <w:multiLevelType w:val="hybridMultilevel"/>
    <w:tmpl w:val="D2C0AA38"/>
    <w:lvl w:ilvl="0" w:tplc="FAF8C5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5"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AD4"/>
    <w:rsid w:val="00000906"/>
    <w:rsid w:val="000011EF"/>
    <w:rsid w:val="00002C99"/>
    <w:rsid w:val="0001257D"/>
    <w:rsid w:val="00014069"/>
    <w:rsid w:val="00017848"/>
    <w:rsid w:val="00020178"/>
    <w:rsid w:val="000202EA"/>
    <w:rsid w:val="000217A1"/>
    <w:rsid w:val="000226FC"/>
    <w:rsid w:val="000302DC"/>
    <w:rsid w:val="000317F3"/>
    <w:rsid w:val="00034654"/>
    <w:rsid w:val="000354E5"/>
    <w:rsid w:val="00036637"/>
    <w:rsid w:val="00043652"/>
    <w:rsid w:val="00046112"/>
    <w:rsid w:val="00046BA0"/>
    <w:rsid w:val="000534F1"/>
    <w:rsid w:val="00053BCF"/>
    <w:rsid w:val="00054881"/>
    <w:rsid w:val="00055385"/>
    <w:rsid w:val="00061997"/>
    <w:rsid w:val="00063F4C"/>
    <w:rsid w:val="000645D5"/>
    <w:rsid w:val="00067F06"/>
    <w:rsid w:val="000722D1"/>
    <w:rsid w:val="00077764"/>
    <w:rsid w:val="000820F1"/>
    <w:rsid w:val="000834CE"/>
    <w:rsid w:val="00083AAB"/>
    <w:rsid w:val="000858E6"/>
    <w:rsid w:val="00085927"/>
    <w:rsid w:val="00087085"/>
    <w:rsid w:val="00092636"/>
    <w:rsid w:val="000938AE"/>
    <w:rsid w:val="000A4FA6"/>
    <w:rsid w:val="000A5556"/>
    <w:rsid w:val="000B0549"/>
    <w:rsid w:val="000B0574"/>
    <w:rsid w:val="000B0808"/>
    <w:rsid w:val="000B100A"/>
    <w:rsid w:val="000B3179"/>
    <w:rsid w:val="000B3619"/>
    <w:rsid w:val="000B3CCB"/>
    <w:rsid w:val="000B45BE"/>
    <w:rsid w:val="000B4E9E"/>
    <w:rsid w:val="000B6295"/>
    <w:rsid w:val="000C1767"/>
    <w:rsid w:val="000C37E4"/>
    <w:rsid w:val="000C69B3"/>
    <w:rsid w:val="000C77FE"/>
    <w:rsid w:val="000D526A"/>
    <w:rsid w:val="000D7A58"/>
    <w:rsid w:val="000E0120"/>
    <w:rsid w:val="000E1F7F"/>
    <w:rsid w:val="000E2A5A"/>
    <w:rsid w:val="000E3DAA"/>
    <w:rsid w:val="000E5B56"/>
    <w:rsid w:val="000E6897"/>
    <w:rsid w:val="000F04DB"/>
    <w:rsid w:val="000F37C8"/>
    <w:rsid w:val="000F5926"/>
    <w:rsid w:val="000F72F6"/>
    <w:rsid w:val="000F7AA9"/>
    <w:rsid w:val="00101536"/>
    <w:rsid w:val="00101840"/>
    <w:rsid w:val="00101C39"/>
    <w:rsid w:val="00102EE6"/>
    <w:rsid w:val="00103458"/>
    <w:rsid w:val="00106F29"/>
    <w:rsid w:val="00111DAF"/>
    <w:rsid w:val="00112D23"/>
    <w:rsid w:val="00113D4F"/>
    <w:rsid w:val="00115EAB"/>
    <w:rsid w:val="00120A93"/>
    <w:rsid w:val="0012257B"/>
    <w:rsid w:val="001228F1"/>
    <w:rsid w:val="00131B52"/>
    <w:rsid w:val="001325DB"/>
    <w:rsid w:val="00132723"/>
    <w:rsid w:val="00151E1F"/>
    <w:rsid w:val="0015200C"/>
    <w:rsid w:val="00160780"/>
    <w:rsid w:val="00163C0C"/>
    <w:rsid w:val="00163E6A"/>
    <w:rsid w:val="00166C04"/>
    <w:rsid w:val="001675AE"/>
    <w:rsid w:val="00172AC3"/>
    <w:rsid w:val="00174909"/>
    <w:rsid w:val="00175E93"/>
    <w:rsid w:val="00177D27"/>
    <w:rsid w:val="001824CF"/>
    <w:rsid w:val="001935AA"/>
    <w:rsid w:val="001A26D8"/>
    <w:rsid w:val="001A3EF0"/>
    <w:rsid w:val="001B21CF"/>
    <w:rsid w:val="001B30DA"/>
    <w:rsid w:val="001B321D"/>
    <w:rsid w:val="001B4AF1"/>
    <w:rsid w:val="001C3229"/>
    <w:rsid w:val="001C5354"/>
    <w:rsid w:val="001C5FB3"/>
    <w:rsid w:val="001C614E"/>
    <w:rsid w:val="001C6EAC"/>
    <w:rsid w:val="001D26DF"/>
    <w:rsid w:val="001D2835"/>
    <w:rsid w:val="001D69A1"/>
    <w:rsid w:val="001F191E"/>
    <w:rsid w:val="001F1CE8"/>
    <w:rsid w:val="001F3E02"/>
    <w:rsid w:val="001F64D6"/>
    <w:rsid w:val="00205B59"/>
    <w:rsid w:val="00211F05"/>
    <w:rsid w:val="00217C9C"/>
    <w:rsid w:val="00227B11"/>
    <w:rsid w:val="002319A9"/>
    <w:rsid w:val="00234FAE"/>
    <w:rsid w:val="0023564D"/>
    <w:rsid w:val="00242BE2"/>
    <w:rsid w:val="00250B09"/>
    <w:rsid w:val="00254B51"/>
    <w:rsid w:val="0025569A"/>
    <w:rsid w:val="00256259"/>
    <w:rsid w:val="00256BE4"/>
    <w:rsid w:val="00262D37"/>
    <w:rsid w:val="00264427"/>
    <w:rsid w:val="00266989"/>
    <w:rsid w:val="00267A9C"/>
    <w:rsid w:val="00267E2F"/>
    <w:rsid w:val="00267F26"/>
    <w:rsid w:val="00272EDD"/>
    <w:rsid w:val="00277724"/>
    <w:rsid w:val="00285079"/>
    <w:rsid w:val="002912A1"/>
    <w:rsid w:val="00291B29"/>
    <w:rsid w:val="002947D7"/>
    <w:rsid w:val="002A59CE"/>
    <w:rsid w:val="002A62E0"/>
    <w:rsid w:val="002A7E1C"/>
    <w:rsid w:val="002B4408"/>
    <w:rsid w:val="002B53F1"/>
    <w:rsid w:val="002C457D"/>
    <w:rsid w:val="002C4681"/>
    <w:rsid w:val="002C4B67"/>
    <w:rsid w:val="002C7012"/>
    <w:rsid w:val="002D36B9"/>
    <w:rsid w:val="002E2AB9"/>
    <w:rsid w:val="002E416D"/>
    <w:rsid w:val="002E5440"/>
    <w:rsid w:val="002E591F"/>
    <w:rsid w:val="002F06AB"/>
    <w:rsid w:val="003028DB"/>
    <w:rsid w:val="00304C31"/>
    <w:rsid w:val="003061E1"/>
    <w:rsid w:val="00307298"/>
    <w:rsid w:val="00311458"/>
    <w:rsid w:val="0031498D"/>
    <w:rsid w:val="00314F6A"/>
    <w:rsid w:val="00322A23"/>
    <w:rsid w:val="003239F3"/>
    <w:rsid w:val="00324646"/>
    <w:rsid w:val="0032547B"/>
    <w:rsid w:val="003268A2"/>
    <w:rsid w:val="00326E0B"/>
    <w:rsid w:val="00331518"/>
    <w:rsid w:val="00331745"/>
    <w:rsid w:val="003337AF"/>
    <w:rsid w:val="003342C9"/>
    <w:rsid w:val="00334726"/>
    <w:rsid w:val="003359CD"/>
    <w:rsid w:val="003365B9"/>
    <w:rsid w:val="0034529E"/>
    <w:rsid w:val="00345833"/>
    <w:rsid w:val="00346BBB"/>
    <w:rsid w:val="003474B3"/>
    <w:rsid w:val="003500CC"/>
    <w:rsid w:val="003522C9"/>
    <w:rsid w:val="00353168"/>
    <w:rsid w:val="00360D00"/>
    <w:rsid w:val="0036258D"/>
    <w:rsid w:val="00363DC0"/>
    <w:rsid w:val="00377979"/>
    <w:rsid w:val="003800B0"/>
    <w:rsid w:val="00381B8C"/>
    <w:rsid w:val="00394B81"/>
    <w:rsid w:val="003A142D"/>
    <w:rsid w:val="003A31DF"/>
    <w:rsid w:val="003A4CA7"/>
    <w:rsid w:val="003A5A9C"/>
    <w:rsid w:val="003B1240"/>
    <w:rsid w:val="003B155F"/>
    <w:rsid w:val="003B2344"/>
    <w:rsid w:val="003B35F2"/>
    <w:rsid w:val="003C0664"/>
    <w:rsid w:val="003D3A16"/>
    <w:rsid w:val="003D5282"/>
    <w:rsid w:val="003D5AF7"/>
    <w:rsid w:val="003D6AD0"/>
    <w:rsid w:val="003D7395"/>
    <w:rsid w:val="003E095C"/>
    <w:rsid w:val="003E1A1E"/>
    <w:rsid w:val="003E7DCD"/>
    <w:rsid w:val="004008AD"/>
    <w:rsid w:val="00405F7B"/>
    <w:rsid w:val="00410F64"/>
    <w:rsid w:val="00411B7B"/>
    <w:rsid w:val="00411CCB"/>
    <w:rsid w:val="004136D7"/>
    <w:rsid w:val="00417143"/>
    <w:rsid w:val="00426F5E"/>
    <w:rsid w:val="004326DB"/>
    <w:rsid w:val="00441CBF"/>
    <w:rsid w:val="00444E09"/>
    <w:rsid w:val="0044607D"/>
    <w:rsid w:val="004473EE"/>
    <w:rsid w:val="0044796E"/>
    <w:rsid w:val="0045238D"/>
    <w:rsid w:val="00452DE6"/>
    <w:rsid w:val="00457587"/>
    <w:rsid w:val="0047038C"/>
    <w:rsid w:val="004714F0"/>
    <w:rsid w:val="004761B1"/>
    <w:rsid w:val="00476B9E"/>
    <w:rsid w:val="0048072B"/>
    <w:rsid w:val="004816F9"/>
    <w:rsid w:val="00483555"/>
    <w:rsid w:val="00486E66"/>
    <w:rsid w:val="00487B55"/>
    <w:rsid w:val="00491849"/>
    <w:rsid w:val="00493E17"/>
    <w:rsid w:val="00495612"/>
    <w:rsid w:val="00495F36"/>
    <w:rsid w:val="004A1C5D"/>
    <w:rsid w:val="004A4623"/>
    <w:rsid w:val="004A7F3E"/>
    <w:rsid w:val="004B429B"/>
    <w:rsid w:val="004B7026"/>
    <w:rsid w:val="004B7DDC"/>
    <w:rsid w:val="004C290A"/>
    <w:rsid w:val="004D15A4"/>
    <w:rsid w:val="004E06D1"/>
    <w:rsid w:val="004E1269"/>
    <w:rsid w:val="004E1B69"/>
    <w:rsid w:val="004E23E9"/>
    <w:rsid w:val="004E2EFB"/>
    <w:rsid w:val="004E7252"/>
    <w:rsid w:val="004E7298"/>
    <w:rsid w:val="004F793F"/>
    <w:rsid w:val="00501CDA"/>
    <w:rsid w:val="005050CE"/>
    <w:rsid w:val="00524579"/>
    <w:rsid w:val="00524F83"/>
    <w:rsid w:val="00526105"/>
    <w:rsid w:val="00531C01"/>
    <w:rsid w:val="0053670C"/>
    <w:rsid w:val="0055215E"/>
    <w:rsid w:val="005539A8"/>
    <w:rsid w:val="0055596E"/>
    <w:rsid w:val="0056222A"/>
    <w:rsid w:val="00562A6B"/>
    <w:rsid w:val="00565D81"/>
    <w:rsid w:val="00570109"/>
    <w:rsid w:val="0057175A"/>
    <w:rsid w:val="00574E71"/>
    <w:rsid w:val="005819C0"/>
    <w:rsid w:val="00581BA8"/>
    <w:rsid w:val="00583613"/>
    <w:rsid w:val="005A77E4"/>
    <w:rsid w:val="005B080F"/>
    <w:rsid w:val="005B322E"/>
    <w:rsid w:val="005B495A"/>
    <w:rsid w:val="005B4C3F"/>
    <w:rsid w:val="005B78AF"/>
    <w:rsid w:val="005C1692"/>
    <w:rsid w:val="005C30BB"/>
    <w:rsid w:val="005C3ADD"/>
    <w:rsid w:val="005C59BB"/>
    <w:rsid w:val="005D4D24"/>
    <w:rsid w:val="005D7AFC"/>
    <w:rsid w:val="005E17E0"/>
    <w:rsid w:val="005E2D6B"/>
    <w:rsid w:val="005E40E9"/>
    <w:rsid w:val="005E5A4E"/>
    <w:rsid w:val="005E67C9"/>
    <w:rsid w:val="005F5595"/>
    <w:rsid w:val="005F5AD4"/>
    <w:rsid w:val="00607D72"/>
    <w:rsid w:val="006110F1"/>
    <w:rsid w:val="00611E39"/>
    <w:rsid w:val="00616112"/>
    <w:rsid w:val="006161B3"/>
    <w:rsid w:val="00621A84"/>
    <w:rsid w:val="006238DE"/>
    <w:rsid w:val="00627571"/>
    <w:rsid w:val="00630F73"/>
    <w:rsid w:val="00640AC0"/>
    <w:rsid w:val="00640C31"/>
    <w:rsid w:val="006428F3"/>
    <w:rsid w:val="00646E30"/>
    <w:rsid w:val="006476F3"/>
    <w:rsid w:val="00647B23"/>
    <w:rsid w:val="00650A25"/>
    <w:rsid w:val="00651D66"/>
    <w:rsid w:val="0065324F"/>
    <w:rsid w:val="00654DC5"/>
    <w:rsid w:val="00655780"/>
    <w:rsid w:val="00656225"/>
    <w:rsid w:val="00665CB5"/>
    <w:rsid w:val="00667E06"/>
    <w:rsid w:val="00671172"/>
    <w:rsid w:val="00671B74"/>
    <w:rsid w:val="006777CE"/>
    <w:rsid w:val="006841C4"/>
    <w:rsid w:val="00691E9B"/>
    <w:rsid w:val="00692E34"/>
    <w:rsid w:val="00693DA7"/>
    <w:rsid w:val="0069411C"/>
    <w:rsid w:val="00696911"/>
    <w:rsid w:val="00696E6A"/>
    <w:rsid w:val="0069722E"/>
    <w:rsid w:val="006A0B68"/>
    <w:rsid w:val="006A2271"/>
    <w:rsid w:val="006A2CB3"/>
    <w:rsid w:val="006A5211"/>
    <w:rsid w:val="006A59E0"/>
    <w:rsid w:val="006A6E45"/>
    <w:rsid w:val="006B01AE"/>
    <w:rsid w:val="006B2454"/>
    <w:rsid w:val="006B3D12"/>
    <w:rsid w:val="006C13C0"/>
    <w:rsid w:val="006C3047"/>
    <w:rsid w:val="006C6F99"/>
    <w:rsid w:val="006E1745"/>
    <w:rsid w:val="0070151A"/>
    <w:rsid w:val="007048F0"/>
    <w:rsid w:val="0071464F"/>
    <w:rsid w:val="007218AB"/>
    <w:rsid w:val="00725546"/>
    <w:rsid w:val="00726447"/>
    <w:rsid w:val="00735994"/>
    <w:rsid w:val="007367A4"/>
    <w:rsid w:val="00737985"/>
    <w:rsid w:val="00743C04"/>
    <w:rsid w:val="007466BB"/>
    <w:rsid w:val="00746BF0"/>
    <w:rsid w:val="00752E85"/>
    <w:rsid w:val="00755F9A"/>
    <w:rsid w:val="00760BBD"/>
    <w:rsid w:val="007637D5"/>
    <w:rsid w:val="0077202A"/>
    <w:rsid w:val="00772241"/>
    <w:rsid w:val="007744D0"/>
    <w:rsid w:val="00774C7B"/>
    <w:rsid w:val="00780B43"/>
    <w:rsid w:val="00791BB7"/>
    <w:rsid w:val="007927C0"/>
    <w:rsid w:val="007A274A"/>
    <w:rsid w:val="007A30EC"/>
    <w:rsid w:val="007A52B1"/>
    <w:rsid w:val="007B07B3"/>
    <w:rsid w:val="007B0D8A"/>
    <w:rsid w:val="007B1CB2"/>
    <w:rsid w:val="007B5019"/>
    <w:rsid w:val="007B73B9"/>
    <w:rsid w:val="007C0120"/>
    <w:rsid w:val="007C02AE"/>
    <w:rsid w:val="007C110F"/>
    <w:rsid w:val="007C3B0E"/>
    <w:rsid w:val="007C594C"/>
    <w:rsid w:val="007C78DC"/>
    <w:rsid w:val="007D0C1D"/>
    <w:rsid w:val="007D2061"/>
    <w:rsid w:val="007D2972"/>
    <w:rsid w:val="007E249F"/>
    <w:rsid w:val="007E639D"/>
    <w:rsid w:val="007E7663"/>
    <w:rsid w:val="007F0125"/>
    <w:rsid w:val="007F128D"/>
    <w:rsid w:val="007F2C6A"/>
    <w:rsid w:val="00802EF7"/>
    <w:rsid w:val="008163CB"/>
    <w:rsid w:val="00817BEB"/>
    <w:rsid w:val="008223F7"/>
    <w:rsid w:val="0082428B"/>
    <w:rsid w:val="00827280"/>
    <w:rsid w:val="00833DA0"/>
    <w:rsid w:val="008366E2"/>
    <w:rsid w:val="008409A6"/>
    <w:rsid w:val="008509EE"/>
    <w:rsid w:val="00852845"/>
    <w:rsid w:val="00852A4C"/>
    <w:rsid w:val="008651AB"/>
    <w:rsid w:val="00867969"/>
    <w:rsid w:val="008726FF"/>
    <w:rsid w:val="00872DB8"/>
    <w:rsid w:val="0087366F"/>
    <w:rsid w:val="0087391A"/>
    <w:rsid w:val="00876C6C"/>
    <w:rsid w:val="00877806"/>
    <w:rsid w:val="00881E32"/>
    <w:rsid w:val="00882408"/>
    <w:rsid w:val="00884B7C"/>
    <w:rsid w:val="00886B09"/>
    <w:rsid w:val="00891511"/>
    <w:rsid w:val="008A3DA4"/>
    <w:rsid w:val="008A41B4"/>
    <w:rsid w:val="008A56C3"/>
    <w:rsid w:val="008B074C"/>
    <w:rsid w:val="008B222D"/>
    <w:rsid w:val="008B2A04"/>
    <w:rsid w:val="008B343D"/>
    <w:rsid w:val="008B5CD7"/>
    <w:rsid w:val="008C6D40"/>
    <w:rsid w:val="008D2BBB"/>
    <w:rsid w:val="008E0C3A"/>
    <w:rsid w:val="008E0FD9"/>
    <w:rsid w:val="008E1C45"/>
    <w:rsid w:val="008E4216"/>
    <w:rsid w:val="008E497D"/>
    <w:rsid w:val="008E4C33"/>
    <w:rsid w:val="008E7528"/>
    <w:rsid w:val="008F0321"/>
    <w:rsid w:val="008F0346"/>
    <w:rsid w:val="008F1C2A"/>
    <w:rsid w:val="008F37C0"/>
    <w:rsid w:val="008F4F11"/>
    <w:rsid w:val="008F5F46"/>
    <w:rsid w:val="0090320B"/>
    <w:rsid w:val="0090639B"/>
    <w:rsid w:val="009077EA"/>
    <w:rsid w:val="0091099B"/>
    <w:rsid w:val="00911D9D"/>
    <w:rsid w:val="00916D13"/>
    <w:rsid w:val="00922020"/>
    <w:rsid w:val="009224A2"/>
    <w:rsid w:val="009313D8"/>
    <w:rsid w:val="00941420"/>
    <w:rsid w:val="00943DFD"/>
    <w:rsid w:val="00944C00"/>
    <w:rsid w:val="00950C76"/>
    <w:rsid w:val="009513DC"/>
    <w:rsid w:val="00952CC7"/>
    <w:rsid w:val="009545B0"/>
    <w:rsid w:val="00955F99"/>
    <w:rsid w:val="009564EF"/>
    <w:rsid w:val="00956C42"/>
    <w:rsid w:val="009626AB"/>
    <w:rsid w:val="00967B55"/>
    <w:rsid w:val="00970C37"/>
    <w:rsid w:val="00971777"/>
    <w:rsid w:val="0097534C"/>
    <w:rsid w:val="009809E9"/>
    <w:rsid w:val="00980C70"/>
    <w:rsid w:val="00984516"/>
    <w:rsid w:val="00984F6C"/>
    <w:rsid w:val="00992CE4"/>
    <w:rsid w:val="009969E1"/>
    <w:rsid w:val="009979CF"/>
    <w:rsid w:val="009A4763"/>
    <w:rsid w:val="009B1236"/>
    <w:rsid w:val="009B3293"/>
    <w:rsid w:val="009B45AF"/>
    <w:rsid w:val="009B4F29"/>
    <w:rsid w:val="009B5AB8"/>
    <w:rsid w:val="009B62EB"/>
    <w:rsid w:val="009B7C4D"/>
    <w:rsid w:val="009C1292"/>
    <w:rsid w:val="009C49B4"/>
    <w:rsid w:val="009C4C04"/>
    <w:rsid w:val="009C557E"/>
    <w:rsid w:val="009C55B0"/>
    <w:rsid w:val="009C561D"/>
    <w:rsid w:val="009C5DC5"/>
    <w:rsid w:val="009E49B9"/>
    <w:rsid w:val="009F38A7"/>
    <w:rsid w:val="00A000D0"/>
    <w:rsid w:val="00A038D9"/>
    <w:rsid w:val="00A045B4"/>
    <w:rsid w:val="00A06801"/>
    <w:rsid w:val="00A1073C"/>
    <w:rsid w:val="00A10F02"/>
    <w:rsid w:val="00A1354A"/>
    <w:rsid w:val="00A14381"/>
    <w:rsid w:val="00A23607"/>
    <w:rsid w:val="00A276E5"/>
    <w:rsid w:val="00A33081"/>
    <w:rsid w:val="00A340E9"/>
    <w:rsid w:val="00A34767"/>
    <w:rsid w:val="00A36C7B"/>
    <w:rsid w:val="00A46844"/>
    <w:rsid w:val="00A47828"/>
    <w:rsid w:val="00A52A86"/>
    <w:rsid w:val="00A56E0D"/>
    <w:rsid w:val="00A602B6"/>
    <w:rsid w:val="00A63FC7"/>
    <w:rsid w:val="00A656C8"/>
    <w:rsid w:val="00A71788"/>
    <w:rsid w:val="00A80292"/>
    <w:rsid w:val="00A81CB0"/>
    <w:rsid w:val="00A82585"/>
    <w:rsid w:val="00A84A92"/>
    <w:rsid w:val="00A8511E"/>
    <w:rsid w:val="00A85A36"/>
    <w:rsid w:val="00A8778B"/>
    <w:rsid w:val="00A907FC"/>
    <w:rsid w:val="00A91957"/>
    <w:rsid w:val="00A920EC"/>
    <w:rsid w:val="00A92178"/>
    <w:rsid w:val="00A934C5"/>
    <w:rsid w:val="00AA2A7C"/>
    <w:rsid w:val="00AB60F6"/>
    <w:rsid w:val="00AC020C"/>
    <w:rsid w:val="00AC2491"/>
    <w:rsid w:val="00AC5352"/>
    <w:rsid w:val="00AD14D1"/>
    <w:rsid w:val="00AD1A81"/>
    <w:rsid w:val="00AD28EB"/>
    <w:rsid w:val="00AD49F5"/>
    <w:rsid w:val="00AE0F01"/>
    <w:rsid w:val="00AE4670"/>
    <w:rsid w:val="00AF426A"/>
    <w:rsid w:val="00AF7567"/>
    <w:rsid w:val="00B005DA"/>
    <w:rsid w:val="00B025D4"/>
    <w:rsid w:val="00B10792"/>
    <w:rsid w:val="00B12B38"/>
    <w:rsid w:val="00B14BA9"/>
    <w:rsid w:val="00B1760D"/>
    <w:rsid w:val="00B20CED"/>
    <w:rsid w:val="00B2548A"/>
    <w:rsid w:val="00B26044"/>
    <w:rsid w:val="00B307F5"/>
    <w:rsid w:val="00B3115E"/>
    <w:rsid w:val="00B35157"/>
    <w:rsid w:val="00B35800"/>
    <w:rsid w:val="00B37F08"/>
    <w:rsid w:val="00B40412"/>
    <w:rsid w:val="00B40887"/>
    <w:rsid w:val="00B42586"/>
    <w:rsid w:val="00B4485B"/>
    <w:rsid w:val="00B47CEF"/>
    <w:rsid w:val="00B52186"/>
    <w:rsid w:val="00B53773"/>
    <w:rsid w:val="00B54DEF"/>
    <w:rsid w:val="00B55CBF"/>
    <w:rsid w:val="00B633BC"/>
    <w:rsid w:val="00B64328"/>
    <w:rsid w:val="00B67068"/>
    <w:rsid w:val="00B71219"/>
    <w:rsid w:val="00B719CF"/>
    <w:rsid w:val="00B722E6"/>
    <w:rsid w:val="00B7304B"/>
    <w:rsid w:val="00B74265"/>
    <w:rsid w:val="00B7590C"/>
    <w:rsid w:val="00B760E6"/>
    <w:rsid w:val="00B76890"/>
    <w:rsid w:val="00B82D0F"/>
    <w:rsid w:val="00B85DD1"/>
    <w:rsid w:val="00B87712"/>
    <w:rsid w:val="00B95B27"/>
    <w:rsid w:val="00B95B99"/>
    <w:rsid w:val="00BA51B4"/>
    <w:rsid w:val="00BB14E3"/>
    <w:rsid w:val="00BB1826"/>
    <w:rsid w:val="00BB4051"/>
    <w:rsid w:val="00BB7EB9"/>
    <w:rsid w:val="00BC477D"/>
    <w:rsid w:val="00BC671E"/>
    <w:rsid w:val="00BD211E"/>
    <w:rsid w:val="00BD3C08"/>
    <w:rsid w:val="00BE2462"/>
    <w:rsid w:val="00BE2FAA"/>
    <w:rsid w:val="00BE6833"/>
    <w:rsid w:val="00BE7D22"/>
    <w:rsid w:val="00BF55FB"/>
    <w:rsid w:val="00BF7EE2"/>
    <w:rsid w:val="00C01350"/>
    <w:rsid w:val="00C0147D"/>
    <w:rsid w:val="00C02CD9"/>
    <w:rsid w:val="00C07D5A"/>
    <w:rsid w:val="00C12511"/>
    <w:rsid w:val="00C13324"/>
    <w:rsid w:val="00C15849"/>
    <w:rsid w:val="00C15B38"/>
    <w:rsid w:val="00C232E5"/>
    <w:rsid w:val="00C2474A"/>
    <w:rsid w:val="00C31E59"/>
    <w:rsid w:val="00C45D3C"/>
    <w:rsid w:val="00C52F3B"/>
    <w:rsid w:val="00C72519"/>
    <w:rsid w:val="00C84F90"/>
    <w:rsid w:val="00C858DD"/>
    <w:rsid w:val="00C86BE4"/>
    <w:rsid w:val="00C873D3"/>
    <w:rsid w:val="00C91EC3"/>
    <w:rsid w:val="00C93A2A"/>
    <w:rsid w:val="00C96DFF"/>
    <w:rsid w:val="00CA00E6"/>
    <w:rsid w:val="00CB0C9B"/>
    <w:rsid w:val="00CB39EA"/>
    <w:rsid w:val="00CC1151"/>
    <w:rsid w:val="00CC1E93"/>
    <w:rsid w:val="00CC2056"/>
    <w:rsid w:val="00CC2162"/>
    <w:rsid w:val="00CD2195"/>
    <w:rsid w:val="00CD21E6"/>
    <w:rsid w:val="00CD2EF7"/>
    <w:rsid w:val="00CE19A1"/>
    <w:rsid w:val="00CE3D5C"/>
    <w:rsid w:val="00CF3C5E"/>
    <w:rsid w:val="00CF74EA"/>
    <w:rsid w:val="00D0135B"/>
    <w:rsid w:val="00D02317"/>
    <w:rsid w:val="00D03542"/>
    <w:rsid w:val="00D0693F"/>
    <w:rsid w:val="00D06B22"/>
    <w:rsid w:val="00D107EB"/>
    <w:rsid w:val="00D10F87"/>
    <w:rsid w:val="00D12C2A"/>
    <w:rsid w:val="00D165E3"/>
    <w:rsid w:val="00D16E98"/>
    <w:rsid w:val="00D25653"/>
    <w:rsid w:val="00D2616C"/>
    <w:rsid w:val="00D279B2"/>
    <w:rsid w:val="00D30704"/>
    <w:rsid w:val="00D45C47"/>
    <w:rsid w:val="00D46D40"/>
    <w:rsid w:val="00D50238"/>
    <w:rsid w:val="00D62366"/>
    <w:rsid w:val="00D76242"/>
    <w:rsid w:val="00D81F11"/>
    <w:rsid w:val="00D8373C"/>
    <w:rsid w:val="00D85FCD"/>
    <w:rsid w:val="00D91C74"/>
    <w:rsid w:val="00D923D2"/>
    <w:rsid w:val="00DA211C"/>
    <w:rsid w:val="00DA5B04"/>
    <w:rsid w:val="00DA6B59"/>
    <w:rsid w:val="00DA7626"/>
    <w:rsid w:val="00DA7FAB"/>
    <w:rsid w:val="00DB07B2"/>
    <w:rsid w:val="00DB1967"/>
    <w:rsid w:val="00DB6DB7"/>
    <w:rsid w:val="00DC1500"/>
    <w:rsid w:val="00DC2315"/>
    <w:rsid w:val="00DC31BF"/>
    <w:rsid w:val="00DC5497"/>
    <w:rsid w:val="00DC6752"/>
    <w:rsid w:val="00DC74A6"/>
    <w:rsid w:val="00DD0497"/>
    <w:rsid w:val="00DD425A"/>
    <w:rsid w:val="00DD799D"/>
    <w:rsid w:val="00DE1BA3"/>
    <w:rsid w:val="00DE516B"/>
    <w:rsid w:val="00DE5606"/>
    <w:rsid w:val="00DE74D7"/>
    <w:rsid w:val="00DF323B"/>
    <w:rsid w:val="00DF568D"/>
    <w:rsid w:val="00E04B25"/>
    <w:rsid w:val="00E063F3"/>
    <w:rsid w:val="00E106ED"/>
    <w:rsid w:val="00E11098"/>
    <w:rsid w:val="00E137B1"/>
    <w:rsid w:val="00E21790"/>
    <w:rsid w:val="00E2347B"/>
    <w:rsid w:val="00E24421"/>
    <w:rsid w:val="00E25C3B"/>
    <w:rsid w:val="00E25DEF"/>
    <w:rsid w:val="00E32D1B"/>
    <w:rsid w:val="00E334B6"/>
    <w:rsid w:val="00E355B0"/>
    <w:rsid w:val="00E35C28"/>
    <w:rsid w:val="00E369D2"/>
    <w:rsid w:val="00E36C55"/>
    <w:rsid w:val="00E37C20"/>
    <w:rsid w:val="00E41075"/>
    <w:rsid w:val="00E4253E"/>
    <w:rsid w:val="00E51783"/>
    <w:rsid w:val="00E5328E"/>
    <w:rsid w:val="00E53EBA"/>
    <w:rsid w:val="00E55959"/>
    <w:rsid w:val="00E64493"/>
    <w:rsid w:val="00E64ABE"/>
    <w:rsid w:val="00E76BDF"/>
    <w:rsid w:val="00E80C36"/>
    <w:rsid w:val="00E9145D"/>
    <w:rsid w:val="00E93033"/>
    <w:rsid w:val="00EA7449"/>
    <w:rsid w:val="00ED095D"/>
    <w:rsid w:val="00EE518D"/>
    <w:rsid w:val="00EE5A59"/>
    <w:rsid w:val="00EF2922"/>
    <w:rsid w:val="00EF7407"/>
    <w:rsid w:val="00F03B8B"/>
    <w:rsid w:val="00F05624"/>
    <w:rsid w:val="00F05A07"/>
    <w:rsid w:val="00F07C67"/>
    <w:rsid w:val="00F10A6C"/>
    <w:rsid w:val="00F27409"/>
    <w:rsid w:val="00F312F8"/>
    <w:rsid w:val="00F3614D"/>
    <w:rsid w:val="00F41AA9"/>
    <w:rsid w:val="00F45F91"/>
    <w:rsid w:val="00F46AA1"/>
    <w:rsid w:val="00F47A65"/>
    <w:rsid w:val="00F52C8C"/>
    <w:rsid w:val="00F52FC8"/>
    <w:rsid w:val="00F53891"/>
    <w:rsid w:val="00F7191E"/>
    <w:rsid w:val="00F809DF"/>
    <w:rsid w:val="00F9406B"/>
    <w:rsid w:val="00F9537D"/>
    <w:rsid w:val="00F97878"/>
    <w:rsid w:val="00FA0091"/>
    <w:rsid w:val="00FA1AA7"/>
    <w:rsid w:val="00FA3687"/>
    <w:rsid w:val="00FA382A"/>
    <w:rsid w:val="00FA3AFE"/>
    <w:rsid w:val="00FA4320"/>
    <w:rsid w:val="00FA4947"/>
    <w:rsid w:val="00FA4A66"/>
    <w:rsid w:val="00FA6FC6"/>
    <w:rsid w:val="00FB0665"/>
    <w:rsid w:val="00FB1E25"/>
    <w:rsid w:val="00FB1F07"/>
    <w:rsid w:val="00FC622E"/>
    <w:rsid w:val="00FE2E3D"/>
    <w:rsid w:val="00FE5E93"/>
    <w:rsid w:val="00FF4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37E752"/>
  <w15:docId w15:val="{75F61390-DE9A-414B-80B6-BB4891F5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5AD4"/>
    <w:pPr>
      <w:spacing w:after="200" w:line="276" w:lineRule="auto"/>
    </w:pPr>
    <w:rPr>
      <w:rFonts w:cs="Calibri"/>
      <w:sz w:val="22"/>
      <w:szCs w:val="22"/>
      <w:lang w:eastAsia="en-US"/>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D46D40"/>
    <w:rPr>
      <w:rFonts w:ascii="Tahoma" w:hAnsi="Tahoma" w:cs="Tahoma"/>
      <w:sz w:val="16"/>
      <w:szCs w:val="16"/>
    </w:rPr>
  </w:style>
  <w:style w:type="paragraph" w:styleId="aa">
    <w:name w:val="List Paragraph"/>
    <w:basedOn w:val="a"/>
    <w:uiPriority w:val="34"/>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customStyle="1" w:styleId="spelle">
    <w:name w:val="spelle"/>
    <w:basedOn w:val="a0"/>
    <w:rsid w:val="00053BCF"/>
  </w:style>
  <w:style w:type="character" w:customStyle="1" w:styleId="grame">
    <w:name w:val="grame"/>
    <w:rsid w:val="00053BCF"/>
    <w:rPr>
      <w:rFonts w:cs="Times New Roman"/>
    </w:rPr>
  </w:style>
  <w:style w:type="character" w:styleId="af2">
    <w:name w:val="Hyperlink"/>
    <w:rsid w:val="007379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97356">
      <w:bodyDiv w:val="1"/>
      <w:marLeft w:val="0"/>
      <w:marRight w:val="0"/>
      <w:marTop w:val="0"/>
      <w:marBottom w:val="0"/>
      <w:divBdr>
        <w:top w:val="none" w:sz="0" w:space="0" w:color="auto"/>
        <w:left w:val="none" w:sz="0" w:space="0" w:color="auto"/>
        <w:bottom w:val="none" w:sz="0" w:space="0" w:color="auto"/>
        <w:right w:val="none" w:sz="0" w:space="0" w:color="auto"/>
      </w:divBdr>
    </w:div>
    <w:div w:id="1099525035">
      <w:bodyDiv w:val="1"/>
      <w:marLeft w:val="0"/>
      <w:marRight w:val="0"/>
      <w:marTop w:val="0"/>
      <w:marBottom w:val="0"/>
      <w:divBdr>
        <w:top w:val="none" w:sz="0" w:space="0" w:color="auto"/>
        <w:left w:val="none" w:sz="0" w:space="0" w:color="auto"/>
        <w:bottom w:val="none" w:sz="0" w:space="0" w:color="auto"/>
        <w:right w:val="none" w:sz="0" w:space="0" w:color="auto"/>
      </w:divBdr>
    </w:div>
    <w:div w:id="1105467399">
      <w:bodyDiv w:val="1"/>
      <w:marLeft w:val="0"/>
      <w:marRight w:val="0"/>
      <w:marTop w:val="0"/>
      <w:marBottom w:val="0"/>
      <w:divBdr>
        <w:top w:val="none" w:sz="0" w:space="0" w:color="auto"/>
        <w:left w:val="none" w:sz="0" w:space="0" w:color="auto"/>
        <w:bottom w:val="none" w:sz="0" w:space="0" w:color="auto"/>
        <w:right w:val="none" w:sz="0" w:space="0" w:color="auto"/>
      </w:divBdr>
    </w:div>
    <w:div w:id="1613392425">
      <w:bodyDiv w:val="1"/>
      <w:marLeft w:val="0"/>
      <w:marRight w:val="0"/>
      <w:marTop w:val="0"/>
      <w:marBottom w:val="0"/>
      <w:divBdr>
        <w:top w:val="none" w:sz="0" w:space="0" w:color="auto"/>
        <w:left w:val="none" w:sz="0" w:space="0" w:color="auto"/>
        <w:bottom w:val="none" w:sz="0" w:space="0" w:color="auto"/>
        <w:right w:val="none" w:sz="0" w:space="0" w:color="auto"/>
      </w:divBdr>
    </w:div>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A5B0E-28AC-4450-9746-7376DCFE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1333</Words>
  <Characters>9573</Characters>
  <Application>Microsoft Office Word</Application>
  <DocSecurity>0</DocSecurity>
  <Lines>79</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NERC</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Вікторія Морозова</dc:creator>
  <cp:keywords/>
  <dc:description/>
  <cp:lastModifiedBy>Ірина Горохова</cp:lastModifiedBy>
  <cp:revision>7</cp:revision>
  <cp:lastPrinted>2021-05-25T06:45:00Z</cp:lastPrinted>
  <dcterms:created xsi:type="dcterms:W3CDTF">2023-06-08T06:32:00Z</dcterms:created>
  <dcterms:modified xsi:type="dcterms:W3CDTF">2023-06-08T15:15:00Z</dcterms:modified>
</cp:coreProperties>
</file>