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4A2" w:rsidRPr="000A23CF" w:rsidRDefault="00BE432C" w:rsidP="00D454A2">
      <w:pPr>
        <w:pStyle w:val="a3"/>
        <w:spacing w:before="70" w:line="242" w:lineRule="auto"/>
        <w:ind w:hanging="7"/>
        <w:jc w:val="center"/>
        <w:rPr>
          <w:b/>
        </w:rPr>
      </w:pPr>
      <w:bookmarkStart w:id="0" w:name="_GoBack"/>
      <w:bookmarkEnd w:id="0"/>
      <w:r>
        <w:rPr>
          <w:b/>
        </w:rPr>
        <w:t>Н</w:t>
      </w:r>
      <w:r w:rsidRPr="000A23CF">
        <w:rPr>
          <w:b/>
        </w:rPr>
        <w:t>аціональна комісія, що здійсню</w:t>
      </w:r>
      <w:r>
        <w:rPr>
          <w:b/>
        </w:rPr>
        <w:t xml:space="preserve">є </w:t>
      </w:r>
      <w:r w:rsidRPr="000A23CF">
        <w:rPr>
          <w:b/>
        </w:rPr>
        <w:t>державне</w:t>
      </w:r>
      <w:r w:rsidRPr="000A23CF">
        <w:rPr>
          <w:b/>
          <w:spacing w:val="-51"/>
        </w:rPr>
        <w:t xml:space="preserve"> </w:t>
      </w:r>
      <w:r w:rsidRPr="000A23CF">
        <w:rPr>
          <w:b/>
        </w:rPr>
        <w:t>регулювання у сферах енергетики та комунальних послуг</w:t>
      </w:r>
    </w:p>
    <w:p w:rsidR="00D454A2" w:rsidRPr="0085062D" w:rsidRDefault="00D454A2" w:rsidP="00D454A2">
      <w:pPr>
        <w:pStyle w:val="1"/>
        <w:spacing w:before="1"/>
        <w:ind w:left="460" w:right="299" w:firstLine="541"/>
        <w:jc w:val="center"/>
        <w:rPr>
          <w:sz w:val="24"/>
        </w:rPr>
      </w:pPr>
    </w:p>
    <w:p w:rsidR="00D454A2" w:rsidRDefault="00D454A2" w:rsidP="00D454A2">
      <w:pPr>
        <w:pStyle w:val="1"/>
        <w:spacing w:before="1"/>
        <w:ind w:left="460" w:right="299" w:firstLine="541"/>
        <w:jc w:val="center"/>
      </w:pPr>
      <w:r>
        <w:t>АНАЛІЗ ВПЛИВУ</w:t>
      </w:r>
    </w:p>
    <w:p w:rsidR="00D454A2" w:rsidRDefault="00D454A2" w:rsidP="00D454A2">
      <w:pPr>
        <w:pStyle w:val="1"/>
        <w:spacing w:before="1"/>
        <w:ind w:left="460" w:right="299" w:firstLine="541"/>
        <w:jc w:val="center"/>
        <w:rPr>
          <w:w w:val="110"/>
        </w:rPr>
      </w:pPr>
      <w:r w:rsidRPr="000A23CF">
        <w:t xml:space="preserve">проєкту постанови НКРЕКП </w:t>
      </w:r>
      <w:r w:rsidRPr="00832E58">
        <w:t>«</w:t>
      </w:r>
      <w:r w:rsidR="00725A0D" w:rsidRPr="00725A0D">
        <w:rPr>
          <w:rStyle w:val="rvts23"/>
          <w:color w:val="000000"/>
        </w:rPr>
        <w:t xml:space="preserve">Про </w:t>
      </w:r>
      <w:r w:rsidR="000B5CBB">
        <w:rPr>
          <w:rStyle w:val="rvts23"/>
          <w:color w:val="000000"/>
        </w:rPr>
        <w:t>затвердження З</w:t>
      </w:r>
      <w:r w:rsidR="00725A0D" w:rsidRPr="00725A0D">
        <w:rPr>
          <w:rStyle w:val="rvts23"/>
          <w:color w:val="000000"/>
        </w:rPr>
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Pr="00832E58">
        <w:t>»,</w:t>
      </w:r>
      <w:r w:rsidRPr="000A23CF">
        <w:t xml:space="preserve"> що ма</w:t>
      </w:r>
      <w:r w:rsidR="00FF318B">
        <w:t>є</w:t>
      </w:r>
      <w:r w:rsidRPr="000A23CF">
        <w:t xml:space="preserve"> ознаки регуляторного </w:t>
      </w:r>
      <w:r w:rsidRPr="000A23CF">
        <w:rPr>
          <w:w w:val="110"/>
        </w:rPr>
        <w:t>акта</w:t>
      </w:r>
    </w:p>
    <w:p w:rsidR="00D454A2" w:rsidRPr="0085062D" w:rsidRDefault="00D454A2" w:rsidP="00D454A2">
      <w:pPr>
        <w:pStyle w:val="a3"/>
        <w:spacing w:before="10"/>
        <w:rPr>
          <w:sz w:val="32"/>
        </w:rPr>
      </w:pPr>
    </w:p>
    <w:p w:rsidR="00D454A2" w:rsidRPr="0005234D" w:rsidRDefault="00D454A2" w:rsidP="0005234D">
      <w:pPr>
        <w:pStyle w:val="a9"/>
        <w:numPr>
          <w:ilvl w:val="1"/>
          <w:numId w:val="3"/>
        </w:numPr>
        <w:tabs>
          <w:tab w:val="left" w:pos="3726"/>
        </w:tabs>
        <w:ind w:hanging="363"/>
        <w:jc w:val="center"/>
        <w:rPr>
          <w:b/>
        </w:rPr>
      </w:pPr>
      <w:r w:rsidRPr="0005234D">
        <w:rPr>
          <w:b/>
          <w:sz w:val="28"/>
        </w:rPr>
        <w:t>Визначення проблеми</w:t>
      </w:r>
    </w:p>
    <w:p w:rsidR="00D454A2" w:rsidRPr="0085062D" w:rsidRDefault="00D454A2" w:rsidP="00F46893">
      <w:pPr>
        <w:pStyle w:val="a3"/>
        <w:spacing w:before="6"/>
        <w:ind w:firstLine="709"/>
        <w:jc w:val="both"/>
        <w:rPr>
          <w:b/>
        </w:rPr>
      </w:pPr>
    </w:p>
    <w:p w:rsidR="00760885" w:rsidRPr="00760885" w:rsidRDefault="00760885" w:rsidP="00760885">
      <w:pPr>
        <w:ind w:firstLine="851"/>
        <w:jc w:val="both"/>
        <w:rPr>
          <w:sz w:val="28"/>
          <w:szCs w:val="28"/>
        </w:rPr>
      </w:pPr>
      <w:r w:rsidRPr="00760885">
        <w:rPr>
          <w:sz w:val="28"/>
          <w:szCs w:val="28"/>
        </w:rPr>
        <w:t>Відповідно до частини першої статті 1 Закону України «Про Національну комісію, що здійснює державне регулювання у сферах енергетики та комунальних послуг» (далі – Закон) Національна комісія, що здійснює державне регулювання у сферах енергетики та комунальних послуг (далі – НКРЕКП, Регулятор), є постійно діючим центральним органом виконавчої влади зі спеціальним статусом, який утворюється Кабінетом Міністрів України.</w:t>
      </w:r>
    </w:p>
    <w:p w:rsidR="00760885" w:rsidRPr="00760885" w:rsidRDefault="00760885" w:rsidP="00760885">
      <w:pPr>
        <w:ind w:firstLine="851"/>
        <w:jc w:val="both"/>
        <w:rPr>
          <w:sz w:val="28"/>
          <w:szCs w:val="28"/>
        </w:rPr>
      </w:pPr>
      <w:r w:rsidRPr="00760885">
        <w:rPr>
          <w:sz w:val="28"/>
          <w:szCs w:val="28"/>
        </w:rPr>
        <w:t>НКРЕКП здійснює державне регулювання, моніторинг та контроль за діяльністю суб’єктів господарювання у сферах енергетики та комунальних послуг.</w:t>
      </w:r>
    </w:p>
    <w:p w:rsidR="00760885" w:rsidRPr="00760885" w:rsidRDefault="00760885" w:rsidP="00760885">
      <w:pPr>
        <w:ind w:firstLine="851"/>
        <w:jc w:val="both"/>
        <w:rPr>
          <w:sz w:val="28"/>
          <w:szCs w:val="28"/>
        </w:rPr>
      </w:pPr>
      <w:r w:rsidRPr="00760885">
        <w:rPr>
          <w:sz w:val="28"/>
          <w:szCs w:val="28"/>
        </w:rPr>
        <w:t>НКРЕКП здійснює державне регулювання шляхом, зокрема, державного контролю та застосування заходів впливу.</w:t>
      </w:r>
    </w:p>
    <w:p w:rsidR="00760885" w:rsidRPr="00760885" w:rsidRDefault="00760885" w:rsidP="00760885">
      <w:pPr>
        <w:ind w:firstLine="851"/>
        <w:jc w:val="both"/>
        <w:rPr>
          <w:sz w:val="28"/>
          <w:szCs w:val="28"/>
        </w:rPr>
      </w:pPr>
      <w:r w:rsidRPr="00760885">
        <w:rPr>
          <w:sz w:val="28"/>
          <w:szCs w:val="28"/>
        </w:rPr>
        <w:t>Відповідно до частини першої статті 19 Закону НКРЕКП здійснює державний контроль за дотриманням суб’єктами господарювання, що провадять діяльність у сферах енергетики та комунальних послуг, законодавства у відповідних сферах та ліцензійних умов шляхом проведення планових та позапланових виїзних, а також невиїзних перевірок відповідно до затверджених нею порядків контролю.</w:t>
      </w:r>
    </w:p>
    <w:p w:rsidR="00760885" w:rsidRPr="00760885" w:rsidRDefault="00760885" w:rsidP="00760885">
      <w:pPr>
        <w:ind w:firstLine="851"/>
        <w:jc w:val="both"/>
        <w:rPr>
          <w:sz w:val="28"/>
          <w:szCs w:val="28"/>
        </w:rPr>
      </w:pPr>
      <w:r w:rsidRPr="00760885">
        <w:rPr>
          <w:sz w:val="28"/>
          <w:szCs w:val="28"/>
        </w:rPr>
        <w:t>Національною комісією, що здійснює державне регулювання у сферах енергетики та комунальних послуг</w:t>
      </w:r>
      <w:r w:rsidR="007D5A52">
        <w:rPr>
          <w:sz w:val="28"/>
          <w:szCs w:val="28"/>
        </w:rPr>
        <w:t>,</w:t>
      </w:r>
      <w:r w:rsidRPr="00760885">
        <w:rPr>
          <w:sz w:val="28"/>
          <w:szCs w:val="28"/>
        </w:rPr>
        <w:t xml:space="preserve"> постановою від 14 червня 2018 року №</w:t>
      </w:r>
      <w:r w:rsidR="007418CF">
        <w:rPr>
          <w:sz w:val="28"/>
          <w:szCs w:val="28"/>
        </w:rPr>
        <w:t> </w:t>
      </w:r>
      <w:r w:rsidRPr="00760885">
        <w:rPr>
          <w:sz w:val="28"/>
          <w:szCs w:val="28"/>
        </w:rPr>
        <w:t>428 затверджено Порядок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 (далі – Порядок контролю).</w:t>
      </w:r>
    </w:p>
    <w:p w:rsidR="00760885" w:rsidRPr="00760885" w:rsidRDefault="00760885" w:rsidP="00760885">
      <w:pPr>
        <w:ind w:firstLine="851"/>
        <w:jc w:val="both"/>
        <w:rPr>
          <w:sz w:val="28"/>
          <w:szCs w:val="28"/>
        </w:rPr>
      </w:pPr>
      <w:r w:rsidRPr="00760885">
        <w:rPr>
          <w:sz w:val="28"/>
          <w:szCs w:val="28"/>
        </w:rPr>
        <w:t>За результатами перевірки складається акт у двох примірниках, який підписується членами комісії з перевірки.</w:t>
      </w:r>
    </w:p>
    <w:p w:rsidR="00760885" w:rsidRPr="00760885" w:rsidRDefault="00760885" w:rsidP="00760885">
      <w:pPr>
        <w:ind w:firstLine="851"/>
        <w:jc w:val="both"/>
        <w:rPr>
          <w:sz w:val="28"/>
          <w:szCs w:val="28"/>
        </w:rPr>
      </w:pPr>
      <w:r w:rsidRPr="00760885">
        <w:rPr>
          <w:sz w:val="28"/>
          <w:szCs w:val="28"/>
        </w:rPr>
        <w:t>У разі виявлення порушень акт про результати перевірки вноситься на засідання Регулятора, за результатами якого Регулятор приймає рішення про застосування до суб’єкта господарювання, що провадить діяльність у сферах енергетики та комунальних послуг, санкції, передбаченої Законом.</w:t>
      </w:r>
    </w:p>
    <w:p w:rsidR="00760885" w:rsidRPr="00760885" w:rsidRDefault="00760885" w:rsidP="00760885">
      <w:pPr>
        <w:ind w:firstLine="851"/>
        <w:jc w:val="both"/>
        <w:rPr>
          <w:sz w:val="28"/>
          <w:szCs w:val="28"/>
        </w:rPr>
      </w:pPr>
      <w:r w:rsidRPr="00760885">
        <w:rPr>
          <w:sz w:val="28"/>
          <w:szCs w:val="28"/>
        </w:rPr>
        <w:t>Відповідно до частини другої статті 22 Закону за порушення законодавства у сферах енергетики та комунальних послуг до суб’єктів господарювання, що провадять діяльність у відповідній сфері, Регулятор може застосовувати санкції у вигляді:</w:t>
      </w:r>
    </w:p>
    <w:p w:rsidR="00760885" w:rsidRPr="00760885" w:rsidRDefault="00760885" w:rsidP="00760885">
      <w:pPr>
        <w:ind w:firstLine="851"/>
        <w:jc w:val="both"/>
        <w:rPr>
          <w:sz w:val="28"/>
          <w:szCs w:val="28"/>
        </w:rPr>
      </w:pPr>
      <w:r w:rsidRPr="00760885">
        <w:rPr>
          <w:sz w:val="28"/>
          <w:szCs w:val="28"/>
        </w:rPr>
        <w:lastRenderedPageBreak/>
        <w:t>1) застереження та/або попередження про необхідність усунення порушень;</w:t>
      </w:r>
    </w:p>
    <w:p w:rsidR="00760885" w:rsidRPr="00760885" w:rsidRDefault="00760885" w:rsidP="00760885">
      <w:pPr>
        <w:ind w:firstLine="851"/>
        <w:jc w:val="both"/>
        <w:rPr>
          <w:sz w:val="28"/>
          <w:szCs w:val="28"/>
        </w:rPr>
      </w:pPr>
      <w:r w:rsidRPr="00760885">
        <w:rPr>
          <w:sz w:val="28"/>
          <w:szCs w:val="28"/>
        </w:rPr>
        <w:t>2) накладення штрафу;</w:t>
      </w:r>
    </w:p>
    <w:p w:rsidR="00760885" w:rsidRPr="00760885" w:rsidRDefault="00760885" w:rsidP="00760885">
      <w:pPr>
        <w:ind w:firstLine="851"/>
        <w:jc w:val="both"/>
        <w:rPr>
          <w:sz w:val="28"/>
          <w:szCs w:val="28"/>
        </w:rPr>
      </w:pPr>
      <w:r w:rsidRPr="00760885">
        <w:rPr>
          <w:sz w:val="28"/>
          <w:szCs w:val="28"/>
        </w:rPr>
        <w:t>3) зупинення дії ліцензії;</w:t>
      </w:r>
    </w:p>
    <w:p w:rsidR="00760885" w:rsidRPr="00760885" w:rsidRDefault="00760885" w:rsidP="00760885">
      <w:pPr>
        <w:ind w:firstLine="851"/>
        <w:jc w:val="both"/>
        <w:rPr>
          <w:sz w:val="28"/>
          <w:szCs w:val="28"/>
        </w:rPr>
      </w:pPr>
      <w:r w:rsidRPr="00760885">
        <w:rPr>
          <w:sz w:val="28"/>
          <w:szCs w:val="28"/>
        </w:rPr>
        <w:t>4) анулювання ліцензії.</w:t>
      </w:r>
    </w:p>
    <w:p w:rsidR="00760885" w:rsidRPr="00760885" w:rsidRDefault="00760885" w:rsidP="00760885">
      <w:pPr>
        <w:ind w:firstLine="851"/>
        <w:jc w:val="both"/>
        <w:rPr>
          <w:sz w:val="28"/>
          <w:szCs w:val="28"/>
        </w:rPr>
      </w:pPr>
      <w:r w:rsidRPr="00760885">
        <w:rPr>
          <w:sz w:val="28"/>
          <w:szCs w:val="28"/>
        </w:rPr>
        <w:t>Регулятор застосовує штрафні санкції до суб’єктів господарювання, що провадять діяльність у сферах енергетики та комунальних послуг, у розмірах, встановлених законами України «Про ринок електричної енергії», «Про природні монополії», «Про питну воду</w:t>
      </w:r>
      <w:r w:rsidR="007D5A52">
        <w:rPr>
          <w:sz w:val="28"/>
          <w:szCs w:val="28"/>
        </w:rPr>
        <w:t>,</w:t>
      </w:r>
      <w:r w:rsidRPr="00760885">
        <w:rPr>
          <w:sz w:val="28"/>
          <w:szCs w:val="28"/>
        </w:rPr>
        <w:t xml:space="preserve"> питне водопостачання</w:t>
      </w:r>
      <w:r w:rsidR="007D5A52">
        <w:rPr>
          <w:sz w:val="28"/>
          <w:szCs w:val="28"/>
        </w:rPr>
        <w:t xml:space="preserve"> та водовідведення</w:t>
      </w:r>
      <w:r w:rsidRPr="00760885">
        <w:rPr>
          <w:sz w:val="28"/>
          <w:szCs w:val="28"/>
        </w:rPr>
        <w:t>», «Про ринок природного газу», «Про теплопостачання», «Про енергетичну ефективність».</w:t>
      </w:r>
    </w:p>
    <w:p w:rsidR="00760885" w:rsidRPr="00760885" w:rsidRDefault="00760885" w:rsidP="00760885">
      <w:pPr>
        <w:ind w:firstLine="851"/>
        <w:jc w:val="both"/>
        <w:rPr>
          <w:sz w:val="28"/>
          <w:szCs w:val="28"/>
        </w:rPr>
      </w:pPr>
      <w:r w:rsidRPr="00760885">
        <w:rPr>
          <w:sz w:val="28"/>
          <w:szCs w:val="28"/>
        </w:rPr>
        <w:t>При застосуванні санкцій Регулятор має дотримуватися принципів пропорційності порушення і покарання та ефективності санкцій, які мають стримуючий вплив.</w:t>
      </w:r>
    </w:p>
    <w:p w:rsidR="00760885" w:rsidRPr="00760885" w:rsidRDefault="00A17AA3" w:rsidP="00A17AA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760885" w:rsidRPr="00760885">
        <w:rPr>
          <w:sz w:val="28"/>
          <w:szCs w:val="28"/>
        </w:rPr>
        <w:t xml:space="preserve"> метою дотримання наведених принципів при застосуванні санкцій до суб’єктів господарювання</w:t>
      </w:r>
      <w:r>
        <w:rPr>
          <w:sz w:val="28"/>
          <w:szCs w:val="28"/>
        </w:rPr>
        <w:t xml:space="preserve"> НКРЕКП розроблено </w:t>
      </w:r>
      <w:r w:rsidRPr="00A17AA3">
        <w:rPr>
          <w:sz w:val="28"/>
          <w:szCs w:val="28"/>
        </w:rPr>
        <w:t>проєкт постанови «Про затвердження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умов»,</w:t>
      </w:r>
      <w:r w:rsidRPr="00760885" w:rsidDel="00A17A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яким </w:t>
      </w:r>
      <w:r w:rsidR="00804E00">
        <w:rPr>
          <w:sz w:val="28"/>
          <w:szCs w:val="28"/>
        </w:rPr>
        <w:t>Порядок контролю</w:t>
      </w:r>
      <w:r w:rsidR="00251F4D">
        <w:rPr>
          <w:sz w:val="28"/>
          <w:szCs w:val="28"/>
        </w:rPr>
        <w:t>, зокрема,</w:t>
      </w:r>
      <w:r w:rsidR="00804E00">
        <w:rPr>
          <w:sz w:val="28"/>
          <w:szCs w:val="28"/>
        </w:rPr>
        <w:t xml:space="preserve"> пропонується доповнити додатком 29, а саме </w:t>
      </w:r>
      <w:r w:rsidR="00804E00" w:rsidRPr="00804E00">
        <w:rPr>
          <w:sz w:val="28"/>
          <w:szCs w:val="28"/>
        </w:rPr>
        <w:t>Методикою розрахунку штрафних санкцій за порушення законодавства у сферах енергетики та комунальних послуг та відповідних ліцензійних умов</w:t>
      </w:r>
      <w:r w:rsidR="004652B3">
        <w:rPr>
          <w:sz w:val="28"/>
          <w:szCs w:val="28"/>
        </w:rPr>
        <w:t>, яка</w:t>
      </w:r>
      <w:r w:rsidR="00760885" w:rsidRPr="00760885">
        <w:rPr>
          <w:sz w:val="28"/>
          <w:szCs w:val="28"/>
        </w:rPr>
        <w:t xml:space="preserve"> дозволить зробити процес застосування штрафних санкцій ще більш прозорим, прогнозованим та відкритим.</w:t>
      </w:r>
    </w:p>
    <w:p w:rsidR="00760885" w:rsidRPr="00760885" w:rsidRDefault="00760885" w:rsidP="00760885">
      <w:pPr>
        <w:ind w:firstLine="851"/>
        <w:jc w:val="both"/>
        <w:rPr>
          <w:sz w:val="28"/>
          <w:szCs w:val="28"/>
        </w:rPr>
      </w:pPr>
      <w:r w:rsidRPr="00760885">
        <w:rPr>
          <w:sz w:val="28"/>
          <w:szCs w:val="28"/>
        </w:rPr>
        <w:t>Крім того, Порядком контролю</w:t>
      </w:r>
      <w:r w:rsidR="00E717B0">
        <w:rPr>
          <w:sz w:val="28"/>
          <w:szCs w:val="28"/>
        </w:rPr>
        <w:t xml:space="preserve"> в</w:t>
      </w:r>
      <w:r w:rsidRPr="00760885">
        <w:rPr>
          <w:sz w:val="28"/>
          <w:szCs w:val="28"/>
        </w:rPr>
        <w:t xml:space="preserve"> як</w:t>
      </w:r>
      <w:r w:rsidR="00E717B0">
        <w:rPr>
          <w:sz w:val="28"/>
          <w:szCs w:val="28"/>
        </w:rPr>
        <w:t>ості</w:t>
      </w:r>
      <w:r w:rsidRPr="00760885">
        <w:rPr>
          <w:sz w:val="28"/>
          <w:szCs w:val="28"/>
        </w:rPr>
        <w:t xml:space="preserve"> об’єктивн</w:t>
      </w:r>
      <w:r w:rsidR="00E717B0">
        <w:rPr>
          <w:sz w:val="28"/>
          <w:szCs w:val="28"/>
        </w:rPr>
        <w:t>ого</w:t>
      </w:r>
      <w:r w:rsidRPr="00760885">
        <w:rPr>
          <w:sz w:val="28"/>
          <w:szCs w:val="28"/>
        </w:rPr>
        <w:t xml:space="preserve"> чинник</w:t>
      </w:r>
      <w:r w:rsidR="00E717B0">
        <w:rPr>
          <w:sz w:val="28"/>
          <w:szCs w:val="28"/>
        </w:rPr>
        <w:t>а</w:t>
      </w:r>
      <w:r w:rsidRPr="00760885">
        <w:rPr>
          <w:sz w:val="28"/>
          <w:szCs w:val="28"/>
        </w:rPr>
        <w:t xml:space="preserve"> недофінансування ліцензованої діяльності передбачено вартість понаднормативних витрат електричної енергії за 2022 рік у випадку перевищення фактичних економічних коефіцієнтів технологічних витрат електроенергії</w:t>
      </w:r>
      <w:r w:rsidR="004652B3">
        <w:rPr>
          <w:sz w:val="28"/>
          <w:szCs w:val="28"/>
        </w:rPr>
        <w:t xml:space="preserve"> (далі – ЕКПТВЕ)</w:t>
      </w:r>
      <w:r w:rsidRPr="00760885">
        <w:rPr>
          <w:sz w:val="28"/>
          <w:szCs w:val="28"/>
        </w:rPr>
        <w:t xml:space="preserve"> за 2022 рік від затверджених ЕКПТВЕ на 2022 рік більше ніж на 10 %, з урахуванням належного обґрунтування з наданням документального підтвердження від відповідних організацій.</w:t>
      </w:r>
    </w:p>
    <w:p w:rsidR="00760885" w:rsidRPr="00760885" w:rsidRDefault="00760885" w:rsidP="00760885">
      <w:pPr>
        <w:ind w:firstLine="851"/>
        <w:jc w:val="both"/>
        <w:rPr>
          <w:sz w:val="28"/>
          <w:szCs w:val="28"/>
        </w:rPr>
      </w:pPr>
      <w:r w:rsidRPr="00760885">
        <w:rPr>
          <w:sz w:val="28"/>
          <w:szCs w:val="28"/>
        </w:rPr>
        <w:t>Разом з цим, при аналізі фактичних коефіцієнтів технологічних витрат електричної енергії за 2022 рік було виявлено</w:t>
      </w:r>
      <w:r w:rsidR="0031440B">
        <w:rPr>
          <w:sz w:val="28"/>
          <w:szCs w:val="28"/>
        </w:rPr>
        <w:t>, що у</w:t>
      </w:r>
      <w:r w:rsidRPr="00760885">
        <w:rPr>
          <w:sz w:val="28"/>
          <w:szCs w:val="28"/>
        </w:rPr>
        <w:t xml:space="preserve"> значн</w:t>
      </w:r>
      <w:r w:rsidR="0031440B">
        <w:rPr>
          <w:sz w:val="28"/>
          <w:szCs w:val="28"/>
        </w:rPr>
        <w:t>ої</w:t>
      </w:r>
      <w:r w:rsidRPr="00760885">
        <w:rPr>
          <w:sz w:val="28"/>
          <w:szCs w:val="28"/>
        </w:rPr>
        <w:t xml:space="preserve"> кільк</w:t>
      </w:r>
      <w:r w:rsidR="0031440B">
        <w:rPr>
          <w:sz w:val="28"/>
          <w:szCs w:val="28"/>
        </w:rPr>
        <w:t>о</w:t>
      </w:r>
      <w:r w:rsidRPr="00760885">
        <w:rPr>
          <w:sz w:val="28"/>
          <w:szCs w:val="28"/>
        </w:rPr>
        <w:t>ст</w:t>
      </w:r>
      <w:r w:rsidR="0031440B">
        <w:rPr>
          <w:sz w:val="28"/>
          <w:szCs w:val="28"/>
        </w:rPr>
        <w:t>і</w:t>
      </w:r>
      <w:r w:rsidRPr="00760885">
        <w:rPr>
          <w:sz w:val="28"/>
          <w:szCs w:val="28"/>
        </w:rPr>
        <w:t xml:space="preserve"> операторів систем розподілу</w:t>
      </w:r>
      <w:r w:rsidR="009863FF">
        <w:rPr>
          <w:sz w:val="28"/>
          <w:szCs w:val="28"/>
        </w:rPr>
        <w:t xml:space="preserve"> (далі – ОСР)</w:t>
      </w:r>
      <w:r w:rsidRPr="00760885">
        <w:rPr>
          <w:sz w:val="28"/>
          <w:szCs w:val="28"/>
        </w:rPr>
        <w:t xml:space="preserve"> внаслідок бойових дій відбулось перевищення фактичних економічних коефіцієнтів технологічних витрат електроенергії за 2022 рік від затверджених ЕКПТВЕ на 2022 рік до 10 %.</w:t>
      </w:r>
    </w:p>
    <w:p w:rsidR="00760885" w:rsidRPr="00760885" w:rsidRDefault="00760885" w:rsidP="00760885">
      <w:pPr>
        <w:ind w:firstLine="851"/>
        <w:jc w:val="both"/>
        <w:rPr>
          <w:sz w:val="28"/>
          <w:szCs w:val="28"/>
        </w:rPr>
      </w:pPr>
      <w:r w:rsidRPr="00760885">
        <w:rPr>
          <w:sz w:val="28"/>
          <w:szCs w:val="28"/>
        </w:rPr>
        <w:t>Таким чином, з метою забезпечення енергетичної безпеки та паритетності</w:t>
      </w:r>
      <w:r w:rsidR="00E3037A">
        <w:rPr>
          <w:sz w:val="28"/>
          <w:szCs w:val="28"/>
        </w:rPr>
        <w:t>,</w:t>
      </w:r>
      <w:r w:rsidRPr="00760885">
        <w:rPr>
          <w:sz w:val="28"/>
          <w:szCs w:val="28"/>
        </w:rPr>
        <w:t xml:space="preserve"> </w:t>
      </w:r>
      <w:r w:rsidR="00E3037A">
        <w:rPr>
          <w:sz w:val="28"/>
          <w:szCs w:val="28"/>
        </w:rPr>
        <w:t>запропонован</w:t>
      </w:r>
      <w:r w:rsidR="0031440B">
        <w:rPr>
          <w:sz w:val="28"/>
          <w:szCs w:val="28"/>
        </w:rPr>
        <w:t>о</w:t>
      </w:r>
      <w:r w:rsidRPr="00760885">
        <w:rPr>
          <w:sz w:val="28"/>
          <w:szCs w:val="28"/>
        </w:rPr>
        <w:t xml:space="preserve"> змін</w:t>
      </w:r>
      <w:r w:rsidR="004D2770">
        <w:rPr>
          <w:sz w:val="28"/>
          <w:szCs w:val="28"/>
        </w:rPr>
        <w:t>и</w:t>
      </w:r>
      <w:r w:rsidRPr="00760885">
        <w:rPr>
          <w:sz w:val="28"/>
          <w:szCs w:val="28"/>
        </w:rPr>
        <w:t xml:space="preserve"> до Порядку контролю, якими передбачено врахування операторам систем розподілу витрат електричної енергії за 2022 рік, пов’язаних з перевищенням фактичних економічних коефіцієнтів технологічних витрат електроенергії за 2022 рік від затверджених ЕКПТВЕ на 2022 рік, при розрахунку загальної суми отриманого/недоотриманого доходу від ліцензованої діяльності.</w:t>
      </w:r>
    </w:p>
    <w:p w:rsidR="00641944" w:rsidRPr="00641944" w:rsidRDefault="00297046" w:rsidP="0076088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Також</w:t>
      </w:r>
      <w:r w:rsidR="00760885" w:rsidRPr="00760885">
        <w:rPr>
          <w:sz w:val="28"/>
          <w:szCs w:val="28"/>
        </w:rPr>
        <w:t xml:space="preserve"> </w:t>
      </w:r>
      <w:proofErr w:type="spellStart"/>
      <w:r w:rsidR="00760885" w:rsidRPr="00760885">
        <w:rPr>
          <w:sz w:val="28"/>
          <w:szCs w:val="28"/>
        </w:rPr>
        <w:t>внесено</w:t>
      </w:r>
      <w:proofErr w:type="spellEnd"/>
      <w:r w:rsidR="00760885" w:rsidRPr="00760885">
        <w:rPr>
          <w:sz w:val="28"/>
          <w:szCs w:val="28"/>
        </w:rPr>
        <w:t xml:space="preserve"> уточнюючі правки по тексту</w:t>
      </w:r>
      <w:r w:rsidR="00641944" w:rsidRPr="00641944">
        <w:rPr>
          <w:sz w:val="28"/>
          <w:szCs w:val="28"/>
        </w:rPr>
        <w:t>.</w:t>
      </w:r>
    </w:p>
    <w:p w:rsidR="00D454A2" w:rsidRPr="0085062D" w:rsidRDefault="00760885" w:rsidP="00E725A2">
      <w:pPr>
        <w:ind w:firstLine="851"/>
        <w:jc w:val="both"/>
        <w:rPr>
          <w:sz w:val="24"/>
        </w:rPr>
      </w:pPr>
      <w:r>
        <w:rPr>
          <w:sz w:val="28"/>
          <w:szCs w:val="28"/>
        </w:rPr>
        <w:t>З огляду на викладене,</w:t>
      </w:r>
      <w:r w:rsidR="00F46893" w:rsidRPr="00832E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розроблено </w:t>
      </w:r>
      <w:r w:rsidR="00F46893" w:rsidRPr="00832E58">
        <w:rPr>
          <w:sz w:val="28"/>
          <w:szCs w:val="28"/>
        </w:rPr>
        <w:t xml:space="preserve">проєкт рішення </w:t>
      </w:r>
      <w:r w:rsidR="00334933">
        <w:rPr>
          <w:sz w:val="28"/>
          <w:szCs w:val="28"/>
        </w:rPr>
        <w:t xml:space="preserve">НКРЕКП </w:t>
      </w:r>
      <w:r w:rsidR="00F46893" w:rsidRPr="00832E58">
        <w:rPr>
          <w:sz w:val="28"/>
          <w:szCs w:val="28"/>
        </w:rPr>
        <w:t>«</w:t>
      </w:r>
      <w:r w:rsidR="00725A0D" w:rsidRPr="00725A0D">
        <w:rPr>
          <w:rStyle w:val="rvts23"/>
          <w:color w:val="000000"/>
          <w:sz w:val="28"/>
          <w:szCs w:val="28"/>
        </w:rPr>
        <w:t xml:space="preserve">Про </w:t>
      </w:r>
      <w:r>
        <w:rPr>
          <w:rStyle w:val="rvts23"/>
          <w:color w:val="000000"/>
          <w:sz w:val="28"/>
          <w:szCs w:val="28"/>
        </w:rPr>
        <w:t>затвердження З</w:t>
      </w:r>
      <w:r w:rsidR="00725A0D" w:rsidRPr="00725A0D">
        <w:rPr>
          <w:rStyle w:val="rvts23"/>
          <w:color w:val="000000"/>
          <w:sz w:val="28"/>
          <w:szCs w:val="28"/>
        </w:rPr>
        <w:t xml:space="preserve">мін до Порядку контролю за дотриманням ліцензіатами, що </w:t>
      </w:r>
      <w:r w:rsidR="00725A0D" w:rsidRPr="00725A0D">
        <w:rPr>
          <w:rStyle w:val="rvts23"/>
          <w:color w:val="000000"/>
          <w:sz w:val="28"/>
          <w:szCs w:val="28"/>
        </w:rPr>
        <w:lastRenderedPageBreak/>
        <w:t>провадять діяльність у сферах енергетики та комунальних послуг, законодавства у відповідних сферах та ліцензійних умов</w:t>
      </w:r>
      <w:r w:rsidR="00F46893" w:rsidRPr="00832E58">
        <w:rPr>
          <w:sz w:val="28"/>
          <w:szCs w:val="28"/>
        </w:rPr>
        <w:t xml:space="preserve">» (далі </w:t>
      </w:r>
      <w:r w:rsidR="00F46893" w:rsidRPr="00832E58">
        <w:rPr>
          <w:w w:val="90"/>
          <w:sz w:val="28"/>
          <w:szCs w:val="28"/>
        </w:rPr>
        <w:t xml:space="preserve">— </w:t>
      </w:r>
      <w:r w:rsidR="00F46893" w:rsidRPr="00832E58">
        <w:rPr>
          <w:sz w:val="28"/>
          <w:szCs w:val="28"/>
        </w:rPr>
        <w:t>Проєкт постанови</w:t>
      </w:r>
      <w:r w:rsidR="00725A0D">
        <w:rPr>
          <w:sz w:val="28"/>
          <w:szCs w:val="28"/>
        </w:rPr>
        <w:t>)</w:t>
      </w:r>
      <w:r w:rsidR="00334933">
        <w:rPr>
          <w:sz w:val="28"/>
          <w:szCs w:val="28"/>
        </w:rPr>
        <w:t>.</w:t>
      </w:r>
    </w:p>
    <w:p w:rsidR="00D454A2" w:rsidRPr="000A23CF" w:rsidRDefault="00D454A2" w:rsidP="00E725A2">
      <w:pPr>
        <w:pStyle w:val="a3"/>
        <w:spacing w:before="70"/>
        <w:ind w:firstLine="851"/>
      </w:pPr>
      <w:r w:rsidRPr="000A23CF">
        <w:t>Основні групи (підгрупи), на які проблеми справляють вплив:</w:t>
      </w:r>
    </w:p>
    <w:p w:rsidR="00D454A2" w:rsidRPr="000A23CF" w:rsidRDefault="00D454A2" w:rsidP="00D454A2">
      <w:pPr>
        <w:pStyle w:val="a3"/>
        <w:spacing w:before="5"/>
        <w:jc w:val="center"/>
        <w:rPr>
          <w:sz w:val="29"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3679"/>
        <w:gridCol w:w="4744"/>
        <w:gridCol w:w="1199"/>
      </w:tblGrid>
      <w:tr w:rsidR="00D454A2" w:rsidRPr="000A23CF" w:rsidTr="00085CA5">
        <w:trPr>
          <w:trHeight w:val="258"/>
        </w:trPr>
        <w:tc>
          <w:tcPr>
            <w:tcW w:w="1912" w:type="pct"/>
            <w:vAlign w:val="center"/>
          </w:tcPr>
          <w:p w:rsidR="00D454A2" w:rsidRPr="000A23CF" w:rsidRDefault="00D454A2" w:rsidP="003032D0">
            <w:pPr>
              <w:pStyle w:val="TableParagraph"/>
              <w:spacing w:line="239" w:lineRule="exact"/>
              <w:ind w:left="948"/>
              <w:rPr>
                <w:b/>
                <w:sz w:val="24"/>
                <w:szCs w:val="24"/>
              </w:rPr>
            </w:pPr>
            <w:r w:rsidRPr="000A23CF">
              <w:rPr>
                <w:b/>
                <w:sz w:val="24"/>
                <w:szCs w:val="24"/>
              </w:rPr>
              <w:t>Групи (підгрупи)</w:t>
            </w:r>
          </w:p>
        </w:tc>
        <w:tc>
          <w:tcPr>
            <w:tcW w:w="2465" w:type="pct"/>
            <w:vAlign w:val="center"/>
          </w:tcPr>
          <w:p w:rsidR="00D454A2" w:rsidRPr="000A23CF" w:rsidRDefault="00D454A2" w:rsidP="003032D0">
            <w:pPr>
              <w:pStyle w:val="TableParagraph"/>
              <w:spacing w:before="5" w:line="234" w:lineRule="exact"/>
              <w:ind w:left="2088" w:right="2060"/>
              <w:jc w:val="center"/>
              <w:rPr>
                <w:b/>
                <w:sz w:val="24"/>
                <w:szCs w:val="24"/>
              </w:rPr>
            </w:pPr>
            <w:r w:rsidRPr="000A23CF">
              <w:rPr>
                <w:b/>
                <w:sz w:val="24"/>
                <w:szCs w:val="24"/>
              </w:rPr>
              <w:t>Так</w:t>
            </w:r>
          </w:p>
        </w:tc>
        <w:tc>
          <w:tcPr>
            <w:tcW w:w="623" w:type="pct"/>
            <w:vAlign w:val="center"/>
          </w:tcPr>
          <w:p w:rsidR="00D454A2" w:rsidRPr="000A23CF" w:rsidRDefault="00D454A2" w:rsidP="003032D0">
            <w:pPr>
              <w:pStyle w:val="TableParagraph"/>
              <w:spacing w:before="5"/>
              <w:ind w:left="176"/>
              <w:jc w:val="center"/>
              <w:rPr>
                <w:b/>
                <w:sz w:val="24"/>
                <w:szCs w:val="24"/>
              </w:rPr>
            </w:pPr>
            <w:proofErr w:type="spellStart"/>
            <w:r w:rsidRPr="000A23CF">
              <w:rPr>
                <w:b/>
                <w:sz w:val="24"/>
                <w:szCs w:val="24"/>
              </w:rPr>
              <w:t>Hi</w:t>
            </w:r>
            <w:proofErr w:type="spellEnd"/>
          </w:p>
        </w:tc>
      </w:tr>
      <w:tr w:rsidR="00D454A2" w:rsidRPr="000A23CF" w:rsidTr="00085CA5">
        <w:trPr>
          <w:trHeight w:val="527"/>
        </w:trPr>
        <w:tc>
          <w:tcPr>
            <w:tcW w:w="1912" w:type="pct"/>
            <w:vAlign w:val="center"/>
          </w:tcPr>
          <w:p w:rsidR="00D454A2" w:rsidRPr="000A23CF" w:rsidRDefault="00D454A2" w:rsidP="003032D0">
            <w:pPr>
              <w:pStyle w:val="TableParagraph"/>
              <w:spacing w:line="230" w:lineRule="exact"/>
              <w:rPr>
                <w:sz w:val="24"/>
                <w:szCs w:val="24"/>
              </w:rPr>
            </w:pPr>
            <w:r w:rsidRPr="000A23CF">
              <w:rPr>
                <w:sz w:val="24"/>
                <w:szCs w:val="24"/>
              </w:rPr>
              <w:t>Громадяни</w:t>
            </w:r>
          </w:p>
        </w:tc>
        <w:tc>
          <w:tcPr>
            <w:tcW w:w="2465" w:type="pct"/>
            <w:vAlign w:val="center"/>
          </w:tcPr>
          <w:p w:rsidR="00D454A2" w:rsidRPr="000A23CF" w:rsidRDefault="00D454A2" w:rsidP="003032D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623" w:type="pct"/>
            <w:vAlign w:val="center"/>
          </w:tcPr>
          <w:p w:rsidR="00D454A2" w:rsidRPr="000A23CF" w:rsidRDefault="00D454A2" w:rsidP="003032D0">
            <w:pPr>
              <w:pStyle w:val="TableParagraph"/>
              <w:spacing w:line="225" w:lineRule="exact"/>
              <w:ind w:left="176"/>
              <w:jc w:val="center"/>
              <w:rPr>
                <w:sz w:val="24"/>
                <w:szCs w:val="24"/>
              </w:rPr>
            </w:pPr>
            <w:proofErr w:type="spellStart"/>
            <w:r w:rsidRPr="000A23CF">
              <w:rPr>
                <w:sz w:val="24"/>
                <w:szCs w:val="24"/>
              </w:rPr>
              <w:t>Hi</w:t>
            </w:r>
            <w:proofErr w:type="spellEnd"/>
          </w:p>
        </w:tc>
      </w:tr>
      <w:tr w:rsidR="00D454A2" w:rsidRPr="000A23CF" w:rsidTr="00FD4F2C">
        <w:trPr>
          <w:trHeight w:val="184"/>
        </w:trPr>
        <w:tc>
          <w:tcPr>
            <w:tcW w:w="1912" w:type="pct"/>
            <w:vAlign w:val="center"/>
          </w:tcPr>
          <w:p w:rsidR="00D454A2" w:rsidRPr="000A23CF" w:rsidRDefault="00D454A2" w:rsidP="003032D0">
            <w:pPr>
              <w:pStyle w:val="TableParagraph"/>
              <w:spacing w:line="218" w:lineRule="exact"/>
              <w:ind w:left="124"/>
              <w:rPr>
                <w:sz w:val="24"/>
                <w:szCs w:val="24"/>
              </w:rPr>
            </w:pPr>
            <w:r w:rsidRPr="000A23CF">
              <w:rPr>
                <w:w w:val="105"/>
                <w:sz w:val="24"/>
                <w:szCs w:val="24"/>
              </w:rPr>
              <w:t>Держава</w:t>
            </w:r>
          </w:p>
        </w:tc>
        <w:tc>
          <w:tcPr>
            <w:tcW w:w="2465" w:type="pct"/>
            <w:vAlign w:val="center"/>
          </w:tcPr>
          <w:p w:rsidR="00D454A2" w:rsidRDefault="00D454A2" w:rsidP="00125F23">
            <w:pPr>
              <w:pStyle w:val="TableParagraph"/>
              <w:spacing w:line="220" w:lineRule="exact"/>
              <w:ind w:left="119" w:right="66"/>
              <w:jc w:val="both"/>
              <w:rPr>
                <w:sz w:val="24"/>
                <w:szCs w:val="24"/>
              </w:rPr>
            </w:pPr>
            <w:r w:rsidRPr="000A23CF">
              <w:rPr>
                <w:sz w:val="24"/>
                <w:szCs w:val="24"/>
              </w:rPr>
              <w:t>Так</w:t>
            </w:r>
          </w:p>
          <w:p w:rsidR="005C00C7" w:rsidRPr="000A23CF" w:rsidRDefault="005C00C7" w:rsidP="00125F23">
            <w:pPr>
              <w:pStyle w:val="TableParagraph"/>
              <w:spacing w:line="220" w:lineRule="exact"/>
              <w:ind w:left="119" w:right="66"/>
              <w:jc w:val="both"/>
              <w:rPr>
                <w:sz w:val="24"/>
                <w:szCs w:val="24"/>
              </w:rPr>
            </w:pPr>
          </w:p>
          <w:p w:rsidR="00D454A2" w:rsidRDefault="00AB1ECB" w:rsidP="00125F23">
            <w:pPr>
              <w:pStyle w:val="TableParagraph"/>
              <w:spacing w:before="1"/>
              <w:ind w:left="121" w:right="66" w:firstLine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AB1ECB">
              <w:rPr>
                <w:sz w:val="24"/>
                <w:szCs w:val="24"/>
              </w:rPr>
              <w:t>озволить зробити процес застосування штрафних санкцій ще більш прозорим, прогнозованим та відкритим</w:t>
            </w:r>
            <w:r>
              <w:rPr>
                <w:sz w:val="24"/>
                <w:szCs w:val="24"/>
              </w:rPr>
              <w:t>.</w:t>
            </w:r>
          </w:p>
          <w:p w:rsidR="00AB1ECB" w:rsidRPr="004A15B9" w:rsidRDefault="00AC199D" w:rsidP="00125F23">
            <w:pPr>
              <w:pStyle w:val="TableParagraph"/>
              <w:spacing w:before="1"/>
              <w:ind w:left="121" w:right="66" w:firstLine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Дозволить </w:t>
            </w:r>
            <w:r w:rsidR="009863FF" w:rsidRPr="009863FF">
              <w:rPr>
                <w:sz w:val="24"/>
                <w:szCs w:val="24"/>
              </w:rPr>
              <w:t>забезпеч</w:t>
            </w:r>
            <w:r>
              <w:rPr>
                <w:sz w:val="24"/>
                <w:szCs w:val="24"/>
              </w:rPr>
              <w:t>ити</w:t>
            </w:r>
            <w:r w:rsidR="009863FF" w:rsidRPr="009863F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підвищення </w:t>
            </w:r>
            <w:r w:rsidR="009863FF" w:rsidRPr="009863FF">
              <w:rPr>
                <w:sz w:val="24"/>
                <w:szCs w:val="24"/>
              </w:rPr>
              <w:t>енергетичної безпеки та паритетності</w:t>
            </w:r>
          </w:p>
        </w:tc>
        <w:tc>
          <w:tcPr>
            <w:tcW w:w="623" w:type="pct"/>
            <w:vAlign w:val="center"/>
          </w:tcPr>
          <w:p w:rsidR="00D454A2" w:rsidRPr="000A23CF" w:rsidRDefault="00D454A2" w:rsidP="003032D0">
            <w:pPr>
              <w:pStyle w:val="TableParagraph"/>
              <w:ind w:left="176"/>
              <w:jc w:val="center"/>
              <w:rPr>
                <w:sz w:val="24"/>
                <w:szCs w:val="24"/>
              </w:rPr>
            </w:pPr>
          </w:p>
        </w:tc>
      </w:tr>
      <w:tr w:rsidR="00085CA5" w:rsidRPr="000A23CF" w:rsidTr="00085CA5">
        <w:trPr>
          <w:trHeight w:val="1511"/>
        </w:trPr>
        <w:tc>
          <w:tcPr>
            <w:tcW w:w="1912" w:type="pct"/>
            <w:vAlign w:val="center"/>
          </w:tcPr>
          <w:p w:rsidR="00085CA5" w:rsidRPr="000A23CF" w:rsidRDefault="00085CA5" w:rsidP="00832E58">
            <w:pPr>
              <w:pStyle w:val="TableParagraph"/>
              <w:spacing w:line="230" w:lineRule="exact"/>
              <w:ind w:left="118"/>
              <w:rPr>
                <w:sz w:val="24"/>
                <w:szCs w:val="24"/>
              </w:rPr>
            </w:pPr>
            <w:proofErr w:type="spellStart"/>
            <w:r w:rsidRPr="000A23CF">
              <w:rPr>
                <w:sz w:val="24"/>
                <w:szCs w:val="24"/>
              </w:rPr>
              <w:t>Cy</w:t>
            </w:r>
            <w:r>
              <w:rPr>
                <w:sz w:val="24"/>
                <w:szCs w:val="24"/>
              </w:rPr>
              <w:t>б</w:t>
            </w:r>
            <w:r w:rsidRPr="000A23CF">
              <w:rPr>
                <w:sz w:val="24"/>
                <w:szCs w:val="24"/>
              </w:rPr>
              <w:t>’єкти</w:t>
            </w:r>
            <w:proofErr w:type="spellEnd"/>
            <w:r w:rsidRPr="000A23CF">
              <w:rPr>
                <w:sz w:val="24"/>
                <w:szCs w:val="24"/>
              </w:rPr>
              <w:t xml:space="preserve"> господарювання</w:t>
            </w:r>
          </w:p>
        </w:tc>
        <w:tc>
          <w:tcPr>
            <w:tcW w:w="2465" w:type="pct"/>
            <w:vAlign w:val="center"/>
          </w:tcPr>
          <w:p w:rsidR="009863FF" w:rsidRDefault="00085CA5" w:rsidP="00125F23">
            <w:pPr>
              <w:pStyle w:val="TableParagraph"/>
              <w:spacing w:line="223" w:lineRule="exact"/>
              <w:ind w:left="119" w:right="66"/>
              <w:jc w:val="both"/>
              <w:rPr>
                <w:sz w:val="24"/>
                <w:szCs w:val="24"/>
              </w:rPr>
            </w:pPr>
            <w:r w:rsidRPr="000A23CF">
              <w:rPr>
                <w:sz w:val="24"/>
                <w:szCs w:val="24"/>
              </w:rPr>
              <w:t>Так</w:t>
            </w:r>
          </w:p>
          <w:p w:rsidR="00AC199D" w:rsidRDefault="00AC199D" w:rsidP="00125F23">
            <w:pPr>
              <w:pStyle w:val="TableParagraph"/>
              <w:spacing w:line="223" w:lineRule="exact"/>
              <w:ind w:left="119" w:right="66"/>
              <w:jc w:val="both"/>
              <w:rPr>
                <w:sz w:val="24"/>
                <w:szCs w:val="24"/>
              </w:rPr>
            </w:pPr>
          </w:p>
          <w:p w:rsidR="009863FF" w:rsidRDefault="00AC199D" w:rsidP="00125F23">
            <w:pPr>
              <w:pStyle w:val="TableParagraph"/>
              <w:spacing w:line="223" w:lineRule="exact"/>
              <w:ind w:left="119" w:right="66"/>
              <w:jc w:val="both"/>
              <w:rPr>
                <w:sz w:val="24"/>
                <w:szCs w:val="24"/>
              </w:rPr>
            </w:pPr>
            <w:r w:rsidRPr="00AC199D">
              <w:rPr>
                <w:sz w:val="24"/>
                <w:szCs w:val="24"/>
              </w:rPr>
              <w:t>Дозволить зробити процес застосування штрафних санкцій ще більш прозорим, прогнозованим та відкритим.</w:t>
            </w:r>
          </w:p>
          <w:p w:rsidR="00085CA5" w:rsidRPr="000A23CF" w:rsidRDefault="00125F23" w:rsidP="00125F23">
            <w:pPr>
              <w:pStyle w:val="TableParagraph"/>
              <w:spacing w:line="223" w:lineRule="exact"/>
              <w:ind w:left="119" w:right="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Забезпечить в</w:t>
            </w:r>
            <w:r w:rsidR="009863FF" w:rsidRPr="009863FF">
              <w:rPr>
                <w:sz w:val="24"/>
                <w:szCs w:val="24"/>
              </w:rPr>
              <w:t>рахування операторам систем розподілу витрат електричної енергії за 2022 рік, пов’язаних з перевищенням фактичних економічних коефіцієнтів технологічних витрат електроенергії за 2022 рік від затверджених ЕКПТВЕ на 2022 рік, при розрахунку загальної суми отриманого/недоотриманого доходу від ліцензованої діяльності</w:t>
            </w:r>
            <w:r w:rsidR="00612C49">
              <w:rPr>
                <w:sz w:val="24"/>
                <w:szCs w:val="24"/>
              </w:rPr>
              <w:t>.</w:t>
            </w:r>
          </w:p>
        </w:tc>
        <w:tc>
          <w:tcPr>
            <w:tcW w:w="623" w:type="pct"/>
            <w:vAlign w:val="center"/>
          </w:tcPr>
          <w:p w:rsidR="00085CA5" w:rsidRPr="000A23CF" w:rsidRDefault="00085CA5" w:rsidP="003032D0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E528D5" w:rsidRPr="00085CA5" w:rsidRDefault="00E528D5" w:rsidP="00E528D5">
      <w:pPr>
        <w:pStyle w:val="a9"/>
        <w:tabs>
          <w:tab w:val="left" w:pos="445"/>
        </w:tabs>
        <w:spacing w:line="228" w:lineRule="auto"/>
        <w:ind w:left="237" w:right="136" w:firstLine="0"/>
        <w:jc w:val="both"/>
        <w:rPr>
          <w:sz w:val="28"/>
        </w:rPr>
      </w:pPr>
    </w:p>
    <w:p w:rsidR="00D454A2" w:rsidRPr="000A23CF" w:rsidRDefault="00D454A2" w:rsidP="00D454A2">
      <w:pPr>
        <w:pStyle w:val="a9"/>
        <w:numPr>
          <w:ilvl w:val="1"/>
          <w:numId w:val="3"/>
        </w:numPr>
        <w:tabs>
          <w:tab w:val="left" w:pos="3726"/>
        </w:tabs>
        <w:ind w:hanging="363"/>
        <w:jc w:val="center"/>
        <w:rPr>
          <w:b/>
          <w:sz w:val="28"/>
        </w:rPr>
      </w:pPr>
      <w:r w:rsidRPr="000A23CF">
        <w:rPr>
          <w:b/>
          <w:w w:val="105"/>
          <w:sz w:val="28"/>
        </w:rPr>
        <w:t>Цілі державного</w:t>
      </w:r>
      <w:r w:rsidRPr="000A23CF">
        <w:rPr>
          <w:b/>
          <w:spacing w:val="26"/>
          <w:w w:val="105"/>
          <w:sz w:val="28"/>
        </w:rPr>
        <w:t xml:space="preserve"> </w:t>
      </w:r>
      <w:r w:rsidRPr="000A23CF">
        <w:rPr>
          <w:b/>
          <w:w w:val="105"/>
          <w:sz w:val="28"/>
        </w:rPr>
        <w:t>регулювання</w:t>
      </w:r>
    </w:p>
    <w:p w:rsidR="00D454A2" w:rsidRPr="000A23CF" w:rsidRDefault="00D454A2" w:rsidP="00D454A2">
      <w:pPr>
        <w:pStyle w:val="a3"/>
        <w:spacing w:before="6"/>
        <w:rPr>
          <w:sz w:val="27"/>
        </w:rPr>
      </w:pPr>
    </w:p>
    <w:p w:rsidR="009C53F2" w:rsidRDefault="00D454A2" w:rsidP="000A31AE">
      <w:pPr>
        <w:pStyle w:val="a3"/>
        <w:ind w:left="235" w:right="137" w:firstLine="706"/>
        <w:jc w:val="both"/>
      </w:pPr>
      <w:r w:rsidRPr="00CA443B">
        <w:t xml:space="preserve">Основною метою прийняття </w:t>
      </w:r>
      <w:proofErr w:type="spellStart"/>
      <w:r w:rsidRPr="00CA443B">
        <w:t>про</w:t>
      </w:r>
      <w:r w:rsidR="00772360" w:rsidRPr="00CA443B">
        <w:t>є</w:t>
      </w:r>
      <w:r w:rsidRPr="00CA443B">
        <w:t>кту</w:t>
      </w:r>
      <w:proofErr w:type="spellEnd"/>
      <w:r w:rsidRPr="00CA443B">
        <w:t xml:space="preserve"> регуляторного </w:t>
      </w:r>
      <w:proofErr w:type="spellStart"/>
      <w:r w:rsidRPr="00CA443B">
        <w:t>акта</w:t>
      </w:r>
      <w:proofErr w:type="spellEnd"/>
      <w:r w:rsidRPr="00CA443B">
        <w:t xml:space="preserve"> є </w:t>
      </w:r>
      <w:r w:rsidR="00283669">
        <w:t>внесення змін до Порядку контролю</w:t>
      </w:r>
      <w:r w:rsidR="00737E1A" w:rsidRPr="00737E1A">
        <w:t>, що дозвол</w:t>
      </w:r>
      <w:r w:rsidR="00283669">
        <w:t>я</w:t>
      </w:r>
      <w:r w:rsidR="00737E1A" w:rsidRPr="00737E1A">
        <w:t>ть зробити процес застосування штрафних санкцій ще більш прозорим, прогнозованим та відкритим</w:t>
      </w:r>
      <w:r w:rsidR="00737E1A">
        <w:t xml:space="preserve">, </w:t>
      </w:r>
      <w:r w:rsidR="00255B73">
        <w:t xml:space="preserve">та </w:t>
      </w:r>
      <w:proofErr w:type="spellStart"/>
      <w:r w:rsidR="0059555F">
        <w:t>нададуть</w:t>
      </w:r>
      <w:proofErr w:type="spellEnd"/>
      <w:r w:rsidR="0059555F">
        <w:t xml:space="preserve"> підстави для</w:t>
      </w:r>
      <w:r w:rsidR="00283669">
        <w:t xml:space="preserve"> </w:t>
      </w:r>
      <w:r w:rsidR="00255B73" w:rsidRPr="00255B73">
        <w:t>врахування операторам систем розподілу витрат електричної енергії за 2022 рік, пов’язаних з перевищенням фактичних економічних коефіцієнтів технологічних витрат електроенергії за 2022 рік від затверджених ЕКПТВЕ на 2022 рік, при розрахунку загальної суми отриманого/недоотриманого доходу від ліцензованої діяльності.</w:t>
      </w:r>
    </w:p>
    <w:p w:rsidR="0085062D" w:rsidRPr="000A23CF" w:rsidRDefault="0085062D" w:rsidP="00D454A2">
      <w:pPr>
        <w:pStyle w:val="a3"/>
        <w:spacing w:before="9"/>
        <w:rPr>
          <w:sz w:val="27"/>
        </w:rPr>
      </w:pPr>
    </w:p>
    <w:p w:rsidR="00D454A2" w:rsidRPr="0005234D" w:rsidRDefault="00D454A2" w:rsidP="00E97C1A">
      <w:pPr>
        <w:pStyle w:val="a9"/>
        <w:numPr>
          <w:ilvl w:val="1"/>
          <w:numId w:val="3"/>
        </w:numPr>
        <w:tabs>
          <w:tab w:val="left" w:pos="1245"/>
        </w:tabs>
        <w:spacing w:before="1"/>
        <w:ind w:left="1244" w:firstLine="0"/>
        <w:jc w:val="center"/>
        <w:rPr>
          <w:b/>
          <w:sz w:val="28"/>
        </w:rPr>
      </w:pPr>
      <w:r w:rsidRPr="0005234D">
        <w:rPr>
          <w:b/>
          <w:w w:val="105"/>
          <w:sz w:val="28"/>
        </w:rPr>
        <w:t>Визначення та оцінка</w:t>
      </w:r>
      <w:r w:rsidR="0005234D">
        <w:rPr>
          <w:b/>
          <w:w w:val="105"/>
          <w:sz w:val="28"/>
        </w:rPr>
        <w:t xml:space="preserve"> </w:t>
      </w:r>
      <w:r w:rsidRPr="0005234D">
        <w:rPr>
          <w:b/>
          <w:w w:val="105"/>
          <w:sz w:val="28"/>
        </w:rPr>
        <w:t>альтернативних способів досягнення</w:t>
      </w:r>
      <w:r w:rsidRPr="0005234D">
        <w:rPr>
          <w:b/>
          <w:spacing w:val="8"/>
          <w:w w:val="105"/>
          <w:sz w:val="28"/>
        </w:rPr>
        <w:t xml:space="preserve"> </w:t>
      </w:r>
      <w:r w:rsidRPr="0005234D">
        <w:rPr>
          <w:b/>
          <w:w w:val="105"/>
          <w:sz w:val="28"/>
        </w:rPr>
        <w:t>цілей</w:t>
      </w:r>
    </w:p>
    <w:p w:rsidR="00D454A2" w:rsidRPr="000A23CF" w:rsidRDefault="00D454A2" w:rsidP="00D454A2">
      <w:pPr>
        <w:pStyle w:val="a3"/>
        <w:spacing w:before="5"/>
        <w:rPr>
          <w:sz w:val="27"/>
        </w:rPr>
      </w:pPr>
    </w:p>
    <w:p w:rsidR="00D454A2" w:rsidRPr="000A23CF" w:rsidRDefault="00D454A2" w:rsidP="00D454A2">
      <w:pPr>
        <w:pStyle w:val="a9"/>
        <w:numPr>
          <w:ilvl w:val="0"/>
          <w:numId w:val="2"/>
        </w:numPr>
        <w:tabs>
          <w:tab w:val="left" w:pos="1134"/>
        </w:tabs>
        <w:spacing w:before="1" w:after="16"/>
        <w:ind w:hanging="360"/>
        <w:rPr>
          <w:sz w:val="28"/>
        </w:rPr>
      </w:pPr>
      <w:r w:rsidRPr="000A23CF">
        <w:rPr>
          <w:sz w:val="28"/>
        </w:rPr>
        <w:t>Визначення альтернативних</w:t>
      </w:r>
      <w:r w:rsidRPr="000A23CF">
        <w:rPr>
          <w:spacing w:val="-46"/>
          <w:sz w:val="28"/>
        </w:rPr>
        <w:t xml:space="preserve"> </w:t>
      </w:r>
      <w:r w:rsidRPr="000A23CF">
        <w:rPr>
          <w:sz w:val="28"/>
        </w:rPr>
        <w:t>способів</w:t>
      </w:r>
    </w:p>
    <w:p w:rsidR="00D454A2" w:rsidRPr="0085062D" w:rsidRDefault="00D454A2" w:rsidP="00D454A2">
      <w:pPr>
        <w:pStyle w:val="a9"/>
        <w:tabs>
          <w:tab w:val="left" w:pos="1134"/>
        </w:tabs>
        <w:spacing w:before="1" w:after="16"/>
        <w:ind w:firstLine="0"/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2400"/>
        <w:gridCol w:w="7222"/>
      </w:tblGrid>
      <w:tr w:rsidR="00D454A2" w:rsidRPr="00C70889" w:rsidTr="00DB24AA">
        <w:trPr>
          <w:trHeight w:val="263"/>
        </w:trPr>
        <w:tc>
          <w:tcPr>
            <w:tcW w:w="1247" w:type="pct"/>
          </w:tcPr>
          <w:p w:rsidR="00D454A2" w:rsidRPr="00C70889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C70889">
              <w:rPr>
                <w:b/>
                <w:sz w:val="24"/>
                <w:szCs w:val="24"/>
              </w:rPr>
              <w:t>Вид альтернативи</w:t>
            </w:r>
          </w:p>
        </w:tc>
        <w:tc>
          <w:tcPr>
            <w:tcW w:w="3753" w:type="pct"/>
          </w:tcPr>
          <w:p w:rsidR="00D454A2" w:rsidRPr="00C70889" w:rsidRDefault="00D454A2" w:rsidP="003032D0">
            <w:pPr>
              <w:jc w:val="center"/>
              <w:rPr>
                <w:b/>
                <w:sz w:val="24"/>
                <w:szCs w:val="24"/>
              </w:rPr>
            </w:pPr>
            <w:r w:rsidRPr="00C70889">
              <w:rPr>
                <w:b/>
                <w:sz w:val="24"/>
                <w:szCs w:val="24"/>
              </w:rPr>
              <w:t>Опис альтернативи</w:t>
            </w:r>
          </w:p>
        </w:tc>
      </w:tr>
      <w:tr w:rsidR="00D454A2" w:rsidRPr="00C70889" w:rsidTr="00DB24AA">
        <w:trPr>
          <w:trHeight w:val="468"/>
        </w:trPr>
        <w:tc>
          <w:tcPr>
            <w:tcW w:w="1247" w:type="pct"/>
          </w:tcPr>
          <w:p w:rsidR="00D454A2" w:rsidRDefault="00D454A2" w:rsidP="003032D0">
            <w:pPr>
              <w:rPr>
                <w:b/>
                <w:sz w:val="24"/>
                <w:szCs w:val="24"/>
              </w:rPr>
            </w:pPr>
            <w:r w:rsidRPr="00C70889">
              <w:rPr>
                <w:b/>
                <w:sz w:val="24"/>
                <w:szCs w:val="24"/>
              </w:rPr>
              <w:t>Альтернатива 1</w:t>
            </w:r>
          </w:p>
          <w:p w:rsidR="00DB7DFB" w:rsidRPr="00C70889" w:rsidRDefault="00DB7DFB" w:rsidP="003032D0">
            <w:pPr>
              <w:rPr>
                <w:b/>
                <w:sz w:val="24"/>
                <w:szCs w:val="24"/>
              </w:rPr>
            </w:pPr>
          </w:p>
          <w:p w:rsidR="00D454A2" w:rsidRPr="00C70889" w:rsidRDefault="00D454A2" w:rsidP="003032D0">
            <w:pPr>
              <w:rPr>
                <w:sz w:val="24"/>
                <w:szCs w:val="24"/>
              </w:rPr>
            </w:pPr>
            <w:r w:rsidRPr="00C70889">
              <w:rPr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3753" w:type="pct"/>
          </w:tcPr>
          <w:p w:rsidR="00D454A2" w:rsidRPr="00C70889" w:rsidRDefault="00D454A2" w:rsidP="0059555F">
            <w:pPr>
              <w:ind w:left="138" w:right="142"/>
              <w:jc w:val="both"/>
              <w:rPr>
                <w:sz w:val="24"/>
                <w:szCs w:val="24"/>
              </w:rPr>
            </w:pPr>
            <w:r w:rsidRPr="00C70889">
              <w:rPr>
                <w:sz w:val="24"/>
                <w:szCs w:val="24"/>
              </w:rPr>
              <w:t>Не</w:t>
            </w:r>
            <w:r w:rsidR="00220B35">
              <w:rPr>
                <w:sz w:val="24"/>
                <w:szCs w:val="24"/>
              </w:rPr>
              <w:t>вн</w:t>
            </w:r>
            <w:r w:rsidR="0059555F">
              <w:rPr>
                <w:sz w:val="24"/>
                <w:szCs w:val="24"/>
              </w:rPr>
              <w:t>есення</w:t>
            </w:r>
            <w:r w:rsidR="00220B35">
              <w:rPr>
                <w:sz w:val="24"/>
                <w:szCs w:val="24"/>
              </w:rPr>
              <w:t xml:space="preserve"> </w:t>
            </w:r>
            <w:r w:rsidR="0059555F">
              <w:rPr>
                <w:sz w:val="24"/>
                <w:szCs w:val="24"/>
              </w:rPr>
              <w:t xml:space="preserve">запропонованих </w:t>
            </w:r>
            <w:proofErr w:type="spellStart"/>
            <w:r w:rsidR="0059555F">
              <w:rPr>
                <w:sz w:val="24"/>
                <w:szCs w:val="24"/>
              </w:rPr>
              <w:t>Проєктом</w:t>
            </w:r>
            <w:proofErr w:type="spellEnd"/>
            <w:r w:rsidR="0059555F">
              <w:rPr>
                <w:sz w:val="24"/>
                <w:szCs w:val="24"/>
              </w:rPr>
              <w:t xml:space="preserve"> постанови </w:t>
            </w:r>
            <w:r w:rsidR="00220B35">
              <w:rPr>
                <w:sz w:val="24"/>
                <w:szCs w:val="24"/>
              </w:rPr>
              <w:t>змін до Порядку контролю</w:t>
            </w:r>
            <w:r w:rsidR="008012F6">
              <w:rPr>
                <w:sz w:val="24"/>
                <w:szCs w:val="24"/>
              </w:rPr>
              <w:t xml:space="preserve"> не </w:t>
            </w:r>
            <w:r w:rsidR="008012F6" w:rsidRPr="008012F6">
              <w:rPr>
                <w:sz w:val="24"/>
                <w:szCs w:val="24"/>
              </w:rPr>
              <w:t>дозволить зробити процес застосування штрафних санкцій ще більш прозорим, прогнозованим та відкритим</w:t>
            </w:r>
            <w:r w:rsidR="008012F6">
              <w:rPr>
                <w:sz w:val="24"/>
                <w:szCs w:val="24"/>
              </w:rPr>
              <w:t xml:space="preserve">. Крім того не забезпечить вдосконалення </w:t>
            </w:r>
            <w:r w:rsidR="008012F6" w:rsidRPr="008012F6">
              <w:rPr>
                <w:sz w:val="24"/>
                <w:szCs w:val="24"/>
              </w:rPr>
              <w:t>Методик</w:t>
            </w:r>
            <w:r w:rsidR="008012F6">
              <w:rPr>
                <w:sz w:val="24"/>
                <w:szCs w:val="24"/>
              </w:rPr>
              <w:t xml:space="preserve">и </w:t>
            </w:r>
            <w:r w:rsidR="008012F6" w:rsidRPr="008012F6">
              <w:rPr>
                <w:sz w:val="24"/>
                <w:szCs w:val="24"/>
              </w:rPr>
              <w:t xml:space="preserve">визначення сум надлишково отриманого або недоотриманого доходу від здійснення </w:t>
            </w:r>
            <w:r w:rsidR="008012F6" w:rsidRPr="008012F6">
              <w:rPr>
                <w:sz w:val="24"/>
                <w:szCs w:val="24"/>
              </w:rPr>
              <w:lastRenderedPageBreak/>
              <w:t>ліцензованої діяльності з розподілу електричної енергії</w:t>
            </w:r>
            <w:r w:rsidR="008012F6">
              <w:rPr>
                <w:sz w:val="24"/>
                <w:szCs w:val="24"/>
              </w:rPr>
              <w:t xml:space="preserve">, </w:t>
            </w:r>
            <w:r w:rsidR="008012F6" w:rsidRPr="008012F6">
              <w:rPr>
                <w:sz w:val="24"/>
                <w:szCs w:val="24"/>
              </w:rPr>
              <w:t>Методик</w:t>
            </w:r>
            <w:r w:rsidR="008012F6">
              <w:rPr>
                <w:sz w:val="24"/>
                <w:szCs w:val="24"/>
              </w:rPr>
              <w:t xml:space="preserve">и </w:t>
            </w:r>
            <w:r w:rsidR="008012F6" w:rsidRPr="008012F6">
              <w:rPr>
                <w:sz w:val="24"/>
                <w:szCs w:val="24"/>
              </w:rPr>
              <w:t>визначення сум надлишково отриманого або недоотриманого доходу від здійснення ліцензованої діяльності з розподілу електричної енергії для операторів систем розподілу, які перейшли на стимулююче регулювання</w:t>
            </w:r>
          </w:p>
        </w:tc>
      </w:tr>
      <w:tr w:rsidR="00D454A2" w:rsidRPr="00C70889" w:rsidTr="00DB24AA">
        <w:trPr>
          <w:trHeight w:val="1252"/>
        </w:trPr>
        <w:tc>
          <w:tcPr>
            <w:tcW w:w="1247" w:type="pct"/>
          </w:tcPr>
          <w:p w:rsidR="00D454A2" w:rsidRPr="00C70889" w:rsidRDefault="00D454A2" w:rsidP="003032D0">
            <w:pPr>
              <w:rPr>
                <w:b/>
                <w:sz w:val="24"/>
                <w:szCs w:val="24"/>
              </w:rPr>
            </w:pPr>
            <w:r w:rsidRPr="00C70889">
              <w:rPr>
                <w:b/>
                <w:sz w:val="24"/>
                <w:szCs w:val="24"/>
              </w:rPr>
              <w:lastRenderedPageBreak/>
              <w:t xml:space="preserve">Альтернатива </w:t>
            </w:r>
            <w:r w:rsidR="0084657B">
              <w:rPr>
                <w:b/>
                <w:sz w:val="24"/>
                <w:szCs w:val="24"/>
              </w:rPr>
              <w:t>2</w:t>
            </w:r>
          </w:p>
          <w:p w:rsidR="00D454A2" w:rsidRDefault="00D454A2" w:rsidP="003032D0">
            <w:pPr>
              <w:rPr>
                <w:sz w:val="24"/>
                <w:szCs w:val="24"/>
              </w:rPr>
            </w:pPr>
            <w:r w:rsidRPr="00C70889">
              <w:rPr>
                <w:sz w:val="24"/>
                <w:szCs w:val="24"/>
              </w:rPr>
              <w:t>(обрана альтернатива)</w:t>
            </w:r>
          </w:p>
          <w:p w:rsidR="00D454A2" w:rsidRPr="00847546" w:rsidRDefault="00D454A2" w:rsidP="003032D0">
            <w:pPr>
              <w:rPr>
                <w:sz w:val="24"/>
                <w:szCs w:val="24"/>
              </w:rPr>
            </w:pPr>
          </w:p>
          <w:p w:rsidR="00D454A2" w:rsidRPr="00C70889" w:rsidRDefault="00847546" w:rsidP="003032D0">
            <w:pPr>
              <w:rPr>
                <w:sz w:val="24"/>
                <w:szCs w:val="24"/>
              </w:rPr>
            </w:pPr>
            <w:r w:rsidRPr="00847546">
              <w:rPr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847546">
              <w:rPr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3753" w:type="pct"/>
          </w:tcPr>
          <w:p w:rsidR="00D454A2" w:rsidRPr="00C70889" w:rsidRDefault="00D454A2" w:rsidP="008012F6">
            <w:pPr>
              <w:ind w:left="138" w:right="142"/>
              <w:jc w:val="both"/>
              <w:rPr>
                <w:sz w:val="24"/>
                <w:szCs w:val="24"/>
              </w:rPr>
            </w:pPr>
            <w:r w:rsidRPr="00C70889">
              <w:rPr>
                <w:sz w:val="24"/>
                <w:szCs w:val="24"/>
              </w:rPr>
              <w:t xml:space="preserve">Прийняття </w:t>
            </w:r>
            <w:r w:rsidRPr="00832E58">
              <w:rPr>
                <w:sz w:val="24"/>
                <w:szCs w:val="24"/>
              </w:rPr>
              <w:t>постанови HKPEKП «</w:t>
            </w:r>
            <w:r w:rsidR="0026440F" w:rsidRPr="0026440F">
              <w:rPr>
                <w:rStyle w:val="rvts23"/>
                <w:color w:val="000000"/>
                <w:sz w:val="24"/>
                <w:szCs w:val="24"/>
              </w:rPr>
              <w:t xml:space="preserve">Про </w:t>
            </w:r>
            <w:r w:rsidR="003F290A">
              <w:rPr>
                <w:rStyle w:val="rvts23"/>
                <w:color w:val="000000"/>
                <w:sz w:val="24"/>
                <w:szCs w:val="24"/>
              </w:rPr>
              <w:t>затвердження</w:t>
            </w:r>
            <w:r w:rsidR="0026440F" w:rsidRPr="0026440F">
              <w:rPr>
                <w:rStyle w:val="rvts23"/>
                <w:color w:val="000000"/>
                <w:sz w:val="24"/>
                <w:szCs w:val="24"/>
              </w:rPr>
              <w:t xml:space="preserve"> </w:t>
            </w:r>
            <w:r w:rsidR="003F290A">
              <w:rPr>
                <w:rStyle w:val="rvts23"/>
                <w:color w:val="000000"/>
                <w:sz w:val="24"/>
                <w:szCs w:val="24"/>
              </w:rPr>
              <w:t>З</w:t>
            </w:r>
            <w:r w:rsidR="0026440F" w:rsidRPr="0026440F">
              <w:rPr>
                <w:rStyle w:val="rvts23"/>
                <w:color w:val="000000"/>
                <w:sz w:val="24"/>
                <w:szCs w:val="24"/>
              </w:rPr>
      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      </w:r>
            <w:r w:rsidRPr="00832E58">
              <w:rPr>
                <w:sz w:val="24"/>
                <w:szCs w:val="24"/>
              </w:rPr>
              <w:t xml:space="preserve">» </w:t>
            </w:r>
            <w:r w:rsidR="00780454" w:rsidRPr="00832E58">
              <w:rPr>
                <w:sz w:val="24"/>
                <w:szCs w:val="24"/>
              </w:rPr>
              <w:t xml:space="preserve">дозволить </w:t>
            </w:r>
            <w:r w:rsidR="0059555F">
              <w:rPr>
                <w:sz w:val="24"/>
                <w:szCs w:val="24"/>
              </w:rPr>
              <w:t xml:space="preserve">у повній мірі </w:t>
            </w:r>
            <w:r w:rsidR="00780454" w:rsidRPr="00832E58">
              <w:rPr>
                <w:sz w:val="24"/>
                <w:szCs w:val="24"/>
              </w:rPr>
              <w:t xml:space="preserve">досягти </w:t>
            </w:r>
            <w:r w:rsidRPr="00832E58">
              <w:rPr>
                <w:sz w:val="24"/>
                <w:szCs w:val="24"/>
              </w:rPr>
              <w:t>ціл</w:t>
            </w:r>
            <w:r w:rsidR="00780454" w:rsidRPr="00832E58">
              <w:rPr>
                <w:sz w:val="24"/>
                <w:szCs w:val="24"/>
              </w:rPr>
              <w:t>ей</w:t>
            </w:r>
            <w:r w:rsidRPr="00832E58">
              <w:rPr>
                <w:sz w:val="24"/>
                <w:szCs w:val="24"/>
              </w:rPr>
              <w:t xml:space="preserve"> державного регулювання</w:t>
            </w:r>
          </w:p>
        </w:tc>
      </w:tr>
    </w:tbl>
    <w:p w:rsidR="0085062D" w:rsidRPr="00783BA9" w:rsidRDefault="0085062D" w:rsidP="00D454A2">
      <w:pPr>
        <w:pStyle w:val="a9"/>
        <w:tabs>
          <w:tab w:val="left" w:pos="1134"/>
        </w:tabs>
        <w:ind w:firstLine="0"/>
        <w:rPr>
          <w:sz w:val="28"/>
          <w:szCs w:val="28"/>
        </w:rPr>
      </w:pPr>
    </w:p>
    <w:p w:rsidR="00D454A2" w:rsidRPr="00783BA9" w:rsidRDefault="00D454A2" w:rsidP="00D454A2">
      <w:pPr>
        <w:pStyle w:val="a9"/>
        <w:numPr>
          <w:ilvl w:val="0"/>
          <w:numId w:val="2"/>
        </w:numPr>
        <w:tabs>
          <w:tab w:val="left" w:pos="1134"/>
        </w:tabs>
        <w:ind w:hanging="357"/>
        <w:rPr>
          <w:sz w:val="28"/>
          <w:szCs w:val="28"/>
        </w:rPr>
      </w:pPr>
      <w:r w:rsidRPr="00783BA9">
        <w:rPr>
          <w:sz w:val="28"/>
          <w:szCs w:val="28"/>
        </w:rPr>
        <w:t>Оцінка вибраних альтернативних способів досягнення</w:t>
      </w:r>
      <w:r w:rsidRPr="00783BA9">
        <w:rPr>
          <w:spacing w:val="47"/>
          <w:sz w:val="28"/>
          <w:szCs w:val="28"/>
        </w:rPr>
        <w:t xml:space="preserve"> </w:t>
      </w:r>
      <w:r w:rsidRPr="00783BA9">
        <w:rPr>
          <w:sz w:val="28"/>
          <w:szCs w:val="28"/>
        </w:rPr>
        <w:t>цілей</w:t>
      </w:r>
    </w:p>
    <w:p w:rsidR="00D454A2" w:rsidRPr="00783BA9" w:rsidRDefault="00D454A2" w:rsidP="00D454A2">
      <w:pPr>
        <w:pStyle w:val="a3"/>
        <w:spacing w:before="10"/>
      </w:pPr>
    </w:p>
    <w:p w:rsidR="00D454A2" w:rsidRPr="00783BA9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1" w:after="16"/>
        <w:ind w:hanging="360"/>
        <w:rPr>
          <w:sz w:val="28"/>
          <w:szCs w:val="28"/>
        </w:rPr>
      </w:pPr>
      <w:r w:rsidRPr="00783BA9">
        <w:rPr>
          <w:sz w:val="28"/>
          <w:szCs w:val="28"/>
        </w:rPr>
        <w:t>Оцінка впливу на сферу інтересів</w:t>
      </w:r>
      <w:r w:rsidRPr="00783BA9">
        <w:rPr>
          <w:spacing w:val="59"/>
          <w:sz w:val="28"/>
          <w:szCs w:val="28"/>
        </w:rPr>
        <w:t xml:space="preserve"> </w:t>
      </w:r>
      <w:r w:rsidRPr="00783BA9">
        <w:rPr>
          <w:sz w:val="28"/>
          <w:szCs w:val="28"/>
        </w:rPr>
        <w:t>держави:</w:t>
      </w:r>
    </w:p>
    <w:p w:rsidR="00D454A2" w:rsidRPr="00783BA9" w:rsidRDefault="00D454A2" w:rsidP="00D454A2">
      <w:pPr>
        <w:pStyle w:val="a9"/>
        <w:tabs>
          <w:tab w:val="left" w:pos="1134"/>
        </w:tabs>
        <w:spacing w:before="1" w:after="16"/>
        <w:ind w:firstLine="0"/>
        <w:rPr>
          <w:sz w:val="28"/>
          <w:szCs w:val="28"/>
        </w:rPr>
      </w:pPr>
    </w:p>
    <w:tbl>
      <w:tblPr>
        <w:tblStyle w:val="TableNormal"/>
        <w:tblW w:w="5000" w:type="pct"/>
        <w:tblBorders>
          <w:top w:val="single" w:sz="6" w:space="0" w:color="232323"/>
          <w:left w:val="single" w:sz="6" w:space="0" w:color="232323"/>
          <w:bottom w:val="single" w:sz="6" w:space="0" w:color="232323"/>
          <w:right w:val="single" w:sz="6" w:space="0" w:color="232323"/>
          <w:insideH w:val="single" w:sz="6" w:space="0" w:color="232323"/>
          <w:insideV w:val="single" w:sz="6" w:space="0" w:color="232323"/>
        </w:tblBorders>
        <w:tblLook w:val="01E0" w:firstRow="1" w:lastRow="1" w:firstColumn="1" w:lastColumn="1" w:noHBand="0" w:noVBand="0"/>
      </w:tblPr>
      <w:tblGrid>
        <w:gridCol w:w="2473"/>
        <w:gridCol w:w="3831"/>
        <w:gridCol w:w="3318"/>
      </w:tblGrid>
      <w:tr w:rsidR="00D454A2" w:rsidRPr="00C70889" w:rsidTr="00DB24AA">
        <w:trPr>
          <w:trHeight w:val="253"/>
        </w:trPr>
        <w:tc>
          <w:tcPr>
            <w:tcW w:w="1285" w:type="pct"/>
            <w:vAlign w:val="center"/>
          </w:tcPr>
          <w:p w:rsidR="00D454A2" w:rsidRPr="00C70889" w:rsidRDefault="00D454A2" w:rsidP="003032D0">
            <w:pPr>
              <w:jc w:val="center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>Вид альтернативи</w:t>
            </w:r>
          </w:p>
        </w:tc>
        <w:tc>
          <w:tcPr>
            <w:tcW w:w="1991" w:type="pct"/>
            <w:vAlign w:val="center"/>
          </w:tcPr>
          <w:p w:rsidR="00D454A2" w:rsidRPr="00C70889" w:rsidRDefault="00D454A2" w:rsidP="003032D0">
            <w:pPr>
              <w:jc w:val="center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>Вигоди</w:t>
            </w:r>
          </w:p>
        </w:tc>
        <w:tc>
          <w:tcPr>
            <w:tcW w:w="1724" w:type="pct"/>
            <w:vAlign w:val="center"/>
          </w:tcPr>
          <w:p w:rsidR="00D454A2" w:rsidRPr="00C70889" w:rsidRDefault="00D454A2" w:rsidP="003032D0">
            <w:pPr>
              <w:jc w:val="center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>Витрати</w:t>
            </w:r>
          </w:p>
        </w:tc>
      </w:tr>
      <w:tr w:rsidR="00D454A2" w:rsidRPr="00C70889" w:rsidTr="00DB24AA">
        <w:trPr>
          <w:trHeight w:val="1103"/>
        </w:trPr>
        <w:tc>
          <w:tcPr>
            <w:tcW w:w="1285" w:type="pct"/>
            <w:vAlign w:val="center"/>
          </w:tcPr>
          <w:p w:rsidR="00D454A2" w:rsidRDefault="00D454A2" w:rsidP="00640434">
            <w:pPr>
              <w:ind w:left="127" w:right="65"/>
              <w:jc w:val="both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>Альтернатива 1</w:t>
            </w:r>
          </w:p>
          <w:p w:rsidR="00D454A2" w:rsidRPr="00C70889" w:rsidRDefault="00D454A2" w:rsidP="00640434">
            <w:pPr>
              <w:ind w:left="127" w:right="65"/>
              <w:jc w:val="both"/>
              <w:rPr>
                <w:sz w:val="24"/>
              </w:rPr>
            </w:pPr>
            <w:r w:rsidRPr="00C70889">
              <w:rPr>
                <w:sz w:val="24"/>
              </w:rPr>
              <w:t>Збереження чинного регулювання</w:t>
            </w:r>
          </w:p>
        </w:tc>
        <w:tc>
          <w:tcPr>
            <w:tcW w:w="1991" w:type="pct"/>
            <w:vAlign w:val="center"/>
          </w:tcPr>
          <w:p w:rsidR="00D454A2" w:rsidRPr="00C70889" w:rsidRDefault="00D454A2" w:rsidP="003032D0">
            <w:pPr>
              <w:jc w:val="both"/>
              <w:rPr>
                <w:sz w:val="24"/>
              </w:rPr>
            </w:pPr>
            <w:r w:rsidRPr="00C70889">
              <w:rPr>
                <w:sz w:val="24"/>
              </w:rPr>
              <w:t>Відсутні</w:t>
            </w:r>
          </w:p>
        </w:tc>
        <w:tc>
          <w:tcPr>
            <w:tcW w:w="1724" w:type="pct"/>
            <w:vAlign w:val="center"/>
          </w:tcPr>
          <w:p w:rsidR="00D454A2" w:rsidRPr="00BA6957" w:rsidRDefault="00A57BC5" w:rsidP="00814DC2">
            <w:pPr>
              <w:ind w:left="65" w:right="142"/>
              <w:jc w:val="both"/>
              <w:rPr>
                <w:sz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Не </w:t>
            </w:r>
            <w:r w:rsidRPr="00C70889">
              <w:rPr>
                <w:sz w:val="24"/>
                <w:szCs w:val="24"/>
              </w:rPr>
              <w:t>забезпеч</w:t>
            </w:r>
            <w:r>
              <w:rPr>
                <w:sz w:val="24"/>
                <w:szCs w:val="24"/>
              </w:rPr>
              <w:t>ить</w:t>
            </w:r>
            <w:r w:rsidRPr="00C70889">
              <w:rPr>
                <w:sz w:val="24"/>
                <w:szCs w:val="24"/>
              </w:rPr>
              <w:t xml:space="preserve"> </w:t>
            </w:r>
            <w:r w:rsidR="00814DC2">
              <w:rPr>
                <w:sz w:val="24"/>
                <w:szCs w:val="24"/>
              </w:rPr>
              <w:t>використання НКРЕКП під час визначення суми штрафів</w:t>
            </w:r>
            <w:r w:rsidR="00814DC2" w:rsidRPr="00FC720A">
              <w:rPr>
                <w:sz w:val="24"/>
                <w:szCs w:val="24"/>
              </w:rPr>
              <w:t xml:space="preserve"> </w:t>
            </w:r>
            <w:r w:rsidR="00FC720A" w:rsidRPr="00FC720A">
              <w:rPr>
                <w:sz w:val="24"/>
                <w:szCs w:val="24"/>
              </w:rPr>
              <w:t>Методики розрахунку штрафних санкцій за порушення законодавства у сферах енергетики та комунальних послуг та відповідних ліцензійних умов та врахування операторам систем розподілу витрат електричної енергії за 2022 рік, пов’язаних з перевищенням фактичних економічних коефіцієнтів технологічних витрат електроенергії за 2022 рік від затверджених ЕКПТВЕ на 2022 рік, при розрахунку загальної суми отриманого/недоотриманого доходу від ліцензованої діяльності</w:t>
            </w:r>
          </w:p>
        </w:tc>
      </w:tr>
      <w:tr w:rsidR="00D454A2" w:rsidRPr="00C70889" w:rsidTr="00DB24AA">
        <w:trPr>
          <w:trHeight w:val="2010"/>
        </w:trPr>
        <w:tc>
          <w:tcPr>
            <w:tcW w:w="1285" w:type="pct"/>
            <w:vAlign w:val="center"/>
          </w:tcPr>
          <w:p w:rsidR="00D454A2" w:rsidRPr="00C70889" w:rsidRDefault="00D454A2" w:rsidP="00640434">
            <w:pPr>
              <w:ind w:left="127" w:right="65"/>
              <w:jc w:val="both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 xml:space="preserve">Альтернатива </w:t>
            </w:r>
            <w:r w:rsidR="00F6179F">
              <w:rPr>
                <w:b/>
                <w:sz w:val="24"/>
              </w:rPr>
              <w:t>2</w:t>
            </w:r>
          </w:p>
          <w:p w:rsidR="00D454A2" w:rsidRDefault="00D454A2" w:rsidP="00640434">
            <w:pPr>
              <w:ind w:left="127" w:right="65"/>
              <w:jc w:val="both"/>
              <w:rPr>
                <w:sz w:val="24"/>
              </w:rPr>
            </w:pPr>
            <w:r w:rsidRPr="00C70889">
              <w:rPr>
                <w:sz w:val="24"/>
              </w:rPr>
              <w:t xml:space="preserve">(обрана альтернатива) </w:t>
            </w:r>
          </w:p>
          <w:p w:rsidR="00D454A2" w:rsidRPr="003913E1" w:rsidRDefault="00D454A2" w:rsidP="00640434">
            <w:pPr>
              <w:ind w:left="127" w:right="65"/>
              <w:jc w:val="both"/>
              <w:rPr>
                <w:sz w:val="24"/>
                <w:lang w:val="ru-RU"/>
              </w:rPr>
            </w:pPr>
          </w:p>
          <w:p w:rsidR="00D454A2" w:rsidRPr="00C70889" w:rsidRDefault="00847546" w:rsidP="00640434">
            <w:pPr>
              <w:ind w:left="127" w:right="65"/>
              <w:jc w:val="both"/>
              <w:rPr>
                <w:sz w:val="24"/>
              </w:rPr>
            </w:pPr>
            <w:r w:rsidRPr="00847546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847546">
              <w:rPr>
                <w:sz w:val="24"/>
              </w:rPr>
              <w:t>акта</w:t>
            </w:r>
            <w:proofErr w:type="spellEnd"/>
          </w:p>
        </w:tc>
        <w:tc>
          <w:tcPr>
            <w:tcW w:w="1991" w:type="pct"/>
            <w:vAlign w:val="center"/>
          </w:tcPr>
          <w:p w:rsidR="00527E89" w:rsidRPr="00527E89" w:rsidRDefault="00527E89" w:rsidP="00527E89">
            <w:pPr>
              <w:ind w:left="77" w:right="63"/>
              <w:jc w:val="both"/>
              <w:rPr>
                <w:sz w:val="24"/>
              </w:rPr>
            </w:pPr>
            <w:r w:rsidRPr="00527E89">
              <w:rPr>
                <w:sz w:val="24"/>
              </w:rPr>
              <w:t>Дозволить зробити процес застосування штрафних санкцій ще більш прозорим, прогнозованим та відкритим.</w:t>
            </w:r>
          </w:p>
          <w:p w:rsidR="00D454A2" w:rsidRPr="001900F3" w:rsidRDefault="00527E89" w:rsidP="00527E89">
            <w:pPr>
              <w:ind w:left="77" w:right="63"/>
              <w:jc w:val="both"/>
              <w:rPr>
                <w:sz w:val="24"/>
                <w:szCs w:val="24"/>
              </w:rPr>
            </w:pPr>
            <w:r w:rsidRPr="00527E89">
              <w:rPr>
                <w:sz w:val="24"/>
              </w:rPr>
              <w:t>Дозволить забезпечити підвищення енергетичної безпеки та паритетності</w:t>
            </w:r>
          </w:p>
        </w:tc>
        <w:tc>
          <w:tcPr>
            <w:tcW w:w="1724" w:type="pct"/>
            <w:vAlign w:val="center"/>
          </w:tcPr>
          <w:p w:rsidR="00D454A2" w:rsidRPr="00C70889" w:rsidRDefault="00D454A2" w:rsidP="00670ABE">
            <w:pPr>
              <w:ind w:left="65"/>
              <w:jc w:val="both"/>
              <w:rPr>
                <w:sz w:val="24"/>
              </w:rPr>
            </w:pPr>
            <w:r w:rsidRPr="00C70889">
              <w:rPr>
                <w:sz w:val="24"/>
              </w:rPr>
              <w:t>Відсутні</w:t>
            </w:r>
          </w:p>
        </w:tc>
      </w:tr>
    </w:tbl>
    <w:p w:rsidR="00BF152E" w:rsidRPr="00783BA9" w:rsidRDefault="00BF152E" w:rsidP="00D454A2">
      <w:pPr>
        <w:pStyle w:val="a3"/>
        <w:spacing w:before="9"/>
      </w:pPr>
    </w:p>
    <w:p w:rsidR="00D454A2" w:rsidRPr="000A23CF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88"/>
        <w:ind w:hanging="357"/>
        <w:rPr>
          <w:sz w:val="28"/>
        </w:rPr>
      </w:pPr>
      <w:r w:rsidRPr="000A23CF">
        <w:rPr>
          <w:sz w:val="28"/>
        </w:rPr>
        <w:t>Оцінка впливу на сферу інтересів</w:t>
      </w:r>
      <w:r w:rsidRPr="000A23CF">
        <w:rPr>
          <w:spacing w:val="51"/>
          <w:sz w:val="28"/>
        </w:rPr>
        <w:t xml:space="preserve"> </w:t>
      </w:r>
      <w:r w:rsidRPr="000A23CF">
        <w:rPr>
          <w:sz w:val="28"/>
        </w:rPr>
        <w:t>громадян:</w:t>
      </w:r>
    </w:p>
    <w:p w:rsidR="00D454A2" w:rsidRPr="00E528D5" w:rsidRDefault="00D454A2" w:rsidP="00D454A2">
      <w:pPr>
        <w:pStyle w:val="a3"/>
        <w:spacing w:before="4"/>
      </w:pPr>
    </w:p>
    <w:tbl>
      <w:tblPr>
        <w:tblStyle w:val="TableNormal"/>
        <w:tblW w:w="5000" w:type="pct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ook w:val="01E0" w:firstRow="1" w:lastRow="1" w:firstColumn="1" w:lastColumn="1" w:noHBand="0" w:noVBand="0"/>
      </w:tblPr>
      <w:tblGrid>
        <w:gridCol w:w="2505"/>
        <w:gridCol w:w="4003"/>
        <w:gridCol w:w="3114"/>
      </w:tblGrid>
      <w:tr w:rsidR="00D454A2" w:rsidRPr="00C70889" w:rsidTr="00A7751E">
        <w:trPr>
          <w:trHeight w:val="263"/>
        </w:trPr>
        <w:tc>
          <w:tcPr>
            <w:tcW w:w="1302" w:type="pct"/>
            <w:vAlign w:val="center"/>
          </w:tcPr>
          <w:p w:rsidR="00D454A2" w:rsidRPr="00C70889" w:rsidRDefault="00D454A2" w:rsidP="003032D0">
            <w:pPr>
              <w:jc w:val="center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lastRenderedPageBreak/>
              <w:t>Вид альтернативи</w:t>
            </w:r>
          </w:p>
        </w:tc>
        <w:tc>
          <w:tcPr>
            <w:tcW w:w="2080" w:type="pct"/>
            <w:vAlign w:val="center"/>
          </w:tcPr>
          <w:p w:rsidR="00D454A2" w:rsidRPr="00C70889" w:rsidRDefault="00D454A2" w:rsidP="003032D0">
            <w:pPr>
              <w:jc w:val="center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>Вигоди</w:t>
            </w:r>
          </w:p>
        </w:tc>
        <w:tc>
          <w:tcPr>
            <w:tcW w:w="1618" w:type="pct"/>
            <w:vAlign w:val="center"/>
          </w:tcPr>
          <w:p w:rsidR="00D454A2" w:rsidRPr="00C70889" w:rsidRDefault="00D454A2" w:rsidP="003032D0">
            <w:pPr>
              <w:jc w:val="center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>Витрати</w:t>
            </w:r>
          </w:p>
        </w:tc>
      </w:tr>
      <w:tr w:rsidR="00847546" w:rsidRPr="00C70889" w:rsidTr="00A7751E">
        <w:trPr>
          <w:trHeight w:val="753"/>
        </w:trPr>
        <w:tc>
          <w:tcPr>
            <w:tcW w:w="1302" w:type="pct"/>
            <w:vAlign w:val="center"/>
          </w:tcPr>
          <w:p w:rsidR="00847546" w:rsidRDefault="00847546" w:rsidP="00847546">
            <w:pPr>
              <w:jc w:val="both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>Альтернатива 1</w:t>
            </w:r>
          </w:p>
          <w:p w:rsidR="00847546" w:rsidRPr="00C70889" w:rsidRDefault="00847546" w:rsidP="00847546">
            <w:pPr>
              <w:jc w:val="both"/>
              <w:rPr>
                <w:sz w:val="24"/>
              </w:rPr>
            </w:pPr>
            <w:r w:rsidRPr="00C70889">
              <w:rPr>
                <w:sz w:val="24"/>
              </w:rPr>
              <w:t>Збереження чинного регулювання</w:t>
            </w:r>
          </w:p>
        </w:tc>
        <w:tc>
          <w:tcPr>
            <w:tcW w:w="2080" w:type="pct"/>
            <w:vAlign w:val="center"/>
          </w:tcPr>
          <w:p w:rsidR="00847546" w:rsidRPr="00C70889" w:rsidRDefault="00847546" w:rsidP="00847546">
            <w:pPr>
              <w:rPr>
                <w:sz w:val="24"/>
              </w:rPr>
            </w:pPr>
            <w:r w:rsidRPr="00C70889">
              <w:rPr>
                <w:sz w:val="24"/>
              </w:rPr>
              <w:t>Відсутні</w:t>
            </w:r>
          </w:p>
        </w:tc>
        <w:tc>
          <w:tcPr>
            <w:tcW w:w="1618" w:type="pct"/>
            <w:vAlign w:val="center"/>
          </w:tcPr>
          <w:p w:rsidR="00847546" w:rsidRPr="00C70889" w:rsidRDefault="004A1320" w:rsidP="00847546">
            <w:pPr>
              <w:rPr>
                <w:sz w:val="24"/>
              </w:rPr>
            </w:pPr>
            <w:r w:rsidRPr="00C70889">
              <w:rPr>
                <w:sz w:val="24"/>
              </w:rPr>
              <w:t>Відсутні</w:t>
            </w:r>
          </w:p>
        </w:tc>
      </w:tr>
      <w:tr w:rsidR="00847546" w:rsidRPr="00C70889" w:rsidTr="00A7751E">
        <w:trPr>
          <w:trHeight w:val="751"/>
        </w:trPr>
        <w:tc>
          <w:tcPr>
            <w:tcW w:w="1302" w:type="pct"/>
            <w:vAlign w:val="center"/>
          </w:tcPr>
          <w:p w:rsidR="00847546" w:rsidRPr="00C70889" w:rsidRDefault="00847546" w:rsidP="00847546">
            <w:pPr>
              <w:jc w:val="both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 xml:space="preserve">Альтернатива </w:t>
            </w:r>
            <w:r w:rsidR="00E81FBA">
              <w:rPr>
                <w:b/>
                <w:sz w:val="24"/>
              </w:rPr>
              <w:t>2</w:t>
            </w:r>
          </w:p>
          <w:p w:rsidR="00847546" w:rsidRDefault="00847546" w:rsidP="00847546">
            <w:pPr>
              <w:jc w:val="both"/>
              <w:rPr>
                <w:sz w:val="24"/>
              </w:rPr>
            </w:pPr>
            <w:r w:rsidRPr="00C70889">
              <w:rPr>
                <w:sz w:val="24"/>
              </w:rPr>
              <w:t xml:space="preserve">(обрана альтернатива) </w:t>
            </w:r>
          </w:p>
          <w:p w:rsidR="00847546" w:rsidRPr="000E7BA1" w:rsidRDefault="00847546" w:rsidP="00847546">
            <w:pPr>
              <w:jc w:val="both"/>
              <w:rPr>
                <w:sz w:val="14"/>
              </w:rPr>
            </w:pPr>
          </w:p>
          <w:p w:rsidR="00847546" w:rsidRPr="00C70889" w:rsidRDefault="00847546" w:rsidP="00847546">
            <w:pPr>
              <w:jc w:val="both"/>
              <w:rPr>
                <w:sz w:val="24"/>
              </w:rPr>
            </w:pPr>
            <w:r w:rsidRPr="00847546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847546">
              <w:rPr>
                <w:sz w:val="24"/>
              </w:rPr>
              <w:t>акта</w:t>
            </w:r>
            <w:proofErr w:type="spellEnd"/>
          </w:p>
        </w:tc>
        <w:tc>
          <w:tcPr>
            <w:tcW w:w="2080" w:type="pct"/>
            <w:vAlign w:val="center"/>
          </w:tcPr>
          <w:p w:rsidR="00847546" w:rsidRPr="00C450FD" w:rsidRDefault="00C52F1A" w:rsidP="00847546">
            <w:pPr>
              <w:ind w:right="229"/>
              <w:jc w:val="both"/>
              <w:rPr>
                <w:sz w:val="24"/>
              </w:rPr>
            </w:pPr>
            <w:r w:rsidRPr="00C70889">
              <w:rPr>
                <w:sz w:val="24"/>
              </w:rPr>
              <w:t>Відсутні</w:t>
            </w:r>
          </w:p>
        </w:tc>
        <w:tc>
          <w:tcPr>
            <w:tcW w:w="1618" w:type="pct"/>
            <w:vAlign w:val="center"/>
          </w:tcPr>
          <w:p w:rsidR="00847546" w:rsidRPr="00C70889" w:rsidRDefault="00847546" w:rsidP="00847546">
            <w:pPr>
              <w:rPr>
                <w:sz w:val="24"/>
              </w:rPr>
            </w:pPr>
            <w:r w:rsidRPr="00C70889">
              <w:rPr>
                <w:sz w:val="24"/>
              </w:rPr>
              <w:t>Відсутні</w:t>
            </w:r>
          </w:p>
        </w:tc>
      </w:tr>
    </w:tbl>
    <w:p w:rsidR="00D454A2" w:rsidRPr="00783BA9" w:rsidRDefault="00D454A2" w:rsidP="00D454A2">
      <w:pPr>
        <w:pStyle w:val="a3"/>
        <w:spacing w:before="9"/>
      </w:pPr>
    </w:p>
    <w:p w:rsidR="00D454A2" w:rsidRPr="00783BA9" w:rsidRDefault="00D454A2" w:rsidP="00D454A2">
      <w:pPr>
        <w:pStyle w:val="a9"/>
        <w:numPr>
          <w:ilvl w:val="0"/>
          <w:numId w:val="1"/>
        </w:numPr>
        <w:tabs>
          <w:tab w:val="left" w:pos="1134"/>
        </w:tabs>
        <w:spacing w:before="88"/>
        <w:ind w:hanging="358"/>
        <w:rPr>
          <w:sz w:val="28"/>
          <w:szCs w:val="28"/>
        </w:rPr>
      </w:pPr>
      <w:r w:rsidRPr="00783BA9">
        <w:rPr>
          <w:sz w:val="28"/>
          <w:szCs w:val="28"/>
        </w:rPr>
        <w:t xml:space="preserve">Оцінка впливу на сферу інтересів </w:t>
      </w:r>
      <w:proofErr w:type="spellStart"/>
      <w:r w:rsidRPr="00783BA9">
        <w:rPr>
          <w:sz w:val="28"/>
          <w:szCs w:val="28"/>
        </w:rPr>
        <w:t>cyб</w:t>
      </w:r>
      <w:proofErr w:type="spellEnd"/>
      <w:r w:rsidR="00473687" w:rsidRPr="00783BA9">
        <w:rPr>
          <w:sz w:val="28"/>
          <w:szCs w:val="28"/>
          <w:lang w:val="ru-RU"/>
        </w:rPr>
        <w:t>’</w:t>
      </w:r>
      <w:proofErr w:type="spellStart"/>
      <w:r w:rsidRPr="00783BA9">
        <w:rPr>
          <w:sz w:val="28"/>
          <w:szCs w:val="28"/>
        </w:rPr>
        <w:t>єктів</w:t>
      </w:r>
      <w:proofErr w:type="spellEnd"/>
      <w:r w:rsidRPr="00783BA9">
        <w:rPr>
          <w:spacing w:val="53"/>
          <w:sz w:val="28"/>
          <w:szCs w:val="28"/>
        </w:rPr>
        <w:t xml:space="preserve"> </w:t>
      </w:r>
      <w:r w:rsidRPr="00783BA9">
        <w:rPr>
          <w:sz w:val="28"/>
          <w:szCs w:val="28"/>
        </w:rPr>
        <w:t>господарювання:</w:t>
      </w:r>
    </w:p>
    <w:p w:rsidR="00D454A2" w:rsidRPr="00783BA9" w:rsidRDefault="00D454A2" w:rsidP="00D454A2">
      <w:pPr>
        <w:pStyle w:val="a3"/>
      </w:pPr>
    </w:p>
    <w:tbl>
      <w:tblPr>
        <w:tblStyle w:val="TableNormal"/>
        <w:tblW w:w="5000" w:type="pct"/>
        <w:tblBorders>
          <w:top w:val="single" w:sz="6" w:space="0" w:color="131313"/>
          <w:left w:val="single" w:sz="6" w:space="0" w:color="131313"/>
          <w:bottom w:val="single" w:sz="6" w:space="0" w:color="131313"/>
          <w:right w:val="single" w:sz="6" w:space="0" w:color="131313"/>
          <w:insideH w:val="single" w:sz="6" w:space="0" w:color="131313"/>
          <w:insideV w:val="single" w:sz="6" w:space="0" w:color="131313"/>
        </w:tblBorders>
        <w:tblLook w:val="01E0" w:firstRow="1" w:lastRow="1" w:firstColumn="1" w:lastColumn="1" w:noHBand="0" w:noVBand="0"/>
      </w:tblPr>
      <w:tblGrid>
        <w:gridCol w:w="2505"/>
        <w:gridCol w:w="3880"/>
        <w:gridCol w:w="3237"/>
      </w:tblGrid>
      <w:tr w:rsidR="00D454A2" w:rsidRPr="000E7BA1" w:rsidTr="002B2E21">
        <w:trPr>
          <w:trHeight w:val="258"/>
        </w:trPr>
        <w:tc>
          <w:tcPr>
            <w:tcW w:w="1302" w:type="pct"/>
            <w:vAlign w:val="center"/>
          </w:tcPr>
          <w:p w:rsidR="00D454A2" w:rsidRPr="000E7BA1" w:rsidRDefault="00D454A2" w:rsidP="003032D0">
            <w:pPr>
              <w:jc w:val="center"/>
              <w:rPr>
                <w:b/>
                <w:sz w:val="24"/>
              </w:rPr>
            </w:pPr>
            <w:r w:rsidRPr="000E7BA1">
              <w:rPr>
                <w:b/>
                <w:sz w:val="24"/>
              </w:rPr>
              <w:t>Вид альтернативи</w:t>
            </w:r>
          </w:p>
        </w:tc>
        <w:tc>
          <w:tcPr>
            <w:tcW w:w="2016" w:type="pct"/>
            <w:vAlign w:val="center"/>
          </w:tcPr>
          <w:p w:rsidR="00D454A2" w:rsidRPr="000E7BA1" w:rsidRDefault="00D454A2" w:rsidP="003032D0">
            <w:pPr>
              <w:jc w:val="center"/>
              <w:rPr>
                <w:b/>
                <w:sz w:val="24"/>
              </w:rPr>
            </w:pPr>
            <w:r w:rsidRPr="000E7BA1">
              <w:rPr>
                <w:b/>
                <w:sz w:val="24"/>
              </w:rPr>
              <w:t>Вигоди</w:t>
            </w:r>
          </w:p>
        </w:tc>
        <w:tc>
          <w:tcPr>
            <w:tcW w:w="1682" w:type="pct"/>
            <w:vAlign w:val="center"/>
          </w:tcPr>
          <w:p w:rsidR="00D454A2" w:rsidRPr="000E7BA1" w:rsidRDefault="00D454A2" w:rsidP="003032D0">
            <w:pPr>
              <w:jc w:val="center"/>
              <w:rPr>
                <w:b/>
                <w:sz w:val="24"/>
              </w:rPr>
            </w:pPr>
            <w:r w:rsidRPr="000E7BA1">
              <w:rPr>
                <w:b/>
                <w:sz w:val="24"/>
              </w:rPr>
              <w:t>Витрати</w:t>
            </w:r>
          </w:p>
        </w:tc>
      </w:tr>
      <w:tr w:rsidR="00847546" w:rsidRPr="000E7BA1" w:rsidTr="002B2E21">
        <w:trPr>
          <w:trHeight w:val="757"/>
        </w:trPr>
        <w:tc>
          <w:tcPr>
            <w:tcW w:w="1302" w:type="pct"/>
            <w:vAlign w:val="center"/>
          </w:tcPr>
          <w:p w:rsidR="00847546" w:rsidRDefault="00847546" w:rsidP="001B35D7">
            <w:pPr>
              <w:ind w:left="127" w:right="95"/>
              <w:jc w:val="both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>Альтернатива 1</w:t>
            </w:r>
          </w:p>
          <w:p w:rsidR="00847546" w:rsidRPr="00C70889" w:rsidRDefault="00847546" w:rsidP="001B35D7">
            <w:pPr>
              <w:ind w:left="127" w:right="95"/>
              <w:jc w:val="both"/>
              <w:rPr>
                <w:sz w:val="24"/>
              </w:rPr>
            </w:pPr>
            <w:r w:rsidRPr="00C70889">
              <w:rPr>
                <w:sz w:val="24"/>
              </w:rPr>
              <w:t>Збереження чинного регулювання</w:t>
            </w:r>
          </w:p>
        </w:tc>
        <w:tc>
          <w:tcPr>
            <w:tcW w:w="2016" w:type="pct"/>
            <w:vAlign w:val="center"/>
          </w:tcPr>
          <w:p w:rsidR="00847546" w:rsidRPr="00C450FD" w:rsidRDefault="00847546" w:rsidP="00152CDC">
            <w:pPr>
              <w:ind w:left="175" w:right="153"/>
              <w:rPr>
                <w:sz w:val="24"/>
              </w:rPr>
            </w:pPr>
            <w:r w:rsidRPr="00C450FD">
              <w:rPr>
                <w:sz w:val="24"/>
              </w:rPr>
              <w:t>Відсутні</w:t>
            </w:r>
          </w:p>
        </w:tc>
        <w:tc>
          <w:tcPr>
            <w:tcW w:w="1682" w:type="pct"/>
            <w:vAlign w:val="center"/>
          </w:tcPr>
          <w:p w:rsidR="00847546" w:rsidRPr="00783BA9" w:rsidRDefault="001B35D7" w:rsidP="00814DC2">
            <w:pPr>
              <w:ind w:left="131" w:right="133"/>
              <w:rPr>
                <w:sz w:val="24"/>
              </w:rPr>
            </w:pPr>
            <w:r w:rsidRPr="001B35D7">
              <w:rPr>
                <w:sz w:val="24"/>
                <w:szCs w:val="24"/>
              </w:rPr>
              <w:t xml:space="preserve">Не забезпечить </w:t>
            </w:r>
            <w:r w:rsidR="00814DC2" w:rsidRPr="00814DC2">
              <w:rPr>
                <w:sz w:val="24"/>
                <w:szCs w:val="24"/>
              </w:rPr>
              <w:t>використання НКРЕКП під час визначення суми штрафів</w:t>
            </w:r>
            <w:r w:rsidR="00814DC2" w:rsidRPr="00814DC2" w:rsidDel="00814DC2">
              <w:rPr>
                <w:sz w:val="24"/>
                <w:szCs w:val="24"/>
              </w:rPr>
              <w:t xml:space="preserve"> </w:t>
            </w:r>
            <w:r w:rsidRPr="001B35D7">
              <w:rPr>
                <w:sz w:val="24"/>
                <w:szCs w:val="24"/>
              </w:rPr>
              <w:t>Методики розрахунку штрафних санкцій за порушення законодавства у сферах енергетики та комунальних послуг та відповідних ліцензійних умов та врахування операторам систем розподілу витрат електричної енергії за 2022 рік, пов’язаних з перевищенням фактичних економічних коефіцієнтів технологічних витрат електроенергії за 2022 рік від затверджених ЕКПТВЕ на 2022 рік, при розрахунку загальної суми отриманого/недоотриманого доходу від ліцензованої діяльності</w:t>
            </w:r>
          </w:p>
        </w:tc>
      </w:tr>
      <w:tr w:rsidR="00847546" w:rsidRPr="000E7BA1" w:rsidTr="002B2E21">
        <w:trPr>
          <w:trHeight w:val="1506"/>
        </w:trPr>
        <w:tc>
          <w:tcPr>
            <w:tcW w:w="1302" w:type="pct"/>
            <w:vAlign w:val="center"/>
          </w:tcPr>
          <w:p w:rsidR="00847546" w:rsidRPr="00C70889" w:rsidRDefault="00847546" w:rsidP="001B35D7">
            <w:pPr>
              <w:ind w:left="127" w:right="95"/>
              <w:jc w:val="both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 xml:space="preserve">Альтернатива </w:t>
            </w:r>
            <w:r w:rsidR="000063E0">
              <w:rPr>
                <w:b/>
                <w:sz w:val="24"/>
              </w:rPr>
              <w:t>2</w:t>
            </w:r>
          </w:p>
          <w:p w:rsidR="00847546" w:rsidRDefault="00847546" w:rsidP="001B35D7">
            <w:pPr>
              <w:ind w:left="127" w:right="95"/>
              <w:jc w:val="both"/>
              <w:rPr>
                <w:sz w:val="24"/>
              </w:rPr>
            </w:pPr>
            <w:r w:rsidRPr="00C70889">
              <w:rPr>
                <w:sz w:val="24"/>
              </w:rPr>
              <w:t>(обрана альтернатива)</w:t>
            </w:r>
          </w:p>
          <w:p w:rsidR="00847546" w:rsidRPr="00152CDC" w:rsidRDefault="00847546" w:rsidP="001B35D7">
            <w:pPr>
              <w:ind w:left="127" w:right="95"/>
              <w:jc w:val="both"/>
              <w:rPr>
                <w:sz w:val="24"/>
              </w:rPr>
            </w:pPr>
          </w:p>
          <w:p w:rsidR="00847546" w:rsidRPr="00C70889" w:rsidRDefault="00847546" w:rsidP="001B35D7">
            <w:pPr>
              <w:ind w:left="127" w:right="95"/>
              <w:jc w:val="both"/>
              <w:rPr>
                <w:sz w:val="24"/>
              </w:rPr>
            </w:pPr>
            <w:r w:rsidRPr="00847546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847546">
              <w:rPr>
                <w:sz w:val="24"/>
              </w:rPr>
              <w:t>акта</w:t>
            </w:r>
            <w:proofErr w:type="spellEnd"/>
          </w:p>
        </w:tc>
        <w:tc>
          <w:tcPr>
            <w:tcW w:w="2016" w:type="pct"/>
            <w:vAlign w:val="center"/>
          </w:tcPr>
          <w:p w:rsidR="001B35D7" w:rsidRPr="001B35D7" w:rsidRDefault="001B35D7" w:rsidP="00152CDC">
            <w:pPr>
              <w:ind w:left="175" w:right="153"/>
              <w:jc w:val="both"/>
              <w:rPr>
                <w:sz w:val="24"/>
              </w:rPr>
            </w:pPr>
            <w:r w:rsidRPr="001B35D7">
              <w:rPr>
                <w:sz w:val="24"/>
              </w:rPr>
              <w:t>Дозволить зробити процес застосування штрафних санкцій ще більш прозорим, прогнозованим та відкритим.</w:t>
            </w:r>
          </w:p>
          <w:p w:rsidR="00847546" w:rsidRPr="00C450FD" w:rsidRDefault="001B35D7" w:rsidP="00152CDC">
            <w:pPr>
              <w:ind w:left="175" w:right="153"/>
              <w:jc w:val="both"/>
              <w:rPr>
                <w:sz w:val="24"/>
              </w:rPr>
            </w:pPr>
            <w:r w:rsidRPr="001B35D7">
              <w:rPr>
                <w:sz w:val="24"/>
              </w:rPr>
              <w:t>Дозволить забезпечити підвищення енергетичної безпеки та паритетності</w:t>
            </w:r>
          </w:p>
        </w:tc>
        <w:tc>
          <w:tcPr>
            <w:tcW w:w="1682" w:type="pct"/>
            <w:vAlign w:val="center"/>
          </w:tcPr>
          <w:p w:rsidR="00847546" w:rsidRPr="00C450FD" w:rsidRDefault="00847546" w:rsidP="001B35D7">
            <w:pPr>
              <w:ind w:left="131" w:right="133"/>
              <w:jc w:val="both"/>
              <w:rPr>
                <w:sz w:val="24"/>
              </w:rPr>
            </w:pPr>
            <w:r w:rsidRPr="00C450FD">
              <w:rPr>
                <w:sz w:val="24"/>
              </w:rPr>
              <w:t>Відсутні</w:t>
            </w:r>
          </w:p>
        </w:tc>
      </w:tr>
    </w:tbl>
    <w:p w:rsidR="00D454A2" w:rsidRPr="0085062D" w:rsidRDefault="00D454A2" w:rsidP="00D454A2">
      <w:pPr>
        <w:pStyle w:val="a3"/>
      </w:pPr>
    </w:p>
    <w:p w:rsidR="00D454A2" w:rsidRDefault="00D454A2" w:rsidP="00D454A2">
      <w:pPr>
        <w:pStyle w:val="a3"/>
        <w:numPr>
          <w:ilvl w:val="1"/>
          <w:numId w:val="3"/>
        </w:numPr>
        <w:spacing w:before="1"/>
        <w:jc w:val="center"/>
        <w:rPr>
          <w:b/>
          <w:bCs/>
          <w:shd w:val="clear" w:color="auto" w:fill="FFFFFF"/>
        </w:rPr>
      </w:pPr>
      <w:r w:rsidRPr="00C15955">
        <w:rPr>
          <w:b/>
          <w:bCs/>
          <w:shd w:val="clear" w:color="auto" w:fill="FFFFFF"/>
        </w:rPr>
        <w:t>Вибір найбільш оптимального</w:t>
      </w:r>
    </w:p>
    <w:p w:rsidR="00D454A2" w:rsidRDefault="00D454A2" w:rsidP="00D454A2">
      <w:pPr>
        <w:pStyle w:val="a3"/>
        <w:spacing w:before="1"/>
        <w:ind w:left="362"/>
        <w:jc w:val="center"/>
        <w:rPr>
          <w:b/>
          <w:bCs/>
          <w:shd w:val="clear" w:color="auto" w:fill="FFFFFF"/>
        </w:rPr>
      </w:pPr>
      <w:r w:rsidRPr="00C15955">
        <w:rPr>
          <w:b/>
          <w:bCs/>
          <w:shd w:val="clear" w:color="auto" w:fill="FFFFFF"/>
        </w:rPr>
        <w:t>альтернативного способу досягнення цілей</w:t>
      </w:r>
    </w:p>
    <w:p w:rsidR="00D454A2" w:rsidRPr="00C15955" w:rsidRDefault="00D454A2" w:rsidP="00D454A2">
      <w:pPr>
        <w:pStyle w:val="a3"/>
        <w:spacing w:before="1"/>
        <w:ind w:left="3725"/>
        <w:rPr>
          <w:sz w:val="27"/>
        </w:rPr>
      </w:pPr>
    </w:p>
    <w:p w:rsidR="00D454A2" w:rsidRPr="000A23CF" w:rsidRDefault="00D454A2" w:rsidP="00D454A2">
      <w:pPr>
        <w:pStyle w:val="a3"/>
        <w:ind w:left="235" w:right="144" w:firstLine="706"/>
        <w:jc w:val="both"/>
      </w:pPr>
      <w:r w:rsidRPr="000A23CF">
        <w:t>Нижченаведеними табличними даними ілюстру</w:t>
      </w:r>
      <w:r w:rsidR="007E4C23">
        <w:t>є</w:t>
      </w:r>
      <w:r w:rsidRPr="000A23CF">
        <w:t xml:space="preserve">ться оцінка </w:t>
      </w:r>
      <w:r w:rsidRPr="000A23CF">
        <w:lastRenderedPageBreak/>
        <w:t>альтернативного способу досягнення цілей, розрахована за допомогою системи бальної оцінки ступеня досягнення визначених цілей,</w:t>
      </w:r>
    </w:p>
    <w:p w:rsidR="00D454A2" w:rsidRPr="000A23CF" w:rsidRDefault="00D454A2" w:rsidP="00D454A2">
      <w:pPr>
        <w:pStyle w:val="a3"/>
        <w:spacing w:line="242" w:lineRule="auto"/>
        <w:ind w:left="234" w:right="144" w:firstLine="707"/>
        <w:jc w:val="both"/>
      </w:pPr>
      <w:r w:rsidRPr="000A23CF">
        <w:t xml:space="preserve">4 </w:t>
      </w:r>
      <w:r w:rsidRPr="000A23CF">
        <w:rPr>
          <w:w w:val="90"/>
        </w:rPr>
        <w:t xml:space="preserve">— </w:t>
      </w:r>
      <w:r w:rsidRPr="000A23CF">
        <w:t>цілі прийняття регуляторного акта, які можуть бути досягнуті повною мірою (проблема більше існувати не</w:t>
      </w:r>
      <w:r w:rsidRPr="000A23CF">
        <w:rPr>
          <w:spacing w:val="61"/>
        </w:rPr>
        <w:t xml:space="preserve"> </w:t>
      </w:r>
      <w:r w:rsidRPr="000A23CF">
        <w:t>буде);</w:t>
      </w:r>
    </w:p>
    <w:p w:rsidR="00D454A2" w:rsidRPr="000A23CF" w:rsidRDefault="00D454A2" w:rsidP="00D454A2">
      <w:pPr>
        <w:pStyle w:val="a3"/>
        <w:ind w:left="239" w:right="148" w:firstLine="705"/>
        <w:jc w:val="both"/>
      </w:pPr>
      <w:r w:rsidRPr="000A23CF">
        <w:t xml:space="preserve">3 </w:t>
      </w:r>
      <w:r w:rsidRPr="000A23CF">
        <w:rPr>
          <w:w w:val="90"/>
        </w:rPr>
        <w:t xml:space="preserve">— </w:t>
      </w:r>
      <w:r w:rsidRPr="000A23CF">
        <w:t>цілі прийняття регуляторного акта, які можуть бути досягнуті майже повною мірою (</w:t>
      </w:r>
      <w:proofErr w:type="spellStart"/>
      <w:r w:rsidRPr="000A23CF">
        <w:t>yci</w:t>
      </w:r>
      <w:proofErr w:type="spellEnd"/>
      <w:r w:rsidRPr="000A23CF">
        <w:t xml:space="preserve"> важливі аспекти проблеми існувати не будуть);</w:t>
      </w:r>
    </w:p>
    <w:p w:rsidR="00D454A2" w:rsidRPr="000A23CF" w:rsidRDefault="00D454A2" w:rsidP="00D454A2">
      <w:pPr>
        <w:pStyle w:val="a3"/>
        <w:spacing w:line="237" w:lineRule="auto"/>
        <w:ind w:left="234" w:right="147" w:firstLine="711"/>
        <w:jc w:val="both"/>
      </w:pPr>
      <w:r w:rsidRPr="000A23CF">
        <w:t xml:space="preserve">2 </w:t>
      </w:r>
      <w:r w:rsidRPr="000A23CF">
        <w:rPr>
          <w:w w:val="90"/>
        </w:rPr>
        <w:t xml:space="preserve">— </w:t>
      </w:r>
      <w:r w:rsidRPr="000A23CF">
        <w:t>цілі прийняття регуляторного акта, які можуть бути досягнуті частково (проблема значно зменшиться, деякі важливі та критичні аспекти проблеми залишаться невирішеними);</w:t>
      </w:r>
    </w:p>
    <w:p w:rsidR="00D454A2" w:rsidRPr="000A23CF" w:rsidRDefault="00D454A2" w:rsidP="00D454A2">
      <w:pPr>
        <w:pStyle w:val="a3"/>
        <w:spacing w:line="242" w:lineRule="auto"/>
        <w:ind w:left="234" w:right="160" w:firstLine="708"/>
        <w:jc w:val="both"/>
      </w:pPr>
      <w:r w:rsidRPr="000A23CF">
        <w:t xml:space="preserve">1 </w:t>
      </w:r>
      <w:r w:rsidRPr="000A23CF">
        <w:rPr>
          <w:w w:val="90"/>
        </w:rPr>
        <w:t xml:space="preserve">— </w:t>
      </w:r>
      <w:r w:rsidRPr="000A23CF">
        <w:t>цілі прийняття регуляторного акта, які не можуть бути досягнуті (проблема продовжує існувати).</w:t>
      </w:r>
    </w:p>
    <w:p w:rsidR="00772360" w:rsidRPr="00C15955" w:rsidRDefault="00772360" w:rsidP="00D454A2">
      <w:pPr>
        <w:pStyle w:val="a3"/>
        <w:spacing w:before="4"/>
        <w:jc w:val="center"/>
        <w:rPr>
          <w:b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3012"/>
        <w:gridCol w:w="2771"/>
        <w:gridCol w:w="3839"/>
      </w:tblGrid>
      <w:tr w:rsidR="00D454A2" w:rsidRPr="00C15955" w:rsidTr="00543C83">
        <w:trPr>
          <w:trHeight w:val="767"/>
        </w:trPr>
        <w:tc>
          <w:tcPr>
            <w:tcW w:w="1565" w:type="pct"/>
            <w:vAlign w:val="center"/>
          </w:tcPr>
          <w:p w:rsidR="00D454A2" w:rsidRPr="00C15955" w:rsidRDefault="00D454A2" w:rsidP="003032D0">
            <w:pPr>
              <w:jc w:val="center"/>
              <w:rPr>
                <w:b/>
                <w:sz w:val="24"/>
              </w:rPr>
            </w:pPr>
            <w:r w:rsidRPr="00C15955">
              <w:rPr>
                <w:b/>
                <w:sz w:val="24"/>
              </w:rPr>
              <w:t>Рейтинг результативності</w:t>
            </w:r>
          </w:p>
          <w:p w:rsidR="00D454A2" w:rsidRPr="00C15955" w:rsidRDefault="00D454A2" w:rsidP="003032D0">
            <w:pPr>
              <w:jc w:val="center"/>
              <w:rPr>
                <w:sz w:val="24"/>
              </w:rPr>
            </w:pPr>
            <w:r w:rsidRPr="00C15955">
              <w:rPr>
                <w:sz w:val="24"/>
              </w:rPr>
              <w:t>(досягнення цілей під час вирішення проблеми)</w:t>
            </w:r>
          </w:p>
        </w:tc>
        <w:tc>
          <w:tcPr>
            <w:tcW w:w="1440" w:type="pct"/>
            <w:vAlign w:val="center"/>
          </w:tcPr>
          <w:p w:rsidR="00D454A2" w:rsidRPr="00C15955" w:rsidRDefault="00D454A2" w:rsidP="003032D0">
            <w:pPr>
              <w:jc w:val="center"/>
              <w:rPr>
                <w:b/>
                <w:sz w:val="24"/>
              </w:rPr>
            </w:pPr>
            <w:r w:rsidRPr="00C15955">
              <w:rPr>
                <w:b/>
                <w:sz w:val="24"/>
              </w:rPr>
              <w:t>Бал результативності</w:t>
            </w:r>
          </w:p>
          <w:p w:rsidR="00D454A2" w:rsidRPr="00C15955" w:rsidRDefault="00D454A2" w:rsidP="003032D0">
            <w:pPr>
              <w:jc w:val="center"/>
              <w:rPr>
                <w:sz w:val="24"/>
              </w:rPr>
            </w:pPr>
            <w:r w:rsidRPr="00C15955">
              <w:rPr>
                <w:sz w:val="24"/>
              </w:rPr>
              <w:t>(за чотирибальною системою оцінки)</w:t>
            </w:r>
          </w:p>
        </w:tc>
        <w:tc>
          <w:tcPr>
            <w:tcW w:w="1995" w:type="pct"/>
            <w:vAlign w:val="center"/>
          </w:tcPr>
          <w:p w:rsidR="00D454A2" w:rsidRPr="00C15955" w:rsidRDefault="00D454A2" w:rsidP="003032D0">
            <w:pPr>
              <w:jc w:val="center"/>
              <w:rPr>
                <w:b/>
                <w:sz w:val="24"/>
              </w:rPr>
            </w:pPr>
            <w:r w:rsidRPr="00C15955">
              <w:rPr>
                <w:b/>
                <w:sz w:val="24"/>
              </w:rPr>
              <w:t xml:space="preserve">Коментарі щодо присвоєння відповідного </w:t>
            </w:r>
            <w:proofErr w:type="spellStart"/>
            <w:r w:rsidRPr="00C15955">
              <w:rPr>
                <w:b/>
                <w:sz w:val="24"/>
              </w:rPr>
              <w:t>бала</w:t>
            </w:r>
            <w:proofErr w:type="spellEnd"/>
          </w:p>
        </w:tc>
      </w:tr>
      <w:tr w:rsidR="00847546" w:rsidRPr="00C15955" w:rsidTr="00543C83">
        <w:trPr>
          <w:trHeight w:val="1626"/>
        </w:trPr>
        <w:tc>
          <w:tcPr>
            <w:tcW w:w="1565" w:type="pct"/>
            <w:vAlign w:val="center"/>
          </w:tcPr>
          <w:p w:rsidR="00847546" w:rsidRDefault="00847546" w:rsidP="009F2EA7">
            <w:pPr>
              <w:ind w:left="127" w:right="180"/>
              <w:jc w:val="both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>Альтернатива 1</w:t>
            </w:r>
          </w:p>
          <w:p w:rsidR="00847546" w:rsidRPr="00C70889" w:rsidRDefault="00847546" w:rsidP="009F2EA7">
            <w:pPr>
              <w:ind w:left="127" w:right="180"/>
              <w:jc w:val="both"/>
              <w:rPr>
                <w:sz w:val="24"/>
              </w:rPr>
            </w:pPr>
            <w:r w:rsidRPr="00C70889">
              <w:rPr>
                <w:sz w:val="24"/>
              </w:rPr>
              <w:t>Збереження чинного регулювання</w:t>
            </w:r>
          </w:p>
        </w:tc>
        <w:tc>
          <w:tcPr>
            <w:tcW w:w="1440" w:type="pct"/>
            <w:vAlign w:val="center"/>
          </w:tcPr>
          <w:p w:rsidR="00847546" w:rsidRPr="00C15955" w:rsidRDefault="008C722C" w:rsidP="00DC4CF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5" w:type="pct"/>
            <w:vAlign w:val="center"/>
          </w:tcPr>
          <w:p w:rsidR="00847546" w:rsidRPr="00C15955" w:rsidRDefault="00362F22" w:rsidP="009F2EA7">
            <w:pPr>
              <w:ind w:left="22" w:right="142"/>
              <w:jc w:val="both"/>
              <w:rPr>
                <w:sz w:val="24"/>
              </w:rPr>
            </w:pPr>
            <w:r w:rsidRPr="00362F22">
              <w:rPr>
                <w:sz w:val="24"/>
                <w:szCs w:val="24"/>
              </w:rPr>
              <w:t xml:space="preserve">Не забезпечить </w:t>
            </w:r>
            <w:r w:rsidR="00814DC2" w:rsidRPr="00814DC2">
              <w:rPr>
                <w:sz w:val="24"/>
                <w:szCs w:val="24"/>
              </w:rPr>
              <w:t>використання НКРЕКП під час визначення суми штрафів</w:t>
            </w:r>
            <w:r w:rsidRPr="00362F22">
              <w:rPr>
                <w:sz w:val="24"/>
                <w:szCs w:val="24"/>
              </w:rPr>
              <w:t xml:space="preserve"> Методики розрахунку штрафних санкцій за порушення законодавства у сферах енергетики та комунальних послуг та відповідних ліцензійних умов та врахування операторам систем розподілу витрат електричної енергії за 2022 рік, пов’язаних з перевищенням фактичних економічних коефіцієнтів технологічних витрат електроенергії за 2022 рік від затверджених ЕКПТВЕ на 2022 рік, при розрахунку загальної суми отриманого/недоотриманого доходу від ліцензованої діяльності</w:t>
            </w:r>
          </w:p>
        </w:tc>
      </w:tr>
      <w:tr w:rsidR="00847546" w:rsidRPr="00C15955" w:rsidTr="00543C83">
        <w:trPr>
          <w:trHeight w:val="2575"/>
        </w:trPr>
        <w:tc>
          <w:tcPr>
            <w:tcW w:w="1565" w:type="pct"/>
            <w:vAlign w:val="center"/>
          </w:tcPr>
          <w:p w:rsidR="00847546" w:rsidRPr="00C70889" w:rsidRDefault="00847546" w:rsidP="009F2EA7">
            <w:pPr>
              <w:ind w:left="127" w:right="180"/>
              <w:jc w:val="both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 xml:space="preserve">Альтернатива </w:t>
            </w:r>
            <w:r w:rsidR="008C722C">
              <w:rPr>
                <w:b/>
                <w:sz w:val="24"/>
              </w:rPr>
              <w:t>2</w:t>
            </w:r>
          </w:p>
          <w:p w:rsidR="00847546" w:rsidRDefault="00847546" w:rsidP="009F2EA7">
            <w:pPr>
              <w:ind w:left="127" w:right="180"/>
              <w:jc w:val="both"/>
              <w:rPr>
                <w:sz w:val="24"/>
              </w:rPr>
            </w:pPr>
            <w:r w:rsidRPr="00C70889">
              <w:rPr>
                <w:sz w:val="24"/>
              </w:rPr>
              <w:t>(обрана альтернатива)</w:t>
            </w:r>
          </w:p>
          <w:p w:rsidR="00847546" w:rsidRPr="009F2EA7" w:rsidRDefault="00847546" w:rsidP="009F2EA7">
            <w:pPr>
              <w:ind w:left="127" w:right="180"/>
              <w:jc w:val="both"/>
              <w:rPr>
                <w:sz w:val="24"/>
              </w:rPr>
            </w:pPr>
          </w:p>
          <w:p w:rsidR="00847546" w:rsidRPr="00C70889" w:rsidRDefault="00847546" w:rsidP="009F2EA7">
            <w:pPr>
              <w:ind w:left="127" w:right="180"/>
              <w:jc w:val="both"/>
              <w:rPr>
                <w:sz w:val="24"/>
              </w:rPr>
            </w:pPr>
            <w:r w:rsidRPr="00847546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847546">
              <w:rPr>
                <w:sz w:val="24"/>
              </w:rPr>
              <w:t>акта</w:t>
            </w:r>
            <w:proofErr w:type="spellEnd"/>
          </w:p>
        </w:tc>
        <w:tc>
          <w:tcPr>
            <w:tcW w:w="1440" w:type="pct"/>
            <w:vAlign w:val="center"/>
          </w:tcPr>
          <w:p w:rsidR="00847546" w:rsidRPr="00C15955" w:rsidRDefault="00847546" w:rsidP="00DC4CF0">
            <w:pPr>
              <w:jc w:val="center"/>
              <w:rPr>
                <w:sz w:val="24"/>
              </w:rPr>
            </w:pPr>
            <w:r w:rsidRPr="00C15955">
              <w:rPr>
                <w:sz w:val="24"/>
              </w:rPr>
              <w:t>4</w:t>
            </w:r>
          </w:p>
        </w:tc>
        <w:tc>
          <w:tcPr>
            <w:tcW w:w="1995" w:type="pct"/>
            <w:vAlign w:val="center"/>
          </w:tcPr>
          <w:p w:rsidR="00847546" w:rsidRPr="00C15955" w:rsidRDefault="00847546" w:rsidP="00AE7D63">
            <w:pPr>
              <w:ind w:left="22" w:right="133"/>
              <w:jc w:val="both"/>
              <w:rPr>
                <w:sz w:val="24"/>
              </w:rPr>
            </w:pPr>
            <w:r w:rsidRPr="00C15955">
              <w:rPr>
                <w:sz w:val="24"/>
              </w:rPr>
              <w:t>Дозволя</w:t>
            </w:r>
            <w:r>
              <w:rPr>
                <w:sz w:val="24"/>
              </w:rPr>
              <w:t xml:space="preserve">є </w:t>
            </w:r>
            <w:r w:rsidRPr="00C15955">
              <w:rPr>
                <w:sz w:val="24"/>
              </w:rPr>
              <w:t>вирішити</w:t>
            </w:r>
            <w:r>
              <w:rPr>
                <w:sz w:val="24"/>
              </w:rPr>
              <w:t xml:space="preserve"> </w:t>
            </w:r>
            <w:r w:rsidRPr="00C15955">
              <w:rPr>
                <w:sz w:val="24"/>
              </w:rPr>
              <w:t>проблему</w:t>
            </w:r>
            <w:r>
              <w:rPr>
                <w:sz w:val="24"/>
              </w:rPr>
              <w:t xml:space="preserve"> </w:t>
            </w:r>
            <w:r w:rsidRPr="00C15955">
              <w:rPr>
                <w:sz w:val="24"/>
              </w:rPr>
              <w:t xml:space="preserve">найефективнішим способом та </w:t>
            </w:r>
            <w:r w:rsidR="00CC7790">
              <w:rPr>
                <w:sz w:val="24"/>
              </w:rPr>
              <w:t>д</w:t>
            </w:r>
            <w:r w:rsidR="00CC7790" w:rsidRPr="00CC7790">
              <w:rPr>
                <w:sz w:val="24"/>
              </w:rPr>
              <w:t>озволить зробити процес застосування штрафних санкцій ще більш прозорим, прогнозованим та відкритим</w:t>
            </w:r>
            <w:r w:rsidR="00AE7D63">
              <w:rPr>
                <w:sz w:val="24"/>
              </w:rPr>
              <w:t xml:space="preserve">, </w:t>
            </w:r>
            <w:r w:rsidR="00CC7790" w:rsidRPr="00CC7790">
              <w:rPr>
                <w:sz w:val="24"/>
              </w:rPr>
              <w:t>забезпечити підвищення енергетичної безпеки та паритетності</w:t>
            </w:r>
          </w:p>
        </w:tc>
      </w:tr>
    </w:tbl>
    <w:p w:rsidR="00772360" w:rsidRPr="004A114A" w:rsidRDefault="00772360" w:rsidP="00D454A2">
      <w:pPr>
        <w:pStyle w:val="a3"/>
        <w:spacing w:before="11"/>
        <w:rPr>
          <w:sz w:val="24"/>
        </w:rPr>
      </w:pPr>
    </w:p>
    <w:tbl>
      <w:tblPr>
        <w:tblStyle w:val="TableNormal"/>
        <w:tblW w:w="5000" w:type="pct"/>
        <w:tblBorders>
          <w:top w:val="single" w:sz="6" w:space="0" w:color="1C1C1C"/>
          <w:left w:val="single" w:sz="6" w:space="0" w:color="1C1C1C"/>
          <w:bottom w:val="single" w:sz="6" w:space="0" w:color="1C1C1C"/>
          <w:right w:val="single" w:sz="6" w:space="0" w:color="1C1C1C"/>
          <w:insideH w:val="single" w:sz="6" w:space="0" w:color="1C1C1C"/>
          <w:insideV w:val="single" w:sz="6" w:space="0" w:color="1C1C1C"/>
        </w:tblBorders>
        <w:tblLook w:val="01E0" w:firstRow="1" w:lastRow="1" w:firstColumn="1" w:lastColumn="1" w:noHBand="0" w:noVBand="0"/>
      </w:tblPr>
      <w:tblGrid>
        <w:gridCol w:w="2431"/>
        <w:gridCol w:w="1659"/>
        <w:gridCol w:w="2184"/>
        <w:gridCol w:w="3348"/>
      </w:tblGrid>
      <w:tr w:rsidR="00D454A2" w:rsidRPr="000A23CF" w:rsidTr="00A53332">
        <w:trPr>
          <w:trHeight w:val="513"/>
        </w:trPr>
        <w:tc>
          <w:tcPr>
            <w:tcW w:w="1263" w:type="pct"/>
            <w:vAlign w:val="center"/>
          </w:tcPr>
          <w:p w:rsidR="00D454A2" w:rsidRPr="00C15955" w:rsidRDefault="00D454A2" w:rsidP="003032D0">
            <w:pPr>
              <w:jc w:val="center"/>
              <w:rPr>
                <w:b/>
                <w:sz w:val="24"/>
              </w:rPr>
            </w:pPr>
            <w:r w:rsidRPr="00C15955">
              <w:rPr>
                <w:b/>
                <w:sz w:val="24"/>
              </w:rPr>
              <w:t>Рейтинг</w:t>
            </w:r>
          </w:p>
          <w:p w:rsidR="00D454A2" w:rsidRPr="00C15955" w:rsidRDefault="00D454A2" w:rsidP="003032D0">
            <w:pPr>
              <w:jc w:val="center"/>
              <w:rPr>
                <w:b/>
                <w:sz w:val="24"/>
              </w:rPr>
            </w:pPr>
            <w:r w:rsidRPr="00C15955">
              <w:rPr>
                <w:b/>
                <w:sz w:val="24"/>
              </w:rPr>
              <w:t>результативності</w:t>
            </w:r>
          </w:p>
        </w:tc>
        <w:tc>
          <w:tcPr>
            <w:tcW w:w="862" w:type="pct"/>
            <w:vAlign w:val="center"/>
          </w:tcPr>
          <w:p w:rsidR="00D454A2" w:rsidRDefault="00D454A2" w:rsidP="003032D0">
            <w:pPr>
              <w:jc w:val="center"/>
              <w:rPr>
                <w:b/>
                <w:sz w:val="24"/>
              </w:rPr>
            </w:pPr>
            <w:r w:rsidRPr="00C15955">
              <w:rPr>
                <w:b/>
                <w:sz w:val="24"/>
              </w:rPr>
              <w:t>Вигоди</w:t>
            </w:r>
          </w:p>
          <w:p w:rsidR="00D454A2" w:rsidRPr="00C15955" w:rsidRDefault="00D454A2" w:rsidP="003032D0">
            <w:pPr>
              <w:jc w:val="center"/>
              <w:rPr>
                <w:sz w:val="24"/>
              </w:rPr>
            </w:pPr>
            <w:r w:rsidRPr="00C15955">
              <w:rPr>
                <w:sz w:val="24"/>
              </w:rPr>
              <w:t>(підсумок)</w:t>
            </w:r>
          </w:p>
        </w:tc>
        <w:tc>
          <w:tcPr>
            <w:tcW w:w="1135" w:type="pct"/>
            <w:vAlign w:val="center"/>
          </w:tcPr>
          <w:p w:rsidR="00D454A2" w:rsidRPr="00C15955" w:rsidRDefault="00D454A2" w:rsidP="003032D0">
            <w:pPr>
              <w:jc w:val="center"/>
              <w:rPr>
                <w:b/>
                <w:sz w:val="24"/>
              </w:rPr>
            </w:pPr>
            <w:r w:rsidRPr="00C15955">
              <w:rPr>
                <w:b/>
                <w:sz w:val="24"/>
              </w:rPr>
              <w:t>Витрати</w:t>
            </w:r>
          </w:p>
          <w:p w:rsidR="00D454A2" w:rsidRPr="00C15955" w:rsidRDefault="00D454A2" w:rsidP="003032D0">
            <w:pPr>
              <w:jc w:val="center"/>
              <w:rPr>
                <w:sz w:val="24"/>
              </w:rPr>
            </w:pPr>
            <w:r w:rsidRPr="00C15955">
              <w:rPr>
                <w:sz w:val="24"/>
              </w:rPr>
              <w:t>(підсумок)</w:t>
            </w:r>
          </w:p>
        </w:tc>
        <w:tc>
          <w:tcPr>
            <w:tcW w:w="1740" w:type="pct"/>
            <w:vAlign w:val="center"/>
          </w:tcPr>
          <w:p w:rsidR="00D454A2" w:rsidRPr="00C15955" w:rsidRDefault="00D454A2" w:rsidP="003032D0">
            <w:pPr>
              <w:jc w:val="center"/>
              <w:rPr>
                <w:b/>
                <w:sz w:val="24"/>
              </w:rPr>
            </w:pPr>
            <w:r w:rsidRPr="00C15955">
              <w:rPr>
                <w:b/>
                <w:sz w:val="24"/>
              </w:rPr>
              <w:t>Обґрунтування відповідного місця альтернативи у рейтингу</w:t>
            </w:r>
          </w:p>
        </w:tc>
      </w:tr>
      <w:tr w:rsidR="00847546" w:rsidRPr="000A23CF" w:rsidTr="00A53332">
        <w:trPr>
          <w:trHeight w:val="1353"/>
        </w:trPr>
        <w:tc>
          <w:tcPr>
            <w:tcW w:w="1263" w:type="pct"/>
            <w:vAlign w:val="center"/>
          </w:tcPr>
          <w:p w:rsidR="00847546" w:rsidRDefault="00847546" w:rsidP="00847546">
            <w:pPr>
              <w:jc w:val="both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lastRenderedPageBreak/>
              <w:t>Альтернатива 1</w:t>
            </w:r>
          </w:p>
          <w:p w:rsidR="00847546" w:rsidRPr="00C70889" w:rsidRDefault="00847546" w:rsidP="00847546">
            <w:pPr>
              <w:jc w:val="both"/>
              <w:rPr>
                <w:sz w:val="24"/>
              </w:rPr>
            </w:pPr>
            <w:r w:rsidRPr="00C70889">
              <w:rPr>
                <w:sz w:val="24"/>
              </w:rPr>
              <w:t>Збереження чинного регулювання</w:t>
            </w:r>
          </w:p>
        </w:tc>
        <w:tc>
          <w:tcPr>
            <w:tcW w:w="862" w:type="pct"/>
            <w:vAlign w:val="center"/>
          </w:tcPr>
          <w:p w:rsidR="00847546" w:rsidRPr="00C15955" w:rsidRDefault="00847546" w:rsidP="00847546">
            <w:pPr>
              <w:jc w:val="both"/>
              <w:rPr>
                <w:sz w:val="24"/>
              </w:rPr>
            </w:pPr>
            <w:r w:rsidRPr="00C15955">
              <w:rPr>
                <w:sz w:val="24"/>
              </w:rPr>
              <w:t>Відсутні</w:t>
            </w:r>
          </w:p>
        </w:tc>
        <w:tc>
          <w:tcPr>
            <w:tcW w:w="1135" w:type="pct"/>
            <w:vAlign w:val="center"/>
          </w:tcPr>
          <w:p w:rsidR="00847546" w:rsidRPr="00C15955" w:rsidRDefault="00847546" w:rsidP="00847546">
            <w:pPr>
              <w:jc w:val="both"/>
              <w:rPr>
                <w:sz w:val="24"/>
              </w:rPr>
            </w:pPr>
            <w:r w:rsidRPr="00C15955">
              <w:rPr>
                <w:sz w:val="24"/>
              </w:rPr>
              <w:t>Відсутні</w:t>
            </w:r>
          </w:p>
        </w:tc>
        <w:tc>
          <w:tcPr>
            <w:tcW w:w="1740" w:type="pct"/>
            <w:vAlign w:val="center"/>
          </w:tcPr>
          <w:p w:rsidR="00847546" w:rsidRPr="00C15955" w:rsidRDefault="00847546" w:rsidP="00847546">
            <w:pPr>
              <w:ind w:right="142"/>
              <w:jc w:val="both"/>
              <w:rPr>
                <w:sz w:val="24"/>
              </w:rPr>
            </w:pPr>
            <w:r w:rsidRPr="00C15955">
              <w:rPr>
                <w:sz w:val="24"/>
              </w:rPr>
              <w:t xml:space="preserve">Не забезпечує </w:t>
            </w:r>
            <w:r>
              <w:rPr>
                <w:sz w:val="24"/>
              </w:rPr>
              <w:t xml:space="preserve">достатнє нормативно-правове регулювання </w:t>
            </w:r>
            <w:r w:rsidRPr="00C15955">
              <w:rPr>
                <w:sz w:val="24"/>
              </w:rPr>
              <w:t xml:space="preserve">для здійснення </w:t>
            </w:r>
            <w:r w:rsidR="00A53332">
              <w:rPr>
                <w:sz w:val="24"/>
              </w:rPr>
              <w:t>контрольних</w:t>
            </w:r>
            <w:r w:rsidRPr="00C15955">
              <w:rPr>
                <w:sz w:val="24"/>
              </w:rPr>
              <w:t xml:space="preserve"> функцій</w:t>
            </w:r>
          </w:p>
        </w:tc>
      </w:tr>
      <w:tr w:rsidR="00847546" w:rsidRPr="000A23CF" w:rsidTr="00A53332">
        <w:tblPrEx>
          <w:tblBorders>
            <w:top w:val="single" w:sz="6" w:space="0" w:color="232323"/>
            <w:left w:val="single" w:sz="6" w:space="0" w:color="232323"/>
            <w:bottom w:val="single" w:sz="6" w:space="0" w:color="232323"/>
            <w:right w:val="single" w:sz="6" w:space="0" w:color="232323"/>
            <w:insideH w:val="single" w:sz="6" w:space="0" w:color="232323"/>
            <w:insideV w:val="single" w:sz="6" w:space="0" w:color="232323"/>
          </w:tblBorders>
        </w:tblPrEx>
        <w:trPr>
          <w:trHeight w:val="1104"/>
        </w:trPr>
        <w:tc>
          <w:tcPr>
            <w:tcW w:w="1263" w:type="pct"/>
            <w:vAlign w:val="center"/>
          </w:tcPr>
          <w:p w:rsidR="00847546" w:rsidRPr="00C70889" w:rsidRDefault="00847546" w:rsidP="00847546">
            <w:pPr>
              <w:jc w:val="both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 xml:space="preserve">Альтернатива </w:t>
            </w:r>
            <w:r w:rsidR="00B20FAB">
              <w:rPr>
                <w:b/>
                <w:sz w:val="24"/>
              </w:rPr>
              <w:t>2</w:t>
            </w:r>
          </w:p>
          <w:p w:rsidR="00847546" w:rsidRDefault="00847546" w:rsidP="00847546">
            <w:pPr>
              <w:jc w:val="both"/>
              <w:rPr>
                <w:sz w:val="24"/>
              </w:rPr>
            </w:pPr>
            <w:r w:rsidRPr="00C70889">
              <w:rPr>
                <w:sz w:val="24"/>
              </w:rPr>
              <w:t xml:space="preserve">(обрана альтернатива) </w:t>
            </w:r>
          </w:p>
          <w:p w:rsidR="00847546" w:rsidRPr="00A40C97" w:rsidRDefault="00847546" w:rsidP="00847546">
            <w:pPr>
              <w:jc w:val="both"/>
              <w:rPr>
                <w:sz w:val="24"/>
              </w:rPr>
            </w:pPr>
          </w:p>
          <w:p w:rsidR="00847546" w:rsidRPr="00C70889" w:rsidRDefault="00847546" w:rsidP="00847546">
            <w:pPr>
              <w:jc w:val="both"/>
              <w:rPr>
                <w:sz w:val="24"/>
              </w:rPr>
            </w:pPr>
            <w:r w:rsidRPr="00847546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847546">
              <w:rPr>
                <w:sz w:val="24"/>
              </w:rPr>
              <w:t>акта</w:t>
            </w:r>
            <w:proofErr w:type="spellEnd"/>
          </w:p>
        </w:tc>
        <w:tc>
          <w:tcPr>
            <w:tcW w:w="862" w:type="pct"/>
            <w:vAlign w:val="center"/>
          </w:tcPr>
          <w:p w:rsidR="00847546" w:rsidRPr="00C15955" w:rsidRDefault="00847546" w:rsidP="00847546">
            <w:pPr>
              <w:jc w:val="both"/>
              <w:rPr>
                <w:sz w:val="24"/>
              </w:rPr>
            </w:pPr>
            <w:r w:rsidRPr="00C15955">
              <w:rPr>
                <w:sz w:val="24"/>
              </w:rPr>
              <w:t>Найбільш вигідний</w:t>
            </w:r>
          </w:p>
        </w:tc>
        <w:tc>
          <w:tcPr>
            <w:tcW w:w="1135" w:type="pct"/>
            <w:vAlign w:val="center"/>
          </w:tcPr>
          <w:p w:rsidR="00847546" w:rsidRPr="00C15955" w:rsidRDefault="00847546" w:rsidP="00847546">
            <w:pPr>
              <w:jc w:val="both"/>
              <w:rPr>
                <w:sz w:val="24"/>
              </w:rPr>
            </w:pPr>
            <w:r w:rsidRPr="00C15955">
              <w:rPr>
                <w:sz w:val="24"/>
              </w:rPr>
              <w:t>Відсутні</w:t>
            </w:r>
          </w:p>
        </w:tc>
        <w:tc>
          <w:tcPr>
            <w:tcW w:w="1740" w:type="pct"/>
            <w:vAlign w:val="center"/>
          </w:tcPr>
          <w:p w:rsidR="00847546" w:rsidRPr="00C15955" w:rsidRDefault="00847546" w:rsidP="00847546">
            <w:pPr>
              <w:ind w:right="142"/>
              <w:jc w:val="both"/>
              <w:rPr>
                <w:sz w:val="24"/>
              </w:rPr>
            </w:pPr>
            <w:r w:rsidRPr="00C15955">
              <w:rPr>
                <w:sz w:val="24"/>
              </w:rPr>
              <w:t xml:space="preserve">Реалізація альтернативи </w:t>
            </w:r>
            <w:r w:rsidR="00B20FAB">
              <w:rPr>
                <w:sz w:val="24"/>
              </w:rPr>
              <w:t>2</w:t>
            </w:r>
            <w:r w:rsidRPr="00C15955">
              <w:rPr>
                <w:sz w:val="24"/>
              </w:rPr>
              <w:t xml:space="preserve"> дозволить досягнути задекларован</w:t>
            </w:r>
            <w:r>
              <w:rPr>
                <w:sz w:val="24"/>
              </w:rPr>
              <w:t>их</w:t>
            </w:r>
            <w:r w:rsidRPr="00C15955">
              <w:rPr>
                <w:sz w:val="24"/>
              </w:rPr>
              <w:t xml:space="preserve"> ціл</w:t>
            </w:r>
            <w:r>
              <w:rPr>
                <w:sz w:val="24"/>
              </w:rPr>
              <w:t>ей</w:t>
            </w:r>
            <w:r w:rsidRPr="00C15955">
              <w:rPr>
                <w:sz w:val="24"/>
              </w:rPr>
              <w:t xml:space="preserve"> повною мірою</w:t>
            </w:r>
          </w:p>
        </w:tc>
      </w:tr>
    </w:tbl>
    <w:p w:rsidR="00D454A2" w:rsidRDefault="00D454A2" w:rsidP="00D454A2">
      <w:pPr>
        <w:pStyle w:val="a3"/>
        <w:spacing w:before="4"/>
        <w:rPr>
          <w:sz w:val="27"/>
        </w:rPr>
      </w:pPr>
    </w:p>
    <w:tbl>
      <w:tblPr>
        <w:tblStyle w:val="TableNormal"/>
        <w:tblW w:w="5000" w:type="pct"/>
        <w:tblBorders>
          <w:top w:val="single" w:sz="6" w:space="0" w:color="2B2B2B"/>
          <w:left w:val="single" w:sz="6" w:space="0" w:color="2B2B2B"/>
          <w:bottom w:val="single" w:sz="6" w:space="0" w:color="2B2B2B"/>
          <w:right w:val="single" w:sz="6" w:space="0" w:color="2B2B2B"/>
          <w:insideH w:val="single" w:sz="6" w:space="0" w:color="2B2B2B"/>
          <w:insideV w:val="single" w:sz="6" w:space="0" w:color="2B2B2B"/>
        </w:tblBorders>
        <w:tblLook w:val="01E0" w:firstRow="1" w:lastRow="1" w:firstColumn="1" w:lastColumn="1" w:noHBand="0" w:noVBand="0"/>
      </w:tblPr>
      <w:tblGrid>
        <w:gridCol w:w="2721"/>
        <w:gridCol w:w="3497"/>
        <w:gridCol w:w="3404"/>
      </w:tblGrid>
      <w:tr w:rsidR="00D454A2" w:rsidRPr="00AE6DAC" w:rsidTr="00496C10">
        <w:trPr>
          <w:trHeight w:val="326"/>
        </w:trPr>
        <w:tc>
          <w:tcPr>
            <w:tcW w:w="1414" w:type="pct"/>
            <w:vAlign w:val="center"/>
          </w:tcPr>
          <w:p w:rsidR="00D454A2" w:rsidRPr="00AE6DAC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AE6DAC">
              <w:rPr>
                <w:b/>
                <w:sz w:val="24"/>
              </w:rPr>
              <w:t>Рейтинг результативності</w:t>
            </w:r>
          </w:p>
          <w:p w:rsidR="00D454A2" w:rsidRPr="00AE6DAC" w:rsidRDefault="00D454A2" w:rsidP="003032D0">
            <w:pPr>
              <w:ind w:right="85"/>
              <w:jc w:val="center"/>
              <w:rPr>
                <w:sz w:val="24"/>
              </w:rPr>
            </w:pPr>
            <w:r w:rsidRPr="00AE6DAC">
              <w:rPr>
                <w:sz w:val="24"/>
              </w:rPr>
              <w:t>(досягнення цілей під час вирішення проблеми)</w:t>
            </w:r>
          </w:p>
        </w:tc>
        <w:tc>
          <w:tcPr>
            <w:tcW w:w="1817" w:type="pct"/>
            <w:vAlign w:val="center"/>
          </w:tcPr>
          <w:p w:rsidR="00D454A2" w:rsidRPr="00AE6DAC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AE6DAC">
              <w:rPr>
                <w:b/>
                <w:sz w:val="24"/>
              </w:rPr>
              <w:t>Аргументи щодо переваги обраної альтернативи/</w:t>
            </w:r>
          </w:p>
          <w:p w:rsidR="00D454A2" w:rsidRPr="00AE6DAC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AE6DAC">
              <w:rPr>
                <w:b/>
                <w:sz w:val="24"/>
              </w:rPr>
              <w:t>причини відмови від альтернативи</w:t>
            </w:r>
          </w:p>
        </w:tc>
        <w:tc>
          <w:tcPr>
            <w:tcW w:w="1769" w:type="pct"/>
            <w:vAlign w:val="center"/>
          </w:tcPr>
          <w:p w:rsidR="00D454A2" w:rsidRPr="00AE6DAC" w:rsidRDefault="00D454A2" w:rsidP="003032D0">
            <w:pPr>
              <w:ind w:right="85"/>
              <w:jc w:val="center"/>
              <w:rPr>
                <w:b/>
                <w:sz w:val="24"/>
              </w:rPr>
            </w:pPr>
            <w:r w:rsidRPr="00AE6DAC">
              <w:rPr>
                <w:b/>
                <w:sz w:val="24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847546" w:rsidRPr="00AE6DAC" w:rsidTr="00496C10">
        <w:trPr>
          <w:trHeight w:val="796"/>
        </w:trPr>
        <w:tc>
          <w:tcPr>
            <w:tcW w:w="1414" w:type="pct"/>
            <w:vAlign w:val="center"/>
          </w:tcPr>
          <w:p w:rsidR="00847546" w:rsidRDefault="00847546" w:rsidP="00847546">
            <w:pPr>
              <w:jc w:val="both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>Альтернатива 1</w:t>
            </w:r>
          </w:p>
          <w:p w:rsidR="00847546" w:rsidRPr="00C70889" w:rsidRDefault="00847546" w:rsidP="00847546">
            <w:pPr>
              <w:jc w:val="both"/>
              <w:rPr>
                <w:sz w:val="24"/>
              </w:rPr>
            </w:pPr>
            <w:r w:rsidRPr="00C70889">
              <w:rPr>
                <w:sz w:val="24"/>
              </w:rPr>
              <w:t>Збереження чинного регулювання</w:t>
            </w:r>
          </w:p>
        </w:tc>
        <w:tc>
          <w:tcPr>
            <w:tcW w:w="1817" w:type="pct"/>
            <w:vAlign w:val="center"/>
          </w:tcPr>
          <w:p w:rsidR="00847546" w:rsidRPr="00AE6DAC" w:rsidRDefault="00847546" w:rsidP="00847546">
            <w:pPr>
              <w:rPr>
                <w:sz w:val="24"/>
              </w:rPr>
            </w:pPr>
            <w:r w:rsidRPr="00C15955">
              <w:rPr>
                <w:sz w:val="24"/>
              </w:rPr>
              <w:t xml:space="preserve">Не забезпечує </w:t>
            </w:r>
            <w:r>
              <w:rPr>
                <w:sz w:val="24"/>
              </w:rPr>
              <w:t xml:space="preserve">достатнє нормативно-правове регулювання </w:t>
            </w:r>
            <w:r w:rsidRPr="00C15955">
              <w:rPr>
                <w:sz w:val="24"/>
              </w:rPr>
              <w:t xml:space="preserve">для здійснення </w:t>
            </w:r>
            <w:r w:rsidR="00A92490">
              <w:rPr>
                <w:sz w:val="24"/>
              </w:rPr>
              <w:t>контрольних</w:t>
            </w:r>
            <w:r w:rsidRPr="00C15955">
              <w:rPr>
                <w:sz w:val="24"/>
              </w:rPr>
              <w:t xml:space="preserve"> функцій</w:t>
            </w:r>
          </w:p>
        </w:tc>
        <w:tc>
          <w:tcPr>
            <w:tcW w:w="1769" w:type="pct"/>
            <w:vAlign w:val="center"/>
          </w:tcPr>
          <w:p w:rsidR="00847546" w:rsidRPr="00AE6DAC" w:rsidRDefault="00847546" w:rsidP="00847546">
            <w:pPr>
              <w:rPr>
                <w:sz w:val="24"/>
              </w:rPr>
            </w:pPr>
            <w:r w:rsidRPr="00AE6DAC">
              <w:rPr>
                <w:sz w:val="24"/>
              </w:rPr>
              <w:t>Відсутній</w:t>
            </w:r>
          </w:p>
        </w:tc>
      </w:tr>
      <w:tr w:rsidR="00847546" w:rsidRPr="00AE6DAC" w:rsidTr="00496C10">
        <w:trPr>
          <w:trHeight w:val="1520"/>
        </w:trPr>
        <w:tc>
          <w:tcPr>
            <w:tcW w:w="1414" w:type="pct"/>
            <w:vAlign w:val="center"/>
          </w:tcPr>
          <w:p w:rsidR="00847546" w:rsidRPr="00C70889" w:rsidRDefault="00847546" w:rsidP="00847546">
            <w:pPr>
              <w:jc w:val="both"/>
              <w:rPr>
                <w:b/>
                <w:sz w:val="24"/>
              </w:rPr>
            </w:pPr>
            <w:r w:rsidRPr="00C70889">
              <w:rPr>
                <w:b/>
                <w:sz w:val="24"/>
              </w:rPr>
              <w:t xml:space="preserve">Альтернатива </w:t>
            </w:r>
            <w:r w:rsidR="00E97EB3">
              <w:rPr>
                <w:b/>
                <w:sz w:val="24"/>
              </w:rPr>
              <w:t>2</w:t>
            </w:r>
          </w:p>
          <w:p w:rsidR="00847546" w:rsidRDefault="00847546" w:rsidP="00847546">
            <w:pPr>
              <w:jc w:val="both"/>
              <w:rPr>
                <w:sz w:val="24"/>
              </w:rPr>
            </w:pPr>
            <w:r w:rsidRPr="00C70889">
              <w:rPr>
                <w:sz w:val="24"/>
              </w:rPr>
              <w:t xml:space="preserve">(обрана альтернатива) </w:t>
            </w:r>
          </w:p>
          <w:p w:rsidR="00847546" w:rsidRPr="000E7BA1" w:rsidRDefault="00847546" w:rsidP="00847546">
            <w:pPr>
              <w:jc w:val="both"/>
              <w:rPr>
                <w:sz w:val="14"/>
              </w:rPr>
            </w:pPr>
          </w:p>
          <w:p w:rsidR="00847546" w:rsidRPr="00C70889" w:rsidRDefault="00847546" w:rsidP="00847546">
            <w:pPr>
              <w:jc w:val="both"/>
              <w:rPr>
                <w:sz w:val="24"/>
              </w:rPr>
            </w:pPr>
            <w:r w:rsidRPr="00847546">
              <w:rPr>
                <w:sz w:val="24"/>
              </w:rPr>
              <w:t xml:space="preserve">Внесення змін до чинного регуляторного </w:t>
            </w:r>
            <w:proofErr w:type="spellStart"/>
            <w:r w:rsidRPr="00847546">
              <w:rPr>
                <w:sz w:val="24"/>
              </w:rPr>
              <w:t>акта</w:t>
            </w:r>
            <w:proofErr w:type="spellEnd"/>
          </w:p>
        </w:tc>
        <w:tc>
          <w:tcPr>
            <w:tcW w:w="1817" w:type="pct"/>
            <w:vAlign w:val="center"/>
          </w:tcPr>
          <w:p w:rsidR="00847546" w:rsidRPr="00AE6DAC" w:rsidRDefault="00EE0ABB" w:rsidP="00847546">
            <w:pPr>
              <w:ind w:right="87"/>
              <w:jc w:val="both"/>
              <w:rPr>
                <w:sz w:val="24"/>
              </w:rPr>
            </w:pPr>
            <w:r w:rsidRPr="00EE0ABB">
              <w:rPr>
                <w:sz w:val="24"/>
              </w:rPr>
              <w:t>Дозволяє вирішити проблему самим ефективним шляхом з найменшими витратами ресурсів, забезпечує досягнення цілей державного регулювання</w:t>
            </w:r>
          </w:p>
        </w:tc>
        <w:tc>
          <w:tcPr>
            <w:tcW w:w="1769" w:type="pct"/>
            <w:vAlign w:val="center"/>
          </w:tcPr>
          <w:p w:rsidR="00847546" w:rsidRPr="00AE6DAC" w:rsidRDefault="00847546" w:rsidP="00847546">
            <w:pPr>
              <w:rPr>
                <w:sz w:val="24"/>
              </w:rPr>
            </w:pPr>
            <w:r w:rsidRPr="00AE6DAC">
              <w:rPr>
                <w:sz w:val="24"/>
              </w:rPr>
              <w:t>Відсутній</w:t>
            </w:r>
          </w:p>
        </w:tc>
      </w:tr>
    </w:tbl>
    <w:p w:rsidR="00D454A2" w:rsidRPr="00A92490" w:rsidRDefault="00D454A2" w:rsidP="00D454A2">
      <w:pPr>
        <w:pStyle w:val="1"/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spacing w:before="88"/>
        <w:ind w:left="774"/>
      </w:pPr>
    </w:p>
    <w:p w:rsidR="00D454A2" w:rsidRPr="00A92490" w:rsidRDefault="00D454A2" w:rsidP="0085062D">
      <w:pPr>
        <w:pStyle w:val="1"/>
        <w:numPr>
          <w:ilvl w:val="1"/>
          <w:numId w:val="3"/>
        </w:numPr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ind w:left="235" w:firstLine="539"/>
        <w:jc w:val="center"/>
      </w:pPr>
      <w:r w:rsidRPr="00A92490">
        <w:rPr>
          <w:spacing w:val="-3"/>
          <w:w w:val="95"/>
        </w:rPr>
        <w:t xml:space="preserve">Механізми </w:t>
      </w:r>
      <w:r w:rsidRPr="00A92490">
        <w:t>та заходи, які забезпечать розв’язання визначеної</w:t>
      </w:r>
      <w:r w:rsidR="00772360" w:rsidRPr="00A92490">
        <w:t xml:space="preserve"> проблеми</w:t>
      </w:r>
    </w:p>
    <w:p w:rsidR="00D454A2" w:rsidRPr="00A92490" w:rsidRDefault="00D454A2" w:rsidP="0085062D">
      <w:pPr>
        <w:pStyle w:val="1"/>
        <w:tabs>
          <w:tab w:val="left" w:pos="764"/>
          <w:tab w:val="left" w:pos="1296"/>
          <w:tab w:val="left" w:pos="1297"/>
          <w:tab w:val="left" w:pos="1915"/>
          <w:tab w:val="left" w:pos="2560"/>
          <w:tab w:val="left" w:pos="4301"/>
          <w:tab w:val="left" w:pos="6072"/>
        </w:tabs>
        <w:ind w:left="774"/>
      </w:pPr>
    </w:p>
    <w:p w:rsidR="00D454A2" w:rsidRPr="001D31FB" w:rsidRDefault="00D454A2" w:rsidP="001D31FB">
      <w:pPr>
        <w:ind w:firstLine="709"/>
        <w:jc w:val="both"/>
        <w:rPr>
          <w:sz w:val="28"/>
          <w:szCs w:val="28"/>
        </w:rPr>
      </w:pPr>
      <w:r w:rsidRPr="00A92490">
        <w:rPr>
          <w:sz w:val="28"/>
          <w:szCs w:val="28"/>
        </w:rPr>
        <w:t xml:space="preserve">Прийняття постанови HKPEKП </w:t>
      </w:r>
      <w:r w:rsidR="001D31FB" w:rsidRPr="00A92490">
        <w:rPr>
          <w:sz w:val="28"/>
          <w:szCs w:val="28"/>
        </w:rPr>
        <w:t>«</w:t>
      </w:r>
      <w:r w:rsidR="008442F8" w:rsidRPr="008442F8">
        <w:rPr>
          <w:rStyle w:val="rvts23"/>
          <w:color w:val="000000"/>
          <w:sz w:val="28"/>
          <w:szCs w:val="28"/>
        </w:rPr>
        <w:t xml:space="preserve">Про </w:t>
      </w:r>
      <w:r w:rsidR="00941DB8">
        <w:rPr>
          <w:rStyle w:val="rvts23"/>
          <w:color w:val="000000"/>
          <w:sz w:val="28"/>
          <w:szCs w:val="28"/>
        </w:rPr>
        <w:t>затвердження</w:t>
      </w:r>
      <w:r w:rsidR="008442F8" w:rsidRPr="008442F8">
        <w:rPr>
          <w:rStyle w:val="rvts23"/>
          <w:color w:val="000000"/>
          <w:sz w:val="28"/>
          <w:szCs w:val="28"/>
        </w:rPr>
        <w:t xml:space="preserve"> </w:t>
      </w:r>
      <w:r w:rsidR="00941DB8">
        <w:rPr>
          <w:rStyle w:val="rvts23"/>
          <w:color w:val="000000"/>
          <w:sz w:val="28"/>
          <w:szCs w:val="28"/>
        </w:rPr>
        <w:t>З</w:t>
      </w:r>
      <w:r w:rsidR="008442F8" w:rsidRPr="008442F8">
        <w:rPr>
          <w:rStyle w:val="rvts23"/>
          <w:color w:val="000000"/>
          <w:sz w:val="28"/>
          <w:szCs w:val="28"/>
        </w:rPr>
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="001D31FB" w:rsidRPr="00832E58">
        <w:rPr>
          <w:sz w:val="28"/>
          <w:szCs w:val="28"/>
        </w:rPr>
        <w:t>»</w:t>
      </w:r>
      <w:r w:rsidRPr="00832E58">
        <w:rPr>
          <w:sz w:val="28"/>
          <w:szCs w:val="28"/>
        </w:rPr>
        <w:t xml:space="preserve"> </w:t>
      </w:r>
      <w:r w:rsidR="001D612B" w:rsidRPr="00832E58">
        <w:rPr>
          <w:sz w:val="28"/>
          <w:szCs w:val="28"/>
        </w:rPr>
        <w:t xml:space="preserve">забезпечить </w:t>
      </w:r>
      <w:r w:rsidR="00F96579" w:rsidRPr="00F96579">
        <w:rPr>
          <w:sz w:val="28"/>
          <w:szCs w:val="28"/>
        </w:rPr>
        <w:t xml:space="preserve">можливість </w:t>
      </w:r>
      <w:r w:rsidR="006B58BC" w:rsidRPr="00814DC2">
        <w:rPr>
          <w:sz w:val="28"/>
          <w:szCs w:val="28"/>
        </w:rPr>
        <w:t>НКРЕКП під час визначення суми штрафів</w:t>
      </w:r>
      <w:r w:rsidR="006B58BC" w:rsidRPr="00941DB8">
        <w:rPr>
          <w:sz w:val="28"/>
          <w:szCs w:val="28"/>
        </w:rPr>
        <w:t xml:space="preserve"> </w:t>
      </w:r>
      <w:r w:rsidR="00BB702D">
        <w:rPr>
          <w:sz w:val="28"/>
          <w:szCs w:val="28"/>
        </w:rPr>
        <w:t>застосовувати</w:t>
      </w:r>
      <w:r w:rsidR="00814DC2" w:rsidRPr="00814DC2">
        <w:rPr>
          <w:sz w:val="28"/>
          <w:szCs w:val="28"/>
        </w:rPr>
        <w:t xml:space="preserve"> </w:t>
      </w:r>
      <w:r w:rsidR="00941DB8" w:rsidRPr="00941DB8">
        <w:rPr>
          <w:sz w:val="28"/>
          <w:szCs w:val="28"/>
        </w:rPr>
        <w:t>Методик</w:t>
      </w:r>
      <w:r w:rsidR="00BB702D">
        <w:rPr>
          <w:sz w:val="28"/>
          <w:szCs w:val="28"/>
        </w:rPr>
        <w:t>у</w:t>
      </w:r>
      <w:r w:rsidR="00941DB8" w:rsidRPr="00941DB8">
        <w:rPr>
          <w:sz w:val="28"/>
          <w:szCs w:val="28"/>
        </w:rPr>
        <w:t xml:space="preserve"> розрахунку штрафних санкцій за порушення законодавства у сферах енергетики та комунальних послуг та відповідних ліцензійних умов, що </w:t>
      </w:r>
      <w:r w:rsidR="004147DD">
        <w:rPr>
          <w:sz w:val="28"/>
          <w:szCs w:val="28"/>
        </w:rPr>
        <w:t xml:space="preserve">сприятиме </w:t>
      </w:r>
      <w:r w:rsidR="004147DD" w:rsidRPr="00941DB8">
        <w:rPr>
          <w:sz w:val="28"/>
          <w:szCs w:val="28"/>
        </w:rPr>
        <w:t>ще більш прозор</w:t>
      </w:r>
      <w:r w:rsidR="004147DD">
        <w:rPr>
          <w:sz w:val="28"/>
          <w:szCs w:val="28"/>
        </w:rPr>
        <w:t>ому, прогнозованому</w:t>
      </w:r>
      <w:r w:rsidR="004147DD" w:rsidRPr="00941DB8">
        <w:rPr>
          <w:sz w:val="28"/>
          <w:szCs w:val="28"/>
        </w:rPr>
        <w:t xml:space="preserve"> та відкрит</w:t>
      </w:r>
      <w:r w:rsidR="004147DD">
        <w:rPr>
          <w:sz w:val="28"/>
          <w:szCs w:val="28"/>
        </w:rPr>
        <w:t>ому</w:t>
      </w:r>
      <w:r w:rsidR="004147DD" w:rsidRPr="00941DB8">
        <w:rPr>
          <w:sz w:val="28"/>
          <w:szCs w:val="28"/>
        </w:rPr>
        <w:t xml:space="preserve"> </w:t>
      </w:r>
      <w:r w:rsidR="00941DB8" w:rsidRPr="00941DB8">
        <w:rPr>
          <w:sz w:val="28"/>
          <w:szCs w:val="28"/>
        </w:rPr>
        <w:t>процес</w:t>
      </w:r>
      <w:r w:rsidR="004147DD">
        <w:rPr>
          <w:sz w:val="28"/>
          <w:szCs w:val="28"/>
        </w:rPr>
        <w:t>у</w:t>
      </w:r>
      <w:r w:rsidR="00941DB8" w:rsidRPr="00941DB8">
        <w:rPr>
          <w:sz w:val="28"/>
          <w:szCs w:val="28"/>
        </w:rPr>
        <w:t xml:space="preserve"> застосування штрафних санкцій, та</w:t>
      </w:r>
      <w:r w:rsidR="00BB702D">
        <w:rPr>
          <w:sz w:val="28"/>
          <w:szCs w:val="28"/>
        </w:rPr>
        <w:t xml:space="preserve"> дозволить</w:t>
      </w:r>
      <w:r w:rsidR="00941DB8" w:rsidRPr="00941DB8">
        <w:rPr>
          <w:sz w:val="28"/>
          <w:szCs w:val="28"/>
        </w:rPr>
        <w:t xml:space="preserve"> врахува</w:t>
      </w:r>
      <w:r w:rsidR="00BB702D">
        <w:rPr>
          <w:sz w:val="28"/>
          <w:szCs w:val="28"/>
        </w:rPr>
        <w:t>ти</w:t>
      </w:r>
      <w:r w:rsidR="00941DB8" w:rsidRPr="00941DB8">
        <w:rPr>
          <w:sz w:val="28"/>
          <w:szCs w:val="28"/>
        </w:rPr>
        <w:t xml:space="preserve"> операторам систем розподілу витрат</w:t>
      </w:r>
      <w:r w:rsidR="00BB702D">
        <w:rPr>
          <w:sz w:val="28"/>
          <w:szCs w:val="28"/>
        </w:rPr>
        <w:t>и</w:t>
      </w:r>
      <w:r w:rsidR="00941DB8" w:rsidRPr="00941DB8">
        <w:rPr>
          <w:sz w:val="28"/>
          <w:szCs w:val="28"/>
        </w:rPr>
        <w:t xml:space="preserve"> електричної енергії за 2022 рік, пов’язан</w:t>
      </w:r>
      <w:r w:rsidR="00BB702D">
        <w:rPr>
          <w:sz w:val="28"/>
          <w:szCs w:val="28"/>
        </w:rPr>
        <w:t>і</w:t>
      </w:r>
      <w:r w:rsidR="00941DB8" w:rsidRPr="00941DB8">
        <w:rPr>
          <w:sz w:val="28"/>
          <w:szCs w:val="28"/>
        </w:rPr>
        <w:t xml:space="preserve"> з перевищенням фактичних економічних коефіцієнтів технологічних витрат електроенергії за 2022 рік від затверджених ЕКПТВЕ на 2022 рік, при розрахунку загальної суми отриманого/недоотриманого доходу від ліцензованої діяльності</w:t>
      </w:r>
      <w:r w:rsidR="00E65D19">
        <w:rPr>
          <w:sz w:val="28"/>
          <w:szCs w:val="28"/>
        </w:rPr>
        <w:t>.</w:t>
      </w:r>
    </w:p>
    <w:p w:rsidR="00D454A2" w:rsidRPr="001D31FB" w:rsidRDefault="00D454A2" w:rsidP="0085062D">
      <w:pPr>
        <w:pStyle w:val="a3"/>
        <w:ind w:right="132" w:firstLine="702"/>
        <w:jc w:val="both"/>
      </w:pPr>
      <w:r w:rsidRPr="001D31FB">
        <w:t>Впливу зовнішніх факторів, що можуть мати негативний вплив на виконання вимог регуляторного акта, не очікується.</w:t>
      </w:r>
    </w:p>
    <w:p w:rsidR="00D454A2" w:rsidRPr="000A23CF" w:rsidRDefault="00D454A2" w:rsidP="0085062D">
      <w:pPr>
        <w:pStyle w:val="a3"/>
        <w:spacing w:before="4" w:line="237" w:lineRule="auto"/>
        <w:ind w:right="146" w:firstLine="710"/>
        <w:jc w:val="both"/>
      </w:pPr>
      <w:r w:rsidRPr="001D31FB">
        <w:t>Характеристика механізму повної або часткової компенсації можливої шкоди у разі настання очікуваних наслідків дії акта не розроблялась, оскільки введення в дію положень регуляторного акта не призведе до настання будь-яких негативних наслідків.</w:t>
      </w:r>
    </w:p>
    <w:p w:rsidR="00D454A2" w:rsidRPr="00F96579" w:rsidRDefault="00D454A2" w:rsidP="00D454A2">
      <w:pPr>
        <w:pStyle w:val="a3"/>
        <w:spacing w:before="8"/>
      </w:pPr>
    </w:p>
    <w:p w:rsidR="00D454A2" w:rsidRPr="00F96579" w:rsidRDefault="00D454A2" w:rsidP="00D454A2">
      <w:pPr>
        <w:pStyle w:val="1"/>
        <w:numPr>
          <w:ilvl w:val="1"/>
          <w:numId w:val="3"/>
        </w:numPr>
        <w:tabs>
          <w:tab w:val="left" w:pos="1224"/>
        </w:tabs>
        <w:ind w:left="1223" w:hanging="448"/>
        <w:jc w:val="center"/>
      </w:pPr>
      <w:r w:rsidRPr="00F96579">
        <w:t>Обґрунтування запропонованого строку дії регуляторного</w:t>
      </w:r>
      <w:r w:rsidRPr="00F96579">
        <w:rPr>
          <w:spacing w:val="-30"/>
        </w:rPr>
        <w:t xml:space="preserve"> </w:t>
      </w:r>
      <w:r w:rsidRPr="00F96579">
        <w:t>акта</w:t>
      </w:r>
    </w:p>
    <w:p w:rsidR="00D454A2" w:rsidRPr="00F96579" w:rsidRDefault="00D454A2" w:rsidP="00D454A2">
      <w:pPr>
        <w:pStyle w:val="a3"/>
        <w:spacing w:before="6"/>
      </w:pPr>
    </w:p>
    <w:p w:rsidR="00D454A2" w:rsidRPr="00F96579" w:rsidRDefault="00BB3ECA" w:rsidP="00794FE5">
      <w:pPr>
        <w:pStyle w:val="a3"/>
        <w:ind w:right="149" w:firstLine="703"/>
        <w:jc w:val="both"/>
      </w:pPr>
      <w:r w:rsidRPr="00F96579">
        <w:t xml:space="preserve">Строк </w:t>
      </w:r>
      <w:r w:rsidR="00D454A2" w:rsidRPr="00F96579">
        <w:t>дії акта необмежений. Він може бути змінений у разі внесення відповідних змін до законодавства.</w:t>
      </w:r>
    </w:p>
    <w:p w:rsidR="00DF1E2D" w:rsidRPr="00F96579" w:rsidRDefault="00DF1E2D" w:rsidP="00D454A2">
      <w:pPr>
        <w:pStyle w:val="a3"/>
        <w:ind w:left="238" w:right="149" w:firstLine="703"/>
        <w:jc w:val="both"/>
      </w:pPr>
    </w:p>
    <w:p w:rsidR="00D454A2" w:rsidRPr="00F96579" w:rsidRDefault="00D454A2" w:rsidP="00D454A2">
      <w:pPr>
        <w:pStyle w:val="1"/>
        <w:numPr>
          <w:ilvl w:val="1"/>
          <w:numId w:val="3"/>
        </w:numPr>
        <w:tabs>
          <w:tab w:val="left" w:pos="1335"/>
        </w:tabs>
        <w:spacing w:before="75"/>
        <w:ind w:left="1334" w:hanging="559"/>
      </w:pPr>
      <w:r w:rsidRPr="00F96579">
        <w:t>Визначення показників результативності дії регуляторного</w:t>
      </w:r>
      <w:r w:rsidRPr="00F96579">
        <w:rPr>
          <w:spacing w:val="22"/>
        </w:rPr>
        <w:t xml:space="preserve"> </w:t>
      </w:r>
      <w:r w:rsidRPr="00F96579">
        <w:t>акта</w:t>
      </w:r>
    </w:p>
    <w:p w:rsidR="00D454A2" w:rsidRPr="00F96579" w:rsidRDefault="00D454A2" w:rsidP="00D454A2">
      <w:pPr>
        <w:pStyle w:val="a3"/>
        <w:spacing w:before="11"/>
        <w:rPr>
          <w:b/>
        </w:rPr>
      </w:pPr>
    </w:p>
    <w:p w:rsidR="00D454A2" w:rsidRPr="00F96579" w:rsidRDefault="00D454A2" w:rsidP="00AE7C3C">
      <w:pPr>
        <w:pStyle w:val="a3"/>
        <w:ind w:right="143" w:firstLine="851"/>
        <w:jc w:val="both"/>
      </w:pPr>
      <w:r w:rsidRPr="00F96579">
        <w:t xml:space="preserve">Після набрання постановою HKPEKП </w:t>
      </w:r>
      <w:r w:rsidR="001D31FB" w:rsidRPr="00F96579">
        <w:t>«</w:t>
      </w:r>
      <w:r w:rsidR="0094517E" w:rsidRPr="0094517E">
        <w:rPr>
          <w:rStyle w:val="rvts23"/>
          <w:color w:val="000000"/>
        </w:rPr>
        <w:t xml:space="preserve">Про </w:t>
      </w:r>
      <w:r w:rsidR="00AF1E42">
        <w:rPr>
          <w:rStyle w:val="rvts23"/>
          <w:color w:val="000000"/>
        </w:rPr>
        <w:t>затвердження</w:t>
      </w:r>
      <w:r w:rsidR="0094517E" w:rsidRPr="0094517E">
        <w:rPr>
          <w:rStyle w:val="rvts23"/>
          <w:color w:val="000000"/>
        </w:rPr>
        <w:t xml:space="preserve"> </w:t>
      </w:r>
      <w:r w:rsidR="00AF1E42">
        <w:rPr>
          <w:rStyle w:val="rvts23"/>
          <w:color w:val="000000"/>
        </w:rPr>
        <w:t>З</w:t>
      </w:r>
      <w:r w:rsidR="0094517E" w:rsidRPr="0094517E">
        <w:rPr>
          <w:rStyle w:val="rvts23"/>
          <w:color w:val="000000"/>
        </w:rPr>
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="001D31FB" w:rsidRPr="00F96579">
        <w:t>»</w:t>
      </w:r>
      <w:r w:rsidRPr="00F96579">
        <w:t xml:space="preserve"> чинності, її результативність визначатиметься такими показниками:</w:t>
      </w:r>
    </w:p>
    <w:p w:rsidR="005F6458" w:rsidRPr="00F96579" w:rsidRDefault="00D454A2" w:rsidP="00AE7C3C">
      <w:pPr>
        <w:pStyle w:val="a9"/>
        <w:numPr>
          <w:ilvl w:val="2"/>
          <w:numId w:val="3"/>
        </w:numPr>
        <w:tabs>
          <w:tab w:val="left" w:pos="1342"/>
        </w:tabs>
        <w:ind w:left="0" w:right="139" w:firstLine="851"/>
        <w:jc w:val="both"/>
        <w:rPr>
          <w:sz w:val="28"/>
          <w:szCs w:val="28"/>
        </w:rPr>
      </w:pPr>
      <w:r w:rsidRPr="00F96579">
        <w:rPr>
          <w:sz w:val="28"/>
          <w:szCs w:val="28"/>
        </w:rPr>
        <w:t xml:space="preserve">розміром надходжень до Державного бюджету України </w:t>
      </w:r>
      <w:r w:rsidR="00F96579" w:rsidRPr="00F96579">
        <w:rPr>
          <w:sz w:val="28"/>
          <w:szCs w:val="28"/>
        </w:rPr>
        <w:t>–</w:t>
      </w:r>
      <w:r w:rsidRPr="00F96579">
        <w:rPr>
          <w:w w:val="90"/>
          <w:sz w:val="28"/>
          <w:szCs w:val="28"/>
        </w:rPr>
        <w:t xml:space="preserve"> </w:t>
      </w:r>
      <w:r w:rsidRPr="00F96579">
        <w:rPr>
          <w:sz w:val="28"/>
          <w:szCs w:val="28"/>
        </w:rPr>
        <w:t>реалізація про</w:t>
      </w:r>
      <w:r w:rsidR="00772360" w:rsidRPr="00F96579">
        <w:rPr>
          <w:sz w:val="28"/>
          <w:szCs w:val="28"/>
        </w:rPr>
        <w:t>є</w:t>
      </w:r>
      <w:r w:rsidRPr="00F96579">
        <w:rPr>
          <w:sz w:val="28"/>
          <w:szCs w:val="28"/>
        </w:rPr>
        <w:t xml:space="preserve">кту регуляторного акта не потребує витрат із Державного бюджету України, надходження до Державного бюджету України, у зв’язку з прийняттям регуляторного </w:t>
      </w:r>
      <w:proofErr w:type="spellStart"/>
      <w:r w:rsidRPr="00F96579">
        <w:rPr>
          <w:sz w:val="28"/>
          <w:szCs w:val="28"/>
        </w:rPr>
        <w:t>акта</w:t>
      </w:r>
      <w:proofErr w:type="spellEnd"/>
      <w:r w:rsidRPr="00F96579">
        <w:rPr>
          <w:sz w:val="28"/>
          <w:szCs w:val="28"/>
        </w:rPr>
        <w:t xml:space="preserve"> не</w:t>
      </w:r>
      <w:r w:rsidRPr="00F96579">
        <w:rPr>
          <w:spacing w:val="-31"/>
          <w:sz w:val="28"/>
          <w:szCs w:val="28"/>
        </w:rPr>
        <w:t xml:space="preserve"> </w:t>
      </w:r>
      <w:r w:rsidRPr="00F96579">
        <w:rPr>
          <w:sz w:val="28"/>
          <w:szCs w:val="28"/>
        </w:rPr>
        <w:t>передбачаються;</w:t>
      </w:r>
    </w:p>
    <w:p w:rsidR="00D454A2" w:rsidRPr="00F96579" w:rsidRDefault="00D454A2" w:rsidP="00AE7C3C">
      <w:pPr>
        <w:pStyle w:val="a9"/>
        <w:numPr>
          <w:ilvl w:val="2"/>
          <w:numId w:val="3"/>
        </w:numPr>
        <w:tabs>
          <w:tab w:val="left" w:pos="1373"/>
        </w:tabs>
        <w:ind w:left="0" w:right="127" w:firstLine="851"/>
        <w:jc w:val="both"/>
        <w:rPr>
          <w:sz w:val="28"/>
          <w:szCs w:val="28"/>
        </w:rPr>
      </w:pPr>
      <w:r w:rsidRPr="00F96579">
        <w:rPr>
          <w:sz w:val="28"/>
          <w:szCs w:val="28"/>
        </w:rPr>
        <w:t>кількістю cy</w:t>
      </w:r>
      <w:r w:rsidR="00276819" w:rsidRPr="00F96579">
        <w:rPr>
          <w:sz w:val="28"/>
          <w:szCs w:val="28"/>
        </w:rPr>
        <w:t>б</w:t>
      </w:r>
      <w:r w:rsidRPr="00F96579">
        <w:rPr>
          <w:sz w:val="28"/>
          <w:szCs w:val="28"/>
        </w:rPr>
        <w:t>’</w:t>
      </w:r>
      <w:r w:rsidR="00276819" w:rsidRPr="00F96579">
        <w:rPr>
          <w:sz w:val="28"/>
          <w:szCs w:val="28"/>
        </w:rPr>
        <w:t>є</w:t>
      </w:r>
      <w:r w:rsidRPr="00F96579">
        <w:rPr>
          <w:sz w:val="28"/>
          <w:szCs w:val="28"/>
        </w:rPr>
        <w:t xml:space="preserve">ктів господарювання та/або фізичних осіб, на яких поширюватиметься дія регуляторного </w:t>
      </w:r>
      <w:proofErr w:type="spellStart"/>
      <w:r w:rsidRPr="00F96579">
        <w:rPr>
          <w:sz w:val="28"/>
          <w:szCs w:val="28"/>
        </w:rPr>
        <w:t>акта</w:t>
      </w:r>
      <w:proofErr w:type="spellEnd"/>
      <w:r w:rsidRPr="00F96579">
        <w:rPr>
          <w:sz w:val="28"/>
          <w:szCs w:val="28"/>
        </w:rPr>
        <w:t xml:space="preserve"> </w:t>
      </w:r>
      <w:r w:rsidR="00051357">
        <w:rPr>
          <w:w w:val="90"/>
          <w:sz w:val="28"/>
          <w:szCs w:val="28"/>
        </w:rPr>
        <w:t>–</w:t>
      </w:r>
      <w:r w:rsidRPr="00F96579">
        <w:rPr>
          <w:w w:val="90"/>
          <w:sz w:val="28"/>
          <w:szCs w:val="28"/>
        </w:rPr>
        <w:t xml:space="preserve"> </w:t>
      </w:r>
      <w:r w:rsidR="00E92C5C" w:rsidRPr="00E92C5C">
        <w:rPr>
          <w:sz w:val="28"/>
          <w:szCs w:val="28"/>
        </w:rPr>
        <w:t xml:space="preserve">дія </w:t>
      </w:r>
      <w:proofErr w:type="spellStart"/>
      <w:r w:rsidR="00E92C5C" w:rsidRPr="00E92C5C">
        <w:rPr>
          <w:sz w:val="28"/>
          <w:szCs w:val="28"/>
        </w:rPr>
        <w:t>акта</w:t>
      </w:r>
      <w:proofErr w:type="spellEnd"/>
      <w:r w:rsidR="00E92C5C" w:rsidRPr="00E92C5C">
        <w:rPr>
          <w:sz w:val="28"/>
          <w:szCs w:val="28"/>
        </w:rPr>
        <w:t xml:space="preserve"> поширюватиметься на суб’єктів господарювання, </w:t>
      </w:r>
      <w:r w:rsidR="00470839">
        <w:rPr>
          <w:sz w:val="28"/>
          <w:szCs w:val="28"/>
        </w:rPr>
        <w:t>що провадять діяльність у сферах енергетики та комунальних послуг</w:t>
      </w:r>
      <w:r w:rsidRPr="00F96579">
        <w:rPr>
          <w:sz w:val="28"/>
          <w:szCs w:val="28"/>
        </w:rPr>
        <w:t>;</w:t>
      </w:r>
    </w:p>
    <w:p w:rsidR="00D454A2" w:rsidRPr="00F96579" w:rsidRDefault="00D454A2" w:rsidP="00AE7C3C">
      <w:pPr>
        <w:pStyle w:val="a9"/>
        <w:numPr>
          <w:ilvl w:val="2"/>
          <w:numId w:val="3"/>
        </w:numPr>
        <w:tabs>
          <w:tab w:val="left" w:pos="1255"/>
        </w:tabs>
        <w:spacing w:line="312" w:lineRule="exact"/>
        <w:ind w:left="0" w:firstLine="851"/>
        <w:jc w:val="both"/>
        <w:rPr>
          <w:sz w:val="28"/>
          <w:szCs w:val="28"/>
        </w:rPr>
      </w:pPr>
      <w:r w:rsidRPr="00F96579">
        <w:rPr>
          <w:sz w:val="28"/>
          <w:szCs w:val="28"/>
        </w:rPr>
        <w:t>рівнем поінформованості cy</w:t>
      </w:r>
      <w:r w:rsidR="00FF318B" w:rsidRPr="00F96579">
        <w:rPr>
          <w:sz w:val="28"/>
          <w:szCs w:val="28"/>
        </w:rPr>
        <w:t>б</w:t>
      </w:r>
      <w:r w:rsidRPr="00F96579">
        <w:rPr>
          <w:sz w:val="28"/>
          <w:szCs w:val="28"/>
        </w:rPr>
        <w:t>’</w:t>
      </w:r>
      <w:r w:rsidR="00FF318B" w:rsidRPr="00F96579">
        <w:rPr>
          <w:sz w:val="28"/>
          <w:szCs w:val="28"/>
        </w:rPr>
        <w:t>є</w:t>
      </w:r>
      <w:r w:rsidRPr="00F96579">
        <w:rPr>
          <w:sz w:val="28"/>
          <w:szCs w:val="28"/>
        </w:rPr>
        <w:t>ктів господарювання з основних</w:t>
      </w:r>
      <w:r w:rsidRPr="00F96579">
        <w:rPr>
          <w:spacing w:val="-9"/>
          <w:sz w:val="28"/>
          <w:szCs w:val="28"/>
        </w:rPr>
        <w:t xml:space="preserve"> </w:t>
      </w:r>
      <w:r w:rsidRPr="00F96579">
        <w:rPr>
          <w:sz w:val="28"/>
          <w:szCs w:val="28"/>
        </w:rPr>
        <w:t xml:space="preserve">положень </w:t>
      </w:r>
      <w:proofErr w:type="spellStart"/>
      <w:r w:rsidRPr="00F96579">
        <w:rPr>
          <w:sz w:val="28"/>
          <w:szCs w:val="28"/>
        </w:rPr>
        <w:t>акта</w:t>
      </w:r>
      <w:proofErr w:type="spellEnd"/>
      <w:r w:rsidR="00E424EC" w:rsidRPr="00F96579">
        <w:rPr>
          <w:sz w:val="28"/>
          <w:szCs w:val="28"/>
        </w:rPr>
        <w:t xml:space="preserve"> – середній.</w:t>
      </w:r>
    </w:p>
    <w:p w:rsidR="00051357" w:rsidRDefault="00D454A2" w:rsidP="00AE7C3C">
      <w:pPr>
        <w:pStyle w:val="a3"/>
        <w:ind w:firstLine="851"/>
        <w:jc w:val="both"/>
      </w:pPr>
      <w:r w:rsidRPr="00F96579">
        <w:t>Відповідно до частини другої</w:t>
      </w:r>
      <w:r w:rsidR="00772360" w:rsidRPr="00F96579">
        <w:t xml:space="preserve"> статті 15 Закону України «Про</w:t>
      </w:r>
      <w:r w:rsidRPr="00F96579">
        <w:rPr>
          <w:spacing w:val="16"/>
        </w:rPr>
        <w:t xml:space="preserve"> </w:t>
      </w:r>
      <w:r w:rsidRPr="00F96579">
        <w:t>Національну комісію, що здійснює державне регулювання у сферах енергетики та</w:t>
      </w:r>
      <w:r w:rsidRPr="00F96579">
        <w:rPr>
          <w:spacing w:val="-47"/>
        </w:rPr>
        <w:t xml:space="preserve"> </w:t>
      </w:r>
      <w:r w:rsidRPr="00F96579">
        <w:t>комунальних послуг» про</w:t>
      </w:r>
      <w:r w:rsidR="00772360" w:rsidRPr="00F96579">
        <w:t>є</w:t>
      </w:r>
      <w:r w:rsidRPr="00F96579">
        <w:t xml:space="preserve">кт постанови HKPEKП </w:t>
      </w:r>
      <w:r w:rsidR="001D31FB" w:rsidRPr="00F96579">
        <w:t>«</w:t>
      </w:r>
      <w:r w:rsidR="006B20B9" w:rsidRPr="006B20B9">
        <w:rPr>
          <w:rStyle w:val="rvts23"/>
          <w:color w:val="000000"/>
        </w:rPr>
        <w:t xml:space="preserve">Про </w:t>
      </w:r>
      <w:r w:rsidR="008D13F0">
        <w:rPr>
          <w:rStyle w:val="rvts23"/>
          <w:color w:val="000000"/>
        </w:rPr>
        <w:t>затвердження</w:t>
      </w:r>
      <w:r w:rsidR="006B20B9" w:rsidRPr="006B20B9">
        <w:rPr>
          <w:rStyle w:val="rvts23"/>
          <w:color w:val="000000"/>
        </w:rPr>
        <w:t xml:space="preserve"> </w:t>
      </w:r>
      <w:r w:rsidR="008D13F0">
        <w:rPr>
          <w:rStyle w:val="rvts23"/>
          <w:color w:val="000000"/>
        </w:rPr>
        <w:t>З</w:t>
      </w:r>
      <w:r w:rsidR="006B20B9" w:rsidRPr="006B20B9">
        <w:rPr>
          <w:rStyle w:val="rvts23"/>
          <w:color w:val="000000"/>
        </w:rPr>
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="001D31FB">
        <w:t>»</w:t>
      </w:r>
      <w:r w:rsidRPr="00472A09">
        <w:t>, що ма</w:t>
      </w:r>
      <w:r w:rsidR="0085062D">
        <w:t>є</w:t>
      </w:r>
      <w:r w:rsidRPr="00472A09">
        <w:t xml:space="preserve"> ознаки регуляторного акта, аналіз впливу та повідомлення про оприлюднення розміщ</w:t>
      </w:r>
      <w:r w:rsidR="00051357">
        <w:t>уються</w:t>
      </w:r>
      <w:r w:rsidRPr="00472A09">
        <w:t xml:space="preserve"> на офі</w:t>
      </w:r>
      <w:r w:rsidR="00772360">
        <w:t>ційному веб</w:t>
      </w:r>
      <w:r w:rsidRPr="00472A09">
        <w:t xml:space="preserve">сайті HKPEKП в мережі Інтернет </w:t>
      </w:r>
      <w:hyperlink r:id="rId8" w:history="1">
        <w:r w:rsidR="004F58F9" w:rsidRPr="00173986">
          <w:rPr>
            <w:rStyle w:val="ac"/>
          </w:rPr>
          <w:t>www.nerc.gov.ua</w:t>
        </w:r>
      </w:hyperlink>
      <w:r w:rsidRPr="00276819">
        <w:t>.</w:t>
      </w:r>
    </w:p>
    <w:p w:rsidR="00D454A2" w:rsidRPr="00472A09" w:rsidRDefault="00D454A2" w:rsidP="00AE7C3C">
      <w:pPr>
        <w:pStyle w:val="a3"/>
        <w:ind w:firstLine="851"/>
        <w:jc w:val="both"/>
      </w:pPr>
      <w:r w:rsidRPr="00276819">
        <w:t>HKPEKП у межах компетенції надає необхідні роз’яснення щодо норм про</w:t>
      </w:r>
      <w:r w:rsidR="00772360" w:rsidRPr="00276819">
        <w:t>є</w:t>
      </w:r>
      <w:r w:rsidRPr="00276819">
        <w:t xml:space="preserve">кту регуляторного акта i надаватиме роз’яснення щодо застосування акта, який буде </w:t>
      </w:r>
      <w:r w:rsidR="00B818D0">
        <w:t>оприлюднено</w:t>
      </w:r>
      <w:r w:rsidR="00B818D0" w:rsidRPr="00276819">
        <w:t xml:space="preserve"> </w:t>
      </w:r>
      <w:r w:rsidR="00772360" w:rsidRPr="00276819">
        <w:t>на офіційному веб</w:t>
      </w:r>
      <w:r w:rsidRPr="00276819">
        <w:t xml:space="preserve">сайті HKPEKП в мережі Інтернет </w:t>
      </w:r>
      <w:hyperlink r:id="rId9" w:history="1">
        <w:r w:rsidR="004F58F9" w:rsidRPr="00173986">
          <w:rPr>
            <w:rStyle w:val="ac"/>
          </w:rPr>
          <w:t>www.nerc.gov.ua</w:t>
        </w:r>
      </w:hyperlink>
      <w:r w:rsidR="004F58F9">
        <w:t xml:space="preserve"> </w:t>
      </w:r>
      <w:r w:rsidRPr="00276819">
        <w:t>після</w:t>
      </w:r>
      <w:r>
        <w:t xml:space="preserve"> його прийняття.</w:t>
      </w:r>
    </w:p>
    <w:p w:rsidR="00D454A2" w:rsidRPr="00472A09" w:rsidRDefault="00D454A2" w:rsidP="00D454A2">
      <w:pPr>
        <w:pStyle w:val="a3"/>
        <w:jc w:val="both"/>
      </w:pPr>
    </w:p>
    <w:p w:rsidR="00D454A2" w:rsidRPr="000A23CF" w:rsidRDefault="00D454A2" w:rsidP="00D454A2">
      <w:pPr>
        <w:pStyle w:val="1"/>
        <w:numPr>
          <w:ilvl w:val="1"/>
          <w:numId w:val="3"/>
        </w:numPr>
        <w:tabs>
          <w:tab w:val="left" w:pos="1445"/>
        </w:tabs>
        <w:spacing w:before="118"/>
        <w:ind w:left="1444" w:hanging="669"/>
      </w:pPr>
      <w:r w:rsidRPr="000A23CF">
        <w:t>Очікувані результати прийняття регуляторного</w:t>
      </w:r>
      <w:r w:rsidRPr="000A23CF">
        <w:rPr>
          <w:spacing w:val="7"/>
        </w:rPr>
        <w:t xml:space="preserve"> </w:t>
      </w:r>
      <w:r w:rsidRPr="000A23CF">
        <w:t>акта</w:t>
      </w:r>
    </w:p>
    <w:p w:rsidR="00D454A2" w:rsidRPr="000A23CF" w:rsidRDefault="00D454A2" w:rsidP="00D454A2">
      <w:pPr>
        <w:pStyle w:val="a3"/>
        <w:spacing w:before="1"/>
        <w:rPr>
          <w:b/>
          <w:sz w:val="27"/>
        </w:rPr>
      </w:pPr>
    </w:p>
    <w:p w:rsidR="00D454A2" w:rsidRDefault="00D454A2" w:rsidP="00426954">
      <w:pPr>
        <w:pStyle w:val="a3"/>
        <w:ind w:right="136" w:firstLine="851"/>
        <w:jc w:val="both"/>
      </w:pPr>
      <w:r w:rsidRPr="001D31FB">
        <w:t xml:space="preserve">Очікуваним результатом прийняття постанови HKPEKП </w:t>
      </w:r>
      <w:r w:rsidR="001D31FB" w:rsidRPr="001D31FB">
        <w:t>«</w:t>
      </w:r>
      <w:r w:rsidR="00F74C41" w:rsidRPr="00F74C41">
        <w:rPr>
          <w:rStyle w:val="rvts23"/>
          <w:color w:val="000000"/>
        </w:rPr>
        <w:t xml:space="preserve">Про </w:t>
      </w:r>
      <w:r w:rsidR="00B10BA1">
        <w:rPr>
          <w:rStyle w:val="rvts23"/>
          <w:color w:val="000000"/>
        </w:rPr>
        <w:t>затвердження З</w:t>
      </w:r>
      <w:r w:rsidR="00F74C41" w:rsidRPr="00F74C41">
        <w:rPr>
          <w:rStyle w:val="rvts23"/>
          <w:color w:val="000000"/>
        </w:rPr>
        <w:t>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r w:rsidR="001D31FB" w:rsidRPr="001D31FB">
        <w:t>»</w:t>
      </w:r>
      <w:r w:rsidRPr="001D31FB">
        <w:t xml:space="preserve"> є </w:t>
      </w:r>
      <w:r w:rsidR="00D04F51">
        <w:t>застосування</w:t>
      </w:r>
      <w:r w:rsidR="00814DC2" w:rsidRPr="00814DC2">
        <w:t xml:space="preserve"> НКРЕКП під час визначення суми штрафів</w:t>
      </w:r>
      <w:r w:rsidR="00814DC2">
        <w:t xml:space="preserve"> </w:t>
      </w:r>
      <w:r w:rsidR="00426954" w:rsidRPr="00426954">
        <w:t xml:space="preserve">Методики розрахунку штрафних санкцій за порушення законодавства у сферах енергетики та комунальних </w:t>
      </w:r>
      <w:r w:rsidR="00426954" w:rsidRPr="00426954">
        <w:lastRenderedPageBreak/>
        <w:t xml:space="preserve">послуг та відповідних ліцензійних умов, що </w:t>
      </w:r>
      <w:r w:rsidR="00D04F51" w:rsidRPr="00D04F51">
        <w:t xml:space="preserve">сприятиме ще більш прозорому, прогнозованому та відкритому процесу застосування штрафних санкцій, та </w:t>
      </w:r>
      <w:r w:rsidR="00426954" w:rsidRPr="00426954">
        <w:t>врахування операторам систем розподілу витрат електричної енергії за 2022 рік, пов’язаних з перевищенням фактичних економічних коефіцієнтів технологічних витрат електроенергії за 2022 рік від затверджених ЕКПТВЕ на 2022 рік, при розрахунку загальної суми отриманого/недоотриманого доходу від ліцензованої діяльності</w:t>
      </w:r>
      <w:r w:rsidR="00426954">
        <w:t>.</w:t>
      </w:r>
    </w:p>
    <w:p w:rsidR="00426954" w:rsidRDefault="00426954" w:rsidP="00426954">
      <w:pPr>
        <w:pStyle w:val="a3"/>
        <w:ind w:right="136" w:firstLine="851"/>
        <w:jc w:val="both"/>
      </w:pPr>
    </w:p>
    <w:p w:rsidR="00171A19" w:rsidRDefault="00171A19" w:rsidP="00D454A2">
      <w:pPr>
        <w:pStyle w:val="a3"/>
        <w:ind w:left="234" w:right="136" w:firstLine="538"/>
        <w:jc w:val="both"/>
      </w:pPr>
    </w:p>
    <w:p w:rsidR="00D454A2" w:rsidRDefault="00D454A2" w:rsidP="00D454A2">
      <w:pPr>
        <w:pStyle w:val="a3"/>
        <w:ind w:left="234" w:right="136" w:firstLine="538"/>
        <w:jc w:val="both"/>
      </w:pPr>
    </w:p>
    <w:p w:rsidR="009C45E7" w:rsidRDefault="009C45E7" w:rsidP="00F46893">
      <w:pPr>
        <w:pStyle w:val="a3"/>
        <w:ind w:right="136"/>
        <w:jc w:val="both"/>
      </w:pPr>
    </w:p>
    <w:p w:rsidR="00D454A2" w:rsidRPr="00AE6DAC" w:rsidRDefault="00D454A2" w:rsidP="006C00FF">
      <w:pPr>
        <w:pStyle w:val="a3"/>
        <w:ind w:left="234" w:right="136" w:firstLine="50"/>
        <w:jc w:val="both"/>
        <w:rPr>
          <w:b/>
        </w:rPr>
      </w:pPr>
      <w:r w:rsidRPr="00AE6DAC">
        <w:rPr>
          <w:b/>
        </w:rPr>
        <w:t>Голов</w:t>
      </w:r>
      <w:r w:rsidR="00171A19">
        <w:rPr>
          <w:b/>
        </w:rPr>
        <w:t>а</w:t>
      </w:r>
      <w:r w:rsidRPr="00AE6DAC">
        <w:rPr>
          <w:b/>
        </w:rPr>
        <w:t xml:space="preserve"> НКРЕКП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171A19">
        <w:rPr>
          <w:b/>
        </w:rPr>
        <w:tab/>
      </w:r>
      <w:r>
        <w:rPr>
          <w:b/>
        </w:rPr>
        <w:tab/>
      </w:r>
      <w:r w:rsidR="00051357">
        <w:rPr>
          <w:b/>
        </w:rPr>
        <w:t>К</w:t>
      </w:r>
      <w:r w:rsidR="00426954">
        <w:rPr>
          <w:b/>
        </w:rPr>
        <w:t>остянтин</w:t>
      </w:r>
      <w:r w:rsidR="00171A19">
        <w:rPr>
          <w:b/>
        </w:rPr>
        <w:t xml:space="preserve"> </w:t>
      </w:r>
      <w:r w:rsidR="00426954">
        <w:rPr>
          <w:b/>
        </w:rPr>
        <w:t>УЩАПОВСЬКИЙ</w:t>
      </w:r>
    </w:p>
    <w:sectPr w:rsidR="00D454A2" w:rsidRPr="00AE6DAC" w:rsidSect="005F6458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441E" w:rsidRDefault="005A441E">
      <w:r>
        <w:separator/>
      </w:r>
    </w:p>
  </w:endnote>
  <w:endnote w:type="continuationSeparator" w:id="0">
    <w:p w:rsidR="005A441E" w:rsidRDefault="005A4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441E" w:rsidRDefault="005A441E">
      <w:r>
        <w:separator/>
      </w:r>
    </w:p>
  </w:footnote>
  <w:footnote w:type="continuationSeparator" w:id="0">
    <w:p w:rsidR="005A441E" w:rsidRDefault="005A44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36868"/>
      <w:docPartObj>
        <w:docPartGallery w:val="Page Numbers (Top of Page)"/>
        <w:docPartUnique/>
      </w:docPartObj>
    </w:sdtPr>
    <w:sdtEndPr/>
    <w:sdtContent>
      <w:p w:rsidR="00AE6DAC" w:rsidRDefault="00D454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AE6DAC" w:rsidRDefault="005A441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3934434"/>
      <w:docPartObj>
        <w:docPartGallery w:val="Page Numbers (Top of Page)"/>
        <w:docPartUnique/>
      </w:docPartObj>
    </w:sdtPr>
    <w:sdtEndPr/>
    <w:sdtContent>
      <w:p w:rsidR="00AE6DAC" w:rsidRDefault="00D454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185">
          <w:rPr>
            <w:noProof/>
          </w:rPr>
          <w:t>9</w:t>
        </w:r>
        <w:r>
          <w:fldChar w:fldCharType="end"/>
        </w:r>
      </w:p>
    </w:sdtContent>
  </w:sdt>
  <w:p w:rsidR="00AE6DAC" w:rsidRDefault="005A441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C4A51"/>
    <w:multiLevelType w:val="hybridMultilevel"/>
    <w:tmpl w:val="2D40746C"/>
    <w:lvl w:ilvl="0" w:tplc="249E4994">
      <w:numFmt w:val="bullet"/>
      <w:suff w:val="space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A156462"/>
    <w:multiLevelType w:val="hybridMultilevel"/>
    <w:tmpl w:val="9E72E880"/>
    <w:lvl w:ilvl="0" w:tplc="1DC458C4">
      <w:start w:val="1"/>
      <w:numFmt w:val="decimal"/>
      <w:lvlText w:val="%1.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1" w:tplc="E4088CB4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6554A136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0B5050DC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5C2C9050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C116DB46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B7269E2A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61F2FE6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9B267A66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2" w15:restartNumberingAfterBreak="0">
    <w:nsid w:val="78B1789C"/>
    <w:multiLevelType w:val="hybridMultilevel"/>
    <w:tmpl w:val="B1CEDD3A"/>
    <w:lvl w:ilvl="0" w:tplc="A060EB58">
      <w:start w:val="1"/>
      <w:numFmt w:val="decimal"/>
      <w:lvlText w:val="%1)"/>
      <w:lvlJc w:val="left"/>
      <w:pPr>
        <w:ind w:left="1133" w:hanging="359"/>
      </w:pPr>
      <w:rPr>
        <w:rFonts w:ascii="Times New Roman" w:eastAsia="Times New Roman" w:hAnsi="Times New Roman" w:cs="Times New Roman" w:hint="default"/>
        <w:w w:val="97"/>
        <w:sz w:val="28"/>
        <w:szCs w:val="28"/>
        <w:lang w:val="uk-UA" w:eastAsia="en-US" w:bidi="ar-SA"/>
      </w:rPr>
    </w:lvl>
    <w:lvl w:ilvl="1" w:tplc="53CE81C2">
      <w:numFmt w:val="bullet"/>
      <w:lvlText w:val="•"/>
      <w:lvlJc w:val="left"/>
      <w:pPr>
        <w:ind w:left="2052" w:hanging="359"/>
      </w:pPr>
      <w:rPr>
        <w:rFonts w:hint="default"/>
        <w:lang w:val="uk-UA" w:eastAsia="en-US" w:bidi="ar-SA"/>
      </w:rPr>
    </w:lvl>
    <w:lvl w:ilvl="2" w:tplc="5DD640F4">
      <w:numFmt w:val="bullet"/>
      <w:lvlText w:val="•"/>
      <w:lvlJc w:val="left"/>
      <w:pPr>
        <w:ind w:left="2964" w:hanging="359"/>
      </w:pPr>
      <w:rPr>
        <w:rFonts w:hint="default"/>
        <w:lang w:val="uk-UA" w:eastAsia="en-US" w:bidi="ar-SA"/>
      </w:rPr>
    </w:lvl>
    <w:lvl w:ilvl="3" w:tplc="414C792E">
      <w:numFmt w:val="bullet"/>
      <w:lvlText w:val="•"/>
      <w:lvlJc w:val="left"/>
      <w:pPr>
        <w:ind w:left="3876" w:hanging="359"/>
      </w:pPr>
      <w:rPr>
        <w:rFonts w:hint="default"/>
        <w:lang w:val="uk-UA" w:eastAsia="en-US" w:bidi="ar-SA"/>
      </w:rPr>
    </w:lvl>
    <w:lvl w:ilvl="4" w:tplc="4244973E">
      <w:numFmt w:val="bullet"/>
      <w:lvlText w:val="•"/>
      <w:lvlJc w:val="left"/>
      <w:pPr>
        <w:ind w:left="4788" w:hanging="359"/>
      </w:pPr>
      <w:rPr>
        <w:rFonts w:hint="default"/>
        <w:lang w:val="uk-UA" w:eastAsia="en-US" w:bidi="ar-SA"/>
      </w:rPr>
    </w:lvl>
    <w:lvl w:ilvl="5" w:tplc="D16A509E">
      <w:numFmt w:val="bullet"/>
      <w:lvlText w:val="•"/>
      <w:lvlJc w:val="left"/>
      <w:pPr>
        <w:ind w:left="5700" w:hanging="359"/>
      </w:pPr>
      <w:rPr>
        <w:rFonts w:hint="default"/>
        <w:lang w:val="uk-UA" w:eastAsia="en-US" w:bidi="ar-SA"/>
      </w:rPr>
    </w:lvl>
    <w:lvl w:ilvl="6" w:tplc="177C7492">
      <w:numFmt w:val="bullet"/>
      <w:lvlText w:val="•"/>
      <w:lvlJc w:val="left"/>
      <w:pPr>
        <w:ind w:left="6612" w:hanging="359"/>
      </w:pPr>
      <w:rPr>
        <w:rFonts w:hint="default"/>
        <w:lang w:val="uk-UA" w:eastAsia="en-US" w:bidi="ar-SA"/>
      </w:rPr>
    </w:lvl>
    <w:lvl w:ilvl="7" w:tplc="8ADCC548">
      <w:numFmt w:val="bullet"/>
      <w:lvlText w:val="•"/>
      <w:lvlJc w:val="left"/>
      <w:pPr>
        <w:ind w:left="7524" w:hanging="359"/>
      </w:pPr>
      <w:rPr>
        <w:rFonts w:hint="default"/>
        <w:lang w:val="uk-UA" w:eastAsia="en-US" w:bidi="ar-SA"/>
      </w:rPr>
    </w:lvl>
    <w:lvl w:ilvl="8" w:tplc="CE264668">
      <w:numFmt w:val="bullet"/>
      <w:lvlText w:val="•"/>
      <w:lvlJc w:val="left"/>
      <w:pPr>
        <w:ind w:left="8436" w:hanging="359"/>
      </w:pPr>
      <w:rPr>
        <w:rFonts w:hint="default"/>
        <w:lang w:val="uk-UA" w:eastAsia="en-US" w:bidi="ar-SA"/>
      </w:rPr>
    </w:lvl>
  </w:abstractNum>
  <w:abstractNum w:abstractNumId="3" w15:restartNumberingAfterBreak="0">
    <w:nsid w:val="7B141276"/>
    <w:multiLevelType w:val="hybridMultilevel"/>
    <w:tmpl w:val="1B2267B6"/>
    <w:lvl w:ilvl="0" w:tplc="C2F82D28">
      <w:numFmt w:val="bullet"/>
      <w:lvlText w:val="*"/>
      <w:lvlJc w:val="left"/>
      <w:pPr>
        <w:ind w:left="235" w:hanging="207"/>
      </w:pPr>
      <w:rPr>
        <w:rFonts w:ascii="Times New Roman" w:eastAsia="Times New Roman" w:hAnsi="Times New Roman" w:cs="Times New Roman" w:hint="default"/>
        <w:w w:val="88"/>
        <w:sz w:val="25"/>
        <w:szCs w:val="25"/>
        <w:lang w:val="uk-UA" w:eastAsia="en-US" w:bidi="ar-SA"/>
      </w:rPr>
    </w:lvl>
    <w:lvl w:ilvl="1" w:tplc="6818F1AA">
      <w:start w:val="1"/>
      <w:numFmt w:val="upperRoman"/>
      <w:suff w:val="space"/>
      <w:lvlText w:val="%2."/>
      <w:lvlJc w:val="left"/>
      <w:pPr>
        <w:ind w:left="362" w:hanging="362"/>
      </w:pPr>
      <w:rPr>
        <w:rFonts w:hint="default"/>
        <w:b/>
        <w:w w:val="93"/>
        <w:sz w:val="28"/>
        <w:szCs w:val="28"/>
        <w:lang w:val="uk-UA" w:eastAsia="en-US" w:bidi="ar-SA"/>
      </w:rPr>
    </w:lvl>
    <w:lvl w:ilvl="2" w:tplc="17580AA8">
      <w:start w:val="1"/>
      <w:numFmt w:val="decimal"/>
      <w:suff w:val="space"/>
      <w:lvlText w:val="%3)"/>
      <w:lvlJc w:val="left"/>
      <w:pPr>
        <w:ind w:left="234" w:hanging="39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uk-UA" w:eastAsia="en-US" w:bidi="ar-SA"/>
      </w:rPr>
    </w:lvl>
    <w:lvl w:ilvl="3" w:tplc="9454F51A">
      <w:numFmt w:val="bullet"/>
      <w:lvlText w:val="•"/>
      <w:lvlJc w:val="left"/>
      <w:pPr>
        <w:ind w:left="5173" w:hanging="394"/>
      </w:pPr>
      <w:rPr>
        <w:rFonts w:hint="default"/>
        <w:lang w:val="uk-UA" w:eastAsia="en-US" w:bidi="ar-SA"/>
      </w:rPr>
    </w:lvl>
    <w:lvl w:ilvl="4" w:tplc="9D66C866">
      <w:numFmt w:val="bullet"/>
      <w:lvlText w:val="•"/>
      <w:lvlJc w:val="left"/>
      <w:pPr>
        <w:ind w:left="5900" w:hanging="394"/>
      </w:pPr>
      <w:rPr>
        <w:rFonts w:hint="default"/>
        <w:lang w:val="uk-UA" w:eastAsia="en-US" w:bidi="ar-SA"/>
      </w:rPr>
    </w:lvl>
    <w:lvl w:ilvl="5" w:tplc="8CF88612">
      <w:numFmt w:val="bullet"/>
      <w:lvlText w:val="•"/>
      <w:lvlJc w:val="left"/>
      <w:pPr>
        <w:ind w:left="6626" w:hanging="394"/>
      </w:pPr>
      <w:rPr>
        <w:rFonts w:hint="default"/>
        <w:lang w:val="uk-UA" w:eastAsia="en-US" w:bidi="ar-SA"/>
      </w:rPr>
    </w:lvl>
    <w:lvl w:ilvl="6" w:tplc="DC10EAD4">
      <w:numFmt w:val="bullet"/>
      <w:lvlText w:val="•"/>
      <w:lvlJc w:val="left"/>
      <w:pPr>
        <w:ind w:left="7353" w:hanging="394"/>
      </w:pPr>
      <w:rPr>
        <w:rFonts w:hint="default"/>
        <w:lang w:val="uk-UA" w:eastAsia="en-US" w:bidi="ar-SA"/>
      </w:rPr>
    </w:lvl>
    <w:lvl w:ilvl="7" w:tplc="4F12E3F6">
      <w:numFmt w:val="bullet"/>
      <w:lvlText w:val="•"/>
      <w:lvlJc w:val="left"/>
      <w:pPr>
        <w:ind w:left="8080" w:hanging="394"/>
      </w:pPr>
      <w:rPr>
        <w:rFonts w:hint="default"/>
        <w:lang w:val="uk-UA" w:eastAsia="en-US" w:bidi="ar-SA"/>
      </w:rPr>
    </w:lvl>
    <w:lvl w:ilvl="8" w:tplc="14324322">
      <w:numFmt w:val="bullet"/>
      <w:lvlText w:val="•"/>
      <w:lvlJc w:val="left"/>
      <w:pPr>
        <w:ind w:left="8806" w:hanging="394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CA1"/>
    <w:rsid w:val="000063E0"/>
    <w:rsid w:val="00010722"/>
    <w:rsid w:val="00025D06"/>
    <w:rsid w:val="00026E4C"/>
    <w:rsid w:val="00035D8B"/>
    <w:rsid w:val="00041C85"/>
    <w:rsid w:val="00051357"/>
    <w:rsid w:val="0005234D"/>
    <w:rsid w:val="00054766"/>
    <w:rsid w:val="00085CA5"/>
    <w:rsid w:val="00090A5B"/>
    <w:rsid w:val="00097911"/>
    <w:rsid w:val="00097C2A"/>
    <w:rsid w:val="000A31AE"/>
    <w:rsid w:val="000A7168"/>
    <w:rsid w:val="000B0E86"/>
    <w:rsid w:val="000B3EAF"/>
    <w:rsid w:val="000B42D9"/>
    <w:rsid w:val="000B5CBB"/>
    <w:rsid w:val="000B675C"/>
    <w:rsid w:val="000C4B74"/>
    <w:rsid w:val="000D6E4B"/>
    <w:rsid w:val="000E4786"/>
    <w:rsid w:val="000E61A5"/>
    <w:rsid w:val="00125F23"/>
    <w:rsid w:val="001371DF"/>
    <w:rsid w:val="001427B3"/>
    <w:rsid w:val="00147C4A"/>
    <w:rsid w:val="00152CDC"/>
    <w:rsid w:val="00153334"/>
    <w:rsid w:val="001539FC"/>
    <w:rsid w:val="001614E5"/>
    <w:rsid w:val="00171A19"/>
    <w:rsid w:val="001900F3"/>
    <w:rsid w:val="0019322E"/>
    <w:rsid w:val="001A2576"/>
    <w:rsid w:val="001A50F6"/>
    <w:rsid w:val="001B35D7"/>
    <w:rsid w:val="001C4B2E"/>
    <w:rsid w:val="001C5CC4"/>
    <w:rsid w:val="001C6953"/>
    <w:rsid w:val="001D31FB"/>
    <w:rsid w:val="001D612B"/>
    <w:rsid w:val="001E094E"/>
    <w:rsid w:val="001F49E6"/>
    <w:rsid w:val="00202F2A"/>
    <w:rsid w:val="00214834"/>
    <w:rsid w:val="00220B35"/>
    <w:rsid w:val="00220D5C"/>
    <w:rsid w:val="00250139"/>
    <w:rsid w:val="00251F4D"/>
    <w:rsid w:val="00255B73"/>
    <w:rsid w:val="0026440F"/>
    <w:rsid w:val="00276819"/>
    <w:rsid w:val="00280CC0"/>
    <w:rsid w:val="00283669"/>
    <w:rsid w:val="00297046"/>
    <w:rsid w:val="002B2E21"/>
    <w:rsid w:val="002B73FB"/>
    <w:rsid w:val="002C5AF6"/>
    <w:rsid w:val="002E65E8"/>
    <w:rsid w:val="0031440B"/>
    <w:rsid w:val="00320AA3"/>
    <w:rsid w:val="00334933"/>
    <w:rsid w:val="00340AC2"/>
    <w:rsid w:val="003435DF"/>
    <w:rsid w:val="00346CBC"/>
    <w:rsid w:val="003471EF"/>
    <w:rsid w:val="0035344B"/>
    <w:rsid w:val="00360A64"/>
    <w:rsid w:val="00362F22"/>
    <w:rsid w:val="003644D9"/>
    <w:rsid w:val="00383F12"/>
    <w:rsid w:val="00384209"/>
    <w:rsid w:val="00386FB3"/>
    <w:rsid w:val="003913E1"/>
    <w:rsid w:val="00393249"/>
    <w:rsid w:val="003A238F"/>
    <w:rsid w:val="003B4641"/>
    <w:rsid w:val="003B4903"/>
    <w:rsid w:val="003C6185"/>
    <w:rsid w:val="003D07CA"/>
    <w:rsid w:val="003E40F9"/>
    <w:rsid w:val="003F290A"/>
    <w:rsid w:val="003F2D65"/>
    <w:rsid w:val="003F7824"/>
    <w:rsid w:val="004104F5"/>
    <w:rsid w:val="004147DD"/>
    <w:rsid w:val="00420AA0"/>
    <w:rsid w:val="00426954"/>
    <w:rsid w:val="004570F9"/>
    <w:rsid w:val="004652B3"/>
    <w:rsid w:val="00465D40"/>
    <w:rsid w:val="00466643"/>
    <w:rsid w:val="00470839"/>
    <w:rsid w:val="00473687"/>
    <w:rsid w:val="00474A85"/>
    <w:rsid w:val="00476DD0"/>
    <w:rsid w:val="00496A0C"/>
    <w:rsid w:val="00496C10"/>
    <w:rsid w:val="004A1320"/>
    <w:rsid w:val="004A15B9"/>
    <w:rsid w:val="004C236A"/>
    <w:rsid w:val="004D2770"/>
    <w:rsid w:val="004E735D"/>
    <w:rsid w:val="004F4643"/>
    <w:rsid w:val="004F58F9"/>
    <w:rsid w:val="00506BA2"/>
    <w:rsid w:val="005132BA"/>
    <w:rsid w:val="00527E89"/>
    <w:rsid w:val="00535A90"/>
    <w:rsid w:val="005370DF"/>
    <w:rsid w:val="00543C83"/>
    <w:rsid w:val="00552DB5"/>
    <w:rsid w:val="00581B54"/>
    <w:rsid w:val="0059555F"/>
    <w:rsid w:val="005A441E"/>
    <w:rsid w:val="005B10C6"/>
    <w:rsid w:val="005C00C7"/>
    <w:rsid w:val="005C59F8"/>
    <w:rsid w:val="005F3FD1"/>
    <w:rsid w:val="005F6458"/>
    <w:rsid w:val="006000F2"/>
    <w:rsid w:val="00612C49"/>
    <w:rsid w:val="00614086"/>
    <w:rsid w:val="00616951"/>
    <w:rsid w:val="00626F21"/>
    <w:rsid w:val="00631DFC"/>
    <w:rsid w:val="00637AED"/>
    <w:rsid w:val="00640434"/>
    <w:rsid w:val="00641944"/>
    <w:rsid w:val="00641D38"/>
    <w:rsid w:val="00651E07"/>
    <w:rsid w:val="00666FB4"/>
    <w:rsid w:val="00670ABE"/>
    <w:rsid w:val="006B20B9"/>
    <w:rsid w:val="006B58BC"/>
    <w:rsid w:val="006C00FF"/>
    <w:rsid w:val="006C1106"/>
    <w:rsid w:val="006D0092"/>
    <w:rsid w:val="006F1867"/>
    <w:rsid w:val="006F2FCA"/>
    <w:rsid w:val="006F3A0B"/>
    <w:rsid w:val="007036D3"/>
    <w:rsid w:val="00712D5D"/>
    <w:rsid w:val="007165E7"/>
    <w:rsid w:val="0072303E"/>
    <w:rsid w:val="00725A0D"/>
    <w:rsid w:val="0072690E"/>
    <w:rsid w:val="00726F03"/>
    <w:rsid w:val="00737E1A"/>
    <w:rsid w:val="007418CF"/>
    <w:rsid w:val="00747ED5"/>
    <w:rsid w:val="00760885"/>
    <w:rsid w:val="0076506A"/>
    <w:rsid w:val="00772360"/>
    <w:rsid w:val="00774220"/>
    <w:rsid w:val="00780454"/>
    <w:rsid w:val="00783BA9"/>
    <w:rsid w:val="00787D6D"/>
    <w:rsid w:val="00794FE5"/>
    <w:rsid w:val="007A2D19"/>
    <w:rsid w:val="007B19A9"/>
    <w:rsid w:val="007C61EF"/>
    <w:rsid w:val="007D1075"/>
    <w:rsid w:val="007D5A52"/>
    <w:rsid w:val="007E0A62"/>
    <w:rsid w:val="007E4C23"/>
    <w:rsid w:val="007E70E6"/>
    <w:rsid w:val="008012F6"/>
    <w:rsid w:val="00802093"/>
    <w:rsid w:val="00804E00"/>
    <w:rsid w:val="00814DC2"/>
    <w:rsid w:val="00832E58"/>
    <w:rsid w:val="008442F8"/>
    <w:rsid w:val="0084657B"/>
    <w:rsid w:val="00847546"/>
    <w:rsid w:val="0085062D"/>
    <w:rsid w:val="008675B7"/>
    <w:rsid w:val="00891C59"/>
    <w:rsid w:val="00894C8D"/>
    <w:rsid w:val="008A2A06"/>
    <w:rsid w:val="008B1050"/>
    <w:rsid w:val="008C4967"/>
    <w:rsid w:val="008C722C"/>
    <w:rsid w:val="008C76B9"/>
    <w:rsid w:val="008D13F0"/>
    <w:rsid w:val="008E13C8"/>
    <w:rsid w:val="008E5DF8"/>
    <w:rsid w:val="008F1BF0"/>
    <w:rsid w:val="00931744"/>
    <w:rsid w:val="00934037"/>
    <w:rsid w:val="0093791E"/>
    <w:rsid w:val="00941DB8"/>
    <w:rsid w:val="0094517E"/>
    <w:rsid w:val="0096578F"/>
    <w:rsid w:val="009667B5"/>
    <w:rsid w:val="009737FF"/>
    <w:rsid w:val="009863FF"/>
    <w:rsid w:val="009C2480"/>
    <w:rsid w:val="009C45E7"/>
    <w:rsid w:val="009C511F"/>
    <w:rsid w:val="009C53F2"/>
    <w:rsid w:val="009F1930"/>
    <w:rsid w:val="009F2EA7"/>
    <w:rsid w:val="009F6F8F"/>
    <w:rsid w:val="00A01216"/>
    <w:rsid w:val="00A063D0"/>
    <w:rsid w:val="00A17186"/>
    <w:rsid w:val="00A17AA3"/>
    <w:rsid w:val="00A40C97"/>
    <w:rsid w:val="00A53332"/>
    <w:rsid w:val="00A57BC5"/>
    <w:rsid w:val="00A7751E"/>
    <w:rsid w:val="00A92490"/>
    <w:rsid w:val="00A93601"/>
    <w:rsid w:val="00AB083D"/>
    <w:rsid w:val="00AB1ECB"/>
    <w:rsid w:val="00AC199D"/>
    <w:rsid w:val="00AC2F32"/>
    <w:rsid w:val="00AE1B09"/>
    <w:rsid w:val="00AE7C3C"/>
    <w:rsid w:val="00AE7D63"/>
    <w:rsid w:val="00AF1E42"/>
    <w:rsid w:val="00B0208E"/>
    <w:rsid w:val="00B10BA1"/>
    <w:rsid w:val="00B20FAB"/>
    <w:rsid w:val="00B540FE"/>
    <w:rsid w:val="00B767B6"/>
    <w:rsid w:val="00B818D0"/>
    <w:rsid w:val="00BA6957"/>
    <w:rsid w:val="00BB23DA"/>
    <w:rsid w:val="00BB3ECA"/>
    <w:rsid w:val="00BB702D"/>
    <w:rsid w:val="00BE09EB"/>
    <w:rsid w:val="00BE21C1"/>
    <w:rsid w:val="00BE432C"/>
    <w:rsid w:val="00BF0F52"/>
    <w:rsid w:val="00BF152E"/>
    <w:rsid w:val="00C04D9F"/>
    <w:rsid w:val="00C131DC"/>
    <w:rsid w:val="00C15B86"/>
    <w:rsid w:val="00C450FD"/>
    <w:rsid w:val="00C456E2"/>
    <w:rsid w:val="00C52F1A"/>
    <w:rsid w:val="00C61A73"/>
    <w:rsid w:val="00C764DC"/>
    <w:rsid w:val="00C87477"/>
    <w:rsid w:val="00C87DB5"/>
    <w:rsid w:val="00C939D5"/>
    <w:rsid w:val="00CA0691"/>
    <w:rsid w:val="00CA443B"/>
    <w:rsid w:val="00CA5FF8"/>
    <w:rsid w:val="00CB5E53"/>
    <w:rsid w:val="00CC7790"/>
    <w:rsid w:val="00D04F51"/>
    <w:rsid w:val="00D106BE"/>
    <w:rsid w:val="00D26301"/>
    <w:rsid w:val="00D454A2"/>
    <w:rsid w:val="00D470CB"/>
    <w:rsid w:val="00D53CD3"/>
    <w:rsid w:val="00D67CA1"/>
    <w:rsid w:val="00D8384A"/>
    <w:rsid w:val="00D85D68"/>
    <w:rsid w:val="00DB24AA"/>
    <w:rsid w:val="00DB3282"/>
    <w:rsid w:val="00DB7DFB"/>
    <w:rsid w:val="00DC187D"/>
    <w:rsid w:val="00DC4CF0"/>
    <w:rsid w:val="00DD2EBA"/>
    <w:rsid w:val="00DF1E2D"/>
    <w:rsid w:val="00E222C7"/>
    <w:rsid w:val="00E239D4"/>
    <w:rsid w:val="00E3037A"/>
    <w:rsid w:val="00E424EC"/>
    <w:rsid w:val="00E43104"/>
    <w:rsid w:val="00E528D5"/>
    <w:rsid w:val="00E65D19"/>
    <w:rsid w:val="00E717B0"/>
    <w:rsid w:val="00E725A2"/>
    <w:rsid w:val="00E807C7"/>
    <w:rsid w:val="00E81FBA"/>
    <w:rsid w:val="00E92C5C"/>
    <w:rsid w:val="00E97EB3"/>
    <w:rsid w:val="00EC2653"/>
    <w:rsid w:val="00EC547B"/>
    <w:rsid w:val="00ED6953"/>
    <w:rsid w:val="00EE0ABB"/>
    <w:rsid w:val="00EE2617"/>
    <w:rsid w:val="00EE7023"/>
    <w:rsid w:val="00EF2433"/>
    <w:rsid w:val="00F15BFD"/>
    <w:rsid w:val="00F17A3C"/>
    <w:rsid w:val="00F20E33"/>
    <w:rsid w:val="00F210AC"/>
    <w:rsid w:val="00F24C1D"/>
    <w:rsid w:val="00F46893"/>
    <w:rsid w:val="00F5210A"/>
    <w:rsid w:val="00F5369F"/>
    <w:rsid w:val="00F53C77"/>
    <w:rsid w:val="00F6179F"/>
    <w:rsid w:val="00F74C41"/>
    <w:rsid w:val="00F83016"/>
    <w:rsid w:val="00F96579"/>
    <w:rsid w:val="00FB5F1F"/>
    <w:rsid w:val="00FC720A"/>
    <w:rsid w:val="00FD0F7D"/>
    <w:rsid w:val="00FD4CB5"/>
    <w:rsid w:val="00FD4F2C"/>
    <w:rsid w:val="00FE2413"/>
    <w:rsid w:val="00FF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F42A85-6564-4080-A6AF-73C20F0A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1D31F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rsid w:val="00D454A2"/>
    <w:pPr>
      <w:ind w:left="150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454A2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1"/>
    <w:qFormat/>
    <w:rsid w:val="00D454A2"/>
    <w:rPr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rsid w:val="00D454A2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rvts23">
    <w:name w:val="rvts23"/>
    <w:basedOn w:val="a0"/>
    <w:rsid w:val="00D454A2"/>
  </w:style>
  <w:style w:type="paragraph" w:styleId="a5">
    <w:name w:val="header"/>
    <w:basedOn w:val="a"/>
    <w:link w:val="a6"/>
    <w:uiPriority w:val="99"/>
    <w:unhideWhenUsed/>
    <w:rsid w:val="00D454A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D454A2"/>
    <w:rPr>
      <w:rFonts w:ascii="Times New Roman" w:eastAsia="Times New Roman" w:hAnsi="Times New Roman" w:cs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D454A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D454A2"/>
    <w:rPr>
      <w:rFonts w:ascii="Times New Roman" w:eastAsia="Times New Roman" w:hAnsi="Times New Roman" w:cs="Times New Roman"/>
      <w:lang w:val="uk-UA"/>
    </w:rPr>
  </w:style>
  <w:style w:type="table" w:customStyle="1" w:styleId="TableNormal">
    <w:name w:val="Table Normal"/>
    <w:uiPriority w:val="2"/>
    <w:semiHidden/>
    <w:unhideWhenUsed/>
    <w:qFormat/>
    <w:rsid w:val="00D454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1"/>
    <w:qFormat/>
    <w:rsid w:val="00D454A2"/>
    <w:pPr>
      <w:ind w:left="1133" w:hanging="360"/>
    </w:pPr>
  </w:style>
  <w:style w:type="paragraph" w:customStyle="1" w:styleId="TableParagraph">
    <w:name w:val="Table Paragraph"/>
    <w:basedOn w:val="a"/>
    <w:uiPriority w:val="1"/>
    <w:qFormat/>
    <w:rsid w:val="00D454A2"/>
    <w:pPr>
      <w:ind w:left="122"/>
    </w:pPr>
  </w:style>
  <w:style w:type="paragraph" w:styleId="aa">
    <w:name w:val="Balloon Text"/>
    <w:basedOn w:val="a"/>
    <w:link w:val="ab"/>
    <w:uiPriority w:val="99"/>
    <w:semiHidden/>
    <w:unhideWhenUsed/>
    <w:rsid w:val="00C04D9F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C04D9F"/>
    <w:rPr>
      <w:rFonts w:ascii="Segoe UI" w:eastAsia="Times New Roman" w:hAnsi="Segoe UI" w:cs="Segoe UI"/>
      <w:sz w:val="18"/>
      <w:szCs w:val="18"/>
      <w:lang w:val="uk-UA"/>
    </w:rPr>
  </w:style>
  <w:style w:type="character" w:styleId="ac">
    <w:name w:val="Hyperlink"/>
    <w:basedOn w:val="a0"/>
    <w:uiPriority w:val="99"/>
    <w:unhideWhenUsed/>
    <w:rsid w:val="004F58F9"/>
    <w:rPr>
      <w:color w:val="0563C1" w:themeColor="hyperlink"/>
      <w:u w:val="single"/>
    </w:rPr>
  </w:style>
  <w:style w:type="character" w:customStyle="1" w:styleId="11">
    <w:name w:val="Незакрита згадка1"/>
    <w:basedOn w:val="a0"/>
    <w:uiPriority w:val="99"/>
    <w:semiHidden/>
    <w:unhideWhenUsed/>
    <w:rsid w:val="004F58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6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rc.gov.u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erc.gov.ua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75740-7E8A-491B-91B2-47BBF4940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10820</Words>
  <Characters>6168</Characters>
  <Application>Microsoft Office Word</Application>
  <DocSecurity>0</DocSecurity>
  <Lines>51</Lines>
  <Paragraphs>33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16955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Мілова</dc:creator>
  <cp:keywords/>
  <dc:description/>
  <cp:lastModifiedBy>Григорій Туленко</cp:lastModifiedBy>
  <cp:revision>2</cp:revision>
  <cp:lastPrinted>2022-02-09T13:25:00Z</cp:lastPrinted>
  <dcterms:created xsi:type="dcterms:W3CDTF">2023-06-07T12:58:00Z</dcterms:created>
  <dcterms:modified xsi:type="dcterms:W3CDTF">2023-06-07T12:58:00Z</dcterms:modified>
</cp:coreProperties>
</file>