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289" w:rsidRPr="00E2295A" w:rsidRDefault="007532D9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295A"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40ED23" wp14:editId="14BF2D9F">
                <wp:simplePos x="0" y="0"/>
                <wp:positionH relativeFrom="column">
                  <wp:posOffset>4808855</wp:posOffset>
                </wp:positionH>
                <wp:positionV relativeFrom="paragraph">
                  <wp:posOffset>-396875</wp:posOffset>
                </wp:positionV>
                <wp:extent cx="1114425" cy="314325"/>
                <wp:effectExtent l="0" t="0" r="9525" b="9525"/>
                <wp:wrapNone/>
                <wp:docPr id="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32D9" w:rsidRPr="009F0B20" w:rsidRDefault="007532D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F0B2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0ED2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margin-left:378.65pt;margin-top:-31.25pt;width:87.7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" stroked="f">
                <v:textbox>
                  <w:txbxContent>
                    <w:p w:rsidR="007532D9" w:rsidRPr="009F0B20" w:rsidRDefault="007532D9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F0B2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="00CE153B" w:rsidRPr="00E2295A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D1AD16" wp14:editId="3CD36AC8">
                <wp:simplePos x="0" y="0"/>
                <wp:positionH relativeFrom="column">
                  <wp:posOffset>4879352</wp:posOffset>
                </wp:positionH>
                <wp:positionV relativeFrom="paragraph">
                  <wp:posOffset>-397938</wp:posOffset>
                </wp:positionV>
                <wp:extent cx="1385625" cy="1403985"/>
                <wp:effectExtent l="0" t="0" r="5080" b="8890"/>
                <wp:wrapNone/>
                <wp:docPr id="30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56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53B" w:rsidRPr="00EA0D13" w:rsidRDefault="00CE153B" w:rsidP="00AC24A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EA0D13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  <w:lang w:val="uk-UA"/>
                              </w:rPr>
                              <w:t>УТОЧНЕННЯ</w:t>
                            </w:r>
                          </w:p>
                          <w:p w:rsidR="00AC24A4" w:rsidRPr="00EA0D13" w:rsidRDefault="00AC24A4" w:rsidP="00AC24A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A0D13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D1AD16" id="_x0000_s1027" type="#_x0000_t202" style="position:absolute;margin-left:384.2pt;margin-top:-31.35pt;width:109.1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" stroked="f">
                <v:textbox style="mso-fit-shape-to-text:t">
                  <w:txbxContent>
                    <w:p w:rsidR="00CE153B" w:rsidRPr="00EA0D13" w:rsidRDefault="00CE153B" w:rsidP="00AC24A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  <w:lang w:val="uk-UA"/>
                        </w:rPr>
                      </w:pPr>
                      <w:r w:rsidRPr="00EA0D13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  <w:lang w:val="uk-UA"/>
                        </w:rPr>
                        <w:t>УТОЧНЕННЯ</w:t>
                      </w:r>
                    </w:p>
                    <w:p w:rsidR="00AC24A4" w:rsidRPr="00EA0D13" w:rsidRDefault="00AC24A4" w:rsidP="00AC24A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A0D13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</w:p>
    <w:p w:rsidR="008673D1" w:rsidRPr="00E2295A" w:rsidRDefault="009F0B20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295A"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 wp14:anchorId="3A4362F5" wp14:editId="6E4C1D27">
            <wp:extent cx="509270" cy="698500"/>
            <wp:effectExtent l="0" t="0" r="5080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3D1" w:rsidRPr="00E2295A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673D1" w:rsidRPr="00E2295A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29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НАЦІОНАЛЬНА КОМІСІЯ, ЩО ЗДІЙСНЮЄ ДЕРЖАВНЕ </w:t>
      </w:r>
    </w:p>
    <w:p w:rsidR="008673D1" w:rsidRPr="00E2295A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29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РЕГУЛЮВАННЯ У СФЕРАХ ЕНЕРГЕТИКИ </w:t>
      </w:r>
    </w:p>
    <w:p w:rsidR="008673D1" w:rsidRPr="00E2295A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29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ТА КОМУНАЛЬНИХ ПОСЛУГ</w:t>
      </w:r>
    </w:p>
    <w:p w:rsidR="008673D1" w:rsidRPr="00E2295A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E229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(НКРЕКП</w:t>
      </w:r>
      <w:r w:rsidRPr="00E2295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uk-UA"/>
        </w:rPr>
        <w:t>)</w:t>
      </w:r>
    </w:p>
    <w:p w:rsidR="008673D1" w:rsidRPr="00E2295A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673D1" w:rsidRPr="00E2295A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E2295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uk-UA"/>
        </w:rPr>
        <w:t>ПОСТАНОВА</w:t>
      </w:r>
    </w:p>
    <w:p w:rsidR="008673D1" w:rsidRPr="00E2295A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295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E2295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E2295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E2295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E2295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</w:p>
    <w:p w:rsidR="008673D1" w:rsidRPr="00E2295A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673D1" w:rsidRPr="00E2295A" w:rsidRDefault="004F27FF" w:rsidP="004F27FF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2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</w:t>
      </w:r>
      <w:r w:rsidR="008673D1" w:rsidRPr="00E22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__________                                                                   </w:t>
      </w:r>
      <w:r w:rsidRPr="00E22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</w:t>
      </w:r>
      <w:r w:rsidR="008673D1" w:rsidRPr="00E22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№ _____________</w:t>
      </w:r>
      <w:r w:rsidRPr="00E22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</w:t>
      </w:r>
      <w:r w:rsidR="008673D1" w:rsidRPr="00E22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</w:t>
      </w:r>
    </w:p>
    <w:p w:rsidR="008673D1" w:rsidRPr="00E2295A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295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Київ</w:t>
      </w:r>
    </w:p>
    <w:p w:rsidR="007532D9" w:rsidRPr="00E2295A" w:rsidRDefault="008673D1" w:rsidP="007532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E2295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Pr="00E2295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Pr="00E2295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Pr="00E22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 </w:t>
      </w:r>
      <w:r w:rsidR="007532D9" w:rsidRPr="00E22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затвердження З</w:t>
      </w:r>
      <w:r w:rsidRPr="00E22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мін </w:t>
      </w:r>
    </w:p>
    <w:p w:rsidR="008673D1" w:rsidRPr="00E2295A" w:rsidRDefault="008673D1" w:rsidP="00753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2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 Правил ринку</w:t>
      </w:r>
    </w:p>
    <w:p w:rsidR="007532D9" w:rsidRPr="00E2295A" w:rsidRDefault="007532D9" w:rsidP="008673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8673D1" w:rsidRPr="00E2295A" w:rsidRDefault="008673D1" w:rsidP="008673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2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Відповідно до законів України </w:t>
      </w:r>
      <w:r w:rsidR="004F27FF" w:rsidRPr="00E22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«Про ринок електричної енергії» та</w:t>
      </w:r>
      <w:r w:rsidRPr="00E22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</w:t>
      </w:r>
    </w:p>
    <w:p w:rsidR="008673D1" w:rsidRPr="00E2295A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673D1" w:rsidRPr="00E2295A" w:rsidRDefault="008673D1" w:rsidP="008673D1">
      <w:pPr>
        <w:spacing w:after="0" w:line="240" w:lineRule="auto"/>
        <w:ind w:right="-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29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ПОСТАНОВЛЯЄ:</w:t>
      </w:r>
    </w:p>
    <w:p w:rsidR="008673D1" w:rsidRPr="00E2295A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B5092" w:rsidRPr="00E2295A" w:rsidRDefault="008673D1" w:rsidP="00753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E22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 </w:t>
      </w:r>
      <w:r w:rsidR="007532D9" w:rsidRPr="00E22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Затвердити Зміни до</w:t>
      </w:r>
      <w:r w:rsidR="00A81808" w:rsidRPr="00E22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Правил ринку, затверджених постановою Національної комісії, що здійснює державне регулювання у сферах енергетики та комунальних послуг, від 14 березня 2018 року № 307, </w:t>
      </w:r>
      <w:r w:rsidR="007532D9" w:rsidRPr="00E22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що </w:t>
      </w:r>
      <w:r w:rsidR="00AB5092" w:rsidRPr="00E22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дода</w:t>
      </w:r>
      <w:r w:rsidR="007532D9" w:rsidRPr="00E22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ю</w:t>
      </w:r>
      <w:r w:rsidR="00AB5092" w:rsidRPr="00E22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ться.</w:t>
      </w:r>
    </w:p>
    <w:p w:rsidR="00AB5092" w:rsidRPr="00E2295A" w:rsidRDefault="00AB5092" w:rsidP="008673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8673D1" w:rsidRPr="00E2295A" w:rsidRDefault="00A81808" w:rsidP="008673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2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</w:t>
      </w:r>
      <w:r w:rsidR="00AB5092" w:rsidRPr="00E22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8673D1" w:rsidRPr="00E22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:rsidR="008673D1" w:rsidRPr="00E2295A" w:rsidRDefault="008673D1" w:rsidP="004F27FF">
      <w:pPr>
        <w:spacing w:after="0" w:line="240" w:lineRule="auto"/>
        <w:rPr>
          <w:rFonts w:eastAsia="Times New Roman" w:cs="Microsoft Himalaya"/>
          <w:sz w:val="24"/>
          <w:szCs w:val="24"/>
          <w:lang w:val="uk-UA" w:eastAsia="uk-UA"/>
        </w:rPr>
      </w:pPr>
    </w:p>
    <w:p w:rsidR="00EB459D" w:rsidRPr="00E2295A" w:rsidRDefault="00EB459D" w:rsidP="004F27FF">
      <w:pPr>
        <w:spacing w:after="0" w:line="240" w:lineRule="auto"/>
        <w:rPr>
          <w:rFonts w:eastAsia="Times New Roman" w:cs="Microsoft Himalaya"/>
          <w:sz w:val="24"/>
          <w:szCs w:val="24"/>
          <w:lang w:val="uk-UA" w:eastAsia="uk-UA"/>
        </w:rPr>
      </w:pPr>
    </w:p>
    <w:tbl>
      <w:tblPr>
        <w:tblW w:w="4952" w:type="pct"/>
        <w:tblCellSpacing w:w="22" w:type="dxa"/>
        <w:tblInd w:w="3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684"/>
        <w:gridCol w:w="4728"/>
      </w:tblGrid>
      <w:tr w:rsidR="009B0F2E" w:rsidRPr="00E2295A" w:rsidTr="009D18D8">
        <w:trPr>
          <w:tblCellSpacing w:w="22" w:type="dxa"/>
        </w:trPr>
        <w:tc>
          <w:tcPr>
            <w:tcW w:w="2453" w:type="pct"/>
            <w:hideMark/>
          </w:tcPr>
          <w:p w:rsidR="009B0F2E" w:rsidRPr="00E2295A" w:rsidRDefault="009B0F2E" w:rsidP="009D18D8">
            <w:pPr>
              <w:pStyle w:val="a3"/>
              <w:rPr>
                <w:sz w:val="28"/>
                <w:szCs w:val="28"/>
              </w:rPr>
            </w:pPr>
            <w:r w:rsidRPr="00E2295A">
              <w:rPr>
                <w:bCs/>
                <w:sz w:val="28"/>
                <w:szCs w:val="28"/>
              </w:rPr>
              <w:t>Голова НКРЕКП</w:t>
            </w:r>
          </w:p>
        </w:tc>
        <w:tc>
          <w:tcPr>
            <w:tcW w:w="2477" w:type="pct"/>
            <w:hideMark/>
          </w:tcPr>
          <w:p w:rsidR="009B0F2E" w:rsidRPr="00E2295A" w:rsidRDefault="009B0F2E" w:rsidP="009B0F2E">
            <w:pPr>
              <w:pStyle w:val="a3"/>
              <w:jc w:val="center"/>
              <w:rPr>
                <w:sz w:val="28"/>
                <w:szCs w:val="28"/>
              </w:rPr>
            </w:pPr>
            <w:r w:rsidRPr="00E2295A">
              <w:rPr>
                <w:bCs/>
                <w:sz w:val="28"/>
                <w:szCs w:val="28"/>
              </w:rPr>
              <w:t xml:space="preserve">              Костянтин УЩАПОВСЬКИЙ</w:t>
            </w:r>
          </w:p>
        </w:tc>
      </w:tr>
    </w:tbl>
    <w:p w:rsidR="00124109" w:rsidRPr="00E2295A" w:rsidRDefault="00124109" w:rsidP="00124109">
      <w:p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24109" w:rsidRPr="00E2295A" w:rsidRDefault="00124109" w:rsidP="00124109">
      <w:pPr>
        <w:spacing w:after="0"/>
        <w:contextualSpacing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  <w:sectPr w:rsidR="00124109" w:rsidRPr="00E2295A" w:rsidSect="00700AD9">
          <w:headerReference w:type="first" r:id="rId9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24109" w:rsidRPr="00E2295A" w:rsidRDefault="00124109" w:rsidP="00124109">
      <w:pPr>
        <w:spacing w:after="0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E2295A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124109" w:rsidRPr="00E2295A" w:rsidRDefault="00124109" w:rsidP="00124109">
      <w:pPr>
        <w:spacing w:after="0"/>
        <w:ind w:left="595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2295A">
        <w:rPr>
          <w:rFonts w:ascii="Times New Roman" w:hAnsi="Times New Roman" w:cs="Times New Roman"/>
          <w:sz w:val="28"/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 _______________№______</w:t>
      </w:r>
    </w:p>
    <w:p w:rsidR="00124109" w:rsidRPr="00E2295A" w:rsidRDefault="00124109" w:rsidP="0012410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7093" w:rsidRPr="00E2295A" w:rsidRDefault="00DB7093" w:rsidP="001241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4109" w:rsidRPr="00E2295A" w:rsidRDefault="00124109" w:rsidP="001241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295A">
        <w:rPr>
          <w:rFonts w:ascii="Times New Roman" w:hAnsi="Times New Roman" w:cs="Times New Roman"/>
          <w:b/>
          <w:sz w:val="28"/>
          <w:szCs w:val="28"/>
          <w:lang w:val="uk-UA"/>
        </w:rPr>
        <w:t>Зміни до Правил ринку</w:t>
      </w:r>
    </w:p>
    <w:p w:rsidR="00124109" w:rsidRPr="00E2295A" w:rsidRDefault="00124109" w:rsidP="001241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B0F2E" w:rsidRPr="00E2295A" w:rsidRDefault="002422DC" w:rsidP="002422D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295A">
        <w:rPr>
          <w:rFonts w:ascii="Times New Roman" w:hAnsi="Times New Roman"/>
          <w:sz w:val="28"/>
          <w:szCs w:val="28"/>
          <w:lang w:val="uk-UA"/>
        </w:rPr>
        <w:t>1.</w:t>
      </w:r>
      <w:r w:rsidR="009B0F2E" w:rsidRPr="00E229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295A">
        <w:rPr>
          <w:rFonts w:ascii="Times New Roman" w:hAnsi="Times New Roman"/>
          <w:sz w:val="28"/>
          <w:szCs w:val="28"/>
          <w:lang w:val="uk-UA"/>
        </w:rPr>
        <w:t xml:space="preserve">Пункт 1.1.4 глави 1.1 </w:t>
      </w:r>
      <w:r w:rsidR="009B0F2E" w:rsidRPr="00E2295A">
        <w:rPr>
          <w:rFonts w:ascii="Times New Roman" w:hAnsi="Times New Roman"/>
          <w:sz w:val="28"/>
          <w:szCs w:val="28"/>
          <w:lang w:val="uk-UA"/>
        </w:rPr>
        <w:t>розділ</w:t>
      </w:r>
      <w:r w:rsidR="002D1637" w:rsidRPr="00E2295A">
        <w:rPr>
          <w:rFonts w:ascii="Times New Roman" w:hAnsi="Times New Roman"/>
          <w:sz w:val="28"/>
          <w:szCs w:val="28"/>
          <w:lang w:val="uk-UA"/>
        </w:rPr>
        <w:t>у</w:t>
      </w:r>
      <w:r w:rsidR="009B0F2E" w:rsidRPr="00E2295A">
        <w:rPr>
          <w:rFonts w:ascii="Times New Roman" w:hAnsi="Times New Roman"/>
          <w:sz w:val="28"/>
          <w:szCs w:val="28"/>
          <w:lang w:val="uk-UA"/>
        </w:rPr>
        <w:t xml:space="preserve"> I</w:t>
      </w:r>
      <w:r w:rsidRPr="00E2295A">
        <w:rPr>
          <w:rFonts w:ascii="Times New Roman" w:hAnsi="Times New Roman"/>
          <w:sz w:val="28"/>
          <w:szCs w:val="28"/>
          <w:lang w:val="uk-UA"/>
        </w:rPr>
        <w:t xml:space="preserve"> після абзацу десятого доповнити новим абзацом одинадцятим такого змісту</w:t>
      </w:r>
      <w:r w:rsidR="009B0F2E" w:rsidRPr="00E2295A">
        <w:rPr>
          <w:rFonts w:ascii="Times New Roman" w:hAnsi="Times New Roman"/>
          <w:sz w:val="28"/>
          <w:szCs w:val="28"/>
          <w:lang w:val="uk-UA"/>
        </w:rPr>
        <w:t>:</w:t>
      </w:r>
      <w:bookmarkStart w:id="0" w:name="n12"/>
      <w:bookmarkEnd w:id="0"/>
    </w:p>
    <w:p w:rsidR="006B4CCA" w:rsidRPr="00E2295A" w:rsidRDefault="006B4CCA" w:rsidP="005E511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295A">
        <w:rPr>
          <w:rFonts w:ascii="Times New Roman" w:hAnsi="Times New Roman"/>
          <w:sz w:val="28"/>
          <w:szCs w:val="28"/>
          <w:lang w:val="uk-UA"/>
        </w:rPr>
        <w:t xml:space="preserve">«МТРГ </w:t>
      </w:r>
      <w:r w:rsidR="002D1637" w:rsidRPr="00E2295A">
        <w:rPr>
          <w:rFonts w:ascii="Times New Roman" w:hAnsi="Times New Roman"/>
          <w:sz w:val="28"/>
          <w:szCs w:val="28"/>
          <w:lang w:val="uk-UA"/>
        </w:rPr>
        <w:t>–</w:t>
      </w:r>
      <w:r w:rsidRPr="00E2295A">
        <w:rPr>
          <w:rFonts w:ascii="Times New Roman" w:hAnsi="Times New Roman"/>
          <w:sz w:val="28"/>
          <w:szCs w:val="28"/>
          <w:lang w:val="uk-UA"/>
        </w:rPr>
        <w:t xml:space="preserve"> мінімально </w:t>
      </w:r>
      <w:r w:rsidR="006B6125" w:rsidRPr="00E2295A">
        <w:rPr>
          <w:rFonts w:ascii="Times New Roman" w:hAnsi="Times New Roman"/>
          <w:sz w:val="28"/>
          <w:szCs w:val="28"/>
          <w:lang w:val="uk-UA"/>
        </w:rPr>
        <w:t>технічний рівень генерації;».</w:t>
      </w:r>
    </w:p>
    <w:p w:rsidR="009B0F2E" w:rsidRPr="00E2295A" w:rsidRDefault="006B6125" w:rsidP="005E511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295A">
        <w:rPr>
          <w:rFonts w:ascii="Times New Roman" w:hAnsi="Times New Roman"/>
          <w:sz w:val="28"/>
          <w:szCs w:val="28"/>
          <w:lang w:val="uk-UA"/>
        </w:rPr>
        <w:t>У</w:t>
      </w:r>
      <w:r w:rsidR="009B0F2E" w:rsidRPr="00E2295A">
        <w:rPr>
          <w:rFonts w:ascii="Times New Roman" w:hAnsi="Times New Roman"/>
          <w:sz w:val="28"/>
          <w:szCs w:val="28"/>
          <w:lang w:val="uk-UA"/>
        </w:rPr>
        <w:t xml:space="preserve"> зв</w:t>
      </w:r>
      <w:r w:rsidRPr="00E2295A">
        <w:rPr>
          <w:rFonts w:ascii="Times New Roman" w:hAnsi="Times New Roman"/>
          <w:sz w:val="28"/>
          <w:szCs w:val="28"/>
          <w:lang w:val="uk-UA"/>
        </w:rPr>
        <w:t>’</w:t>
      </w:r>
      <w:r w:rsidR="009B0F2E" w:rsidRPr="00E2295A">
        <w:rPr>
          <w:rFonts w:ascii="Times New Roman" w:hAnsi="Times New Roman"/>
          <w:sz w:val="28"/>
          <w:szCs w:val="28"/>
          <w:lang w:val="uk-UA"/>
        </w:rPr>
        <w:t>язку з цим</w:t>
      </w:r>
      <w:r w:rsidR="00D66299" w:rsidRPr="00E229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0F2E" w:rsidRPr="00E2295A">
        <w:rPr>
          <w:rFonts w:ascii="Times New Roman" w:hAnsi="Times New Roman"/>
          <w:sz w:val="28"/>
          <w:szCs w:val="28"/>
          <w:lang w:val="uk-UA"/>
        </w:rPr>
        <w:t xml:space="preserve">абзаци </w:t>
      </w:r>
      <w:r w:rsidR="002422DC" w:rsidRPr="00E2295A">
        <w:rPr>
          <w:rFonts w:ascii="Times New Roman" w:hAnsi="Times New Roman"/>
          <w:sz w:val="28"/>
          <w:szCs w:val="28"/>
          <w:lang w:val="uk-UA"/>
        </w:rPr>
        <w:t xml:space="preserve">одинадцятий </w:t>
      </w:r>
      <w:r w:rsidR="006B4CCA" w:rsidRPr="00E2295A">
        <w:rPr>
          <w:rFonts w:ascii="Times New Roman" w:hAnsi="Times New Roman"/>
          <w:sz w:val="28"/>
          <w:szCs w:val="28"/>
          <w:lang w:val="uk-UA"/>
        </w:rPr>
        <w:t>–</w:t>
      </w:r>
      <w:r w:rsidR="009B0F2E" w:rsidRPr="00E229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22DC" w:rsidRPr="00E2295A">
        <w:rPr>
          <w:rFonts w:ascii="Times New Roman" w:hAnsi="Times New Roman"/>
          <w:sz w:val="28"/>
          <w:szCs w:val="28"/>
          <w:lang w:val="uk-UA"/>
        </w:rPr>
        <w:t>тридцять п’ятий</w:t>
      </w:r>
      <w:r w:rsidR="00D66299" w:rsidRPr="00E229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0F2E" w:rsidRPr="00E2295A">
        <w:rPr>
          <w:rFonts w:ascii="Times New Roman" w:hAnsi="Times New Roman"/>
          <w:sz w:val="28"/>
          <w:szCs w:val="28"/>
          <w:lang w:val="uk-UA"/>
        </w:rPr>
        <w:t xml:space="preserve">вважати відповідно абзацами </w:t>
      </w:r>
      <w:r w:rsidR="002422DC" w:rsidRPr="00E2295A">
        <w:rPr>
          <w:rFonts w:ascii="Times New Roman" w:hAnsi="Times New Roman"/>
          <w:sz w:val="28"/>
          <w:szCs w:val="28"/>
          <w:lang w:val="uk-UA"/>
        </w:rPr>
        <w:t>дванадцятим</w:t>
      </w:r>
      <w:r w:rsidR="009B0F2E" w:rsidRPr="00E229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B4CCA" w:rsidRPr="00E2295A">
        <w:rPr>
          <w:rFonts w:ascii="Times New Roman" w:hAnsi="Times New Roman"/>
          <w:sz w:val="28"/>
          <w:szCs w:val="28"/>
          <w:lang w:val="uk-UA"/>
        </w:rPr>
        <w:t>–</w:t>
      </w:r>
      <w:r w:rsidR="009B0F2E" w:rsidRPr="00E229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22DC" w:rsidRPr="00E2295A">
        <w:rPr>
          <w:rFonts w:ascii="Times New Roman" w:hAnsi="Times New Roman"/>
          <w:sz w:val="28"/>
          <w:szCs w:val="28"/>
          <w:lang w:val="uk-UA"/>
        </w:rPr>
        <w:t>тридцять шостим</w:t>
      </w:r>
      <w:r w:rsidR="009B0F2E" w:rsidRPr="00E2295A">
        <w:rPr>
          <w:rFonts w:ascii="Times New Roman" w:hAnsi="Times New Roman"/>
          <w:sz w:val="28"/>
          <w:szCs w:val="28"/>
          <w:lang w:val="uk-UA"/>
        </w:rPr>
        <w:t>.</w:t>
      </w:r>
    </w:p>
    <w:p w:rsidR="009B0F2E" w:rsidRPr="00E2295A" w:rsidRDefault="009B0F2E" w:rsidP="005E511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4CCA" w:rsidRPr="00E2295A" w:rsidRDefault="006B4CCA" w:rsidP="005E511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295A">
        <w:rPr>
          <w:rFonts w:ascii="Times New Roman" w:hAnsi="Times New Roman"/>
          <w:sz w:val="28"/>
          <w:szCs w:val="28"/>
          <w:lang w:val="uk-UA"/>
        </w:rPr>
        <w:t>2</w:t>
      </w:r>
      <w:r w:rsidR="002422DC" w:rsidRPr="00E2295A">
        <w:rPr>
          <w:rFonts w:ascii="Times New Roman" w:hAnsi="Times New Roman"/>
          <w:sz w:val="28"/>
          <w:szCs w:val="28"/>
          <w:lang w:val="uk-UA"/>
        </w:rPr>
        <w:t>.</w:t>
      </w:r>
      <w:r w:rsidRPr="00E229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22DC" w:rsidRPr="00E2295A">
        <w:rPr>
          <w:rFonts w:ascii="Times New Roman" w:hAnsi="Times New Roman"/>
          <w:sz w:val="28"/>
          <w:szCs w:val="28"/>
          <w:lang w:val="uk-UA"/>
        </w:rPr>
        <w:t>У</w:t>
      </w:r>
      <w:r w:rsidRPr="00E2295A">
        <w:rPr>
          <w:rFonts w:ascii="Times New Roman" w:hAnsi="Times New Roman"/>
          <w:sz w:val="28"/>
          <w:szCs w:val="28"/>
          <w:lang w:val="uk-UA"/>
        </w:rPr>
        <w:t xml:space="preserve"> розділі IV:</w:t>
      </w:r>
    </w:p>
    <w:p w:rsidR="002422DC" w:rsidRPr="00E2295A" w:rsidRDefault="002422DC" w:rsidP="005E511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4CCA" w:rsidRPr="00E2295A" w:rsidRDefault="002422DC" w:rsidP="005E511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295A">
        <w:rPr>
          <w:rFonts w:ascii="Times New Roman" w:hAnsi="Times New Roman"/>
          <w:sz w:val="28"/>
          <w:szCs w:val="28"/>
          <w:lang w:val="uk-UA"/>
        </w:rPr>
        <w:t>1) у</w:t>
      </w:r>
      <w:r w:rsidR="00133227" w:rsidRPr="00E2295A">
        <w:rPr>
          <w:rFonts w:ascii="Times New Roman" w:hAnsi="Times New Roman"/>
          <w:sz w:val="28"/>
          <w:szCs w:val="28"/>
          <w:lang w:val="uk-UA"/>
        </w:rPr>
        <w:t xml:space="preserve"> главі 4.10:</w:t>
      </w:r>
    </w:p>
    <w:p w:rsidR="00133227" w:rsidRPr="00E2295A" w:rsidRDefault="005E5113" w:rsidP="005E511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295A">
        <w:rPr>
          <w:rFonts w:ascii="Times New Roman" w:hAnsi="Times New Roman"/>
          <w:sz w:val="28"/>
          <w:szCs w:val="28"/>
          <w:lang w:val="uk-UA"/>
        </w:rPr>
        <w:t>пункт</w:t>
      </w:r>
      <w:r w:rsidR="004E55AF" w:rsidRPr="00E2295A">
        <w:rPr>
          <w:rFonts w:ascii="Times New Roman" w:hAnsi="Times New Roman"/>
          <w:sz w:val="28"/>
          <w:szCs w:val="28"/>
          <w:lang w:val="uk-UA"/>
        </w:rPr>
        <w:t xml:space="preserve"> 4.10.2 </w:t>
      </w:r>
      <w:r w:rsidRPr="00E2295A">
        <w:rPr>
          <w:rFonts w:ascii="Times New Roman" w:hAnsi="Times New Roman"/>
          <w:sz w:val="28"/>
          <w:szCs w:val="28"/>
          <w:lang w:val="uk-UA"/>
        </w:rPr>
        <w:t>доповнити новим абзацом такого змісту:</w:t>
      </w:r>
    </w:p>
    <w:p w:rsidR="005E5113" w:rsidRPr="00E2295A" w:rsidRDefault="005E5113" w:rsidP="0030382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295A">
        <w:rPr>
          <w:rFonts w:ascii="Times New Roman" w:hAnsi="Times New Roman"/>
          <w:sz w:val="28"/>
          <w:szCs w:val="28"/>
          <w:lang w:val="uk-UA"/>
        </w:rPr>
        <w:t>«</w:t>
      </w:r>
      <w:r w:rsidR="006C7A28" w:rsidRPr="00E2295A">
        <w:rPr>
          <w:rFonts w:ascii="Times New Roman" w:hAnsi="Times New Roman"/>
          <w:sz w:val="28"/>
          <w:szCs w:val="28"/>
          <w:lang w:val="uk-UA"/>
        </w:rPr>
        <w:t xml:space="preserve">Для кожного розрахункового періоду обсяги зобов’язань щодо подання заявки/пропозиції на балансуючу електричну енергію на завантаження відповідно до вимог абзацу другого цього пункту зменшуються на обсяги акцептованої ОСП пропозиції на ДП з </w:t>
      </w:r>
      <w:proofErr w:type="spellStart"/>
      <w:r w:rsidR="006C7A28" w:rsidRPr="00E2295A">
        <w:rPr>
          <w:rFonts w:ascii="Times New Roman" w:hAnsi="Times New Roman"/>
          <w:sz w:val="28"/>
          <w:szCs w:val="28"/>
          <w:lang w:val="uk-UA"/>
        </w:rPr>
        <w:t>аРВЧз</w:t>
      </w:r>
      <w:proofErr w:type="spellEnd"/>
      <w:r w:rsidR="006C7A28" w:rsidRPr="00E2295A">
        <w:rPr>
          <w:rFonts w:ascii="Times New Roman" w:hAnsi="Times New Roman"/>
          <w:sz w:val="28"/>
          <w:szCs w:val="28"/>
          <w:lang w:val="uk-UA"/>
        </w:rPr>
        <w:t xml:space="preserve"> або </w:t>
      </w:r>
      <w:proofErr w:type="spellStart"/>
      <w:r w:rsidR="006C7A28" w:rsidRPr="00E2295A">
        <w:rPr>
          <w:rFonts w:ascii="Times New Roman" w:hAnsi="Times New Roman"/>
          <w:sz w:val="28"/>
          <w:szCs w:val="28"/>
          <w:lang w:val="uk-UA"/>
        </w:rPr>
        <w:t>аРВЧс</w:t>
      </w:r>
      <w:proofErr w:type="spellEnd"/>
      <w:r w:rsidR="006C7A28" w:rsidRPr="00E2295A">
        <w:rPr>
          <w:rFonts w:ascii="Times New Roman" w:hAnsi="Times New Roman"/>
          <w:sz w:val="28"/>
          <w:szCs w:val="28"/>
          <w:lang w:val="uk-UA"/>
        </w:rPr>
        <w:t>.</w:t>
      </w:r>
      <w:r w:rsidRPr="00E2295A">
        <w:rPr>
          <w:rFonts w:ascii="Times New Roman" w:hAnsi="Times New Roman"/>
          <w:sz w:val="28"/>
          <w:szCs w:val="28"/>
          <w:lang w:val="uk-UA"/>
        </w:rPr>
        <w:t>»;</w:t>
      </w:r>
    </w:p>
    <w:p w:rsidR="005E5113" w:rsidRPr="00E2295A" w:rsidRDefault="005E5113" w:rsidP="005E511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295A">
        <w:rPr>
          <w:rFonts w:ascii="Times New Roman" w:hAnsi="Times New Roman"/>
          <w:sz w:val="28"/>
          <w:szCs w:val="28"/>
          <w:lang w:val="uk-UA"/>
        </w:rPr>
        <w:t>пункт 4.10.3 доповнити новим абзацом такого змісту:</w:t>
      </w:r>
    </w:p>
    <w:p w:rsidR="006B4CCA" w:rsidRPr="00E2295A" w:rsidRDefault="005E5113" w:rsidP="0012410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295A">
        <w:rPr>
          <w:rFonts w:ascii="Times New Roman" w:hAnsi="Times New Roman"/>
          <w:sz w:val="28"/>
          <w:szCs w:val="28"/>
          <w:lang w:val="uk-UA"/>
        </w:rPr>
        <w:t>«</w:t>
      </w:r>
      <w:r w:rsidR="00FB55F6" w:rsidRPr="00E2295A">
        <w:rPr>
          <w:rFonts w:ascii="Times New Roman" w:hAnsi="Times New Roman"/>
          <w:sz w:val="28"/>
          <w:szCs w:val="28"/>
          <w:lang w:val="uk-UA"/>
        </w:rPr>
        <w:t xml:space="preserve">Для кожного розрахункового періоду обсяги зобов’язань щодо подання заявки/пропозиції на балансуючу електричну енергію на розвантаження відповідно до вимог абзацу третього цього пункту зменшуються на обсяги акцептованої ОСП пропозиції на ДП з </w:t>
      </w:r>
      <w:proofErr w:type="spellStart"/>
      <w:r w:rsidR="00FB55F6" w:rsidRPr="00E2295A">
        <w:rPr>
          <w:rFonts w:ascii="Times New Roman" w:hAnsi="Times New Roman"/>
          <w:sz w:val="28"/>
          <w:szCs w:val="28"/>
          <w:lang w:val="uk-UA"/>
        </w:rPr>
        <w:t>аРВЧр</w:t>
      </w:r>
      <w:proofErr w:type="spellEnd"/>
      <w:r w:rsidR="00FB55F6" w:rsidRPr="00E2295A">
        <w:rPr>
          <w:rFonts w:ascii="Times New Roman" w:hAnsi="Times New Roman"/>
          <w:sz w:val="28"/>
          <w:szCs w:val="28"/>
          <w:lang w:val="uk-UA"/>
        </w:rPr>
        <w:t xml:space="preserve"> або </w:t>
      </w:r>
      <w:proofErr w:type="spellStart"/>
      <w:r w:rsidR="00FB55F6" w:rsidRPr="00E2295A">
        <w:rPr>
          <w:rFonts w:ascii="Times New Roman" w:hAnsi="Times New Roman"/>
          <w:sz w:val="28"/>
          <w:szCs w:val="28"/>
          <w:lang w:val="uk-UA"/>
        </w:rPr>
        <w:t>аРВЧс</w:t>
      </w:r>
      <w:proofErr w:type="spellEnd"/>
      <w:r w:rsidR="00FB55F6" w:rsidRPr="00E2295A">
        <w:rPr>
          <w:rFonts w:ascii="Times New Roman" w:hAnsi="Times New Roman"/>
          <w:sz w:val="28"/>
          <w:szCs w:val="28"/>
          <w:lang w:val="uk-UA"/>
        </w:rPr>
        <w:t>.</w:t>
      </w:r>
      <w:r w:rsidRPr="00E2295A">
        <w:rPr>
          <w:rFonts w:ascii="Times New Roman" w:hAnsi="Times New Roman"/>
          <w:sz w:val="28"/>
          <w:szCs w:val="28"/>
          <w:lang w:val="uk-UA"/>
        </w:rPr>
        <w:t>»;</w:t>
      </w:r>
    </w:p>
    <w:p w:rsidR="00520DF3" w:rsidRPr="00E2295A" w:rsidRDefault="00520DF3" w:rsidP="00520DF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5113" w:rsidRPr="00E2295A" w:rsidRDefault="002422DC" w:rsidP="0030382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295A">
        <w:rPr>
          <w:rFonts w:ascii="Times New Roman" w:hAnsi="Times New Roman"/>
          <w:sz w:val="28"/>
          <w:szCs w:val="28"/>
          <w:lang w:val="uk-UA"/>
        </w:rPr>
        <w:t xml:space="preserve">2) </w:t>
      </w:r>
      <w:r w:rsidR="00520DF3" w:rsidRPr="00E2295A">
        <w:rPr>
          <w:rFonts w:ascii="Times New Roman" w:hAnsi="Times New Roman"/>
          <w:sz w:val="28"/>
          <w:szCs w:val="28"/>
          <w:lang w:val="uk-UA"/>
        </w:rPr>
        <w:t>у</w:t>
      </w:r>
      <w:r w:rsidR="00112F19" w:rsidRPr="00E2295A">
        <w:rPr>
          <w:rFonts w:ascii="Times New Roman" w:hAnsi="Times New Roman"/>
          <w:sz w:val="28"/>
          <w:szCs w:val="28"/>
          <w:lang w:val="uk-UA"/>
        </w:rPr>
        <w:t xml:space="preserve"> пунктах 4.11.3 та 4.11.4</w:t>
      </w:r>
      <w:r w:rsidR="00520DF3" w:rsidRPr="00E229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2F19" w:rsidRPr="00E2295A">
        <w:rPr>
          <w:rFonts w:ascii="Times New Roman" w:hAnsi="Times New Roman"/>
          <w:sz w:val="28"/>
          <w:szCs w:val="28"/>
          <w:lang w:val="uk-UA"/>
        </w:rPr>
        <w:t xml:space="preserve">глави </w:t>
      </w:r>
      <w:r w:rsidR="00520DF3" w:rsidRPr="00E2295A">
        <w:rPr>
          <w:rFonts w:ascii="Times New Roman" w:hAnsi="Times New Roman"/>
          <w:sz w:val="28"/>
          <w:szCs w:val="28"/>
          <w:lang w:val="uk-UA"/>
        </w:rPr>
        <w:t>4.11</w:t>
      </w:r>
      <w:r w:rsidR="00112F19" w:rsidRPr="00E229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E5113" w:rsidRPr="00E2295A">
        <w:rPr>
          <w:rFonts w:ascii="Times New Roman" w:hAnsi="Times New Roman"/>
          <w:sz w:val="28"/>
          <w:szCs w:val="28"/>
          <w:lang w:val="uk-UA"/>
        </w:rPr>
        <w:t>слова «технічного мінімуму виробництва» замінити абревіатурою «</w:t>
      </w:r>
      <w:r w:rsidR="006D153D" w:rsidRPr="00E2295A">
        <w:rPr>
          <w:rFonts w:ascii="Times New Roman" w:hAnsi="Times New Roman"/>
          <w:sz w:val="28"/>
          <w:szCs w:val="28"/>
          <w:lang w:val="uk-UA"/>
        </w:rPr>
        <w:t>МТРГ</w:t>
      </w:r>
      <w:r w:rsidR="005E5113" w:rsidRPr="00E2295A">
        <w:rPr>
          <w:rFonts w:ascii="Times New Roman" w:hAnsi="Times New Roman"/>
          <w:sz w:val="28"/>
          <w:szCs w:val="28"/>
          <w:lang w:val="uk-UA"/>
        </w:rPr>
        <w:t xml:space="preserve">»; </w:t>
      </w:r>
    </w:p>
    <w:p w:rsidR="004C3148" w:rsidRPr="00E2295A" w:rsidRDefault="004C3148" w:rsidP="0012410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3148" w:rsidRPr="00E2295A" w:rsidRDefault="004C3148" w:rsidP="0012410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295A">
        <w:rPr>
          <w:rFonts w:ascii="Times New Roman" w:hAnsi="Times New Roman"/>
          <w:sz w:val="28"/>
          <w:szCs w:val="28"/>
          <w:lang w:val="uk-UA"/>
        </w:rPr>
        <w:t>3) в абзацах сьомому та восьмому пункту 4.14.7 глави 4.14 слова «технічного мінімуму виробництва» замінити абревіатурою «МТРГ»;</w:t>
      </w:r>
    </w:p>
    <w:p w:rsidR="005E5113" w:rsidRPr="00E2295A" w:rsidRDefault="005E5113" w:rsidP="0012410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153D" w:rsidRPr="00E2295A" w:rsidRDefault="004C3148" w:rsidP="006D153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295A">
        <w:rPr>
          <w:rFonts w:ascii="Times New Roman" w:hAnsi="Times New Roman"/>
          <w:sz w:val="28"/>
          <w:szCs w:val="28"/>
          <w:lang w:val="uk-UA"/>
        </w:rPr>
        <w:t>4</w:t>
      </w:r>
      <w:r w:rsidR="00112F19" w:rsidRPr="00E2295A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6D153D" w:rsidRPr="00E2295A">
        <w:rPr>
          <w:rFonts w:ascii="Times New Roman" w:hAnsi="Times New Roman"/>
          <w:sz w:val="28"/>
          <w:szCs w:val="28"/>
          <w:lang w:val="uk-UA"/>
        </w:rPr>
        <w:t xml:space="preserve">пункт 4.18.3 </w:t>
      </w:r>
      <w:r w:rsidR="00D571E2" w:rsidRPr="00E2295A">
        <w:rPr>
          <w:rFonts w:ascii="Times New Roman" w:hAnsi="Times New Roman"/>
          <w:sz w:val="28"/>
          <w:szCs w:val="28"/>
          <w:lang w:val="uk-UA"/>
        </w:rPr>
        <w:t xml:space="preserve">глави 4.18 </w:t>
      </w:r>
      <w:r w:rsidR="006D153D" w:rsidRPr="00E2295A">
        <w:rPr>
          <w:rFonts w:ascii="Times New Roman" w:hAnsi="Times New Roman"/>
          <w:sz w:val="28"/>
          <w:szCs w:val="28"/>
          <w:lang w:val="uk-UA"/>
        </w:rPr>
        <w:t xml:space="preserve">доповнити </w:t>
      </w:r>
      <w:r w:rsidR="00112F19" w:rsidRPr="00E2295A">
        <w:rPr>
          <w:rFonts w:ascii="Times New Roman" w:hAnsi="Times New Roman"/>
          <w:sz w:val="28"/>
          <w:szCs w:val="28"/>
          <w:lang w:val="uk-UA"/>
        </w:rPr>
        <w:t xml:space="preserve">двома </w:t>
      </w:r>
      <w:r w:rsidR="006D153D" w:rsidRPr="00E2295A">
        <w:rPr>
          <w:rFonts w:ascii="Times New Roman" w:hAnsi="Times New Roman"/>
          <w:sz w:val="28"/>
          <w:szCs w:val="28"/>
          <w:lang w:val="uk-UA"/>
        </w:rPr>
        <w:t>новим</w:t>
      </w:r>
      <w:r w:rsidR="00C82309" w:rsidRPr="00E2295A">
        <w:rPr>
          <w:rFonts w:ascii="Times New Roman" w:hAnsi="Times New Roman"/>
          <w:sz w:val="28"/>
          <w:szCs w:val="28"/>
          <w:lang w:val="uk-UA"/>
        </w:rPr>
        <w:t>и</w:t>
      </w:r>
      <w:r w:rsidR="006D153D" w:rsidRPr="00E2295A">
        <w:rPr>
          <w:rFonts w:ascii="Times New Roman" w:hAnsi="Times New Roman"/>
          <w:sz w:val="28"/>
          <w:szCs w:val="28"/>
          <w:lang w:val="uk-UA"/>
        </w:rPr>
        <w:t xml:space="preserve"> абзац</w:t>
      </w:r>
      <w:r w:rsidR="00C82309" w:rsidRPr="00E2295A">
        <w:rPr>
          <w:rFonts w:ascii="Times New Roman" w:hAnsi="Times New Roman"/>
          <w:sz w:val="28"/>
          <w:szCs w:val="28"/>
          <w:lang w:val="uk-UA"/>
        </w:rPr>
        <w:t>ами</w:t>
      </w:r>
      <w:r w:rsidR="006D153D" w:rsidRPr="00E2295A">
        <w:rPr>
          <w:rFonts w:ascii="Times New Roman" w:hAnsi="Times New Roman"/>
          <w:sz w:val="28"/>
          <w:szCs w:val="28"/>
          <w:lang w:val="uk-UA"/>
        </w:rPr>
        <w:t xml:space="preserve"> такого змісту:</w:t>
      </w:r>
    </w:p>
    <w:p w:rsidR="006D153D" w:rsidRPr="00E2295A" w:rsidRDefault="006D153D" w:rsidP="006D153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295A">
        <w:rPr>
          <w:rFonts w:ascii="Times New Roman" w:hAnsi="Times New Roman"/>
          <w:sz w:val="28"/>
          <w:szCs w:val="28"/>
          <w:lang w:val="uk-UA"/>
        </w:rPr>
        <w:lastRenderedPageBreak/>
        <w:t xml:space="preserve">«Виконання диспетчерської команди ОСП на </w:t>
      </w:r>
      <w:proofErr w:type="spellStart"/>
      <w:r w:rsidRPr="00E2295A">
        <w:rPr>
          <w:rFonts w:ascii="Times New Roman" w:hAnsi="Times New Roman"/>
          <w:sz w:val="28"/>
          <w:szCs w:val="28"/>
          <w:lang w:val="uk-UA"/>
        </w:rPr>
        <w:t>деактивацію</w:t>
      </w:r>
      <w:proofErr w:type="spellEnd"/>
      <w:r w:rsidRPr="00E2295A">
        <w:rPr>
          <w:rFonts w:ascii="Times New Roman" w:hAnsi="Times New Roman"/>
          <w:sz w:val="28"/>
          <w:szCs w:val="28"/>
          <w:lang w:val="uk-UA"/>
        </w:rPr>
        <w:t xml:space="preserve"> команди на розвантаження від МТРГ до нуля здійснюється впродовж періоду часу, що є необхідним для повернення ППБ на графік відпуску, наданий ППБ до ОСП згідно з главою 4.6 </w:t>
      </w:r>
      <w:r w:rsidR="0030382F" w:rsidRPr="00E2295A">
        <w:rPr>
          <w:rFonts w:ascii="Times New Roman" w:hAnsi="Times New Roman"/>
          <w:sz w:val="28"/>
          <w:szCs w:val="28"/>
          <w:lang w:val="uk-UA"/>
        </w:rPr>
        <w:t>цього розділу</w:t>
      </w:r>
      <w:r w:rsidRPr="00E2295A">
        <w:rPr>
          <w:rFonts w:ascii="Times New Roman" w:hAnsi="Times New Roman"/>
          <w:sz w:val="28"/>
          <w:szCs w:val="28"/>
          <w:lang w:val="uk-UA"/>
        </w:rPr>
        <w:t>, в межах зазначеної у техніко-економічній декларації ППБ швидкості на завантаження одиниці надання послуг з балансування.</w:t>
      </w:r>
    </w:p>
    <w:p w:rsidR="006D153D" w:rsidRPr="00E2295A" w:rsidRDefault="006D153D" w:rsidP="006D153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295A">
        <w:rPr>
          <w:rFonts w:ascii="Times New Roman" w:hAnsi="Times New Roman"/>
          <w:sz w:val="28"/>
          <w:szCs w:val="28"/>
          <w:lang w:val="uk-UA"/>
        </w:rPr>
        <w:t xml:space="preserve">При виконанні ППБ диспетчерської команди ОСП на </w:t>
      </w:r>
      <w:proofErr w:type="spellStart"/>
      <w:r w:rsidRPr="00E2295A">
        <w:rPr>
          <w:rFonts w:ascii="Times New Roman" w:hAnsi="Times New Roman"/>
          <w:sz w:val="28"/>
          <w:szCs w:val="28"/>
          <w:lang w:val="uk-UA"/>
        </w:rPr>
        <w:t>деактивацію</w:t>
      </w:r>
      <w:proofErr w:type="spellEnd"/>
      <w:r w:rsidRPr="00E2295A">
        <w:rPr>
          <w:rFonts w:ascii="Times New Roman" w:hAnsi="Times New Roman"/>
          <w:sz w:val="28"/>
          <w:szCs w:val="28"/>
          <w:lang w:val="uk-UA"/>
        </w:rPr>
        <w:t xml:space="preserve"> команди на розвантаження від МТРГ до нуля, різниця обсягів електричної енергії, відповідно до графіку відпуску, наданого ППБ до ОСП згідно з главою 4.6 </w:t>
      </w:r>
      <w:r w:rsidR="006C7A28" w:rsidRPr="00E2295A">
        <w:rPr>
          <w:rFonts w:ascii="Times New Roman" w:hAnsi="Times New Roman"/>
          <w:sz w:val="28"/>
          <w:szCs w:val="28"/>
          <w:lang w:val="uk-UA"/>
        </w:rPr>
        <w:t>ц</w:t>
      </w:r>
      <w:r w:rsidR="0030382F" w:rsidRPr="00E2295A">
        <w:rPr>
          <w:rFonts w:ascii="Times New Roman" w:hAnsi="Times New Roman"/>
          <w:sz w:val="28"/>
          <w:szCs w:val="28"/>
          <w:lang w:val="uk-UA"/>
        </w:rPr>
        <w:t>ього розділу</w:t>
      </w:r>
      <w:r w:rsidRPr="00E2295A">
        <w:rPr>
          <w:rFonts w:ascii="Times New Roman" w:hAnsi="Times New Roman"/>
          <w:sz w:val="28"/>
          <w:szCs w:val="28"/>
          <w:lang w:val="uk-UA"/>
        </w:rPr>
        <w:t xml:space="preserve">, та фактичних обсягів відпуску ППБ відповідно до сертифікованих даних комерційного обліку, вважається балансуючою електричною енергією на розвантаження, та розраховується за визначеною на торгах на РДН ціною купівлі-продажу електричної енергії для відповідного розрахункового </w:t>
      </w:r>
      <w:r w:rsidR="00520DF3" w:rsidRPr="00E2295A">
        <w:rPr>
          <w:rFonts w:ascii="Times New Roman" w:hAnsi="Times New Roman"/>
          <w:sz w:val="28"/>
          <w:szCs w:val="28"/>
          <w:lang w:val="uk-UA"/>
        </w:rPr>
        <w:t>п</w:t>
      </w:r>
      <w:r w:rsidRPr="00E2295A">
        <w:rPr>
          <w:rFonts w:ascii="Times New Roman" w:hAnsi="Times New Roman"/>
          <w:sz w:val="28"/>
          <w:szCs w:val="28"/>
          <w:lang w:val="uk-UA"/>
        </w:rPr>
        <w:t>еріоду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/>
              </w:rPr>
              <m:t>PDAM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/>
              </w:rPr>
              <m:t>z,t</m:t>
            </m:r>
          </m:sub>
        </m:sSub>
      </m:oMath>
      <w:r w:rsidRPr="00E2295A">
        <w:rPr>
          <w:rFonts w:ascii="Times New Roman" w:hAnsi="Times New Roman"/>
          <w:sz w:val="28"/>
          <w:szCs w:val="28"/>
          <w:lang w:val="uk-UA"/>
        </w:rPr>
        <w:t>).».</w:t>
      </w:r>
    </w:p>
    <w:p w:rsidR="006D153D" w:rsidRPr="00E2295A" w:rsidRDefault="006D153D" w:rsidP="006D153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_GoBack"/>
      <w:bookmarkEnd w:id="1"/>
    </w:p>
    <w:p w:rsidR="008C501A" w:rsidRPr="00E2295A" w:rsidRDefault="00520DF3" w:rsidP="008C501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295A">
        <w:rPr>
          <w:rFonts w:ascii="Times New Roman" w:hAnsi="Times New Roman"/>
          <w:sz w:val="28"/>
          <w:szCs w:val="28"/>
          <w:lang w:val="uk-UA"/>
        </w:rPr>
        <w:t>3</w:t>
      </w:r>
      <w:r w:rsidR="00112F19" w:rsidRPr="00E2295A">
        <w:rPr>
          <w:rFonts w:ascii="Times New Roman" w:hAnsi="Times New Roman"/>
          <w:sz w:val="28"/>
          <w:szCs w:val="28"/>
          <w:lang w:val="uk-UA"/>
        </w:rPr>
        <w:t>.</w:t>
      </w:r>
      <w:r w:rsidRPr="00E229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2F19" w:rsidRPr="00E2295A">
        <w:rPr>
          <w:rFonts w:ascii="Times New Roman" w:hAnsi="Times New Roman"/>
          <w:sz w:val="28"/>
          <w:szCs w:val="28"/>
          <w:lang w:val="uk-UA"/>
        </w:rPr>
        <w:t xml:space="preserve">В абзаці одинадцятому пункту 8.4.6 глави 8.4 </w:t>
      </w:r>
      <w:r w:rsidRPr="00E2295A">
        <w:rPr>
          <w:rFonts w:ascii="Times New Roman" w:hAnsi="Times New Roman"/>
          <w:sz w:val="28"/>
          <w:szCs w:val="28"/>
          <w:lang w:val="uk-UA"/>
        </w:rPr>
        <w:t>розділ</w:t>
      </w:r>
      <w:r w:rsidR="00112F19" w:rsidRPr="00E2295A">
        <w:rPr>
          <w:rFonts w:ascii="Times New Roman" w:hAnsi="Times New Roman"/>
          <w:sz w:val="28"/>
          <w:szCs w:val="28"/>
          <w:lang w:val="uk-UA"/>
        </w:rPr>
        <w:t>у</w:t>
      </w:r>
      <w:r w:rsidRPr="00E2295A">
        <w:rPr>
          <w:rFonts w:ascii="Times New Roman" w:hAnsi="Times New Roman"/>
          <w:sz w:val="28"/>
          <w:szCs w:val="28"/>
          <w:lang w:val="uk-UA"/>
        </w:rPr>
        <w:t xml:space="preserve"> V</w:t>
      </w:r>
      <w:r w:rsidRPr="00E2295A">
        <w:rPr>
          <w:rFonts w:ascii="Times New Roman" w:hAnsi="Times New Roman"/>
          <w:sz w:val="28"/>
          <w:szCs w:val="28"/>
          <w:lang w:val="en-US"/>
        </w:rPr>
        <w:t>III</w:t>
      </w:r>
      <w:r w:rsidR="00112F19" w:rsidRPr="00E229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501A" w:rsidRPr="00E2295A">
        <w:rPr>
          <w:rFonts w:ascii="Times New Roman" w:hAnsi="Times New Roman"/>
          <w:sz w:val="28"/>
          <w:szCs w:val="28"/>
          <w:lang w:val="uk-UA"/>
        </w:rPr>
        <w:t>слова</w:t>
      </w:r>
      <w:r w:rsidR="00D571E2" w:rsidRPr="00E2295A">
        <w:rPr>
          <w:rFonts w:ascii="Times New Roman" w:hAnsi="Times New Roman"/>
          <w:sz w:val="28"/>
          <w:szCs w:val="28"/>
          <w:lang w:val="uk-UA"/>
        </w:rPr>
        <w:t>, знаки та абревіатуру</w:t>
      </w:r>
      <w:r w:rsidR="008C501A" w:rsidRPr="00E2295A">
        <w:rPr>
          <w:rFonts w:ascii="Times New Roman" w:hAnsi="Times New Roman"/>
          <w:sz w:val="28"/>
          <w:szCs w:val="28"/>
          <w:lang w:val="uk-UA"/>
        </w:rPr>
        <w:t xml:space="preserve"> «мінімальний технічний рівень генерації (далі </w:t>
      </w:r>
      <w:r w:rsidR="00C97B39" w:rsidRPr="00E2295A">
        <w:rPr>
          <w:rFonts w:ascii="Times New Roman" w:hAnsi="Times New Roman"/>
          <w:sz w:val="28"/>
          <w:szCs w:val="28"/>
          <w:lang w:val="uk-UA"/>
        </w:rPr>
        <w:t>–</w:t>
      </w:r>
      <w:r w:rsidR="008C501A" w:rsidRPr="00E2295A">
        <w:rPr>
          <w:rFonts w:ascii="Times New Roman" w:hAnsi="Times New Roman"/>
          <w:sz w:val="28"/>
          <w:szCs w:val="28"/>
          <w:lang w:val="uk-UA"/>
        </w:rPr>
        <w:t xml:space="preserve"> МТРГ)» замінити </w:t>
      </w:r>
      <w:r w:rsidR="00112F19" w:rsidRPr="00E2295A">
        <w:rPr>
          <w:rFonts w:ascii="Times New Roman" w:hAnsi="Times New Roman"/>
          <w:sz w:val="28"/>
          <w:szCs w:val="28"/>
          <w:lang w:val="uk-UA"/>
        </w:rPr>
        <w:t>абревіатурою</w:t>
      </w:r>
      <w:r w:rsidR="008C501A" w:rsidRPr="00E2295A">
        <w:rPr>
          <w:rFonts w:ascii="Times New Roman" w:hAnsi="Times New Roman"/>
          <w:sz w:val="28"/>
          <w:szCs w:val="28"/>
          <w:lang w:val="uk-UA"/>
        </w:rPr>
        <w:t xml:space="preserve"> «МТРГ»</w:t>
      </w:r>
      <w:r w:rsidR="00177F9A" w:rsidRPr="00E2295A">
        <w:rPr>
          <w:rFonts w:ascii="Times New Roman" w:hAnsi="Times New Roman"/>
          <w:sz w:val="28"/>
          <w:szCs w:val="28"/>
          <w:lang w:val="uk-UA"/>
        </w:rPr>
        <w:t>.</w:t>
      </w:r>
    </w:p>
    <w:p w:rsidR="006D153D" w:rsidRPr="00E2295A" w:rsidRDefault="006D153D" w:rsidP="00520DF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153D" w:rsidRPr="00E2295A" w:rsidRDefault="006D153D" w:rsidP="006D153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153D" w:rsidRPr="00E2295A" w:rsidRDefault="006D153D" w:rsidP="006D153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153D" w:rsidRPr="00E2295A" w:rsidRDefault="006D153D" w:rsidP="006D153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B0F2E" w:rsidRPr="00E2295A" w:rsidRDefault="009B0F2E" w:rsidP="009B0F2E">
      <w:pPr>
        <w:spacing w:after="0" w:line="240" w:lineRule="auto"/>
        <w:rPr>
          <w:rFonts w:ascii="Times New Roman" w:hAnsi="Times New Roman"/>
          <w:sz w:val="28"/>
          <w:lang w:val="uk-UA"/>
        </w:rPr>
      </w:pPr>
      <w:r w:rsidRPr="00E2295A">
        <w:rPr>
          <w:rFonts w:ascii="Times New Roman" w:hAnsi="Times New Roman"/>
          <w:sz w:val="28"/>
          <w:lang w:val="uk-UA"/>
        </w:rPr>
        <w:t>Директор</w:t>
      </w:r>
    </w:p>
    <w:p w:rsidR="009B0F2E" w:rsidRPr="00520DF3" w:rsidRDefault="009B0F2E" w:rsidP="009B0F2E">
      <w:pPr>
        <w:spacing w:after="0" w:line="240" w:lineRule="auto"/>
        <w:rPr>
          <w:rFonts w:ascii="Times New Roman" w:hAnsi="Times New Roman"/>
          <w:sz w:val="28"/>
          <w:lang w:val="uk-UA"/>
        </w:rPr>
      </w:pPr>
      <w:r w:rsidRPr="00E2295A">
        <w:rPr>
          <w:rFonts w:ascii="Times New Roman" w:hAnsi="Times New Roman"/>
          <w:sz w:val="28"/>
          <w:lang w:val="uk-UA"/>
        </w:rPr>
        <w:t>Департаменту енергоринку</w:t>
      </w:r>
      <w:r w:rsidRPr="00E2295A">
        <w:rPr>
          <w:rFonts w:ascii="Times New Roman" w:hAnsi="Times New Roman"/>
          <w:sz w:val="28"/>
          <w:lang w:val="uk-UA"/>
        </w:rPr>
        <w:tab/>
      </w:r>
      <w:r w:rsidRPr="00E2295A">
        <w:rPr>
          <w:rFonts w:ascii="Times New Roman" w:hAnsi="Times New Roman"/>
          <w:sz w:val="28"/>
          <w:lang w:val="uk-UA"/>
        </w:rPr>
        <w:tab/>
      </w:r>
      <w:r w:rsidRPr="00E2295A">
        <w:rPr>
          <w:rFonts w:ascii="Times New Roman" w:hAnsi="Times New Roman"/>
          <w:sz w:val="28"/>
          <w:lang w:val="uk-UA"/>
        </w:rPr>
        <w:tab/>
      </w:r>
      <w:r w:rsidRPr="00E2295A">
        <w:rPr>
          <w:rFonts w:ascii="Times New Roman" w:hAnsi="Times New Roman"/>
          <w:sz w:val="28"/>
          <w:lang w:val="uk-UA"/>
        </w:rPr>
        <w:tab/>
      </w:r>
      <w:r w:rsidRPr="00E2295A">
        <w:rPr>
          <w:rFonts w:ascii="Times New Roman" w:hAnsi="Times New Roman"/>
          <w:sz w:val="28"/>
          <w:lang w:val="uk-UA"/>
        </w:rPr>
        <w:tab/>
      </w:r>
      <w:r w:rsidRPr="00E2295A">
        <w:rPr>
          <w:rFonts w:ascii="Times New Roman" w:hAnsi="Times New Roman"/>
          <w:sz w:val="28"/>
          <w:lang w:val="uk-UA"/>
        </w:rPr>
        <w:tab/>
        <w:t>Ілля СІДОРОВ</w:t>
      </w:r>
    </w:p>
    <w:p w:rsidR="00124109" w:rsidRPr="00520DF3" w:rsidRDefault="00124109" w:rsidP="0012410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124109" w:rsidRPr="00520DF3" w:rsidRDefault="00124109" w:rsidP="009B0F2E">
      <w:pPr>
        <w:spacing w:after="0"/>
        <w:ind w:left="6237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</w:p>
    <w:sectPr w:rsidR="00124109" w:rsidRPr="00520DF3" w:rsidSect="004A0858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6E3" w:rsidRDefault="006626E3" w:rsidP="00B463EE">
      <w:pPr>
        <w:spacing w:after="0" w:line="240" w:lineRule="auto"/>
      </w:pPr>
      <w:r>
        <w:separator/>
      </w:r>
    </w:p>
  </w:endnote>
  <w:endnote w:type="continuationSeparator" w:id="0">
    <w:p w:rsidR="006626E3" w:rsidRDefault="006626E3" w:rsidP="00B4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6E3" w:rsidRDefault="006626E3" w:rsidP="00B463EE">
      <w:pPr>
        <w:spacing w:after="0" w:line="240" w:lineRule="auto"/>
      </w:pPr>
      <w:r>
        <w:separator/>
      </w:r>
    </w:p>
  </w:footnote>
  <w:footnote w:type="continuationSeparator" w:id="0">
    <w:p w:rsidR="006626E3" w:rsidRDefault="006626E3" w:rsidP="00B46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AD9" w:rsidRDefault="00700AD9">
    <w:pPr>
      <w:pStyle w:val="a8"/>
      <w:jc w:val="center"/>
    </w:pPr>
  </w:p>
  <w:p w:rsidR="00700AD9" w:rsidRDefault="00700AD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59575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24109" w:rsidRDefault="00F55DCB">
        <w:pPr>
          <w:pStyle w:val="a8"/>
          <w:jc w:val="center"/>
        </w:pPr>
        <w:r>
          <w:rPr>
            <w:lang w:val="uk-UA"/>
          </w:rPr>
          <w:t>2</w:t>
        </w:r>
      </w:p>
    </w:sdtContent>
  </w:sdt>
  <w:p w:rsidR="00124109" w:rsidRDefault="0012410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0100C"/>
    <w:multiLevelType w:val="hybridMultilevel"/>
    <w:tmpl w:val="17E2B4C4"/>
    <w:lvl w:ilvl="0" w:tplc="4B7A14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43D"/>
    <w:rsid w:val="000435BA"/>
    <w:rsid w:val="000611AD"/>
    <w:rsid w:val="00067E7B"/>
    <w:rsid w:val="00095DBF"/>
    <w:rsid w:val="000B3EC9"/>
    <w:rsid w:val="000B5015"/>
    <w:rsid w:val="000C50BC"/>
    <w:rsid w:val="00112F19"/>
    <w:rsid w:val="00120225"/>
    <w:rsid w:val="00124109"/>
    <w:rsid w:val="00133227"/>
    <w:rsid w:val="00143289"/>
    <w:rsid w:val="001436EF"/>
    <w:rsid w:val="00150CB7"/>
    <w:rsid w:val="00167283"/>
    <w:rsid w:val="001743F9"/>
    <w:rsid w:val="00177F9A"/>
    <w:rsid w:val="001862C5"/>
    <w:rsid w:val="00193BAD"/>
    <w:rsid w:val="001A500F"/>
    <w:rsid w:val="002356FA"/>
    <w:rsid w:val="002422DC"/>
    <w:rsid w:val="00254D1D"/>
    <w:rsid w:val="00260610"/>
    <w:rsid w:val="00283FCD"/>
    <w:rsid w:val="002A1679"/>
    <w:rsid w:val="002B7DD8"/>
    <w:rsid w:val="002C5A79"/>
    <w:rsid w:val="002D1637"/>
    <w:rsid w:val="002D4DA9"/>
    <w:rsid w:val="00303171"/>
    <w:rsid w:val="0030382F"/>
    <w:rsid w:val="00332126"/>
    <w:rsid w:val="003540A3"/>
    <w:rsid w:val="0037565E"/>
    <w:rsid w:val="003A438F"/>
    <w:rsid w:val="003A7180"/>
    <w:rsid w:val="003B2795"/>
    <w:rsid w:val="003C36D5"/>
    <w:rsid w:val="003D0A85"/>
    <w:rsid w:val="003D11C5"/>
    <w:rsid w:val="003D4A97"/>
    <w:rsid w:val="003D7DE1"/>
    <w:rsid w:val="003E7459"/>
    <w:rsid w:val="00413618"/>
    <w:rsid w:val="004223A9"/>
    <w:rsid w:val="00422449"/>
    <w:rsid w:val="0043248D"/>
    <w:rsid w:val="00442736"/>
    <w:rsid w:val="00442D91"/>
    <w:rsid w:val="00465179"/>
    <w:rsid w:val="004C3148"/>
    <w:rsid w:val="004C64D3"/>
    <w:rsid w:val="004D490C"/>
    <w:rsid w:val="004E55AF"/>
    <w:rsid w:val="004F27FF"/>
    <w:rsid w:val="004F7F11"/>
    <w:rsid w:val="00512023"/>
    <w:rsid w:val="00520DF3"/>
    <w:rsid w:val="00523C9B"/>
    <w:rsid w:val="00547012"/>
    <w:rsid w:val="00573420"/>
    <w:rsid w:val="00592BE8"/>
    <w:rsid w:val="005A3972"/>
    <w:rsid w:val="005B2A4B"/>
    <w:rsid w:val="005C2B8F"/>
    <w:rsid w:val="005E5113"/>
    <w:rsid w:val="005F0902"/>
    <w:rsid w:val="005F445F"/>
    <w:rsid w:val="00615694"/>
    <w:rsid w:val="00625612"/>
    <w:rsid w:val="006610B0"/>
    <w:rsid w:val="006626E3"/>
    <w:rsid w:val="006A7AE6"/>
    <w:rsid w:val="006B4CCA"/>
    <w:rsid w:val="006B4E7C"/>
    <w:rsid w:val="006B6125"/>
    <w:rsid w:val="006C66F3"/>
    <w:rsid w:val="006C7A28"/>
    <w:rsid w:val="006D153D"/>
    <w:rsid w:val="006E555A"/>
    <w:rsid w:val="006E7C56"/>
    <w:rsid w:val="00700AD9"/>
    <w:rsid w:val="00702E1F"/>
    <w:rsid w:val="00723DA3"/>
    <w:rsid w:val="00731521"/>
    <w:rsid w:val="00736E89"/>
    <w:rsid w:val="00737B0A"/>
    <w:rsid w:val="007532D9"/>
    <w:rsid w:val="00775292"/>
    <w:rsid w:val="007B6085"/>
    <w:rsid w:val="007F286D"/>
    <w:rsid w:val="00802884"/>
    <w:rsid w:val="008076F5"/>
    <w:rsid w:val="00815E95"/>
    <w:rsid w:val="00834098"/>
    <w:rsid w:val="008357EA"/>
    <w:rsid w:val="00840989"/>
    <w:rsid w:val="008415AE"/>
    <w:rsid w:val="008673D1"/>
    <w:rsid w:val="00876878"/>
    <w:rsid w:val="00890FEC"/>
    <w:rsid w:val="00891ACF"/>
    <w:rsid w:val="008A4FB9"/>
    <w:rsid w:val="008B7719"/>
    <w:rsid w:val="008C501A"/>
    <w:rsid w:val="008E4EAE"/>
    <w:rsid w:val="008F0D94"/>
    <w:rsid w:val="00946599"/>
    <w:rsid w:val="009504E2"/>
    <w:rsid w:val="0095606F"/>
    <w:rsid w:val="0096143D"/>
    <w:rsid w:val="0097502A"/>
    <w:rsid w:val="00975086"/>
    <w:rsid w:val="0098023B"/>
    <w:rsid w:val="009B0F2E"/>
    <w:rsid w:val="009D4713"/>
    <w:rsid w:val="009E5B43"/>
    <w:rsid w:val="009F0B20"/>
    <w:rsid w:val="009F48B9"/>
    <w:rsid w:val="009F5F62"/>
    <w:rsid w:val="00A0051E"/>
    <w:rsid w:val="00A0540D"/>
    <w:rsid w:val="00A0654A"/>
    <w:rsid w:val="00A07222"/>
    <w:rsid w:val="00A7144B"/>
    <w:rsid w:val="00A81808"/>
    <w:rsid w:val="00A93811"/>
    <w:rsid w:val="00AB5092"/>
    <w:rsid w:val="00AC24A4"/>
    <w:rsid w:val="00AC4F17"/>
    <w:rsid w:val="00AD6ACD"/>
    <w:rsid w:val="00AF2726"/>
    <w:rsid w:val="00B22B47"/>
    <w:rsid w:val="00B30447"/>
    <w:rsid w:val="00B463EE"/>
    <w:rsid w:val="00B6795E"/>
    <w:rsid w:val="00B702F3"/>
    <w:rsid w:val="00B82175"/>
    <w:rsid w:val="00B8416A"/>
    <w:rsid w:val="00B842CC"/>
    <w:rsid w:val="00B8587A"/>
    <w:rsid w:val="00BA13A2"/>
    <w:rsid w:val="00BB09B4"/>
    <w:rsid w:val="00BC2A7B"/>
    <w:rsid w:val="00BC67FC"/>
    <w:rsid w:val="00BD3EFB"/>
    <w:rsid w:val="00C121DB"/>
    <w:rsid w:val="00C22C0B"/>
    <w:rsid w:val="00C46D84"/>
    <w:rsid w:val="00C6302F"/>
    <w:rsid w:val="00C81B00"/>
    <w:rsid w:val="00C82309"/>
    <w:rsid w:val="00C930E8"/>
    <w:rsid w:val="00C96AB4"/>
    <w:rsid w:val="00C97B39"/>
    <w:rsid w:val="00CA0C51"/>
    <w:rsid w:val="00CB2478"/>
    <w:rsid w:val="00CE153B"/>
    <w:rsid w:val="00D1009D"/>
    <w:rsid w:val="00D105D5"/>
    <w:rsid w:val="00D12FE2"/>
    <w:rsid w:val="00D31D59"/>
    <w:rsid w:val="00D37DF1"/>
    <w:rsid w:val="00D571E2"/>
    <w:rsid w:val="00D62B2C"/>
    <w:rsid w:val="00D66208"/>
    <w:rsid w:val="00D66299"/>
    <w:rsid w:val="00D93EF8"/>
    <w:rsid w:val="00DB3982"/>
    <w:rsid w:val="00DB7093"/>
    <w:rsid w:val="00DC2502"/>
    <w:rsid w:val="00DC530E"/>
    <w:rsid w:val="00E2295A"/>
    <w:rsid w:val="00E668A2"/>
    <w:rsid w:val="00E93468"/>
    <w:rsid w:val="00E97B65"/>
    <w:rsid w:val="00EA0D13"/>
    <w:rsid w:val="00EA5EC4"/>
    <w:rsid w:val="00EB459D"/>
    <w:rsid w:val="00EC34F7"/>
    <w:rsid w:val="00EC59C0"/>
    <w:rsid w:val="00ED08E0"/>
    <w:rsid w:val="00EF5BF1"/>
    <w:rsid w:val="00F03E34"/>
    <w:rsid w:val="00F23A41"/>
    <w:rsid w:val="00F2723F"/>
    <w:rsid w:val="00F30A10"/>
    <w:rsid w:val="00F370B9"/>
    <w:rsid w:val="00F439AF"/>
    <w:rsid w:val="00F512D2"/>
    <w:rsid w:val="00F55DCB"/>
    <w:rsid w:val="00F5728A"/>
    <w:rsid w:val="00FB44EC"/>
    <w:rsid w:val="00FB55F6"/>
    <w:rsid w:val="00FC6888"/>
    <w:rsid w:val="00FD23A2"/>
    <w:rsid w:val="00FE3B4A"/>
    <w:rsid w:val="00FF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DFC1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4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8673D1"/>
  </w:style>
  <w:style w:type="paragraph" w:styleId="a4">
    <w:name w:val="List Paragraph"/>
    <w:basedOn w:val="a"/>
    <w:uiPriority w:val="34"/>
    <w:qFormat/>
    <w:rsid w:val="00815E95"/>
    <w:pPr>
      <w:ind w:left="720"/>
      <w:contextualSpacing/>
    </w:pPr>
  </w:style>
  <w:style w:type="paragraph" w:customStyle="1" w:styleId="Normalwithoutnum">
    <w:name w:val="Normal without num"/>
    <w:basedOn w:val="a"/>
    <w:qFormat/>
    <w:rsid w:val="00A81808"/>
    <w:pPr>
      <w:widowControl w:val="0"/>
      <w:spacing w:after="0" w:line="240" w:lineRule="auto"/>
      <w:ind w:firstLine="851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table" w:styleId="a5">
    <w:name w:val="Table Grid"/>
    <w:basedOn w:val="a1"/>
    <w:uiPriority w:val="39"/>
    <w:rsid w:val="00946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4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4E7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B463EE"/>
  </w:style>
  <w:style w:type="paragraph" w:styleId="aa">
    <w:name w:val="footer"/>
    <w:basedOn w:val="a"/>
    <w:link w:val="ab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B463EE"/>
  </w:style>
  <w:style w:type="character" w:styleId="ac">
    <w:name w:val="annotation reference"/>
    <w:basedOn w:val="a0"/>
    <w:uiPriority w:val="99"/>
    <w:semiHidden/>
    <w:unhideWhenUsed/>
    <w:rsid w:val="00B463E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463E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B463E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463E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B463EE"/>
    <w:rPr>
      <w:b/>
      <w:bCs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0F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4C2F6-E45F-4C33-896E-402CD6A36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2262</Words>
  <Characters>1290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2023-05-30T07:49:00Z</dcterms:created>
  <dcterms:modified xsi:type="dcterms:W3CDTF">2023-06-09T06:40:00Z</dcterms:modified>
</cp:coreProperties>
</file>