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 розподілу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56405F" w:rsidRDefault="0056405F" w:rsidP="0056405F">
      <w:pPr>
        <w:jc w:val="center"/>
        <w:rPr>
          <w:b/>
          <w:sz w:val="28"/>
          <w:szCs w:val="28"/>
        </w:rPr>
      </w:pP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56405F" w:rsidRDefault="0056405F" w:rsidP="0056405F">
      <w:pPr>
        <w:jc w:val="center"/>
        <w:rPr>
          <w:b/>
          <w:sz w:val="28"/>
          <w:szCs w:val="28"/>
        </w:rPr>
      </w:pPr>
    </w:p>
    <w:p w:rsidR="00B336E1" w:rsidRPr="00360B02" w:rsidRDefault="00B336E1" w:rsidP="0056405F">
      <w:pPr>
        <w:jc w:val="center"/>
        <w:rPr>
          <w:b/>
          <w:sz w:val="28"/>
          <w:szCs w:val="28"/>
        </w:rPr>
      </w:pPr>
    </w:p>
    <w:p w:rsidR="00A91404" w:rsidRPr="00A91404" w:rsidRDefault="00A91404" w:rsidP="0029713C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кодексу систем розподілу.</w:t>
      </w:r>
    </w:p>
    <w:p w:rsidR="00B33535" w:rsidRDefault="00B33535" w:rsidP="00297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24.10.2022 набрав чинності Закон України «</w:t>
      </w:r>
      <w:r w:rsidRPr="00516380">
        <w:rPr>
          <w:sz w:val="28"/>
          <w:szCs w:val="28"/>
        </w:rPr>
        <w:t>Про внесення змін до деяких законодавчих актів України щодо забезпечення вимог цивільного захисту під час планування та забудови територій</w:t>
      </w:r>
      <w:r>
        <w:rPr>
          <w:sz w:val="28"/>
          <w:szCs w:val="28"/>
        </w:rPr>
        <w:t xml:space="preserve">», яким, у тому числі надається право замовникам </w:t>
      </w:r>
      <w:r w:rsidRPr="00516380">
        <w:rPr>
          <w:sz w:val="28"/>
          <w:szCs w:val="28"/>
        </w:rPr>
        <w:t xml:space="preserve">послуги з нестандартного приєднання </w:t>
      </w:r>
      <w:r>
        <w:rPr>
          <w:sz w:val="28"/>
          <w:szCs w:val="28"/>
        </w:rPr>
        <w:t>т</w:t>
      </w:r>
      <w:r w:rsidRPr="00516380">
        <w:rPr>
          <w:sz w:val="28"/>
          <w:szCs w:val="28"/>
        </w:rPr>
        <w:t>имчасово, на період дії воєнного стану в Україні та протягом одного року після його припинення чи скасування, бути замовником робіт з проектування електричних мереж лінійної частини приєднання, будівельно-монтажних та пусконалагоджувальних робіт.</w:t>
      </w:r>
    </w:p>
    <w:p w:rsidR="00B33535" w:rsidRDefault="00B33535" w:rsidP="00B335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Зазначена можливість на сьогодні реалізована НКРЕКП у Порядку </w:t>
      </w:r>
      <w:r w:rsidRPr="00516380">
        <w:rPr>
          <w:sz w:val="28"/>
          <w:szCs w:val="28"/>
        </w:rPr>
        <w:t>тимчасового приєднання електроустановок до системи розподілу у період дії в Україні воєнного стану</w:t>
      </w:r>
      <w:r>
        <w:rPr>
          <w:sz w:val="28"/>
          <w:szCs w:val="28"/>
        </w:rPr>
        <w:t xml:space="preserve">, затвердженому постановою НКРЕКП від </w:t>
      </w:r>
      <w:r w:rsidRPr="00516380">
        <w:rPr>
          <w:sz w:val="28"/>
          <w:szCs w:val="28"/>
        </w:rPr>
        <w:t xml:space="preserve">26.03.2022 </w:t>
      </w:r>
      <w:r>
        <w:rPr>
          <w:sz w:val="28"/>
          <w:szCs w:val="28"/>
        </w:rPr>
        <w:br/>
      </w:r>
      <w:r w:rsidRPr="00516380">
        <w:rPr>
          <w:sz w:val="28"/>
          <w:szCs w:val="28"/>
        </w:rPr>
        <w:t>№ 352</w:t>
      </w:r>
      <w:r>
        <w:rPr>
          <w:sz w:val="28"/>
          <w:szCs w:val="28"/>
        </w:rPr>
        <w:t xml:space="preserve"> (далі – Порядок). </w:t>
      </w:r>
    </w:p>
    <w:p w:rsidR="00B33535" w:rsidRDefault="00B33535" w:rsidP="00B335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цьому, НКРЕКП 12.05.2023 було проведено нараду з операторами систем розподілу (протокол наради від 12.05.2023 № 37-п), на якій ліцензіатами ініційовано питання</w:t>
      </w:r>
      <w:r w:rsidRPr="007B05F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відновлення дії </w:t>
      </w:r>
      <w:r w:rsidRPr="0064449E">
        <w:rPr>
          <w:bCs/>
          <w:sz w:val="28"/>
          <w:szCs w:val="28"/>
        </w:rPr>
        <w:t xml:space="preserve">глав 4.1 </w:t>
      </w:r>
      <w:r w:rsidRPr="00180207">
        <w:rPr>
          <w:sz w:val="28"/>
          <w:szCs w:val="28"/>
        </w:rPr>
        <w:t>–</w:t>
      </w:r>
      <w:r w:rsidRPr="0064449E">
        <w:rPr>
          <w:bCs/>
          <w:sz w:val="28"/>
          <w:szCs w:val="28"/>
        </w:rPr>
        <w:t xml:space="preserve"> 4.11 розділу IV Кодексу систем розподілу</w:t>
      </w:r>
      <w:r>
        <w:rPr>
          <w:bCs/>
          <w:sz w:val="28"/>
          <w:szCs w:val="28"/>
        </w:rPr>
        <w:t xml:space="preserve"> у зв’язку із суттєвим збільшенням кількості наданих послуг із тимчасових приєднань, покращенням ситуації із забезпеченням матеріально-технічними ресурсами тощо.</w:t>
      </w:r>
    </w:p>
    <w:p w:rsidR="0029713C" w:rsidRDefault="00B33535" w:rsidP="00297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Крім того, </w:t>
      </w:r>
      <w:r w:rsidR="0029713C">
        <w:rPr>
          <w:sz w:val="28"/>
          <w:szCs w:val="28"/>
        </w:rPr>
        <w:t>23.03.2023 набрав чинності Закон України «</w:t>
      </w:r>
      <w:r w:rsidR="0029713C" w:rsidRPr="00516380">
        <w:rPr>
          <w:sz w:val="28"/>
          <w:szCs w:val="28"/>
        </w:rPr>
        <w:t xml:space="preserve">Про деякі питання використання транспортних засобів, оснащених електричними двигунами, та внесення змін до деяких законів України щодо подолання паливної залежності і розвитку </w:t>
      </w:r>
      <w:proofErr w:type="spellStart"/>
      <w:r w:rsidR="0029713C" w:rsidRPr="00516380">
        <w:rPr>
          <w:sz w:val="28"/>
          <w:szCs w:val="28"/>
        </w:rPr>
        <w:t>електрозарядної</w:t>
      </w:r>
      <w:proofErr w:type="spellEnd"/>
      <w:r w:rsidR="0029713C" w:rsidRPr="00516380">
        <w:rPr>
          <w:sz w:val="28"/>
          <w:szCs w:val="28"/>
        </w:rPr>
        <w:t xml:space="preserve"> інфраструктури та електричних транспортних засобів</w:t>
      </w:r>
      <w:r w:rsidR="0029713C">
        <w:rPr>
          <w:sz w:val="28"/>
          <w:szCs w:val="28"/>
        </w:rPr>
        <w:t xml:space="preserve">», </w:t>
      </w:r>
      <w:r w:rsidR="0029713C" w:rsidRPr="00C5438A">
        <w:rPr>
          <w:sz w:val="28"/>
          <w:szCs w:val="28"/>
        </w:rPr>
        <w:t>яким</w:t>
      </w:r>
      <w:r w:rsidR="0029713C">
        <w:rPr>
          <w:sz w:val="28"/>
          <w:szCs w:val="28"/>
        </w:rPr>
        <w:t>, у тому числі</w:t>
      </w:r>
      <w:r w:rsidR="0029713C" w:rsidRPr="00C5438A">
        <w:rPr>
          <w:sz w:val="28"/>
          <w:szCs w:val="28"/>
        </w:rPr>
        <w:t xml:space="preserve"> законодавчо врегульов</w:t>
      </w:r>
      <w:r w:rsidR="0029713C">
        <w:rPr>
          <w:sz w:val="28"/>
          <w:szCs w:val="28"/>
        </w:rPr>
        <w:t>ано питання термінології «</w:t>
      </w:r>
      <w:proofErr w:type="spellStart"/>
      <w:r w:rsidR="0029713C">
        <w:rPr>
          <w:sz w:val="28"/>
          <w:szCs w:val="28"/>
        </w:rPr>
        <w:t>електрозарядної</w:t>
      </w:r>
      <w:proofErr w:type="spellEnd"/>
      <w:r w:rsidR="0029713C">
        <w:rPr>
          <w:sz w:val="28"/>
          <w:szCs w:val="28"/>
        </w:rPr>
        <w:t xml:space="preserve"> станції», встановлення та використання </w:t>
      </w:r>
      <w:proofErr w:type="spellStart"/>
      <w:r w:rsidR="0029713C">
        <w:rPr>
          <w:sz w:val="28"/>
          <w:szCs w:val="28"/>
        </w:rPr>
        <w:t>електрозарядних</w:t>
      </w:r>
      <w:proofErr w:type="spellEnd"/>
      <w:r w:rsidR="0029713C">
        <w:rPr>
          <w:sz w:val="28"/>
          <w:szCs w:val="28"/>
        </w:rPr>
        <w:t xml:space="preserve"> станцій, спрощено процедуру приєднання до електричних мереж </w:t>
      </w:r>
      <w:proofErr w:type="spellStart"/>
      <w:r w:rsidR="0029713C">
        <w:rPr>
          <w:sz w:val="28"/>
          <w:szCs w:val="28"/>
        </w:rPr>
        <w:t>електрозарядних</w:t>
      </w:r>
      <w:proofErr w:type="spellEnd"/>
      <w:r w:rsidR="0029713C">
        <w:rPr>
          <w:sz w:val="28"/>
          <w:szCs w:val="28"/>
        </w:rPr>
        <w:t xml:space="preserve"> станцій тощо. </w:t>
      </w:r>
    </w:p>
    <w:p w:rsidR="0029713C" w:rsidRDefault="0029713C" w:rsidP="00297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180207">
        <w:rPr>
          <w:sz w:val="28"/>
          <w:szCs w:val="28"/>
        </w:rPr>
        <w:t xml:space="preserve"> зв'язку з необхідністю виконання вимог </w:t>
      </w:r>
      <w:r>
        <w:rPr>
          <w:sz w:val="28"/>
          <w:szCs w:val="28"/>
        </w:rPr>
        <w:t xml:space="preserve">зазначених вище </w:t>
      </w:r>
      <w:r w:rsidRPr="00180207">
        <w:rPr>
          <w:sz w:val="28"/>
          <w:szCs w:val="28"/>
        </w:rPr>
        <w:t>Закон</w:t>
      </w:r>
      <w:r>
        <w:rPr>
          <w:sz w:val="28"/>
          <w:szCs w:val="28"/>
        </w:rPr>
        <w:t xml:space="preserve">ів та забезпечення </w:t>
      </w:r>
      <w:r w:rsidR="00B33535">
        <w:rPr>
          <w:sz w:val="28"/>
          <w:szCs w:val="28"/>
          <w:lang w:val="en-US"/>
        </w:rPr>
        <w:t xml:space="preserve"> </w:t>
      </w:r>
      <w:r w:rsidR="00B33535">
        <w:rPr>
          <w:sz w:val="28"/>
          <w:szCs w:val="28"/>
        </w:rPr>
        <w:t xml:space="preserve">удосконалення вимог Кодексу </w:t>
      </w:r>
      <w:r w:rsidR="00B33535" w:rsidRPr="0064449E">
        <w:rPr>
          <w:bCs/>
          <w:sz w:val="28"/>
          <w:szCs w:val="28"/>
        </w:rPr>
        <w:t>систем розподілу</w:t>
      </w:r>
      <w:r w:rsidR="00B33535" w:rsidRPr="00180207">
        <w:rPr>
          <w:sz w:val="28"/>
          <w:szCs w:val="28"/>
        </w:rPr>
        <w:t xml:space="preserve"> </w:t>
      </w:r>
      <w:r w:rsidR="00B33535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відновлення дії </w:t>
      </w:r>
      <w:r w:rsidRPr="0064449E">
        <w:rPr>
          <w:bCs/>
          <w:sz w:val="28"/>
          <w:szCs w:val="28"/>
        </w:rPr>
        <w:t xml:space="preserve">глав 4.1 </w:t>
      </w:r>
      <w:r w:rsidRPr="00180207">
        <w:rPr>
          <w:sz w:val="28"/>
          <w:szCs w:val="28"/>
        </w:rPr>
        <w:t>–</w:t>
      </w:r>
      <w:r w:rsidRPr="0064449E">
        <w:rPr>
          <w:bCs/>
          <w:sz w:val="28"/>
          <w:szCs w:val="28"/>
        </w:rPr>
        <w:t xml:space="preserve"> 4.11 розділу IV Кодексу систем розподілу</w:t>
      </w:r>
      <w:r w:rsidRPr="00180207">
        <w:rPr>
          <w:sz w:val="28"/>
          <w:szCs w:val="28"/>
        </w:rPr>
        <w:t xml:space="preserve"> Регулятором розроблено проєкт постанови </w:t>
      </w:r>
      <w:r>
        <w:rPr>
          <w:bCs/>
          <w:sz w:val="28"/>
          <w:szCs w:val="28"/>
        </w:rPr>
        <w:t>«</w:t>
      </w:r>
      <w:r w:rsidRPr="00E12B7D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</w:rPr>
        <w:t>затвердження</w:t>
      </w:r>
      <w:r w:rsidRPr="00E12B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Pr="00E12B7D">
        <w:rPr>
          <w:bCs/>
          <w:sz w:val="28"/>
          <w:szCs w:val="28"/>
        </w:rPr>
        <w:t>мін до Кодексу систем розподілу</w:t>
      </w:r>
      <w:r>
        <w:rPr>
          <w:bCs/>
          <w:sz w:val="28"/>
          <w:szCs w:val="28"/>
        </w:rPr>
        <w:t xml:space="preserve">» </w:t>
      </w:r>
      <w:r w:rsidRPr="00180207">
        <w:rPr>
          <w:sz w:val="28"/>
          <w:szCs w:val="28"/>
        </w:rPr>
        <w:t>(далі – Проєкт постанови).</w:t>
      </w:r>
    </w:p>
    <w:p w:rsidR="0029713C" w:rsidRDefault="0029713C" w:rsidP="00B335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Зазначаємо, що </w:t>
      </w:r>
      <w:proofErr w:type="spellStart"/>
      <w:r>
        <w:rPr>
          <w:bCs/>
          <w:sz w:val="28"/>
          <w:szCs w:val="28"/>
        </w:rPr>
        <w:t>Проєкт</w:t>
      </w:r>
      <w:r w:rsidR="00B33535">
        <w:rPr>
          <w:bCs/>
          <w:sz w:val="28"/>
          <w:szCs w:val="28"/>
        </w:rPr>
        <w:t>ом</w:t>
      </w:r>
      <w:proofErr w:type="spellEnd"/>
      <w:r>
        <w:rPr>
          <w:bCs/>
          <w:sz w:val="28"/>
          <w:szCs w:val="28"/>
        </w:rPr>
        <w:t xml:space="preserve"> постанови: </w:t>
      </w:r>
    </w:p>
    <w:p w:rsidR="0029713C" w:rsidRDefault="0029713C" w:rsidP="00B33535">
      <w:pPr>
        <w:ind w:firstLine="709"/>
        <w:jc w:val="both"/>
        <w:rPr>
          <w:bCs/>
          <w:sz w:val="28"/>
          <w:szCs w:val="28"/>
        </w:rPr>
      </w:pPr>
      <w:r w:rsidRPr="00EA0B1B">
        <w:rPr>
          <w:bCs/>
          <w:sz w:val="28"/>
          <w:szCs w:val="28"/>
        </w:rPr>
        <w:t xml:space="preserve">врегульовується питання приєднання до електричних мереж </w:t>
      </w:r>
      <w:proofErr w:type="spellStart"/>
      <w:r w:rsidRPr="00EA0B1B">
        <w:rPr>
          <w:bCs/>
          <w:sz w:val="28"/>
          <w:szCs w:val="28"/>
        </w:rPr>
        <w:t>електрозарядних</w:t>
      </w:r>
      <w:proofErr w:type="spellEnd"/>
      <w:r w:rsidRPr="00EA0B1B">
        <w:rPr>
          <w:bCs/>
          <w:sz w:val="28"/>
          <w:szCs w:val="28"/>
        </w:rPr>
        <w:t xml:space="preserve"> станцій</w:t>
      </w:r>
      <w:r>
        <w:rPr>
          <w:bCs/>
          <w:sz w:val="28"/>
          <w:szCs w:val="28"/>
        </w:rPr>
        <w:t>;</w:t>
      </w:r>
    </w:p>
    <w:p w:rsidR="0029713C" w:rsidRPr="00FE4B7C" w:rsidRDefault="0029713C" w:rsidP="00B335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надається право замовнику </w:t>
      </w:r>
      <w:r w:rsidRPr="00516380">
        <w:rPr>
          <w:sz w:val="28"/>
          <w:szCs w:val="28"/>
        </w:rPr>
        <w:t>послуги з нестандартного приєднання на період дії воєнного стану в Україні та протягом одного року після його припинення чи скасування, бути замовником робіт з проектування електричних мереж лінійної частини приєднання, будівельно-монтажних та пусконалагоджувальних робіт</w:t>
      </w:r>
      <w:r>
        <w:rPr>
          <w:sz w:val="28"/>
          <w:szCs w:val="28"/>
        </w:rPr>
        <w:t>;</w:t>
      </w:r>
    </w:p>
    <w:p w:rsidR="0029713C" w:rsidRDefault="0029713C" w:rsidP="00B335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удосконалюється механізм надання послуг зі стандартного приєднання при необхідності здійснення заходів із землевідведення;</w:t>
      </w:r>
    </w:p>
    <w:p w:rsidR="00B33535" w:rsidRDefault="0029713C" w:rsidP="00B335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удосконалюється механізм визначення лінійної частини приєднання</w:t>
      </w:r>
      <w:r w:rsidR="00B33535">
        <w:rPr>
          <w:bCs/>
          <w:sz w:val="28"/>
          <w:szCs w:val="28"/>
        </w:rPr>
        <w:t>;</w:t>
      </w:r>
    </w:p>
    <w:p w:rsidR="0029713C" w:rsidRPr="00EA0B1B" w:rsidRDefault="00B33535" w:rsidP="00B33535">
      <w:pPr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4"/>
        </w:rPr>
        <w:t>врегул</w:t>
      </w:r>
      <w:r>
        <w:rPr>
          <w:color w:val="000000"/>
          <w:sz w:val="28"/>
          <w:szCs w:val="24"/>
        </w:rPr>
        <w:t xml:space="preserve">ьовуються </w:t>
      </w:r>
      <w:r>
        <w:rPr>
          <w:color w:val="000000"/>
          <w:sz w:val="28"/>
          <w:szCs w:val="24"/>
        </w:rPr>
        <w:t>питан</w:t>
      </w:r>
      <w:r>
        <w:rPr>
          <w:color w:val="000000"/>
          <w:sz w:val="28"/>
          <w:szCs w:val="24"/>
        </w:rPr>
        <w:t>ня</w:t>
      </w:r>
      <w:r>
        <w:rPr>
          <w:color w:val="000000"/>
          <w:sz w:val="28"/>
          <w:szCs w:val="24"/>
        </w:rPr>
        <w:t xml:space="preserve"> надання послуг з приєднання згідно з вимогами Кодексу систем розподілу в умовах дії воєнного тану</w:t>
      </w:r>
      <w:r w:rsidRPr="006531D4">
        <w:rPr>
          <w:color w:val="000000"/>
          <w:sz w:val="28"/>
          <w:szCs w:val="24"/>
        </w:rPr>
        <w:t xml:space="preserve"> тощо</w:t>
      </w:r>
      <w:r w:rsidR="0029713C">
        <w:rPr>
          <w:bCs/>
          <w:sz w:val="28"/>
          <w:szCs w:val="28"/>
        </w:rPr>
        <w:t xml:space="preserve">. </w:t>
      </w:r>
    </w:p>
    <w:p w:rsidR="00B33535" w:rsidRDefault="00B33535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>
        <w:rPr>
          <w:sz w:val="28"/>
          <w:szCs w:val="28"/>
        </w:rPr>
        <w:t>:</w:t>
      </w:r>
    </w:p>
    <w:p w:rsidR="00B33535" w:rsidRDefault="00B33535" w:rsidP="00B33535">
      <w:pPr>
        <w:ind w:firstLine="709"/>
        <w:jc w:val="both"/>
        <w:rPr>
          <w:bCs/>
          <w:sz w:val="28"/>
          <w:szCs w:val="28"/>
        </w:rPr>
      </w:pPr>
      <w:r w:rsidRPr="00EA0B1B">
        <w:rPr>
          <w:bCs/>
          <w:sz w:val="28"/>
          <w:szCs w:val="28"/>
        </w:rPr>
        <w:t>врегул</w:t>
      </w:r>
      <w:r>
        <w:rPr>
          <w:bCs/>
          <w:sz w:val="28"/>
          <w:szCs w:val="28"/>
        </w:rPr>
        <w:t>ювання</w:t>
      </w:r>
      <w:r w:rsidRPr="00EA0B1B">
        <w:rPr>
          <w:bCs/>
          <w:sz w:val="28"/>
          <w:szCs w:val="28"/>
        </w:rPr>
        <w:t xml:space="preserve"> питан</w:t>
      </w:r>
      <w:r>
        <w:rPr>
          <w:bCs/>
          <w:sz w:val="28"/>
          <w:szCs w:val="28"/>
        </w:rPr>
        <w:t>ь</w:t>
      </w:r>
      <w:r w:rsidRPr="00EA0B1B">
        <w:rPr>
          <w:bCs/>
          <w:sz w:val="28"/>
          <w:szCs w:val="28"/>
        </w:rPr>
        <w:t xml:space="preserve"> приєднання до електричних мереж </w:t>
      </w:r>
      <w:proofErr w:type="spellStart"/>
      <w:r w:rsidRPr="00EA0B1B">
        <w:rPr>
          <w:bCs/>
          <w:sz w:val="28"/>
          <w:szCs w:val="28"/>
        </w:rPr>
        <w:t>електрозарядних</w:t>
      </w:r>
      <w:proofErr w:type="spellEnd"/>
      <w:r w:rsidRPr="00EA0B1B">
        <w:rPr>
          <w:bCs/>
          <w:sz w:val="28"/>
          <w:szCs w:val="28"/>
        </w:rPr>
        <w:t xml:space="preserve"> станцій</w:t>
      </w:r>
      <w:r>
        <w:rPr>
          <w:bCs/>
          <w:sz w:val="28"/>
          <w:szCs w:val="28"/>
        </w:rPr>
        <w:t>;</w:t>
      </w:r>
    </w:p>
    <w:p w:rsidR="00B33535" w:rsidRPr="00FE4B7C" w:rsidRDefault="00B33535" w:rsidP="00B335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нада</w:t>
      </w:r>
      <w:r>
        <w:rPr>
          <w:bCs/>
          <w:sz w:val="28"/>
          <w:szCs w:val="28"/>
        </w:rPr>
        <w:t>ння</w:t>
      </w:r>
      <w:r>
        <w:rPr>
          <w:bCs/>
          <w:sz w:val="28"/>
          <w:szCs w:val="28"/>
        </w:rPr>
        <w:t xml:space="preserve"> прав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замовнику </w:t>
      </w:r>
      <w:r w:rsidRPr="00516380">
        <w:rPr>
          <w:sz w:val="28"/>
          <w:szCs w:val="28"/>
        </w:rPr>
        <w:t>послуги з нестандартного приєднання на період дії воєнного стану в Україні та протягом одного року після його припинення чи скасування, бути замовником робіт з проектування електричних мереж лінійної частини приєднання, будівельно-монтажних та пусконалагоджувальних робіт</w:t>
      </w:r>
      <w:r>
        <w:rPr>
          <w:sz w:val="28"/>
          <w:szCs w:val="28"/>
        </w:rPr>
        <w:t>;</w:t>
      </w:r>
    </w:p>
    <w:p w:rsidR="00B33535" w:rsidRDefault="00B33535" w:rsidP="00B335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удосконал</w:t>
      </w:r>
      <w:r>
        <w:rPr>
          <w:bCs/>
          <w:sz w:val="28"/>
          <w:szCs w:val="28"/>
        </w:rPr>
        <w:t>ення</w:t>
      </w:r>
      <w:r>
        <w:rPr>
          <w:bCs/>
          <w:sz w:val="28"/>
          <w:szCs w:val="28"/>
        </w:rPr>
        <w:t xml:space="preserve"> механізм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надання послуг зі стандартного приєднання при необхідності здійснення заходів із землевідведення;</w:t>
      </w:r>
    </w:p>
    <w:p w:rsidR="00B33535" w:rsidRDefault="00B33535" w:rsidP="00B335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удосконал</w:t>
      </w:r>
      <w:r>
        <w:rPr>
          <w:bCs/>
          <w:sz w:val="28"/>
          <w:szCs w:val="28"/>
        </w:rPr>
        <w:t>ення</w:t>
      </w:r>
      <w:r>
        <w:rPr>
          <w:bCs/>
          <w:sz w:val="28"/>
          <w:szCs w:val="28"/>
        </w:rPr>
        <w:t xml:space="preserve"> механізм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визначення лінійної частини приєднання;</w:t>
      </w:r>
    </w:p>
    <w:p w:rsidR="00B33535" w:rsidRPr="00EA0B1B" w:rsidRDefault="00B33535" w:rsidP="00B33535">
      <w:pPr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4"/>
        </w:rPr>
        <w:t>врегул</w:t>
      </w:r>
      <w:r>
        <w:rPr>
          <w:color w:val="000000"/>
          <w:sz w:val="28"/>
          <w:szCs w:val="24"/>
        </w:rPr>
        <w:t>ювання</w:t>
      </w:r>
      <w:r>
        <w:rPr>
          <w:color w:val="000000"/>
          <w:sz w:val="28"/>
          <w:szCs w:val="24"/>
        </w:rPr>
        <w:t xml:space="preserve"> питання надання послуг з приєднання згідно з вимогами Кодексу систем розподілу в умовах дії воєнного тану</w:t>
      </w:r>
      <w:r w:rsidRPr="006531D4">
        <w:rPr>
          <w:color w:val="000000"/>
          <w:sz w:val="28"/>
          <w:szCs w:val="24"/>
        </w:rPr>
        <w:t xml:space="preserve"> тощо</w:t>
      </w:r>
      <w:r>
        <w:rPr>
          <w:bCs/>
          <w:sz w:val="28"/>
          <w:szCs w:val="28"/>
        </w:rPr>
        <w:t xml:space="preserve">. </w:t>
      </w:r>
    </w:p>
    <w:p w:rsidR="00C70CCC" w:rsidRDefault="00C70CCC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B10C52" w:rsidRDefault="00B10C52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B10C52" w:rsidRDefault="00B10C52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B10C52" w:rsidRDefault="00B10C52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B10C52" w:rsidRDefault="00B10C52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B10C52" w:rsidRDefault="00B10C52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B10C52" w:rsidRPr="00360B02" w:rsidRDefault="00B10C52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lastRenderedPageBreak/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B10C52" w:rsidRPr="00B10C52" w:rsidRDefault="00C70CCC" w:rsidP="00B10C52">
            <w:pPr>
              <w:jc w:val="both"/>
              <w:rPr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>Невідповідність нормативно-правової бази НКРЕКП Закону України «</w:t>
            </w:r>
            <w:r w:rsidR="00B10C52" w:rsidRPr="00B10C52">
              <w:rPr>
                <w:sz w:val="24"/>
                <w:szCs w:val="24"/>
              </w:rPr>
              <w:t>Про внесення змін до деяких законодавчих актів України щодо забезпечення вимог цивільного захисту під час планування та забудови територій</w:t>
            </w:r>
            <w:r w:rsidR="00B10C52" w:rsidRPr="00B10C52">
              <w:rPr>
                <w:sz w:val="24"/>
                <w:szCs w:val="24"/>
              </w:rPr>
              <w:t>» та Закону України «</w:t>
            </w:r>
            <w:r w:rsidR="00B10C52" w:rsidRPr="00B10C52">
              <w:rPr>
                <w:sz w:val="24"/>
                <w:szCs w:val="24"/>
              </w:rPr>
              <w:t xml:space="preserve">Про деякі питання використання транспортних засобів, оснащених електричними двигунами, та внесення змін до деяких законів України щодо подолання паливної залежності і розвитку </w:t>
            </w:r>
            <w:proofErr w:type="spellStart"/>
            <w:r w:rsidR="00B10C52" w:rsidRPr="00B10C52">
              <w:rPr>
                <w:sz w:val="24"/>
                <w:szCs w:val="24"/>
              </w:rPr>
              <w:t>електрозарядної</w:t>
            </w:r>
            <w:proofErr w:type="spellEnd"/>
            <w:r w:rsidR="00B10C52" w:rsidRPr="00B10C52">
              <w:rPr>
                <w:sz w:val="24"/>
                <w:szCs w:val="24"/>
              </w:rPr>
              <w:t xml:space="preserve"> інфраструктури та електричних транспортних засобів»</w:t>
            </w:r>
            <w:r w:rsidR="00B10C52" w:rsidRPr="00B10C52">
              <w:rPr>
                <w:sz w:val="24"/>
                <w:szCs w:val="24"/>
              </w:rPr>
              <w:t xml:space="preserve">. </w:t>
            </w:r>
          </w:p>
          <w:p w:rsidR="0056405F" w:rsidRPr="00B10C52" w:rsidRDefault="00C70CCC" w:rsidP="00B10C52">
            <w:pPr>
              <w:jc w:val="both"/>
              <w:rPr>
                <w:bCs/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 xml:space="preserve">Відсутність </w:t>
            </w:r>
            <w:r w:rsidR="004D6FC1" w:rsidRPr="00B10C52">
              <w:rPr>
                <w:sz w:val="24"/>
                <w:szCs w:val="24"/>
              </w:rPr>
              <w:t xml:space="preserve">особливостей приєднання </w:t>
            </w:r>
            <w:proofErr w:type="spellStart"/>
            <w:r w:rsidR="004D6FC1" w:rsidRPr="00B10C52">
              <w:rPr>
                <w:sz w:val="24"/>
                <w:szCs w:val="24"/>
              </w:rPr>
              <w:t>електрозарядних</w:t>
            </w:r>
            <w:proofErr w:type="spellEnd"/>
            <w:r w:rsidR="004D6FC1" w:rsidRPr="00B10C52">
              <w:rPr>
                <w:sz w:val="24"/>
                <w:szCs w:val="24"/>
              </w:rPr>
              <w:t xml:space="preserve"> станцій для зарядки електромобілів</w:t>
            </w:r>
            <w:r w:rsidR="00B10C52">
              <w:rPr>
                <w:sz w:val="24"/>
                <w:szCs w:val="24"/>
              </w:rPr>
              <w:t xml:space="preserve">, не реалізоване право </w:t>
            </w:r>
            <w:r w:rsidR="00B10C52" w:rsidRPr="00B10C52">
              <w:rPr>
                <w:bCs/>
                <w:sz w:val="24"/>
                <w:szCs w:val="24"/>
              </w:rPr>
              <w:t xml:space="preserve">замовнику </w:t>
            </w:r>
            <w:r w:rsidR="00B10C52" w:rsidRPr="00B10C52">
              <w:rPr>
                <w:sz w:val="24"/>
                <w:szCs w:val="24"/>
              </w:rPr>
              <w:t>послуги з нестандартного приєднання на період дії воєнного стану в Україні та протягом одного року після його припинення чи скасування, бути замовником робіт з проектування електричних мереж лінійної частини приєднання, будівельно-монтажних та пусконалагоджувальних робіт</w:t>
            </w:r>
            <w:r w:rsidR="00B10C52">
              <w:rPr>
                <w:sz w:val="24"/>
                <w:szCs w:val="24"/>
              </w:rPr>
              <w:t xml:space="preserve"> тощо. </w:t>
            </w:r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7B0968" w:rsidRPr="00B10C52" w:rsidRDefault="00BB3BAC" w:rsidP="007B0968">
            <w:pPr>
              <w:pStyle w:val="3"/>
              <w:ind w:left="55"/>
              <w:jc w:val="both"/>
              <w:rPr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 xml:space="preserve">Приведення нормативно-правової бази НКРЕКП у відповідність до вимог законодавства. </w:t>
            </w:r>
            <w:r w:rsidR="007B0968">
              <w:rPr>
                <w:sz w:val="24"/>
                <w:szCs w:val="24"/>
              </w:rPr>
              <w:t>В</w:t>
            </w:r>
            <w:r w:rsidR="007B0968" w:rsidRPr="007B0968">
              <w:rPr>
                <w:sz w:val="24"/>
                <w:szCs w:val="24"/>
              </w:rPr>
              <w:t xml:space="preserve">регулювання питань приєднання до електричних мереж </w:t>
            </w:r>
            <w:proofErr w:type="spellStart"/>
            <w:r w:rsidR="007B0968" w:rsidRPr="007B0968">
              <w:rPr>
                <w:sz w:val="24"/>
                <w:szCs w:val="24"/>
              </w:rPr>
              <w:t>електрозарядних</w:t>
            </w:r>
            <w:proofErr w:type="spellEnd"/>
            <w:r w:rsidR="007B0968" w:rsidRPr="007B0968">
              <w:rPr>
                <w:sz w:val="24"/>
                <w:szCs w:val="24"/>
              </w:rPr>
              <w:t xml:space="preserve"> станцій</w:t>
            </w:r>
            <w:r w:rsidR="007B0968">
              <w:rPr>
                <w:sz w:val="24"/>
                <w:szCs w:val="24"/>
              </w:rPr>
              <w:t xml:space="preserve">, </w:t>
            </w:r>
            <w:r w:rsidR="007B0968" w:rsidRPr="007B0968">
              <w:rPr>
                <w:sz w:val="24"/>
                <w:szCs w:val="24"/>
              </w:rPr>
              <w:t>надання права замовнику послуги з нестандартного приєднання на період дії воєнного стану в Україні та протягом одного року після його припинення чи скасування, бути замовником робіт з проектування електричних мереж лінійної частини приєднання, будівельно-монтажних та пусконалагоджувальних робіт</w:t>
            </w:r>
            <w:r w:rsidR="007B0968">
              <w:rPr>
                <w:sz w:val="24"/>
                <w:szCs w:val="24"/>
              </w:rPr>
              <w:t xml:space="preserve">, </w:t>
            </w:r>
            <w:r w:rsidR="007B0968" w:rsidRPr="007B0968">
              <w:rPr>
                <w:sz w:val="24"/>
                <w:szCs w:val="24"/>
              </w:rPr>
              <w:t>удосконалення механізму надання послуг зі стандартного приєднання при необхідності здійснення заходів із землевідведення</w:t>
            </w:r>
            <w:r w:rsidR="007B0968">
              <w:rPr>
                <w:sz w:val="24"/>
                <w:szCs w:val="24"/>
              </w:rPr>
              <w:t xml:space="preserve">, </w:t>
            </w:r>
            <w:r w:rsidR="007B0968" w:rsidRPr="007B0968">
              <w:rPr>
                <w:sz w:val="24"/>
                <w:szCs w:val="24"/>
              </w:rPr>
              <w:t>удосконалення механізму визначення лінійної частини приєднання</w:t>
            </w:r>
            <w:r w:rsidR="007B0968">
              <w:rPr>
                <w:sz w:val="24"/>
                <w:szCs w:val="24"/>
              </w:rPr>
              <w:t xml:space="preserve">, </w:t>
            </w:r>
            <w:r w:rsidR="007B0968" w:rsidRPr="007B0968">
              <w:rPr>
                <w:sz w:val="24"/>
                <w:szCs w:val="24"/>
              </w:rPr>
              <w:t>врегулювання питання надання послуг з приєднання згідно з вимогами Кодексу систем розподілу в умовах дії воєнного тану тощо.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1"/>
        <w:gridCol w:w="3222"/>
        <w:gridCol w:w="3363"/>
      </w:tblGrid>
      <w:tr w:rsidR="0056405F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F91308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EA6575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EA6575">
              <w:rPr>
                <w:szCs w:val="28"/>
              </w:rPr>
              <w:t xml:space="preserve">Невідповідність нормативно-правової бази НКРЕКП </w:t>
            </w:r>
            <w:r w:rsidR="00800004" w:rsidRPr="00800004">
              <w:rPr>
                <w:szCs w:val="28"/>
              </w:rPr>
              <w:t xml:space="preserve">Закону України «Про внесення змін до деяких законодавчих актів України щодо забезпечення вимог цивільного захисту під час планування та забудови територій» та Закону України «Про деякі питання використання транспортних </w:t>
            </w:r>
            <w:r w:rsidR="00800004" w:rsidRPr="00800004">
              <w:rPr>
                <w:szCs w:val="28"/>
              </w:rPr>
              <w:lastRenderedPageBreak/>
              <w:t xml:space="preserve">засобів, оснащених електричними двигунами, та внесення змін до деяких законів України щодо подолання паливної залежності і розвитку </w:t>
            </w:r>
            <w:proofErr w:type="spellStart"/>
            <w:r w:rsidR="00800004" w:rsidRPr="00800004">
              <w:rPr>
                <w:szCs w:val="28"/>
              </w:rPr>
              <w:t>електрозарядної</w:t>
            </w:r>
            <w:proofErr w:type="spellEnd"/>
            <w:r w:rsidR="00800004" w:rsidRPr="00800004">
              <w:rPr>
                <w:szCs w:val="28"/>
              </w:rPr>
              <w:t xml:space="preserve"> інфраструктури та електричних транспортних засобів»</w:t>
            </w:r>
          </w:p>
        </w:tc>
      </w:tr>
      <w:tr w:rsidR="0056405F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56405F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A6575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  <w:p w:rsidR="00EA6575" w:rsidRPr="00834436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Залучення інвестицій.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EA6575" w:rsidRPr="00800004" w:rsidRDefault="00EA6575" w:rsidP="00800004">
            <w:pPr>
              <w:pStyle w:val="2"/>
              <w:spacing w:after="0" w:line="240" w:lineRule="auto"/>
              <w:jc w:val="both"/>
            </w:pPr>
            <w:r w:rsidRPr="00800004">
              <w:t xml:space="preserve">1. </w:t>
            </w:r>
            <w:r w:rsidR="00800004" w:rsidRPr="00800004">
              <w:t>Відсутність термінології «</w:t>
            </w:r>
            <w:proofErr w:type="spellStart"/>
            <w:r w:rsidR="00800004" w:rsidRPr="00800004">
              <w:t>електрозарядна</w:t>
            </w:r>
            <w:proofErr w:type="spellEnd"/>
            <w:r w:rsidR="00800004" w:rsidRPr="00800004">
              <w:t xml:space="preserve"> станція»</w:t>
            </w:r>
            <w:r w:rsidRPr="00800004">
              <w:t>.</w:t>
            </w:r>
          </w:p>
          <w:p w:rsidR="0056405F" w:rsidRPr="00800004" w:rsidRDefault="00EA6575" w:rsidP="00800004">
            <w:pPr>
              <w:pStyle w:val="2"/>
              <w:spacing w:after="0" w:line="240" w:lineRule="auto"/>
              <w:jc w:val="both"/>
              <w:rPr>
                <w:bCs/>
              </w:rPr>
            </w:pPr>
            <w:r w:rsidRPr="00800004">
              <w:t xml:space="preserve">2. </w:t>
            </w:r>
            <w:r w:rsidR="00800004" w:rsidRPr="00800004">
              <w:t xml:space="preserve">Не досконалий </w:t>
            </w:r>
            <w:r w:rsidR="00800004" w:rsidRPr="00800004">
              <w:rPr>
                <w:bCs/>
              </w:rPr>
              <w:t>механізм визначення лінійної частини приєднання</w:t>
            </w:r>
            <w:r w:rsidR="00800004" w:rsidRPr="00800004">
              <w:rPr>
                <w:bCs/>
              </w:rPr>
              <w:t>.</w:t>
            </w:r>
          </w:p>
          <w:p w:rsidR="00800004" w:rsidRPr="00800004" w:rsidRDefault="00800004" w:rsidP="00800004">
            <w:pPr>
              <w:pStyle w:val="2"/>
              <w:spacing w:after="0" w:line="240" w:lineRule="auto"/>
              <w:jc w:val="both"/>
            </w:pPr>
            <w:r w:rsidRPr="00800004">
              <w:t>3. Не досконалий механізм надання послуг зі стандартного приєднання при необхідності здійснення заходів із землевідведення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EA6575" w:rsidRDefault="00EA6575" w:rsidP="00F91308">
            <w:pPr>
              <w:pStyle w:val="2"/>
              <w:spacing w:after="0" w:line="240" w:lineRule="auto"/>
              <w:jc w:val="both"/>
            </w:pPr>
            <w:r>
              <w:t>1. Визначення</w:t>
            </w:r>
            <w:r w:rsidRPr="00BB3BAC">
              <w:t xml:space="preserve"> </w:t>
            </w:r>
            <w:r w:rsidR="00BC4B32">
              <w:t xml:space="preserve">Кодексом систем розподілу </w:t>
            </w:r>
            <w:r w:rsidRPr="00BB3BAC">
              <w:t xml:space="preserve">процедури приєднання </w:t>
            </w:r>
            <w:proofErr w:type="spellStart"/>
            <w:r w:rsidR="00800004">
              <w:t>електрозарядних</w:t>
            </w:r>
            <w:proofErr w:type="spellEnd"/>
            <w:r w:rsidR="00800004">
              <w:t xml:space="preserve"> станцій, визначення термінології «</w:t>
            </w:r>
            <w:proofErr w:type="spellStart"/>
            <w:r w:rsidR="00800004">
              <w:t>електрозарядна</w:t>
            </w:r>
            <w:proofErr w:type="spellEnd"/>
            <w:r w:rsidR="00800004">
              <w:t xml:space="preserve"> станція»</w:t>
            </w:r>
            <w:r w:rsidRPr="00BB3BAC">
              <w:t>.</w:t>
            </w:r>
          </w:p>
          <w:p w:rsidR="00DB10AE" w:rsidRDefault="00EA6575" w:rsidP="00F91308">
            <w:pPr>
              <w:pStyle w:val="2"/>
              <w:spacing w:after="0" w:line="240" w:lineRule="auto"/>
              <w:jc w:val="both"/>
            </w:pPr>
            <w:r>
              <w:t xml:space="preserve">2. </w:t>
            </w:r>
            <w:r w:rsidR="002069AF">
              <w:t>Забезпечення належної реалізації</w:t>
            </w:r>
            <w:r w:rsidR="00DB10AE">
              <w:t xml:space="preserve"> законних інтересів, прав та свобод громадян (населення).</w:t>
            </w:r>
          </w:p>
          <w:p w:rsidR="00014092" w:rsidRPr="00DB10AE" w:rsidRDefault="00014092" w:rsidP="00F91308">
            <w:pPr>
              <w:pStyle w:val="2"/>
              <w:spacing w:after="0" w:line="240" w:lineRule="auto"/>
              <w:jc w:val="both"/>
            </w:pPr>
            <w:r>
              <w:t>3. Удосконалення порядку приєднання до електричних мереж систем розподілу.</w:t>
            </w:r>
          </w:p>
        </w:tc>
        <w:tc>
          <w:tcPr>
            <w:tcW w:w="3538" w:type="dxa"/>
            <w:shd w:val="clear" w:color="auto" w:fill="auto"/>
          </w:tcPr>
          <w:p w:rsidR="0056405F" w:rsidRPr="00800004" w:rsidRDefault="0056405F" w:rsidP="00800004">
            <w:pPr>
              <w:pStyle w:val="2"/>
              <w:spacing w:after="0" w:line="240" w:lineRule="auto"/>
              <w:jc w:val="both"/>
            </w:pPr>
            <w:r w:rsidRPr="00800004"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800004" w:rsidRDefault="00EA6575" w:rsidP="00EA6575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EA6575">
              <w:rPr>
                <w:szCs w:val="28"/>
              </w:rPr>
              <w:t xml:space="preserve">1. </w:t>
            </w:r>
            <w:r w:rsidR="00800004">
              <w:rPr>
                <w:szCs w:val="28"/>
              </w:rPr>
              <w:t xml:space="preserve">Не реалізоване </w:t>
            </w:r>
            <w:r w:rsidR="00800004" w:rsidRPr="00800004">
              <w:rPr>
                <w:szCs w:val="28"/>
              </w:rPr>
              <w:t>право замовник</w:t>
            </w:r>
            <w:r w:rsidR="00800004">
              <w:rPr>
                <w:szCs w:val="28"/>
              </w:rPr>
              <w:t>а</w:t>
            </w:r>
            <w:r w:rsidR="00800004" w:rsidRPr="00800004">
              <w:rPr>
                <w:szCs w:val="28"/>
              </w:rPr>
              <w:t xml:space="preserve"> послуги з нестандартного приєднання на період дії воєнного стану в Україні та протягом одного року </w:t>
            </w:r>
            <w:r w:rsidR="00800004" w:rsidRPr="00800004">
              <w:rPr>
                <w:szCs w:val="28"/>
              </w:rPr>
              <w:lastRenderedPageBreak/>
              <w:t>після його припинення чи скасування, бути замовником робіт з проектування електричних мереж лінійної частини приєднання, будівельно-монтажних та пусконалагоджувальних робіт</w:t>
            </w:r>
            <w:r w:rsidR="00800004">
              <w:rPr>
                <w:szCs w:val="28"/>
              </w:rPr>
              <w:t>.</w:t>
            </w:r>
          </w:p>
          <w:p w:rsidR="00407C41" w:rsidRDefault="009A4041" w:rsidP="00EA6575">
            <w:pPr>
              <w:pStyle w:val="2"/>
              <w:spacing w:after="0" w:line="240" w:lineRule="auto"/>
              <w:jc w:val="both"/>
            </w:pPr>
            <w:r>
              <w:t>2</w:t>
            </w:r>
            <w:r w:rsidR="00407C41">
              <w:t xml:space="preserve">. Відсутність визначених </w:t>
            </w:r>
            <w:r w:rsidR="00407C41" w:rsidRPr="00407C41">
              <w:t xml:space="preserve">особливостей приєднання </w:t>
            </w:r>
            <w:proofErr w:type="spellStart"/>
            <w:r w:rsidR="00407C41" w:rsidRPr="00407C41">
              <w:t>електрозарядних</w:t>
            </w:r>
            <w:proofErr w:type="spellEnd"/>
            <w:r w:rsidR="00407C41" w:rsidRPr="00407C41">
              <w:t xml:space="preserve"> станцій для зарядки електромобілів</w:t>
            </w:r>
            <w:r w:rsidR="00407C41">
              <w:t>.</w:t>
            </w:r>
          </w:p>
          <w:p w:rsidR="009A4041" w:rsidRPr="00FF5A58" w:rsidRDefault="009A4041" w:rsidP="00EA6575">
            <w:pPr>
              <w:pStyle w:val="2"/>
              <w:spacing w:after="0" w:line="240" w:lineRule="auto"/>
              <w:jc w:val="both"/>
            </w:pPr>
            <w:r>
              <w:t xml:space="preserve">3. Не досконалий механізм </w:t>
            </w:r>
            <w:r w:rsidRPr="009A4041">
              <w:t>визначення лінійної частини приєднання</w:t>
            </w:r>
            <w:r>
              <w:t>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9A4041" w:rsidRPr="009A4041" w:rsidRDefault="00014092" w:rsidP="009A4041">
            <w:pPr>
              <w:pStyle w:val="2"/>
              <w:spacing w:after="0" w:line="240" w:lineRule="auto"/>
              <w:jc w:val="both"/>
            </w:pPr>
            <w:r w:rsidRPr="00014092">
              <w:t xml:space="preserve">1. </w:t>
            </w:r>
            <w:r w:rsidR="009A4041">
              <w:t>Р</w:t>
            </w:r>
            <w:r w:rsidR="009A4041">
              <w:rPr>
                <w:szCs w:val="28"/>
              </w:rPr>
              <w:t>еаліз</w:t>
            </w:r>
            <w:r w:rsidR="009A4041">
              <w:rPr>
                <w:szCs w:val="28"/>
              </w:rPr>
              <w:t>ація</w:t>
            </w:r>
            <w:r w:rsidR="009A4041">
              <w:rPr>
                <w:szCs w:val="28"/>
              </w:rPr>
              <w:t xml:space="preserve"> </w:t>
            </w:r>
            <w:r w:rsidR="009A4041" w:rsidRPr="00800004">
              <w:rPr>
                <w:szCs w:val="28"/>
              </w:rPr>
              <w:t>прав</w:t>
            </w:r>
            <w:r w:rsidR="009A4041">
              <w:rPr>
                <w:szCs w:val="28"/>
              </w:rPr>
              <w:t>а</w:t>
            </w:r>
            <w:r w:rsidR="009A4041" w:rsidRPr="00800004">
              <w:rPr>
                <w:szCs w:val="28"/>
              </w:rPr>
              <w:t xml:space="preserve"> замовник</w:t>
            </w:r>
            <w:r w:rsidR="009A4041">
              <w:rPr>
                <w:szCs w:val="28"/>
              </w:rPr>
              <w:t>а</w:t>
            </w:r>
            <w:r w:rsidR="009A4041" w:rsidRPr="00800004">
              <w:rPr>
                <w:szCs w:val="28"/>
              </w:rPr>
              <w:t xml:space="preserve"> послуги з нестандартного приєднання на період дії воєнного стану в Україні та протягом одного року після його припинення чи скасування, бути замовником робіт з </w:t>
            </w:r>
            <w:r w:rsidR="009A4041" w:rsidRPr="009A4041">
              <w:t>проектування електричних мереж лінійної частини приєднання, будівельно-монтажних та пусконалагоджувальних робіт.</w:t>
            </w:r>
          </w:p>
          <w:p w:rsidR="009A4041" w:rsidRPr="009A4041" w:rsidRDefault="009A4041" w:rsidP="009A4041">
            <w:pPr>
              <w:pStyle w:val="2"/>
              <w:spacing w:after="0" w:line="240" w:lineRule="auto"/>
              <w:jc w:val="both"/>
            </w:pPr>
            <w:r w:rsidRPr="009A4041">
              <w:t xml:space="preserve">2. </w:t>
            </w:r>
            <w:r w:rsidRPr="009A4041">
              <w:t>В</w:t>
            </w:r>
            <w:r w:rsidRPr="009A4041">
              <w:t>изначен</w:t>
            </w:r>
            <w:r w:rsidRPr="009A4041">
              <w:t>ня</w:t>
            </w:r>
            <w:r w:rsidRPr="009A4041">
              <w:t xml:space="preserve"> особливостей приєднання </w:t>
            </w:r>
            <w:proofErr w:type="spellStart"/>
            <w:r w:rsidRPr="009A4041">
              <w:t>електрозарядних</w:t>
            </w:r>
            <w:proofErr w:type="spellEnd"/>
            <w:r w:rsidRPr="009A4041">
              <w:t xml:space="preserve"> станцій для зарядки електромобілів.</w:t>
            </w:r>
          </w:p>
          <w:p w:rsidR="0056405F" w:rsidRPr="00DB10AE" w:rsidRDefault="009A4041" w:rsidP="009A4041">
            <w:pPr>
              <w:jc w:val="both"/>
              <w:rPr>
                <w:sz w:val="24"/>
                <w:szCs w:val="24"/>
              </w:rPr>
            </w:pPr>
            <w:r w:rsidRPr="009A4041">
              <w:rPr>
                <w:sz w:val="24"/>
                <w:szCs w:val="24"/>
              </w:rPr>
              <w:t xml:space="preserve">3. </w:t>
            </w:r>
            <w:r w:rsidRPr="009A4041">
              <w:rPr>
                <w:sz w:val="24"/>
                <w:szCs w:val="24"/>
              </w:rPr>
              <w:t xml:space="preserve">Удосконалення </w:t>
            </w:r>
            <w:r w:rsidRPr="009A4041">
              <w:rPr>
                <w:sz w:val="24"/>
                <w:szCs w:val="24"/>
              </w:rPr>
              <w:t>механізм</w:t>
            </w:r>
            <w:r w:rsidRPr="009A4041">
              <w:rPr>
                <w:sz w:val="24"/>
                <w:szCs w:val="24"/>
              </w:rPr>
              <w:t>у</w:t>
            </w:r>
            <w:r w:rsidRPr="009A4041">
              <w:rPr>
                <w:sz w:val="24"/>
                <w:szCs w:val="24"/>
              </w:rPr>
              <w:t xml:space="preserve"> визначення лінійної частини приєднання.</w:t>
            </w:r>
          </w:p>
        </w:tc>
        <w:tc>
          <w:tcPr>
            <w:tcW w:w="3538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 до вимог законодавства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:rsidTr="00CF43E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lastRenderedPageBreak/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>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 розподілу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>Забезпечує виконання вимог чинного законодавства України.</w:t>
            </w:r>
          </w:p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>Унесення запропонованих змін до Кодексу забезпечить приведення його у відповідність до вимог законодавства.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9A4041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>Прийняття проєкту Постанови НКРЕКП матиме наслідком приведення нормативно-правової бази НКРЕКП у відповідність до Закону України «</w:t>
      </w:r>
      <w:r w:rsidR="009A4041" w:rsidRPr="009A4041">
        <w:rPr>
          <w:sz w:val="28"/>
          <w:szCs w:val="28"/>
        </w:rPr>
        <w:t xml:space="preserve">Про деякі питання використання транспортних засобів, оснащених електричними двигунами, та внесення змін до деяких законів України щодо подолання паливної залежності і розвитку </w:t>
      </w:r>
      <w:proofErr w:type="spellStart"/>
      <w:r w:rsidR="009A4041" w:rsidRPr="009A4041">
        <w:rPr>
          <w:sz w:val="28"/>
          <w:szCs w:val="28"/>
        </w:rPr>
        <w:t>електрозарядної</w:t>
      </w:r>
      <w:proofErr w:type="spellEnd"/>
      <w:r w:rsidR="009A4041" w:rsidRPr="009A4041">
        <w:rPr>
          <w:sz w:val="28"/>
          <w:szCs w:val="28"/>
        </w:rPr>
        <w:t xml:space="preserve"> інфраструктури та електричних транспортних засобів</w:t>
      </w:r>
      <w:r w:rsidR="009A4041">
        <w:rPr>
          <w:sz w:val="28"/>
          <w:szCs w:val="28"/>
        </w:rPr>
        <w:t xml:space="preserve">» та </w:t>
      </w:r>
      <w:r w:rsidR="009A4041" w:rsidRPr="009A4041">
        <w:rPr>
          <w:sz w:val="28"/>
          <w:szCs w:val="28"/>
        </w:rPr>
        <w:t>Закон</w:t>
      </w:r>
      <w:r w:rsidR="009A4041">
        <w:rPr>
          <w:sz w:val="28"/>
          <w:szCs w:val="28"/>
        </w:rPr>
        <w:t>у</w:t>
      </w:r>
      <w:r w:rsidR="009A4041" w:rsidRPr="009A4041">
        <w:rPr>
          <w:sz w:val="28"/>
          <w:szCs w:val="28"/>
        </w:rPr>
        <w:t xml:space="preserve"> України «Про внесення змін до деяких законодавчих актів України щодо забезпечення вимог цивільного захисту під час планування та забудови територій»</w:t>
      </w:r>
      <w:r w:rsidR="009A4041">
        <w:rPr>
          <w:sz w:val="28"/>
          <w:szCs w:val="28"/>
        </w:rPr>
        <w:t>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 w:rsidP="008D2D8D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lastRenderedPageBreak/>
        <w:t>2) </w:t>
      </w:r>
      <w:r w:rsidR="008D2D8D" w:rsidRPr="008D2D8D">
        <w:rPr>
          <w:sz w:val="28"/>
          <w:szCs w:val="28"/>
        </w:rPr>
        <w:t>дія акта розповсюджується на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всіх замовників послуг з приєднання, що бажають приєднати </w:t>
      </w:r>
      <w:r w:rsidR="009A4041">
        <w:rPr>
          <w:sz w:val="28"/>
          <w:szCs w:val="28"/>
        </w:rPr>
        <w:t xml:space="preserve">електроустановки до електричних мереж </w:t>
      </w:r>
      <w:r w:rsidR="008D2D8D" w:rsidRPr="008D2D8D">
        <w:rPr>
          <w:sz w:val="28"/>
          <w:szCs w:val="28"/>
        </w:rPr>
        <w:t xml:space="preserve">(статистичні дані щодо кількості таких </w:t>
      </w:r>
      <w:r w:rsidR="008D2D8D">
        <w:rPr>
          <w:sz w:val="28"/>
          <w:szCs w:val="28"/>
        </w:rPr>
        <w:t>замовників</w:t>
      </w:r>
      <w:r w:rsidR="008D2D8D" w:rsidRPr="008D2D8D">
        <w:rPr>
          <w:sz w:val="28"/>
          <w:szCs w:val="28"/>
        </w:rPr>
        <w:t xml:space="preserve"> відсутні у зв'язку із неможливістю їх визначення).</w:t>
      </w:r>
    </w:p>
    <w:p w:rsidR="0056405F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56405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Default="0056405F" w:rsidP="00F15D21">
      <w:pPr>
        <w:ind w:firstLine="426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Результатом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 розподілу»</w:t>
      </w:r>
      <w:r>
        <w:rPr>
          <w:sz w:val="28"/>
          <w:szCs w:val="28"/>
        </w:rPr>
        <w:t xml:space="preserve"> </w:t>
      </w:r>
      <w:r w:rsidRPr="00EF20A4">
        <w:rPr>
          <w:sz w:val="28"/>
          <w:szCs w:val="28"/>
        </w:rPr>
        <w:t xml:space="preserve">має стати: </w:t>
      </w:r>
    </w:p>
    <w:p w:rsidR="00F15D21" w:rsidRDefault="00327A3C" w:rsidP="00F15D21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F15D21" w:rsidRPr="00EA0B1B">
        <w:rPr>
          <w:bCs/>
          <w:sz w:val="28"/>
          <w:szCs w:val="28"/>
        </w:rPr>
        <w:t>регул</w:t>
      </w:r>
      <w:r>
        <w:rPr>
          <w:bCs/>
          <w:sz w:val="28"/>
          <w:szCs w:val="28"/>
        </w:rPr>
        <w:t xml:space="preserve">ювання </w:t>
      </w:r>
      <w:r w:rsidR="00F15D21" w:rsidRPr="00EA0B1B">
        <w:rPr>
          <w:bCs/>
          <w:sz w:val="28"/>
          <w:szCs w:val="28"/>
        </w:rPr>
        <w:t xml:space="preserve">питання приєднання до електричних мереж </w:t>
      </w:r>
      <w:proofErr w:type="spellStart"/>
      <w:r w:rsidR="00F15D21" w:rsidRPr="00EA0B1B">
        <w:rPr>
          <w:bCs/>
          <w:sz w:val="28"/>
          <w:szCs w:val="28"/>
        </w:rPr>
        <w:t>електрозарядних</w:t>
      </w:r>
      <w:proofErr w:type="spellEnd"/>
      <w:r w:rsidR="00F15D21" w:rsidRPr="00EA0B1B">
        <w:rPr>
          <w:bCs/>
          <w:sz w:val="28"/>
          <w:szCs w:val="28"/>
        </w:rPr>
        <w:t xml:space="preserve"> станцій</w:t>
      </w:r>
      <w:r w:rsidR="00F15D21">
        <w:rPr>
          <w:bCs/>
          <w:sz w:val="28"/>
          <w:szCs w:val="28"/>
        </w:rPr>
        <w:t>;</w:t>
      </w:r>
    </w:p>
    <w:p w:rsidR="00F15D21" w:rsidRPr="00FE4B7C" w:rsidRDefault="00327A3C" w:rsidP="00F15D21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надання</w:t>
      </w:r>
      <w:r w:rsidR="00F15D21">
        <w:rPr>
          <w:bCs/>
          <w:sz w:val="28"/>
          <w:szCs w:val="28"/>
        </w:rPr>
        <w:t xml:space="preserve"> прав</w:t>
      </w:r>
      <w:r>
        <w:rPr>
          <w:bCs/>
          <w:sz w:val="28"/>
          <w:szCs w:val="28"/>
        </w:rPr>
        <w:t>а</w:t>
      </w:r>
      <w:r w:rsidR="00F15D21">
        <w:rPr>
          <w:bCs/>
          <w:sz w:val="28"/>
          <w:szCs w:val="28"/>
        </w:rPr>
        <w:t xml:space="preserve"> замовнику </w:t>
      </w:r>
      <w:r w:rsidR="00F15D21" w:rsidRPr="00516380">
        <w:rPr>
          <w:sz w:val="28"/>
          <w:szCs w:val="28"/>
        </w:rPr>
        <w:t>послуги з нестандартного приєднання на період дії воєнного стану в Україні та протягом одного року після його припинення чи скасування, бути замовником робіт з проектування електричних мереж лінійної частини приєднання, будівельно-монтажних та пусконалагоджувальних робіт</w:t>
      </w:r>
      <w:r w:rsidR="00F15D21">
        <w:rPr>
          <w:sz w:val="28"/>
          <w:szCs w:val="28"/>
        </w:rPr>
        <w:t>;</w:t>
      </w:r>
    </w:p>
    <w:p w:rsidR="00F15D21" w:rsidRDefault="00F15D21" w:rsidP="00F15D21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удосконал</w:t>
      </w:r>
      <w:r w:rsidR="00327A3C">
        <w:rPr>
          <w:bCs/>
          <w:sz w:val="28"/>
          <w:szCs w:val="28"/>
        </w:rPr>
        <w:t>енн</w:t>
      </w:r>
      <w:r>
        <w:rPr>
          <w:bCs/>
          <w:sz w:val="28"/>
          <w:szCs w:val="28"/>
        </w:rPr>
        <w:t>я механізм</w:t>
      </w:r>
      <w:r w:rsidR="00327A3C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надання послуг зі стандартного приєднання при необхідності здійснення заходів із землевідведення;</w:t>
      </w:r>
    </w:p>
    <w:p w:rsidR="00F15D21" w:rsidRPr="00EA0B1B" w:rsidRDefault="00F15D21" w:rsidP="00F15D21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удосконал</w:t>
      </w:r>
      <w:r w:rsidR="00327A3C">
        <w:rPr>
          <w:bCs/>
          <w:sz w:val="28"/>
          <w:szCs w:val="28"/>
        </w:rPr>
        <w:t>енн</w:t>
      </w:r>
      <w:r>
        <w:rPr>
          <w:bCs/>
          <w:sz w:val="28"/>
          <w:szCs w:val="28"/>
        </w:rPr>
        <w:t>я механізм</w:t>
      </w:r>
      <w:r w:rsidR="00327A3C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визначення лінійної частини приєднання тощо. </w:t>
      </w:r>
    </w:p>
    <w:p w:rsidR="0000373C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  <w:bookmarkStart w:id="0" w:name="_GoBack"/>
      <w:bookmarkEnd w:id="0"/>
    </w:p>
    <w:p w:rsidR="0000373C" w:rsidRPr="000A4DC6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327A3C" w:rsidP="005640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Т. в. о. </w:t>
      </w:r>
      <w:r w:rsidR="0056405F" w:rsidRPr="005558AE">
        <w:rPr>
          <w:b/>
          <w:sz w:val="28"/>
          <w:szCs w:val="28"/>
        </w:rPr>
        <w:t>Голов</w:t>
      </w:r>
      <w:r>
        <w:rPr>
          <w:b/>
          <w:sz w:val="28"/>
          <w:szCs w:val="28"/>
        </w:rPr>
        <w:t>и</w:t>
      </w:r>
      <w:r w:rsidR="0056405F" w:rsidRPr="005558AE">
        <w:rPr>
          <w:b/>
          <w:sz w:val="28"/>
          <w:szCs w:val="28"/>
        </w:rPr>
        <w:t xml:space="preserve"> НКРЕКП</w:t>
      </w:r>
      <w:r w:rsidR="0056405F" w:rsidRPr="005558AE">
        <w:rPr>
          <w:b/>
          <w:sz w:val="28"/>
          <w:szCs w:val="28"/>
        </w:rPr>
        <w:tab/>
      </w:r>
      <w:r w:rsidR="0056405F" w:rsidRPr="005558AE">
        <w:rPr>
          <w:b/>
          <w:sz w:val="28"/>
          <w:szCs w:val="28"/>
        </w:rPr>
        <w:tab/>
      </w:r>
      <w:r w:rsidR="0056405F" w:rsidRPr="005558AE">
        <w:rPr>
          <w:b/>
          <w:sz w:val="28"/>
          <w:szCs w:val="28"/>
        </w:rPr>
        <w:tab/>
      </w:r>
      <w:r w:rsidR="0056405F" w:rsidRPr="005558AE">
        <w:rPr>
          <w:b/>
          <w:sz w:val="28"/>
          <w:szCs w:val="28"/>
        </w:rPr>
        <w:tab/>
      </w:r>
      <w:r w:rsidR="0056405F" w:rsidRPr="005558AE">
        <w:rPr>
          <w:b/>
          <w:sz w:val="28"/>
          <w:szCs w:val="28"/>
        </w:rPr>
        <w:tab/>
      </w:r>
      <w:r w:rsidR="0056405F" w:rsidRPr="005558AE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Руслан КАЙДАШ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327A3C">
        <w:rPr>
          <w:sz w:val="28"/>
          <w:szCs w:val="28"/>
        </w:rPr>
        <w:t>3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393" w:rsidRDefault="00603393">
      <w:r>
        <w:separator/>
      </w:r>
    </w:p>
  </w:endnote>
  <w:endnote w:type="continuationSeparator" w:id="0">
    <w:p w:rsidR="00603393" w:rsidRDefault="0060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393" w:rsidRDefault="00603393">
      <w:r>
        <w:separator/>
      </w:r>
    </w:p>
  </w:footnote>
  <w:footnote w:type="continuationSeparator" w:id="0">
    <w:p w:rsidR="00603393" w:rsidRDefault="0060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40038">
      <w:rPr>
        <w:noProof/>
      </w:rPr>
      <w:t>6</w:t>
    </w:r>
    <w:r>
      <w:fldChar w:fldCharType="end"/>
    </w:r>
  </w:p>
  <w:p w:rsidR="007D1213" w:rsidRDefault="00327A3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44343"/>
    <w:rsid w:val="000B5D93"/>
    <w:rsid w:val="00170781"/>
    <w:rsid w:val="001B6AF9"/>
    <w:rsid w:val="002069AF"/>
    <w:rsid w:val="00215503"/>
    <w:rsid w:val="00295A0A"/>
    <w:rsid w:val="0029713C"/>
    <w:rsid w:val="00327A3C"/>
    <w:rsid w:val="003E1F55"/>
    <w:rsid w:val="00407C41"/>
    <w:rsid w:val="004D6FC1"/>
    <w:rsid w:val="0054096C"/>
    <w:rsid w:val="00557803"/>
    <w:rsid w:val="0056405F"/>
    <w:rsid w:val="005E552B"/>
    <w:rsid w:val="00603393"/>
    <w:rsid w:val="0060512F"/>
    <w:rsid w:val="006C1ED2"/>
    <w:rsid w:val="00745E63"/>
    <w:rsid w:val="0077564E"/>
    <w:rsid w:val="007A0314"/>
    <w:rsid w:val="007B0968"/>
    <w:rsid w:val="00800004"/>
    <w:rsid w:val="008D2D8D"/>
    <w:rsid w:val="00911072"/>
    <w:rsid w:val="009539F8"/>
    <w:rsid w:val="00962651"/>
    <w:rsid w:val="00991381"/>
    <w:rsid w:val="009A4041"/>
    <w:rsid w:val="00A47363"/>
    <w:rsid w:val="00A91404"/>
    <w:rsid w:val="00AE3B94"/>
    <w:rsid w:val="00B10C52"/>
    <w:rsid w:val="00B33535"/>
    <w:rsid w:val="00B336E1"/>
    <w:rsid w:val="00B6058C"/>
    <w:rsid w:val="00B729BC"/>
    <w:rsid w:val="00B812FC"/>
    <w:rsid w:val="00BB3BAC"/>
    <w:rsid w:val="00BC4B32"/>
    <w:rsid w:val="00C70CCC"/>
    <w:rsid w:val="00CF43EF"/>
    <w:rsid w:val="00DB10AE"/>
    <w:rsid w:val="00E23ACA"/>
    <w:rsid w:val="00EA6575"/>
    <w:rsid w:val="00EB6A37"/>
    <w:rsid w:val="00EC0E8A"/>
    <w:rsid w:val="00EC53EB"/>
    <w:rsid w:val="00ED27FA"/>
    <w:rsid w:val="00F15D21"/>
    <w:rsid w:val="00F4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5CED4"/>
  <w15:chartTrackingRefBased/>
  <w15:docId w15:val="{06842805-300F-40E3-9CF3-1C8E089D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1988</Words>
  <Characters>11333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Сергій Волков</cp:lastModifiedBy>
  <cp:revision>14</cp:revision>
  <dcterms:created xsi:type="dcterms:W3CDTF">2022-06-28T10:28:00Z</dcterms:created>
  <dcterms:modified xsi:type="dcterms:W3CDTF">2023-05-22T13:57:00Z</dcterms:modified>
</cp:coreProperties>
</file>