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F844CD" w:rsidRDefault="00C11766" w:rsidP="00C11766">
      <w:pPr>
        <w:ind w:left="140" w:firstLine="489"/>
        <w:jc w:val="center"/>
        <w:rPr>
          <w:rFonts w:cs="Times New Roman"/>
        </w:rPr>
      </w:pPr>
      <w:r w:rsidRPr="00F844CD">
        <w:rPr>
          <w:rFonts w:cs="Times New Roman"/>
        </w:rPr>
        <w:t>ОБҐРУНТУВАННЯ</w:t>
      </w:r>
    </w:p>
    <w:p w:rsidR="00C11766" w:rsidRPr="00F844CD" w:rsidRDefault="00DF5525" w:rsidP="00DF5525">
      <w:pPr>
        <w:ind w:left="140" w:firstLine="489"/>
        <w:jc w:val="center"/>
        <w:rPr>
          <w:rFonts w:cs="Times New Roman"/>
          <w:lang w:val="ru-RU"/>
        </w:rPr>
      </w:pPr>
      <w:r w:rsidRPr="00F844CD">
        <w:rPr>
          <w:rFonts w:cs="Times New Roman"/>
        </w:rPr>
        <w:t>щодо схвалення проєкту постанови НКРЕКП</w:t>
      </w:r>
      <w:r w:rsidR="00C11766" w:rsidRPr="00F844CD">
        <w:rPr>
          <w:rFonts w:cs="Times New Roman"/>
        </w:rPr>
        <w:t xml:space="preserve"> </w:t>
      </w:r>
    </w:p>
    <w:p w:rsidR="001B4963" w:rsidRPr="00F844CD" w:rsidRDefault="00C11766" w:rsidP="001B4963">
      <w:pPr>
        <w:ind w:left="140" w:firstLine="489"/>
        <w:jc w:val="center"/>
        <w:rPr>
          <w:rFonts w:cs="Times New Roman"/>
        </w:rPr>
      </w:pPr>
      <w:r w:rsidRPr="00F844CD">
        <w:rPr>
          <w:rFonts w:cs="Times New Roman"/>
        </w:rPr>
        <w:t xml:space="preserve">«Про затвердження Змін до Кодексу </w:t>
      </w:r>
      <w:r w:rsidR="0068718A" w:rsidRPr="00F844CD">
        <w:rPr>
          <w:rFonts w:cs="Times New Roman"/>
        </w:rPr>
        <w:t xml:space="preserve">комерційного обліку </w:t>
      </w:r>
      <w:r w:rsidR="0068718A" w:rsidRPr="00F844CD">
        <w:rPr>
          <w:rFonts w:cs="Times New Roman"/>
        </w:rPr>
        <w:br/>
        <w:t>електричної енергії</w:t>
      </w:r>
      <w:r w:rsidRPr="00F844CD">
        <w:rPr>
          <w:rFonts w:cs="Times New Roman"/>
        </w:rPr>
        <w:t>»</w:t>
      </w:r>
    </w:p>
    <w:p w:rsidR="0068718A" w:rsidRDefault="0068718A" w:rsidP="001B4963">
      <w:pPr>
        <w:ind w:left="140" w:firstLine="489"/>
        <w:jc w:val="center"/>
        <w:rPr>
          <w:rFonts w:cs="Times New Roman"/>
          <w:b/>
        </w:rPr>
      </w:pPr>
    </w:p>
    <w:p w:rsidR="00296DFC" w:rsidRPr="00AA7950" w:rsidRDefault="00296DFC" w:rsidP="001B4963">
      <w:pPr>
        <w:ind w:left="140" w:firstLine="489"/>
        <w:jc w:val="center"/>
        <w:rPr>
          <w:rFonts w:cs="Times New Roman"/>
          <w:b/>
        </w:rPr>
      </w:pPr>
    </w:p>
    <w:p w:rsidR="000729FB" w:rsidRPr="00DF5525" w:rsidRDefault="0068718A" w:rsidP="001B4963">
      <w:pPr>
        <w:ind w:firstLine="489"/>
        <w:jc w:val="both"/>
        <w:rPr>
          <w:rFonts w:cs="Times New Roman"/>
        </w:rPr>
      </w:pPr>
      <w:r w:rsidRPr="00DF5525"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кодексу комерційного обліку електричної енергії.</w:t>
      </w:r>
    </w:p>
    <w:p w:rsidR="0012198C" w:rsidRPr="00DF5525" w:rsidRDefault="00793AC2" w:rsidP="0012198C">
      <w:pPr>
        <w:ind w:firstLine="567"/>
        <w:jc w:val="both"/>
      </w:pPr>
      <w:r w:rsidRPr="00DF5525">
        <w:t xml:space="preserve">З метою </w:t>
      </w:r>
      <w:r w:rsidR="00CE5D4B">
        <w:t>приведення</w:t>
      </w:r>
      <w:r w:rsidR="00CE5D4B" w:rsidRPr="00DF5525">
        <w:t xml:space="preserve"> </w:t>
      </w:r>
      <w:r w:rsidR="00CE5D4B" w:rsidRPr="00CE5D4B">
        <w:t xml:space="preserve">термінології та положень </w:t>
      </w:r>
      <w:r w:rsidR="00DA02BC" w:rsidRPr="00DF5525">
        <w:t xml:space="preserve">Кодексу комерційного </w:t>
      </w:r>
      <w:r w:rsidR="00296DFC">
        <w:br/>
      </w:r>
      <w:r w:rsidR="00DA02BC" w:rsidRPr="00DF5525">
        <w:t>обліку електричної енергії</w:t>
      </w:r>
      <w:r w:rsidR="003072C8">
        <w:t xml:space="preserve">, </w:t>
      </w:r>
      <w:r w:rsidR="003072C8" w:rsidRPr="00F5728E">
        <w:t>який затверджено постановою НКРЕКП від</w:t>
      </w:r>
      <w:r w:rsidR="0012198C" w:rsidRPr="00F5728E">
        <w:t xml:space="preserve"> </w:t>
      </w:r>
      <w:r w:rsidR="003072C8" w:rsidRPr="00F5728E">
        <w:t>14.03.2018 № 311</w:t>
      </w:r>
      <w:r w:rsidR="00CE5D4B">
        <w:t xml:space="preserve"> </w:t>
      </w:r>
      <w:r w:rsidR="0012198C" w:rsidRPr="00DF5525">
        <w:t xml:space="preserve">(далі – Кодекс) </w:t>
      </w:r>
      <w:r w:rsidR="00CE5D4B" w:rsidRPr="00CE5D4B">
        <w:t xml:space="preserve">у відповідність до вимог </w:t>
      </w:r>
      <w:r w:rsidR="005077AB">
        <w:t>Закону України «Про енерг</w:t>
      </w:r>
      <w:r w:rsidR="00093B3D">
        <w:t xml:space="preserve">етичну </w:t>
      </w:r>
      <w:r w:rsidR="005077AB">
        <w:t>ефективність</w:t>
      </w:r>
      <w:r w:rsidR="00093B3D">
        <w:t>»</w:t>
      </w:r>
      <w:r w:rsidR="00050D31">
        <w:t xml:space="preserve"> </w:t>
      </w:r>
      <w:r w:rsidR="00050D31" w:rsidRPr="0080063F">
        <w:t xml:space="preserve">та Закону України «Про деякі питання використання транспортних засобів, оснащених електричними двигунами, та внесення змін до деяких законів України щодо подолання паливної залежності і розвитку </w:t>
      </w:r>
      <w:proofErr w:type="spellStart"/>
      <w:r w:rsidR="00050D31" w:rsidRPr="0080063F">
        <w:t>електрозарядної</w:t>
      </w:r>
      <w:proofErr w:type="spellEnd"/>
      <w:r w:rsidR="00050D31" w:rsidRPr="0080063F">
        <w:t xml:space="preserve"> інфраструктури та електричних транспортних засобів»</w:t>
      </w:r>
      <w:r w:rsidR="005077AB" w:rsidRPr="0080063F">
        <w:t>,</w:t>
      </w:r>
      <w:r w:rsidR="005077AB">
        <w:t xml:space="preserve"> </w:t>
      </w:r>
      <w:r w:rsidR="00CE5D4B" w:rsidRPr="00CE5D4B">
        <w:t>європейської нормативно-правової бази</w:t>
      </w:r>
      <w:r w:rsidR="00050D31">
        <w:t xml:space="preserve"> </w:t>
      </w:r>
      <w:r w:rsidR="00CE5D4B" w:rsidRPr="00CE5D4B">
        <w:t>у сфері електроенергетики</w:t>
      </w:r>
      <w:r w:rsidR="00CE5D4B" w:rsidRPr="00CE5D4B" w:rsidDel="00C90E9D">
        <w:t xml:space="preserve"> </w:t>
      </w:r>
      <w:r w:rsidR="0012198C" w:rsidRPr="00DF5525">
        <w:t>та</w:t>
      </w:r>
      <w:r w:rsidR="00093B3D">
        <w:t xml:space="preserve"> </w:t>
      </w:r>
      <w:r w:rsidR="00C90E9D">
        <w:t>з метою</w:t>
      </w:r>
      <w:r w:rsidR="00C90E9D" w:rsidRPr="00DF5525">
        <w:t xml:space="preserve"> </w:t>
      </w:r>
      <w:r w:rsidR="0012198C" w:rsidRPr="00DF5525">
        <w:t>здійснення адаптації законодавства України до законодавства ЄС, що є важливою складовою поступового поглиблення політичної співпраці та економічної інтеграції України з ЄС</w:t>
      </w:r>
      <w:r w:rsidR="00FC1A33" w:rsidRPr="00DF5525">
        <w:t xml:space="preserve">, Департаментом із регулювання відносин у сфері енергетики розроблено </w:t>
      </w:r>
      <w:proofErr w:type="spellStart"/>
      <w:r w:rsidR="00FC1A33" w:rsidRPr="00DF5525">
        <w:t>проєкт</w:t>
      </w:r>
      <w:proofErr w:type="spellEnd"/>
      <w:r w:rsidR="00FC1A33" w:rsidRPr="00DF5525">
        <w:t xml:space="preserve"> постанови «Про затвердження Змін до Кодексу комерційного обліку електричної енергії» (далі – </w:t>
      </w:r>
      <w:proofErr w:type="spellStart"/>
      <w:r w:rsidR="00FC1A33" w:rsidRPr="00DF5525">
        <w:t>Проєкт</w:t>
      </w:r>
      <w:proofErr w:type="spellEnd"/>
      <w:r w:rsidR="00FC1A33" w:rsidRPr="00DF5525">
        <w:t xml:space="preserve"> постанови), яким передбачено:</w:t>
      </w:r>
    </w:p>
    <w:p w:rsidR="00CB2826" w:rsidRPr="00F5728E" w:rsidRDefault="00CB2826" w:rsidP="00CB2826">
      <w:pPr>
        <w:pStyle w:val="a5"/>
        <w:numPr>
          <w:ilvl w:val="0"/>
          <w:numId w:val="2"/>
        </w:numPr>
        <w:ind w:left="0" w:firstLine="489"/>
        <w:jc w:val="both"/>
      </w:pPr>
      <w:r w:rsidRPr="00DF5525">
        <w:t>в</w:t>
      </w:r>
      <w:r w:rsidR="00F450EC" w:rsidRPr="00DF5525">
        <w:t>в</w:t>
      </w:r>
      <w:r w:rsidR="00FA5C5B" w:rsidRPr="00DF5525">
        <w:t>е</w:t>
      </w:r>
      <w:r w:rsidR="009A5F33">
        <w:t>дення</w:t>
      </w:r>
      <w:r w:rsidR="00FA5C5B" w:rsidRPr="00DF5525">
        <w:t xml:space="preserve"> </w:t>
      </w:r>
      <w:r w:rsidR="00F450EC" w:rsidRPr="00DF5525">
        <w:t>нов</w:t>
      </w:r>
      <w:r w:rsidR="009A5F33">
        <w:t>их</w:t>
      </w:r>
      <w:r w:rsidR="00F450EC" w:rsidRPr="00DF5525">
        <w:t xml:space="preserve"> термін</w:t>
      </w:r>
      <w:r w:rsidR="009A5F33">
        <w:t>ів</w:t>
      </w:r>
      <w:r w:rsidR="00F450EC" w:rsidRPr="00DF5525">
        <w:t xml:space="preserve">: </w:t>
      </w:r>
      <w:r w:rsidR="009642A1" w:rsidRPr="00F5728E">
        <w:t>«</w:t>
      </w:r>
      <w:r w:rsidR="00FA5C5B" w:rsidRPr="00F5728E">
        <w:t>замовник послуги комерційного обліку (замовник)</w:t>
      </w:r>
      <w:r w:rsidR="009642A1" w:rsidRPr="00F5728E">
        <w:t>»</w:t>
      </w:r>
      <w:r w:rsidR="00FA5C5B" w:rsidRPr="00F5728E">
        <w:t xml:space="preserve">, </w:t>
      </w:r>
      <w:r w:rsidR="009642A1" w:rsidRPr="00F5728E">
        <w:t>«</w:t>
      </w:r>
      <w:r w:rsidR="00FA5C5B" w:rsidRPr="00F5728E">
        <w:t>інтелектуальна система обліку</w:t>
      </w:r>
      <w:r w:rsidR="009642A1" w:rsidRPr="00F5728E">
        <w:t>»</w:t>
      </w:r>
      <w:r w:rsidR="00FA5C5B" w:rsidRPr="00F5728E">
        <w:t xml:space="preserve">, </w:t>
      </w:r>
      <w:r w:rsidR="009642A1" w:rsidRPr="00F5728E">
        <w:t>«</w:t>
      </w:r>
      <w:r w:rsidR="00FA5C5B" w:rsidRPr="00F5728E">
        <w:t>інтелектуальний лічильник</w:t>
      </w:r>
      <w:r w:rsidR="009642A1" w:rsidRPr="00F5728E">
        <w:t>»</w:t>
      </w:r>
      <w:r w:rsidR="00FA5C5B" w:rsidRPr="00F5728E">
        <w:t xml:space="preserve">, </w:t>
      </w:r>
      <w:r w:rsidR="009642A1" w:rsidRPr="00F5728E">
        <w:t>«</w:t>
      </w:r>
      <w:r w:rsidR="00FA5C5B" w:rsidRPr="00F5728E">
        <w:t>історичні дані комерційного обліку</w:t>
      </w:r>
      <w:r w:rsidR="009642A1" w:rsidRPr="00F5728E">
        <w:t>»</w:t>
      </w:r>
      <w:r w:rsidRPr="00F5728E">
        <w:t>;</w:t>
      </w:r>
    </w:p>
    <w:p w:rsidR="00CB2826" w:rsidRPr="00F5728E" w:rsidRDefault="00906D40" w:rsidP="00906D40">
      <w:pPr>
        <w:pStyle w:val="a5"/>
        <w:numPr>
          <w:ilvl w:val="0"/>
          <w:numId w:val="2"/>
        </w:numPr>
        <w:ind w:left="0" w:firstLine="489"/>
        <w:jc w:val="both"/>
      </w:pPr>
      <w:r w:rsidRPr="00F5728E">
        <w:t>актуалізаці</w:t>
      </w:r>
      <w:r w:rsidR="009642A1" w:rsidRPr="00F5728E">
        <w:t>ю</w:t>
      </w:r>
      <w:r w:rsidRPr="00F5728E">
        <w:t xml:space="preserve"> положень Кодексу в частині </w:t>
      </w:r>
      <w:r w:rsidR="009A5F33">
        <w:t>питань</w:t>
      </w:r>
      <w:r w:rsidRPr="00F5728E">
        <w:t xml:space="preserve"> впровадження інтелектуальних </w:t>
      </w:r>
      <w:r w:rsidR="009A5F33">
        <w:t xml:space="preserve">лічильників та </w:t>
      </w:r>
      <w:r w:rsidRPr="00F5728E">
        <w:t>систем обліку</w:t>
      </w:r>
      <w:r w:rsidR="00093B3D">
        <w:t xml:space="preserve"> електричної енергії</w:t>
      </w:r>
      <w:r w:rsidR="009A5F33">
        <w:t>, зокрема</w:t>
      </w:r>
      <w:r w:rsidRPr="00F5728E">
        <w:t xml:space="preserve"> для </w:t>
      </w:r>
      <w:r w:rsidR="009A5F33">
        <w:t xml:space="preserve">створення можливості </w:t>
      </w:r>
      <w:r w:rsidR="004276EA">
        <w:t>і</w:t>
      </w:r>
      <w:r w:rsidR="004276EA" w:rsidRPr="004276EA">
        <w:t>нформува</w:t>
      </w:r>
      <w:r w:rsidR="004276EA">
        <w:t>ння</w:t>
      </w:r>
      <w:r w:rsidR="004276EA" w:rsidRPr="004276EA">
        <w:t xml:space="preserve"> </w:t>
      </w:r>
      <w:r w:rsidR="004276EA">
        <w:t xml:space="preserve">споживачів </w:t>
      </w:r>
      <w:r w:rsidR="004276EA" w:rsidRPr="004276EA">
        <w:t xml:space="preserve">про </w:t>
      </w:r>
      <w:r w:rsidR="004276EA">
        <w:t xml:space="preserve">їх </w:t>
      </w:r>
      <w:r w:rsidR="004276EA" w:rsidRPr="004276EA">
        <w:t>фактичне</w:t>
      </w:r>
      <w:r w:rsidR="004276EA">
        <w:t xml:space="preserve"> </w:t>
      </w:r>
      <w:r w:rsidR="004276EA" w:rsidRPr="004276EA">
        <w:t>споживання електроенергії</w:t>
      </w:r>
      <w:r w:rsidR="009A5F33">
        <w:t>,</w:t>
      </w:r>
      <w:r w:rsidR="004276EA" w:rsidRPr="004276EA">
        <w:t xml:space="preserve"> регулюва</w:t>
      </w:r>
      <w:r w:rsidR="009A5F33">
        <w:t>ння ними</w:t>
      </w:r>
      <w:r w:rsidR="004276EA" w:rsidRPr="004276EA">
        <w:t xml:space="preserve"> власн</w:t>
      </w:r>
      <w:r w:rsidR="009A5F33">
        <w:t>ого</w:t>
      </w:r>
      <w:r w:rsidR="004276EA" w:rsidRPr="004276EA">
        <w:t xml:space="preserve"> споживання</w:t>
      </w:r>
      <w:r w:rsidR="009A5F33">
        <w:t xml:space="preserve"> та </w:t>
      </w:r>
      <w:r w:rsidRPr="00F5728E">
        <w:t xml:space="preserve">сприяння </w:t>
      </w:r>
      <w:r w:rsidR="009A5F33">
        <w:t xml:space="preserve">їх </w:t>
      </w:r>
      <w:r w:rsidRPr="00F5728E">
        <w:t>активній участі у ринку електричної енергії</w:t>
      </w:r>
      <w:r w:rsidR="0016563A" w:rsidRPr="00F5728E">
        <w:t>;</w:t>
      </w:r>
    </w:p>
    <w:p w:rsidR="00FA5C5B" w:rsidRDefault="00931C5D" w:rsidP="007F28AD">
      <w:pPr>
        <w:pStyle w:val="a5"/>
        <w:numPr>
          <w:ilvl w:val="0"/>
          <w:numId w:val="2"/>
        </w:numPr>
        <w:ind w:left="0" w:firstLine="489"/>
        <w:jc w:val="both"/>
        <w:rPr>
          <w:rStyle w:val="rvts44"/>
          <w:rFonts w:cs="Times New Roman"/>
          <w:bCs/>
        </w:rPr>
      </w:pPr>
      <w:r>
        <w:rPr>
          <w:rStyle w:val="rvts44"/>
          <w:rFonts w:cs="Times New Roman"/>
          <w:bCs/>
        </w:rPr>
        <w:t>внесення</w:t>
      </w:r>
      <w:r w:rsidR="000D75E8" w:rsidRPr="00AF21C0">
        <w:rPr>
          <w:rStyle w:val="rvts44"/>
          <w:rFonts w:cs="Times New Roman"/>
          <w:bCs/>
        </w:rPr>
        <w:t xml:space="preserve"> </w:t>
      </w:r>
      <w:r w:rsidR="001259B4">
        <w:rPr>
          <w:rStyle w:val="rvts44"/>
          <w:rFonts w:cs="Times New Roman"/>
          <w:bCs/>
        </w:rPr>
        <w:t xml:space="preserve">до Кодексу </w:t>
      </w:r>
      <w:r>
        <w:rPr>
          <w:rStyle w:val="rvts44"/>
          <w:rFonts w:cs="Times New Roman"/>
          <w:bCs/>
        </w:rPr>
        <w:t xml:space="preserve">вимог </w:t>
      </w:r>
      <w:r w:rsidR="001259B4">
        <w:rPr>
          <w:rStyle w:val="rvts44"/>
          <w:rFonts w:cs="Times New Roman"/>
          <w:bCs/>
        </w:rPr>
        <w:t>що</w:t>
      </w:r>
      <w:r>
        <w:rPr>
          <w:rStyle w:val="rvts44"/>
          <w:rFonts w:cs="Times New Roman"/>
          <w:bCs/>
        </w:rPr>
        <w:t xml:space="preserve">до </w:t>
      </w:r>
      <w:r w:rsidR="001259B4">
        <w:rPr>
          <w:rStyle w:val="rvts44"/>
          <w:rFonts w:cs="Times New Roman"/>
          <w:bCs/>
        </w:rPr>
        <w:t xml:space="preserve">особливостей </w:t>
      </w:r>
      <w:r>
        <w:rPr>
          <w:rStyle w:val="rvts44"/>
          <w:rFonts w:cs="Times New Roman"/>
          <w:bCs/>
        </w:rPr>
        <w:t xml:space="preserve">організації комерційного обліку </w:t>
      </w:r>
      <w:r w:rsidR="001259B4">
        <w:rPr>
          <w:rStyle w:val="rvts44"/>
          <w:rFonts w:cs="Times New Roman"/>
          <w:bCs/>
        </w:rPr>
        <w:t>у</w:t>
      </w:r>
      <w:r w:rsidR="00296DFC">
        <w:rPr>
          <w:rStyle w:val="rvts44"/>
          <w:rFonts w:cs="Times New Roman"/>
          <w:bCs/>
        </w:rPr>
        <w:t xml:space="preserve"> операторів системи розподілу (далі – ОСР)</w:t>
      </w:r>
      <w:r w:rsidR="001259B4">
        <w:rPr>
          <w:rStyle w:val="rvts44"/>
          <w:rFonts w:cs="Times New Roman"/>
          <w:bCs/>
        </w:rPr>
        <w:t xml:space="preserve"> </w:t>
      </w:r>
      <w:r>
        <w:rPr>
          <w:rStyle w:val="rvts44"/>
          <w:rFonts w:cs="Times New Roman"/>
          <w:bCs/>
        </w:rPr>
        <w:t xml:space="preserve">з метою </w:t>
      </w:r>
      <w:r w:rsidRPr="00296DFC">
        <w:rPr>
          <w:rFonts w:cs="Times New Roman"/>
          <w:bCs/>
        </w:rPr>
        <w:t xml:space="preserve">визначення втрат електричної енергії на 1 класі напруги в електричній мережі ОСР виключно за результатами вимірювань інтервальних лічильників, що </w:t>
      </w:r>
      <w:r>
        <w:rPr>
          <w:rFonts w:cs="Times New Roman"/>
          <w:bCs/>
        </w:rPr>
        <w:t xml:space="preserve">встановлені </w:t>
      </w:r>
      <w:r w:rsidRPr="00931C5D">
        <w:rPr>
          <w:rFonts w:cs="Times New Roman"/>
          <w:bCs/>
        </w:rPr>
        <w:t>на межі додатково створеної в мережі ОСР області комерційного обліку</w:t>
      </w:r>
      <w:r>
        <w:rPr>
          <w:rFonts w:cs="Times New Roman"/>
          <w:bCs/>
        </w:rPr>
        <w:t xml:space="preserve"> та</w:t>
      </w:r>
      <w:r w:rsidRPr="00931C5D">
        <w:rPr>
          <w:rFonts w:cs="Times New Roman"/>
          <w:bCs/>
        </w:rPr>
        <w:t xml:space="preserve"> </w:t>
      </w:r>
      <w:r w:rsidRPr="00296DFC">
        <w:rPr>
          <w:rFonts w:cs="Times New Roman"/>
          <w:bCs/>
        </w:rPr>
        <w:t>функціонують у складі АСКОЕ ОСР</w:t>
      </w:r>
      <w:r w:rsidR="00AF21C0">
        <w:rPr>
          <w:rStyle w:val="rvts44"/>
          <w:rFonts w:cs="Times New Roman"/>
          <w:bCs/>
        </w:rPr>
        <w:t>;</w:t>
      </w:r>
    </w:p>
    <w:p w:rsidR="00E25B07" w:rsidRPr="00E25B07" w:rsidRDefault="00931C5D" w:rsidP="007F28AD">
      <w:pPr>
        <w:pStyle w:val="a5"/>
        <w:numPr>
          <w:ilvl w:val="0"/>
          <w:numId w:val="2"/>
        </w:numPr>
        <w:ind w:left="0" w:firstLine="489"/>
        <w:jc w:val="both"/>
        <w:rPr>
          <w:rStyle w:val="rvts44"/>
          <w:rFonts w:cs="Times New Roman"/>
          <w:bCs/>
        </w:rPr>
      </w:pPr>
      <w:r>
        <w:t>в</w:t>
      </w:r>
      <w:r w:rsidR="001259B4">
        <w:t>несення до Кодексу</w:t>
      </w:r>
      <w:r>
        <w:t xml:space="preserve"> критеріїв визначення та вимог </w:t>
      </w:r>
      <w:r w:rsidR="001E7D78">
        <w:t>що</w:t>
      </w:r>
      <w:r>
        <w:t xml:space="preserve">до </w:t>
      </w:r>
      <w:r w:rsidR="001259B4">
        <w:t xml:space="preserve">організації </w:t>
      </w:r>
      <w:r w:rsidR="00E25B07" w:rsidRPr="00E25B07">
        <w:rPr>
          <w:rStyle w:val="rvts44"/>
          <w:rFonts w:cs="Times New Roman"/>
          <w:bCs/>
        </w:rPr>
        <w:t>площад</w:t>
      </w:r>
      <w:r>
        <w:rPr>
          <w:rStyle w:val="rvts44"/>
          <w:rFonts w:cs="Times New Roman"/>
          <w:bCs/>
        </w:rPr>
        <w:t>о</w:t>
      </w:r>
      <w:r w:rsidR="00E25B07" w:rsidRPr="00E25B07">
        <w:rPr>
          <w:rStyle w:val="rvts44"/>
          <w:rFonts w:cs="Times New Roman"/>
          <w:bCs/>
        </w:rPr>
        <w:t xml:space="preserve">к комерційного обліку групи «а» </w:t>
      </w:r>
      <w:r>
        <w:rPr>
          <w:rStyle w:val="rvts44"/>
          <w:rFonts w:cs="Times New Roman"/>
          <w:bCs/>
        </w:rPr>
        <w:t>та</w:t>
      </w:r>
      <w:r w:rsidR="00E25B07" w:rsidRPr="00E25B07">
        <w:rPr>
          <w:rStyle w:val="rvts44"/>
          <w:rFonts w:cs="Times New Roman"/>
          <w:bCs/>
        </w:rPr>
        <w:t xml:space="preserve"> групи «б».</w:t>
      </w:r>
    </w:p>
    <w:p w:rsidR="00E25B07" w:rsidRDefault="00E25B07" w:rsidP="00F5728E">
      <w:pPr>
        <w:ind w:firstLine="567"/>
        <w:jc w:val="both"/>
      </w:pPr>
      <w:proofErr w:type="spellStart"/>
      <w:r w:rsidRPr="00DF5525">
        <w:t>Проєкт</w:t>
      </w:r>
      <w:proofErr w:type="spellEnd"/>
      <w:r w:rsidRPr="00DF5525">
        <w:t xml:space="preserve"> постанови має ознаки</w:t>
      </w:r>
      <w:r>
        <w:t xml:space="preserve"> регуляторного акта, у зв’язку з чим, згідно із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і </w:t>
      </w:r>
      <w:r>
        <w:lastRenderedPageBreak/>
        <w:t>пропозицій</w:t>
      </w:r>
      <w:r w:rsidR="009642A1">
        <w:t xml:space="preserve"> </w:t>
      </w:r>
      <w:r w:rsidR="009642A1" w:rsidRPr="00F5728E">
        <w:t>від інших органів державної влади, фізичних та юридичних осіб, їх об’єднань та інших заінтересованих осіб</w:t>
      </w:r>
      <w:r w:rsidRPr="00F5728E">
        <w:t>.</w:t>
      </w:r>
      <w:r>
        <w:t xml:space="preserve"> </w:t>
      </w:r>
    </w:p>
    <w:p w:rsidR="00906D40" w:rsidRDefault="00E25B07" w:rsidP="00F5728E">
      <w:pPr>
        <w:ind w:firstLine="567"/>
        <w:jc w:val="both"/>
      </w:pPr>
      <w:r w:rsidRPr="00F5728E">
        <w:t xml:space="preserve">Враховуючи зазначене, Департамент із регулювання відносин у сфері енергетики пропонує </w:t>
      </w:r>
      <w:r w:rsidR="009642A1" w:rsidRPr="00F5728E">
        <w:t>с</w:t>
      </w:r>
      <w:r w:rsidRPr="00F5728E">
        <w:t>хвалити проєкт постанови НКРЕКП «Про затвердження Змін до Кодексу комерційного обліку</w:t>
      </w:r>
      <w:r w:rsidR="009642A1" w:rsidRPr="00F5728E">
        <w:t xml:space="preserve"> </w:t>
      </w:r>
      <w:r w:rsidR="009642A1" w:rsidRPr="00296DFC">
        <w:t>електричної енергії</w:t>
      </w:r>
      <w:r w:rsidRPr="00296DFC">
        <w:t>»</w:t>
      </w:r>
      <w:r w:rsidR="009642A1" w:rsidRPr="00F5728E">
        <w:t xml:space="preserve"> та о</w:t>
      </w:r>
      <w:r w:rsidRPr="00F5728E">
        <w:t xml:space="preserve">прилюднити </w:t>
      </w:r>
      <w:r w:rsidR="009642A1" w:rsidRPr="00F5728E">
        <w:t>його</w:t>
      </w:r>
      <w:r w:rsidRPr="00F5728E">
        <w:t xml:space="preserve"> на офіційному вебсайті НКРЕКП з метою одержання зауважень і пропозицій.</w:t>
      </w:r>
    </w:p>
    <w:p w:rsidR="00E25B07" w:rsidRDefault="00E25B07" w:rsidP="0012198C">
      <w:pPr>
        <w:ind w:firstLine="489"/>
        <w:jc w:val="both"/>
      </w:pPr>
    </w:p>
    <w:p w:rsidR="001B4963" w:rsidRDefault="001B4963" w:rsidP="001B4963">
      <w:pPr>
        <w:jc w:val="both"/>
        <w:rPr>
          <w:rFonts w:cs="Times New Roman"/>
          <w:bCs/>
        </w:rPr>
      </w:pPr>
    </w:p>
    <w:p w:rsidR="00AB072C" w:rsidRDefault="00AB072C" w:rsidP="00AB072C">
      <w:pPr>
        <w:jc w:val="both"/>
        <w:rPr>
          <w:lang w:val="ru-RU"/>
        </w:rPr>
      </w:pPr>
      <w:r>
        <w:rPr>
          <w:lang w:val="ru-RU"/>
        </w:rPr>
        <w:t>Д</w:t>
      </w:r>
      <w:r w:rsidRPr="00BF42DF">
        <w:rPr>
          <w:lang w:val="ru-RU"/>
        </w:rPr>
        <w:t xml:space="preserve">иректор Департаменту </w:t>
      </w:r>
      <w:proofErr w:type="spellStart"/>
      <w:r w:rsidRPr="00BF42DF">
        <w:rPr>
          <w:lang w:val="ru-RU"/>
        </w:rPr>
        <w:t>із</w:t>
      </w:r>
      <w:proofErr w:type="spellEnd"/>
      <w:r w:rsidRPr="00BF42DF">
        <w:rPr>
          <w:lang w:val="ru-RU"/>
        </w:rPr>
        <w:t xml:space="preserve"> </w:t>
      </w:r>
      <w:proofErr w:type="spellStart"/>
      <w:r w:rsidRPr="00BF42DF">
        <w:rPr>
          <w:lang w:val="ru-RU"/>
        </w:rPr>
        <w:t>регулювання</w:t>
      </w:r>
      <w:proofErr w:type="spellEnd"/>
    </w:p>
    <w:p w:rsidR="00AB072C" w:rsidRDefault="00AB072C" w:rsidP="00AB072C">
      <w:pPr>
        <w:jc w:val="both"/>
        <w:rPr>
          <w:lang w:val="ru-RU"/>
        </w:rPr>
      </w:pPr>
      <w:proofErr w:type="spellStart"/>
      <w:r w:rsidRPr="00BF42DF">
        <w:rPr>
          <w:lang w:val="ru-RU"/>
        </w:rPr>
        <w:t>відносин</w:t>
      </w:r>
      <w:proofErr w:type="spellEnd"/>
      <w:r w:rsidRPr="00BF42DF">
        <w:rPr>
          <w:lang w:val="ru-RU"/>
        </w:rPr>
        <w:t xml:space="preserve"> у </w:t>
      </w:r>
      <w:proofErr w:type="spellStart"/>
      <w:r w:rsidRPr="00BF42DF">
        <w:rPr>
          <w:lang w:val="ru-RU"/>
        </w:rPr>
        <w:t>сфері</w:t>
      </w:r>
      <w:proofErr w:type="spellEnd"/>
      <w:r w:rsidRPr="00BF42DF">
        <w:rPr>
          <w:lang w:val="ru-RU"/>
        </w:rPr>
        <w:t xml:space="preserve"> </w:t>
      </w:r>
      <w:proofErr w:type="spellStart"/>
      <w:r w:rsidRPr="00BF42DF">
        <w:rPr>
          <w:lang w:val="ru-RU"/>
        </w:rPr>
        <w:t>енергетики</w:t>
      </w:r>
      <w:proofErr w:type="spellEnd"/>
      <w:r w:rsidRPr="00BF42DF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     Андрій </w:t>
      </w:r>
      <w:r w:rsidRPr="00BF42DF">
        <w:rPr>
          <w:lang w:val="ru-RU"/>
        </w:rPr>
        <w:t>О</w:t>
      </w:r>
      <w:r>
        <w:rPr>
          <w:lang w:val="ru-RU"/>
        </w:rPr>
        <w:t>ГНЬОВ</w:t>
      </w:r>
    </w:p>
    <w:p w:rsidR="001B4963" w:rsidRPr="00AB072C" w:rsidRDefault="001B4963" w:rsidP="00AB072C">
      <w:pPr>
        <w:rPr>
          <w:lang w:val="ru-RU"/>
        </w:rPr>
      </w:pPr>
      <w:bookmarkStart w:id="0" w:name="_GoBack"/>
      <w:bookmarkEnd w:id="0"/>
    </w:p>
    <w:sectPr w:rsidR="001B4963" w:rsidRPr="00AB072C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50D31"/>
    <w:rsid w:val="000729FB"/>
    <w:rsid w:val="00093B3D"/>
    <w:rsid w:val="000971AB"/>
    <w:rsid w:val="000D75E8"/>
    <w:rsid w:val="000F3B29"/>
    <w:rsid w:val="0012198C"/>
    <w:rsid w:val="001259B4"/>
    <w:rsid w:val="00133248"/>
    <w:rsid w:val="0016563A"/>
    <w:rsid w:val="001B4963"/>
    <w:rsid w:val="001E7D78"/>
    <w:rsid w:val="00253261"/>
    <w:rsid w:val="00296DFC"/>
    <w:rsid w:val="003072C8"/>
    <w:rsid w:val="00317AB0"/>
    <w:rsid w:val="00381737"/>
    <w:rsid w:val="004276EA"/>
    <w:rsid w:val="00437861"/>
    <w:rsid w:val="005077AB"/>
    <w:rsid w:val="0068718A"/>
    <w:rsid w:val="00793AC2"/>
    <w:rsid w:val="007F28AD"/>
    <w:rsid w:val="0080063F"/>
    <w:rsid w:val="008B5BC3"/>
    <w:rsid w:val="00906D40"/>
    <w:rsid w:val="00931C5D"/>
    <w:rsid w:val="009642A1"/>
    <w:rsid w:val="009A5F33"/>
    <w:rsid w:val="009D6600"/>
    <w:rsid w:val="00AA11E5"/>
    <w:rsid w:val="00AB072C"/>
    <w:rsid w:val="00AF21C0"/>
    <w:rsid w:val="00C11766"/>
    <w:rsid w:val="00C12AA7"/>
    <w:rsid w:val="00C90E9D"/>
    <w:rsid w:val="00CB2826"/>
    <w:rsid w:val="00CB354E"/>
    <w:rsid w:val="00CE5D4B"/>
    <w:rsid w:val="00D56435"/>
    <w:rsid w:val="00D83EB5"/>
    <w:rsid w:val="00DA02BC"/>
    <w:rsid w:val="00DE0BC0"/>
    <w:rsid w:val="00DF5525"/>
    <w:rsid w:val="00E25B07"/>
    <w:rsid w:val="00E5247D"/>
    <w:rsid w:val="00ED076C"/>
    <w:rsid w:val="00EF7BF7"/>
    <w:rsid w:val="00F340B7"/>
    <w:rsid w:val="00F450EC"/>
    <w:rsid w:val="00F5728E"/>
    <w:rsid w:val="00F844CD"/>
    <w:rsid w:val="00FA5C5B"/>
    <w:rsid w:val="00F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2082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7</cp:revision>
  <dcterms:created xsi:type="dcterms:W3CDTF">2023-04-18T12:10:00Z</dcterms:created>
  <dcterms:modified xsi:type="dcterms:W3CDTF">2023-05-16T07:42:00Z</dcterms:modified>
</cp:coreProperties>
</file>