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870" w:rsidRPr="00640358" w:rsidRDefault="007D6870" w:rsidP="007D6870">
      <w:pPr>
        <w:spacing w:after="0" w:line="240" w:lineRule="auto"/>
        <w:jc w:val="center"/>
        <w:rPr>
          <w:rFonts w:ascii="Times New Roman" w:hAnsi="Times New Roman" w:cs="Times New Roman"/>
          <w:b/>
          <w:sz w:val="26"/>
          <w:szCs w:val="26"/>
        </w:rPr>
      </w:pPr>
      <w:r w:rsidRPr="00640358">
        <w:rPr>
          <w:rFonts w:ascii="Times New Roman" w:hAnsi="Times New Roman" w:cs="Times New Roman"/>
          <w:b/>
          <w:sz w:val="26"/>
          <w:szCs w:val="26"/>
        </w:rPr>
        <w:t>ПОРІВНЯЛЬНА ТАБЛИЦЯ</w:t>
      </w:r>
    </w:p>
    <w:p w:rsidR="007D6870" w:rsidRPr="00640358" w:rsidRDefault="007D6870" w:rsidP="007D6870">
      <w:pPr>
        <w:spacing w:after="0" w:line="240" w:lineRule="auto"/>
        <w:jc w:val="center"/>
        <w:rPr>
          <w:rFonts w:ascii="Times New Roman" w:hAnsi="Times New Roman" w:cs="Times New Roman"/>
          <w:b/>
          <w:sz w:val="26"/>
          <w:szCs w:val="26"/>
        </w:rPr>
      </w:pPr>
      <w:proofErr w:type="spellStart"/>
      <w:r w:rsidRPr="00640358">
        <w:rPr>
          <w:rFonts w:ascii="Times New Roman" w:hAnsi="Times New Roman" w:cs="Times New Roman"/>
          <w:b/>
          <w:sz w:val="26"/>
          <w:szCs w:val="26"/>
          <w:lang w:val="ru-RU"/>
        </w:rPr>
        <w:t>проєкту</w:t>
      </w:r>
      <w:proofErr w:type="spellEnd"/>
      <w:r w:rsidRPr="00640358">
        <w:rPr>
          <w:rFonts w:ascii="Times New Roman" w:hAnsi="Times New Roman" w:cs="Times New Roman"/>
          <w:b/>
          <w:sz w:val="26"/>
          <w:szCs w:val="26"/>
          <w:lang w:val="ru-RU"/>
        </w:rPr>
        <w:t xml:space="preserve"> </w:t>
      </w:r>
      <w:r w:rsidRPr="00640358">
        <w:rPr>
          <w:rFonts w:ascii="Times New Roman" w:hAnsi="Times New Roman" w:cs="Times New Roman"/>
          <w:b/>
          <w:sz w:val="26"/>
          <w:szCs w:val="26"/>
        </w:rPr>
        <w:t xml:space="preserve">постанови НКРЕКП, що має ознаки регуляторного </w:t>
      </w:r>
      <w:proofErr w:type="spellStart"/>
      <w:r w:rsidRPr="00640358">
        <w:rPr>
          <w:rFonts w:ascii="Times New Roman" w:hAnsi="Times New Roman" w:cs="Times New Roman"/>
          <w:b/>
          <w:sz w:val="26"/>
          <w:szCs w:val="26"/>
        </w:rPr>
        <w:t>акта</w:t>
      </w:r>
      <w:proofErr w:type="spellEnd"/>
      <w:r w:rsidRPr="00640358">
        <w:rPr>
          <w:rFonts w:ascii="Times New Roman" w:hAnsi="Times New Roman" w:cs="Times New Roman"/>
          <w:b/>
          <w:sz w:val="26"/>
          <w:szCs w:val="26"/>
        </w:rPr>
        <w:t xml:space="preserve"> </w:t>
      </w:r>
    </w:p>
    <w:p w:rsidR="007D6870" w:rsidRPr="00640358" w:rsidRDefault="007D6870" w:rsidP="007D6870">
      <w:pPr>
        <w:spacing w:after="0" w:line="240" w:lineRule="auto"/>
        <w:jc w:val="center"/>
        <w:rPr>
          <w:rFonts w:ascii="Times New Roman" w:hAnsi="Times New Roman" w:cs="Times New Roman"/>
          <w:b/>
          <w:sz w:val="26"/>
          <w:szCs w:val="26"/>
        </w:rPr>
      </w:pPr>
      <w:r w:rsidRPr="00640358">
        <w:rPr>
          <w:rFonts w:ascii="Times New Roman" w:hAnsi="Times New Roman" w:cs="Times New Roman"/>
          <w:b/>
          <w:sz w:val="26"/>
          <w:szCs w:val="26"/>
        </w:rPr>
        <w:t>«Про внесення змін до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p>
    <w:p w:rsidR="007D6870" w:rsidRDefault="007D6870" w:rsidP="007D6870">
      <w:pPr>
        <w:spacing w:after="0" w:line="240" w:lineRule="auto"/>
      </w:pPr>
    </w:p>
    <w:tbl>
      <w:tblPr>
        <w:tblStyle w:val="a3"/>
        <w:tblW w:w="0" w:type="auto"/>
        <w:tblLook w:val="04A0" w:firstRow="1" w:lastRow="0" w:firstColumn="1" w:lastColumn="0" w:noHBand="0" w:noVBand="1"/>
      </w:tblPr>
      <w:tblGrid>
        <w:gridCol w:w="7564"/>
        <w:gridCol w:w="7564"/>
      </w:tblGrid>
      <w:tr w:rsidR="007D6870" w:rsidRPr="009C0062" w:rsidTr="00661933">
        <w:tc>
          <w:tcPr>
            <w:tcW w:w="7564" w:type="dxa"/>
          </w:tcPr>
          <w:p w:rsidR="007D6870" w:rsidRPr="00640358" w:rsidRDefault="007D6870" w:rsidP="00661933">
            <w:pPr>
              <w:jc w:val="center"/>
              <w:rPr>
                <w:rFonts w:ascii="Times New Roman" w:hAnsi="Times New Roman" w:cs="Times New Roman"/>
                <w:b/>
              </w:rPr>
            </w:pPr>
            <w:r w:rsidRPr="00640358">
              <w:rPr>
                <w:rFonts w:ascii="Times New Roman" w:hAnsi="Times New Roman" w:cs="Times New Roman"/>
              </w:rPr>
              <w:t>Поряд</w:t>
            </w:r>
            <w:r w:rsidRPr="00640358">
              <w:rPr>
                <w:rFonts w:ascii="Times New Roman" w:hAnsi="Times New Roman" w:cs="Times New Roman"/>
              </w:rPr>
              <w:t>ок</w:t>
            </w:r>
            <w:r w:rsidRPr="00640358">
              <w:rPr>
                <w:rFonts w:ascii="Times New Roman" w:hAnsi="Times New Roman" w:cs="Times New Roman"/>
              </w:rPr>
              <w:t xml:space="preserve">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r w:rsidRPr="00640358">
              <w:rPr>
                <w:rFonts w:ascii="Times New Roman" w:hAnsi="Times New Roman" w:cs="Times New Roman"/>
                <w:b/>
                <w:shd w:val="clear" w:color="auto" w:fill="FFFFFF"/>
              </w:rPr>
              <w:t xml:space="preserve"> </w:t>
            </w:r>
            <w:r w:rsidRPr="00640358">
              <w:rPr>
                <w:rFonts w:ascii="Times New Roman" w:hAnsi="Times New Roman" w:cs="Times New Roman"/>
                <w:b/>
                <w:shd w:val="clear" w:color="auto" w:fill="FFFFFF"/>
              </w:rPr>
              <w:t>(діюча редакція)</w:t>
            </w:r>
          </w:p>
        </w:tc>
        <w:tc>
          <w:tcPr>
            <w:tcW w:w="7564" w:type="dxa"/>
          </w:tcPr>
          <w:p w:rsidR="007D6870" w:rsidRPr="00640358" w:rsidRDefault="007D6870" w:rsidP="00661933">
            <w:pPr>
              <w:jc w:val="center"/>
              <w:rPr>
                <w:rFonts w:ascii="Times New Roman" w:hAnsi="Times New Roman" w:cs="Times New Roman"/>
                <w:b/>
              </w:rPr>
            </w:pPr>
            <w:proofErr w:type="spellStart"/>
            <w:r w:rsidRPr="00640358">
              <w:rPr>
                <w:rFonts w:ascii="Times New Roman" w:hAnsi="Times New Roman" w:cs="Times New Roman"/>
                <w:b/>
              </w:rPr>
              <w:t>Проєкт</w:t>
            </w:r>
            <w:proofErr w:type="spellEnd"/>
            <w:r w:rsidRPr="00640358">
              <w:rPr>
                <w:rFonts w:ascii="Times New Roman" w:hAnsi="Times New Roman" w:cs="Times New Roman"/>
                <w:b/>
              </w:rPr>
              <w:t xml:space="preserve"> постанови НКРЕКП «</w:t>
            </w:r>
            <w:r w:rsidRPr="00640358">
              <w:rPr>
                <w:rFonts w:ascii="Times New Roman" w:hAnsi="Times New Roman" w:cs="Times New Roman"/>
              </w:rPr>
              <w:t>Про внесення змін до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r w:rsidRPr="00640358">
              <w:rPr>
                <w:rFonts w:ascii="Times New Roman" w:hAnsi="Times New Roman" w:cs="Times New Roman"/>
                <w:b/>
              </w:rPr>
              <w:t>»</w:t>
            </w:r>
          </w:p>
        </w:tc>
      </w:tr>
      <w:tr w:rsidR="007D6870" w:rsidRPr="009C0062" w:rsidTr="00661933">
        <w:tc>
          <w:tcPr>
            <w:tcW w:w="15128" w:type="dxa"/>
            <w:gridSpan w:val="2"/>
          </w:tcPr>
          <w:p w:rsidR="007D6870" w:rsidRPr="007D6870" w:rsidRDefault="007D6870" w:rsidP="00661933">
            <w:pPr>
              <w:jc w:val="center"/>
              <w:rPr>
                <w:rFonts w:ascii="Times New Roman" w:hAnsi="Times New Roman" w:cs="Times New Roman"/>
              </w:rPr>
            </w:pPr>
            <w:r w:rsidRPr="007D6870">
              <w:rPr>
                <w:rFonts w:ascii="Times New Roman" w:hAnsi="Times New Roman" w:cs="Times New Roman"/>
              </w:rPr>
              <w:t xml:space="preserve">Глава </w:t>
            </w:r>
            <w:r>
              <w:rPr>
                <w:rFonts w:ascii="Times New Roman" w:hAnsi="Times New Roman" w:cs="Times New Roman"/>
              </w:rPr>
              <w:t>6</w:t>
            </w:r>
          </w:p>
        </w:tc>
      </w:tr>
      <w:tr w:rsidR="007D6870" w:rsidRPr="009C0062" w:rsidTr="00661933">
        <w:tc>
          <w:tcPr>
            <w:tcW w:w="7564" w:type="dxa"/>
          </w:tcPr>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6.4. НКРЕКП має право прийняти рішення про зупинення дії ліцензії (повністю або частково) у разі настання таких підстав:</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1) отримання заяви ліцензіата про зупинення власної ліцензії на строк до шести місяців з дня набрання чинності рішенням про зупинення дії ліцензії.</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Не є підставою для зупинення дії ліцензії заява ліцензіата про зупинення власної ліцензії,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перевірки та усунення порушень ліцензійних умов та законодавства у сферах енергетики та комунальних послуг;</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протягом тридцяти робочих днів після закінчення спливу строку виконання ліцензіатом рішення про усунення порушень ліцензійних умов (крім випадку видання протягом цього строку НКРЕКП розпорядчого документа про проведення позапланової перевірки виконання ліцензіатом рішення про усунення порушень ліцензійних умов та законодавства у сферах енергетики та комунальних послуг);</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2) складення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невиконання рішення про усунення порушень ліцензійних умов та законодавства у сферах енергетики та комунальних послуг за результатами перевірки НКРЕКП до повного виконання ліцензіатом такого рішення, але не більше шести місяців з дня набрання чинності рішенням про зупинення дії ліцензії;</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3) передача ліцензіатом цілісного майнового комплексу іншому суб'єкту господарювання, який отримав відповідну ліцензію;</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4) </w:t>
            </w:r>
            <w:r w:rsidRPr="007D6870">
              <w:rPr>
                <w:rFonts w:ascii="Times New Roman" w:hAnsi="Times New Roman" w:cs="Times New Roman"/>
                <w:shd w:val="clear" w:color="auto" w:fill="FFFFFF"/>
              </w:rPr>
              <w:t xml:space="preserve"> передача цілісного майнового комплексу ліцензіата в управління іншому суб'єкту господарювання за договором на підставах, у порядку та на умовах, визначених</w:t>
            </w:r>
            <w:r w:rsidRPr="007D6870">
              <w:rPr>
                <w:rFonts w:ascii="Times New Roman" w:hAnsi="Times New Roman" w:cs="Times New Roman"/>
                <w:shd w:val="clear" w:color="auto" w:fill="FFFFFF"/>
              </w:rPr>
              <w:t> </w:t>
            </w:r>
            <w:hyperlink r:id="rId4" w:tgtFrame="_blank" w:history="1">
              <w:r w:rsidRPr="007D6870">
                <w:rPr>
                  <w:rStyle w:val="hard-blue-color"/>
                  <w:rFonts w:ascii="Times New Roman" w:hAnsi="Times New Roman" w:cs="Times New Roman"/>
                  <w:shd w:val="clear" w:color="auto" w:fill="FFFFFF"/>
                </w:rPr>
                <w:t>статтями 21</w:t>
              </w:r>
            </w:hyperlink>
            <w:r w:rsidRPr="007D6870">
              <w:rPr>
                <w:rFonts w:ascii="Times New Roman" w:hAnsi="Times New Roman" w:cs="Times New Roman"/>
                <w:shd w:val="clear" w:color="auto" w:fill="FFFFFF"/>
              </w:rPr>
              <w:t> </w:t>
            </w:r>
            <w:hyperlink r:id="rId5" w:tgtFrame="_blank" w:history="1">
              <w:r w:rsidRPr="007D6870">
                <w:rPr>
                  <w:rStyle w:val="a5"/>
                  <w:rFonts w:ascii="Times New Roman" w:hAnsi="Times New Roman" w:cs="Times New Roman"/>
                  <w:color w:val="auto"/>
                  <w:u w:val="none"/>
                  <w:shd w:val="clear" w:color="auto" w:fill="FFFFFF"/>
                </w:rPr>
                <w:t>та</w:t>
              </w:r>
            </w:hyperlink>
            <w:r w:rsidRPr="007D6870">
              <w:rPr>
                <w:rFonts w:ascii="Times New Roman" w:hAnsi="Times New Roman" w:cs="Times New Roman"/>
                <w:shd w:val="clear" w:color="auto" w:fill="FFFFFF"/>
              </w:rPr>
              <w:t> </w:t>
            </w:r>
            <w:r w:rsidRPr="007D6870">
              <w:rPr>
                <w:rStyle w:val="hard-blue-color"/>
                <w:rFonts w:ascii="Times New Roman" w:hAnsi="Times New Roman" w:cs="Times New Roman"/>
                <w:shd w:val="clear" w:color="auto" w:fill="FFFFFF"/>
              </w:rPr>
              <w:t>21</w:t>
            </w:r>
            <w:r w:rsidRPr="007D6870">
              <w:rPr>
                <w:rStyle w:val="hard-blue-color"/>
                <w:rFonts w:ascii="Times New Roman" w:hAnsi="Times New Roman" w:cs="Times New Roman"/>
                <w:shd w:val="clear" w:color="auto" w:fill="FFFFFF"/>
                <w:vertAlign w:val="superscript"/>
              </w:rPr>
              <w:t>1</w:t>
            </w:r>
            <w:r w:rsidRPr="007D6870">
              <w:rPr>
                <w:rFonts w:ascii="Times New Roman" w:hAnsi="Times New Roman" w:cs="Times New Roman"/>
                <w:shd w:val="clear" w:color="auto" w:fill="FFFFFF"/>
              </w:rPr>
              <w:t> </w:t>
            </w:r>
            <w:r w:rsidRPr="007D6870">
              <w:rPr>
                <w:rStyle w:val="hard-blue-color"/>
                <w:rFonts w:ascii="Times New Roman" w:hAnsi="Times New Roman" w:cs="Times New Roman"/>
                <w:shd w:val="clear" w:color="auto" w:fill="FFFFFF"/>
              </w:rPr>
              <w:t xml:space="preserve">Закону України "Про Національне агентство України з питань виявлення, розшуку та управління активами, </w:t>
            </w:r>
            <w:r w:rsidRPr="007D6870">
              <w:rPr>
                <w:rStyle w:val="hard-blue-color"/>
                <w:rFonts w:ascii="Times New Roman" w:hAnsi="Times New Roman" w:cs="Times New Roman"/>
                <w:shd w:val="clear" w:color="auto" w:fill="FFFFFF"/>
              </w:rPr>
              <w:lastRenderedPageBreak/>
              <w:t>одержаними від корупційних та інших злочинів"</w:t>
            </w:r>
            <w:r w:rsidRPr="007D6870">
              <w:rPr>
                <w:rFonts w:ascii="Times New Roman" w:hAnsi="Times New Roman" w:cs="Times New Roman"/>
                <w:shd w:val="clear" w:color="auto" w:fill="FFFFFF"/>
              </w:rPr>
              <w:t>, або повернення цілісного майнового комплексу з управління законному власнику у встановленому законодавством порядку;</w:t>
            </w:r>
            <w:r w:rsidRPr="007D6870">
              <w:rPr>
                <w:rFonts w:ascii="Times New Roman" w:eastAsia="Times New Roman" w:hAnsi="Times New Roman" w:cs="Times New Roman"/>
                <w:lang w:eastAsia="ru-RU"/>
              </w:rPr>
              <w:t xml:space="preserve"> </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5) несплата за видачу ліцензії.</w:t>
            </w:r>
          </w:p>
          <w:p w:rsidR="00640358" w:rsidRDefault="007D6870" w:rsidP="00661933">
            <w:pPr>
              <w:jc w:val="both"/>
              <w:rPr>
                <w:rFonts w:ascii="Times New Roman" w:hAnsi="Times New Roman" w:cs="Times New Roman"/>
              </w:rPr>
            </w:pPr>
            <w:r>
              <w:rPr>
                <w:rFonts w:ascii="Times New Roman" w:hAnsi="Times New Roman" w:cs="Times New Roman"/>
              </w:rPr>
              <w:t xml:space="preserve">      </w:t>
            </w:r>
          </w:p>
          <w:p w:rsidR="007D6870" w:rsidRPr="007D6870" w:rsidRDefault="007D6870" w:rsidP="00640358">
            <w:pPr>
              <w:ind w:firstLine="306"/>
              <w:jc w:val="both"/>
              <w:rPr>
                <w:rFonts w:ascii="Times New Roman" w:hAnsi="Times New Roman" w:cs="Times New Roman"/>
                <w:b/>
              </w:rPr>
            </w:pPr>
            <w:r w:rsidRPr="007D6870">
              <w:rPr>
                <w:rFonts w:ascii="Times New Roman" w:hAnsi="Times New Roman" w:cs="Times New Roman"/>
                <w:b/>
              </w:rPr>
              <w:t>Положення відсутнє.</w:t>
            </w:r>
          </w:p>
        </w:tc>
        <w:tc>
          <w:tcPr>
            <w:tcW w:w="7564" w:type="dxa"/>
          </w:tcPr>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lastRenderedPageBreak/>
              <w:t>6.4. НКРЕКП має право прийняти рішення про зупинення дії ліцензії (повністю або частково) у разі настання таких підстав:</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1) отримання заяви ліцензіата про зупинення власної ліцензії на строк до шести місяців з дня набрання чинності рішенням про зупинення дії ліцензії.</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Не є підставою для зупинення дії ліцензії заява ліцензіата про зупинення власної ліцензії,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перевірки та усунення порушень ліцензійних умов та законодавства у сферах енергетики та комунальних послуг;</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протягом тридцяти робочих днів після закінчення спливу строку виконання ліцензіатом рішення про усунення порушень ліцензійних умов (крім випадку видання протягом цього строку НКРЕКП розпорядчого документа про проведення позапланової перевірки виконання ліцензіатом рішення про усунення порушень ліцензійних умов та законодавства у сферах енергетики та комунальних послуг);</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2) складення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невиконання рішення про усунення порушень ліцензійних умов та законодавства у сферах енергетики та комунальних послуг за результатами перевірки НКРЕКП до повного виконання ліцензіатом такого рішення, але не більше шести місяців з дня набрання чинності рішенням про зупинення дії ліцензії;</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3) передача ліцензіатом цілісного майнового комплексу іншому суб'єкту господарювання, який отримав відповідну ліцензію;</w:t>
            </w:r>
          </w:p>
          <w:p w:rsidR="007D6870" w:rsidRP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4) </w:t>
            </w:r>
            <w:r w:rsidRPr="007D6870">
              <w:rPr>
                <w:rFonts w:ascii="Times New Roman" w:hAnsi="Times New Roman" w:cs="Times New Roman"/>
                <w:shd w:val="clear" w:color="auto" w:fill="FFFFFF"/>
              </w:rPr>
              <w:t xml:space="preserve"> передача цілісного майнового комплексу ліцензіата в управління іншому суб'єкту господарювання за договором на підставах, у порядку та на умовах, визначених </w:t>
            </w:r>
            <w:hyperlink r:id="rId6" w:tgtFrame="_blank" w:history="1">
              <w:r w:rsidRPr="007D6870">
                <w:rPr>
                  <w:rStyle w:val="hard-blue-color"/>
                  <w:rFonts w:ascii="Times New Roman" w:hAnsi="Times New Roman" w:cs="Times New Roman"/>
                  <w:shd w:val="clear" w:color="auto" w:fill="FFFFFF"/>
                </w:rPr>
                <w:t>статтями 21</w:t>
              </w:r>
            </w:hyperlink>
            <w:r w:rsidRPr="007D6870">
              <w:rPr>
                <w:rFonts w:ascii="Times New Roman" w:hAnsi="Times New Roman" w:cs="Times New Roman"/>
                <w:shd w:val="clear" w:color="auto" w:fill="FFFFFF"/>
              </w:rPr>
              <w:t> </w:t>
            </w:r>
            <w:hyperlink r:id="rId7" w:tgtFrame="_blank" w:history="1">
              <w:r w:rsidRPr="007D6870">
                <w:rPr>
                  <w:rStyle w:val="a5"/>
                  <w:rFonts w:ascii="Times New Roman" w:hAnsi="Times New Roman" w:cs="Times New Roman"/>
                  <w:color w:val="auto"/>
                  <w:u w:val="none"/>
                  <w:shd w:val="clear" w:color="auto" w:fill="FFFFFF"/>
                </w:rPr>
                <w:t>та</w:t>
              </w:r>
            </w:hyperlink>
            <w:r w:rsidRPr="007D6870">
              <w:rPr>
                <w:rFonts w:ascii="Times New Roman" w:hAnsi="Times New Roman" w:cs="Times New Roman"/>
                <w:shd w:val="clear" w:color="auto" w:fill="FFFFFF"/>
              </w:rPr>
              <w:t> </w:t>
            </w:r>
            <w:r w:rsidRPr="007D6870">
              <w:rPr>
                <w:rStyle w:val="hard-blue-color"/>
                <w:rFonts w:ascii="Times New Roman" w:hAnsi="Times New Roman" w:cs="Times New Roman"/>
                <w:shd w:val="clear" w:color="auto" w:fill="FFFFFF"/>
              </w:rPr>
              <w:t>21</w:t>
            </w:r>
            <w:r w:rsidRPr="007D6870">
              <w:rPr>
                <w:rStyle w:val="hard-blue-color"/>
                <w:rFonts w:ascii="Times New Roman" w:hAnsi="Times New Roman" w:cs="Times New Roman"/>
                <w:shd w:val="clear" w:color="auto" w:fill="FFFFFF"/>
                <w:vertAlign w:val="superscript"/>
              </w:rPr>
              <w:t>1</w:t>
            </w:r>
            <w:r w:rsidRPr="007D6870">
              <w:rPr>
                <w:rFonts w:ascii="Times New Roman" w:hAnsi="Times New Roman" w:cs="Times New Roman"/>
                <w:shd w:val="clear" w:color="auto" w:fill="FFFFFF"/>
              </w:rPr>
              <w:t> </w:t>
            </w:r>
            <w:r w:rsidRPr="007D6870">
              <w:rPr>
                <w:rStyle w:val="hard-blue-color"/>
                <w:rFonts w:ascii="Times New Roman" w:hAnsi="Times New Roman" w:cs="Times New Roman"/>
                <w:shd w:val="clear" w:color="auto" w:fill="FFFFFF"/>
              </w:rPr>
              <w:t xml:space="preserve">Закону України "Про Національне агентство України з питань виявлення, розшуку та управління активами, </w:t>
            </w:r>
            <w:r w:rsidRPr="007D6870">
              <w:rPr>
                <w:rStyle w:val="hard-blue-color"/>
                <w:rFonts w:ascii="Times New Roman" w:hAnsi="Times New Roman" w:cs="Times New Roman"/>
                <w:shd w:val="clear" w:color="auto" w:fill="FFFFFF"/>
              </w:rPr>
              <w:lastRenderedPageBreak/>
              <w:t>одержаними від корупційних та інших злочинів"</w:t>
            </w:r>
            <w:r w:rsidRPr="007D6870">
              <w:rPr>
                <w:rFonts w:ascii="Times New Roman" w:hAnsi="Times New Roman" w:cs="Times New Roman"/>
                <w:shd w:val="clear" w:color="auto" w:fill="FFFFFF"/>
              </w:rPr>
              <w:t>, або повернення цілісного майнового комплексу з управління законному власнику у встановленому законодавством порядку;</w:t>
            </w:r>
            <w:r w:rsidRPr="007D6870">
              <w:rPr>
                <w:rFonts w:ascii="Times New Roman" w:eastAsia="Times New Roman" w:hAnsi="Times New Roman" w:cs="Times New Roman"/>
                <w:lang w:eastAsia="ru-RU"/>
              </w:rPr>
              <w:t xml:space="preserve"> </w:t>
            </w:r>
          </w:p>
          <w:p w:rsidR="007D6870" w:rsidRDefault="007D6870" w:rsidP="007D6870">
            <w:pPr>
              <w:shd w:val="clear" w:color="auto" w:fill="FFFFFF"/>
              <w:ind w:left="22" w:firstLine="28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5) несплата за видачу ліцензії.</w:t>
            </w:r>
          </w:p>
          <w:p w:rsidR="00640358" w:rsidRPr="007D6870" w:rsidRDefault="00640358" w:rsidP="007D6870">
            <w:pPr>
              <w:shd w:val="clear" w:color="auto" w:fill="FFFFFF"/>
              <w:ind w:left="22" w:firstLine="284"/>
              <w:jc w:val="both"/>
              <w:rPr>
                <w:rFonts w:ascii="Times New Roman" w:eastAsia="Times New Roman" w:hAnsi="Times New Roman" w:cs="Times New Roman"/>
                <w:lang w:eastAsia="ru-RU"/>
              </w:rPr>
            </w:pPr>
          </w:p>
          <w:p w:rsidR="00640358" w:rsidRPr="00640358" w:rsidRDefault="007D6870" w:rsidP="00640358">
            <w:pPr>
              <w:shd w:val="clear" w:color="auto" w:fill="FFFFFF"/>
              <w:ind w:left="22" w:firstLine="284"/>
              <w:jc w:val="both"/>
              <w:rPr>
                <w:rFonts w:ascii="Times New Roman" w:hAnsi="Times New Roman" w:cs="Times New Roman"/>
                <w:b/>
              </w:rPr>
            </w:pPr>
            <w:r w:rsidRPr="007D6870">
              <w:rPr>
                <w:rFonts w:ascii="Times New Roman" w:hAnsi="Times New Roman" w:cs="Times New Roman"/>
                <w:b/>
              </w:rPr>
              <w:t>Зупинення дії ліцензії може бути застосовано як санкцію до ліцензіатів відповідно до Закону України «Про санкції».»</w:t>
            </w:r>
            <w:bookmarkStart w:id="0" w:name="_GoBack"/>
            <w:bookmarkEnd w:id="0"/>
          </w:p>
        </w:tc>
      </w:tr>
      <w:tr w:rsidR="007D6870" w:rsidRPr="009C0062" w:rsidTr="002925D7">
        <w:tc>
          <w:tcPr>
            <w:tcW w:w="15128" w:type="dxa"/>
            <w:gridSpan w:val="2"/>
          </w:tcPr>
          <w:p w:rsidR="007D6870" w:rsidRPr="007D6870" w:rsidRDefault="007D6870" w:rsidP="00640358">
            <w:pPr>
              <w:shd w:val="clear" w:color="auto" w:fill="FFFFFF"/>
              <w:ind w:left="22" w:firstLine="284"/>
              <w:jc w:val="center"/>
              <w:rPr>
                <w:rFonts w:ascii="Times New Roman" w:eastAsia="Times New Roman" w:hAnsi="Times New Roman" w:cs="Times New Roman"/>
                <w:lang w:eastAsia="ru-RU"/>
              </w:rPr>
            </w:pPr>
            <w:r w:rsidRPr="007D6870">
              <w:rPr>
                <w:rFonts w:ascii="Times New Roman" w:hAnsi="Times New Roman" w:cs="Times New Roman"/>
              </w:rPr>
              <w:t xml:space="preserve">Глава </w:t>
            </w:r>
            <w:r>
              <w:rPr>
                <w:rFonts w:ascii="Times New Roman" w:hAnsi="Times New Roman" w:cs="Times New Roman"/>
              </w:rPr>
              <w:t>7</w:t>
            </w:r>
          </w:p>
        </w:tc>
      </w:tr>
      <w:tr w:rsidR="007D6870" w:rsidRPr="009C0062" w:rsidTr="00661933">
        <w:tc>
          <w:tcPr>
            <w:tcW w:w="7564" w:type="dxa"/>
          </w:tcPr>
          <w:p w:rsidR="007D6870" w:rsidRDefault="007D6870" w:rsidP="007D6870">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7.1. НКРЕКП має право прийняти рішення про анулювання ліцензії у разі настання таких підстав:</w:t>
            </w:r>
          </w:p>
          <w:p w:rsidR="007D6870" w:rsidRDefault="007D6870" w:rsidP="007D6870">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1) отримання заяви ліцензіата про анулювання власної ліцензії.</w:t>
            </w:r>
          </w:p>
          <w:p w:rsidR="007D6870" w:rsidRDefault="007D6870" w:rsidP="007D6870">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Заява ліцензіата про анулювання власної ліцензії може не розглядатися як підстава для її анулювання, якщо:</w:t>
            </w:r>
          </w:p>
          <w:p w:rsidR="00640358" w:rsidRDefault="007D6870"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вона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 перевірки та усунення порушень ліцензійних умов та законодавства у сферах енергетики та комунальних послуг;</w:t>
            </w:r>
          </w:p>
          <w:p w:rsidR="00640358" w:rsidRDefault="007D6870"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ліцензіатом не сплачено внесків на регулювання за звітний період;</w:t>
            </w:r>
          </w:p>
          <w:p w:rsidR="00640358" w:rsidRDefault="007D6870"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ліцензіатом не надано НКРЕКП у повному обсязі звітності, передбаченої законодавством, за звітний період;</w:t>
            </w:r>
          </w:p>
          <w:p w:rsidR="00640358" w:rsidRDefault="007D6870"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ліцензіат не звернувся до НКРЕКП щодо проведення перевірки додержання ним ліцензійних умов та законодавства у сферах енергетики та комунальних послуг відповідно до пункту 6.3 цього Порядку і до закінчення перевірки додержання ним ліцензійних умов та законодавства у сферах енергетики та комунальних послуг та/або усунення ним порушень ліцензійних умов та законодавства у сферах енергетики та комунальних послуг;</w:t>
            </w:r>
          </w:p>
          <w:p w:rsidR="00640358" w:rsidRDefault="007D6870"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2)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w:t>
            </w:r>
            <w:proofErr w:type="spellStart"/>
            <w:r w:rsidRPr="007D6870">
              <w:rPr>
                <w:rFonts w:ascii="Times New Roman" w:eastAsia="Times New Roman" w:hAnsi="Times New Roman" w:cs="Times New Roman"/>
                <w:lang w:eastAsia="ru-RU"/>
              </w:rPr>
              <w:t>неусунення</w:t>
            </w:r>
            <w:proofErr w:type="spellEnd"/>
            <w:r w:rsidRPr="007D6870">
              <w:rPr>
                <w:rFonts w:ascii="Times New Roman" w:eastAsia="Times New Roman" w:hAnsi="Times New Roman" w:cs="Times New Roman"/>
                <w:lang w:eastAsia="ru-RU"/>
              </w:rPr>
              <w:t xml:space="preserve"> ліцензіатом протягом строку зупинення дії ліцензії підстав, що стали причиною для її зупинення за результатами перевірки НКРЕКП;</w:t>
            </w:r>
          </w:p>
          <w:p w:rsidR="00640358" w:rsidRDefault="007D6870"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3)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 крім випадку та строку, передбачених у пункті 5.3 цього Порядку;</w:t>
            </w:r>
          </w:p>
          <w:p w:rsidR="00640358" w:rsidRDefault="007D6870"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4) подання копії свідоцтва про смерть фізичної особи - підприємця (у разі відсутності правонаступника);</w:t>
            </w:r>
          </w:p>
          <w:p w:rsidR="00640358" w:rsidRDefault="007D6870"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lastRenderedPageBreak/>
              <w:t>5) наявність судового рішення про визнання фізичної особи - підприємця безвісно відсутньою у зв'язку з її смертю, визнанням її безвісно відсутньою або оголошенням померлою (у разі відсутності правонаступника);</w:t>
            </w:r>
          </w:p>
          <w:p w:rsidR="00640358" w:rsidRDefault="007D6870"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6)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повторне порушення ліцензіатом ліцензійних умов та законодавства у сферах енергетики та комунальних послуг за результатами перевірки НКРЕКП;</w:t>
            </w:r>
          </w:p>
          <w:p w:rsidR="00640358" w:rsidRDefault="007D6870"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7)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виявлення недостовірності даних у документах, поданих суб'єктом господарювання разом із заявою про отримання ліцензії.</w:t>
            </w:r>
          </w:p>
          <w:p w:rsidR="00640358" w:rsidRDefault="007D6870"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У разі якщо недостовірними даними в документах, поданих суб'єктом господарювання разом із заявою про отримання ліцензії, є інформація про відсутність контролю за діяльністю ліцензіата у значенні, наведеному у </w:t>
            </w:r>
            <w:hyperlink r:id="rId8" w:tgtFrame="_blank" w:history="1">
              <w:r w:rsidRPr="007D6870">
                <w:rPr>
                  <w:rFonts w:ascii="Times New Roman" w:eastAsia="Times New Roman" w:hAnsi="Times New Roman" w:cs="Times New Roman"/>
                  <w:lang w:eastAsia="ru-RU"/>
                </w:rPr>
                <w:t>статті 1 Закону України "Про захист економічної конкуренції"</w:t>
              </w:r>
            </w:hyperlink>
            <w:r w:rsidRPr="007D6870">
              <w:rPr>
                <w:rFonts w:ascii="Times New Roman" w:eastAsia="Times New Roman" w:hAnsi="Times New Roman" w:cs="Times New Roman"/>
                <w:lang w:eastAsia="ru-RU"/>
              </w:rPr>
              <w:t>, резидентами держав, що здійснюють збройну агресію проти України, у значенні, наведеному у </w:t>
            </w:r>
            <w:hyperlink r:id="rId9" w:tgtFrame="_blank" w:history="1">
              <w:r w:rsidRPr="007D6870">
                <w:rPr>
                  <w:rFonts w:ascii="Times New Roman" w:eastAsia="Times New Roman" w:hAnsi="Times New Roman" w:cs="Times New Roman"/>
                  <w:lang w:eastAsia="ru-RU"/>
                </w:rPr>
                <w:t>статті 1 Закону України "Про оборону України"</w:t>
              </w:r>
            </w:hyperlink>
            <w:r w:rsidRPr="007D6870">
              <w:rPr>
                <w:rFonts w:ascii="Times New Roman" w:eastAsia="Times New Roman" w:hAnsi="Times New Roman" w:cs="Times New Roman"/>
                <w:lang w:eastAsia="ru-RU"/>
              </w:rPr>
              <w:t>, складається акт, передбачений підпунктом 9 цього пункту;</w:t>
            </w:r>
          </w:p>
          <w:p w:rsidR="00640358" w:rsidRDefault="007D6870"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8)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відмову ліцензіата у проведенні перевірки НКРЕКП;</w:t>
            </w:r>
          </w:p>
          <w:p w:rsidR="007D6870" w:rsidRPr="007D6870" w:rsidRDefault="007D6870"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9)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документальне підтвердження встановлення контролю за діяльністю ліцензіата у значенні, наведеному у </w:t>
            </w:r>
            <w:hyperlink r:id="rId10" w:tgtFrame="_blank" w:history="1">
              <w:r w:rsidRPr="007D6870">
                <w:rPr>
                  <w:rFonts w:ascii="Times New Roman" w:eastAsia="Times New Roman" w:hAnsi="Times New Roman" w:cs="Times New Roman"/>
                  <w:lang w:eastAsia="ru-RU"/>
                </w:rPr>
                <w:t>статті 1 Закону України "Про захист економічної конкуренції"</w:t>
              </w:r>
            </w:hyperlink>
            <w:r w:rsidRPr="007D6870">
              <w:rPr>
                <w:rFonts w:ascii="Times New Roman" w:eastAsia="Times New Roman" w:hAnsi="Times New Roman" w:cs="Times New Roman"/>
                <w:lang w:eastAsia="ru-RU"/>
              </w:rPr>
              <w:t>, резидентами держав, що здійснюють збройну агресію проти України, у значенні, наведеному у </w:t>
            </w:r>
            <w:hyperlink r:id="rId11" w:tgtFrame="_blank" w:history="1">
              <w:r w:rsidRPr="007D6870">
                <w:rPr>
                  <w:rFonts w:ascii="Times New Roman" w:eastAsia="Times New Roman" w:hAnsi="Times New Roman" w:cs="Times New Roman"/>
                  <w:lang w:eastAsia="ru-RU"/>
                </w:rPr>
                <w:t>статті 1 Закону України "Про оборону України"</w:t>
              </w:r>
            </w:hyperlink>
            <w:r w:rsidRPr="007D6870">
              <w:rPr>
                <w:rFonts w:ascii="Times New Roman" w:eastAsia="Times New Roman" w:hAnsi="Times New Roman" w:cs="Times New Roman"/>
                <w:lang w:eastAsia="ru-RU"/>
              </w:rPr>
              <w:t>, за результатами перевірки НКРЕКП.</w:t>
            </w:r>
          </w:p>
          <w:p w:rsidR="00640358" w:rsidRDefault="00640358" w:rsidP="00640358">
            <w:pPr>
              <w:ind w:firstLine="306"/>
              <w:rPr>
                <w:rFonts w:ascii="Times New Roman" w:hAnsi="Times New Roman" w:cs="Times New Roman"/>
                <w:b/>
              </w:rPr>
            </w:pPr>
          </w:p>
          <w:p w:rsidR="007D6870" w:rsidRPr="007D6870" w:rsidRDefault="00640358" w:rsidP="00640358">
            <w:pPr>
              <w:ind w:firstLine="306"/>
              <w:rPr>
                <w:rFonts w:ascii="Times New Roman" w:hAnsi="Times New Roman" w:cs="Times New Roman"/>
              </w:rPr>
            </w:pPr>
            <w:r w:rsidRPr="007D6870">
              <w:rPr>
                <w:rFonts w:ascii="Times New Roman" w:hAnsi="Times New Roman" w:cs="Times New Roman"/>
                <w:b/>
              </w:rPr>
              <w:t>Положення відсутнє.</w:t>
            </w:r>
          </w:p>
        </w:tc>
        <w:tc>
          <w:tcPr>
            <w:tcW w:w="7564" w:type="dxa"/>
          </w:tcPr>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lastRenderedPageBreak/>
              <w:t>7.1. НКРЕКП має право прийняти рішення про анулювання ліцензії у разі настання таких підстав:</w:t>
            </w:r>
          </w:p>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1) отримання заяви ліцензіата про анулювання власної ліцензії.</w:t>
            </w:r>
          </w:p>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Заява ліцензіата про анулювання власної ліцензії може не розглядатися як підстава для її анулювання, якщо:</w:t>
            </w:r>
          </w:p>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вона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 перевірки та усунення порушень ліцензійних умов та законодавства у сферах енергетики та комунальних послуг;</w:t>
            </w:r>
          </w:p>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ліцензіатом не сплачено внесків на регулювання за звітний період;</w:t>
            </w:r>
          </w:p>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ліцензіатом не надано НКРЕКП у повному обсязі звітності, передбаченої законодавством, за звітний період;</w:t>
            </w:r>
          </w:p>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ліцензіат не звернувся до НКРЕКП щодо проведення перевірки додержання ним ліцензійних умов та законодавства у сферах енергетики та комунальних послуг відповідно до пункту 6.3 цього Порядку і до закінчення перевірки додержання ним ліцензійних умов та законодавства у сферах енергетики та комунальних послуг та/або усунення ним порушень ліцензійних умов та законодавства у сферах енергетики та комунальних послуг;</w:t>
            </w:r>
          </w:p>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2)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w:t>
            </w:r>
            <w:proofErr w:type="spellStart"/>
            <w:r w:rsidRPr="007D6870">
              <w:rPr>
                <w:rFonts w:ascii="Times New Roman" w:eastAsia="Times New Roman" w:hAnsi="Times New Roman" w:cs="Times New Roman"/>
                <w:lang w:eastAsia="ru-RU"/>
              </w:rPr>
              <w:t>неусунення</w:t>
            </w:r>
            <w:proofErr w:type="spellEnd"/>
            <w:r w:rsidRPr="007D6870">
              <w:rPr>
                <w:rFonts w:ascii="Times New Roman" w:eastAsia="Times New Roman" w:hAnsi="Times New Roman" w:cs="Times New Roman"/>
                <w:lang w:eastAsia="ru-RU"/>
              </w:rPr>
              <w:t xml:space="preserve"> ліцензіатом протягом строку зупинення дії ліцензії підстав, що стали причиною для її зупинення за результатами перевірки НКРЕКП;</w:t>
            </w:r>
          </w:p>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3) 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 - підприємця), крім випадку та строку, передбачених у пункті 5.3 цього Порядку;</w:t>
            </w:r>
          </w:p>
          <w:p w:rsidR="00640358" w:rsidRDefault="00640358" w:rsidP="00640358">
            <w:pPr>
              <w:shd w:val="clear" w:color="auto" w:fill="FFFFFF"/>
              <w:ind w:firstLine="164"/>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4) подання копії свідоцтва про смерть фізичної особи - підприємця (у разі відсутності правонаступника);</w:t>
            </w:r>
          </w:p>
          <w:p w:rsidR="00640358" w:rsidRDefault="00640358"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lastRenderedPageBreak/>
              <w:t>5) наявність судового рішення про визнання фізичної особи - підприємця безвісно відсутньою у зв'язку з її смертю, визнанням її безвісно відсутньою або оголошенням померлою (у разі відсутності правонаступника);</w:t>
            </w:r>
          </w:p>
          <w:p w:rsidR="00640358" w:rsidRDefault="00640358"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6)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повторне порушення ліцензіатом ліцензійних умов та законодавства у сферах енергетики та комунальних послуг за результатами перевірки НКРЕКП;</w:t>
            </w:r>
          </w:p>
          <w:p w:rsidR="00640358" w:rsidRDefault="00640358"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7)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виявлення недостовірності даних у документах, поданих суб'єктом господарювання разом із заявою про отримання ліцензії.</w:t>
            </w:r>
          </w:p>
          <w:p w:rsidR="00640358" w:rsidRDefault="00640358"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У разі якщо недостовірними даними в документах, поданих суб'єктом господарювання разом із заявою про отримання ліцензії, є інформація про відсутність контролю за діяльністю ліцензіата у значенні, наведеному у </w:t>
            </w:r>
            <w:hyperlink r:id="rId12" w:tgtFrame="_blank" w:history="1">
              <w:r w:rsidRPr="007D6870">
                <w:rPr>
                  <w:rFonts w:ascii="Times New Roman" w:eastAsia="Times New Roman" w:hAnsi="Times New Roman" w:cs="Times New Roman"/>
                  <w:lang w:eastAsia="ru-RU"/>
                </w:rPr>
                <w:t>статті 1 Закону України "Про захист економічної конкуренції"</w:t>
              </w:r>
            </w:hyperlink>
            <w:r w:rsidRPr="007D6870">
              <w:rPr>
                <w:rFonts w:ascii="Times New Roman" w:eastAsia="Times New Roman" w:hAnsi="Times New Roman" w:cs="Times New Roman"/>
                <w:lang w:eastAsia="ru-RU"/>
              </w:rPr>
              <w:t>, резидентами держав, що здійснюють збройну агресію проти України, у значенні, наведеному у </w:t>
            </w:r>
            <w:hyperlink r:id="rId13" w:tgtFrame="_blank" w:history="1">
              <w:r w:rsidRPr="007D6870">
                <w:rPr>
                  <w:rFonts w:ascii="Times New Roman" w:eastAsia="Times New Roman" w:hAnsi="Times New Roman" w:cs="Times New Roman"/>
                  <w:lang w:eastAsia="ru-RU"/>
                </w:rPr>
                <w:t>статті 1 Закону України "Про оборону України"</w:t>
              </w:r>
            </w:hyperlink>
            <w:r w:rsidRPr="007D6870">
              <w:rPr>
                <w:rFonts w:ascii="Times New Roman" w:eastAsia="Times New Roman" w:hAnsi="Times New Roman" w:cs="Times New Roman"/>
                <w:lang w:eastAsia="ru-RU"/>
              </w:rPr>
              <w:t>, складається акт, передбачений підпунктом 9 цього пункту;</w:t>
            </w:r>
          </w:p>
          <w:p w:rsidR="00640358" w:rsidRDefault="00640358"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8)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відмову ліцензіата у проведенні перевірки НКРЕКП;</w:t>
            </w:r>
          </w:p>
          <w:p w:rsidR="00640358" w:rsidRPr="007D6870" w:rsidRDefault="00640358" w:rsidP="00640358">
            <w:pPr>
              <w:shd w:val="clear" w:color="auto" w:fill="FFFFFF"/>
              <w:ind w:firstLine="306"/>
              <w:jc w:val="both"/>
              <w:rPr>
                <w:rFonts w:ascii="Times New Roman" w:eastAsia="Times New Roman" w:hAnsi="Times New Roman" w:cs="Times New Roman"/>
                <w:lang w:eastAsia="ru-RU"/>
              </w:rPr>
            </w:pPr>
            <w:r w:rsidRPr="007D6870">
              <w:rPr>
                <w:rFonts w:ascii="Times New Roman" w:eastAsia="Times New Roman" w:hAnsi="Times New Roman" w:cs="Times New Roman"/>
                <w:lang w:eastAsia="ru-RU"/>
              </w:rPr>
              <w:t xml:space="preserve">9) наявність </w:t>
            </w:r>
            <w:proofErr w:type="spellStart"/>
            <w:r w:rsidRPr="007D6870">
              <w:rPr>
                <w:rFonts w:ascii="Times New Roman" w:eastAsia="Times New Roman" w:hAnsi="Times New Roman" w:cs="Times New Roman"/>
                <w:lang w:eastAsia="ru-RU"/>
              </w:rPr>
              <w:t>акта</w:t>
            </w:r>
            <w:proofErr w:type="spellEnd"/>
            <w:r w:rsidRPr="007D6870">
              <w:rPr>
                <w:rFonts w:ascii="Times New Roman" w:eastAsia="Times New Roman" w:hAnsi="Times New Roman" w:cs="Times New Roman"/>
                <w:lang w:eastAsia="ru-RU"/>
              </w:rPr>
              <w:t xml:space="preserve"> про документальне підтвердження встановлення контролю за діяльністю ліцензіата у значенні, наведеному у </w:t>
            </w:r>
            <w:hyperlink r:id="rId14" w:tgtFrame="_blank" w:history="1">
              <w:r w:rsidRPr="007D6870">
                <w:rPr>
                  <w:rFonts w:ascii="Times New Roman" w:eastAsia="Times New Roman" w:hAnsi="Times New Roman" w:cs="Times New Roman"/>
                  <w:lang w:eastAsia="ru-RU"/>
                </w:rPr>
                <w:t>статті 1 Закону України "Про захист економічної конкуренції"</w:t>
              </w:r>
            </w:hyperlink>
            <w:r w:rsidRPr="007D6870">
              <w:rPr>
                <w:rFonts w:ascii="Times New Roman" w:eastAsia="Times New Roman" w:hAnsi="Times New Roman" w:cs="Times New Roman"/>
                <w:lang w:eastAsia="ru-RU"/>
              </w:rPr>
              <w:t>, резидентами держав, що здійснюють збройну агресію проти України, у значенні, наведеному у </w:t>
            </w:r>
            <w:hyperlink r:id="rId15" w:tgtFrame="_blank" w:history="1">
              <w:r w:rsidRPr="007D6870">
                <w:rPr>
                  <w:rFonts w:ascii="Times New Roman" w:eastAsia="Times New Roman" w:hAnsi="Times New Roman" w:cs="Times New Roman"/>
                  <w:lang w:eastAsia="ru-RU"/>
                </w:rPr>
                <w:t>статті 1 Закону України "Про оборону України"</w:t>
              </w:r>
            </w:hyperlink>
            <w:r w:rsidRPr="007D6870">
              <w:rPr>
                <w:rFonts w:ascii="Times New Roman" w:eastAsia="Times New Roman" w:hAnsi="Times New Roman" w:cs="Times New Roman"/>
                <w:lang w:eastAsia="ru-RU"/>
              </w:rPr>
              <w:t>, за результатами перевірки НКРЕКП.</w:t>
            </w:r>
          </w:p>
          <w:p w:rsidR="00640358" w:rsidRDefault="00640358" w:rsidP="00661933">
            <w:pPr>
              <w:shd w:val="clear" w:color="auto" w:fill="FFFFFF"/>
              <w:tabs>
                <w:tab w:val="left" w:pos="851"/>
              </w:tabs>
              <w:ind w:firstLine="259"/>
              <w:jc w:val="both"/>
              <w:rPr>
                <w:rFonts w:ascii="Times New Roman" w:hAnsi="Times New Roman" w:cs="Times New Roman"/>
                <w:b/>
              </w:rPr>
            </w:pPr>
          </w:p>
          <w:p w:rsidR="007D6870" w:rsidRPr="00640358" w:rsidRDefault="00640358" w:rsidP="00661933">
            <w:pPr>
              <w:shd w:val="clear" w:color="auto" w:fill="FFFFFF"/>
              <w:tabs>
                <w:tab w:val="left" w:pos="851"/>
              </w:tabs>
              <w:ind w:firstLine="259"/>
              <w:jc w:val="both"/>
              <w:rPr>
                <w:rFonts w:ascii="Times New Roman" w:hAnsi="Times New Roman" w:cs="Times New Roman"/>
                <w:b/>
                <w:shd w:val="clear" w:color="auto" w:fill="FFFFFF"/>
              </w:rPr>
            </w:pPr>
            <w:r w:rsidRPr="00640358">
              <w:rPr>
                <w:rFonts w:ascii="Times New Roman" w:hAnsi="Times New Roman" w:cs="Times New Roman"/>
                <w:b/>
              </w:rPr>
              <w:t>Анулювання ліцензії може бути застосовано як санкція до ліцензіатів відповідно до Закону України «Про санкції».</w:t>
            </w:r>
          </w:p>
        </w:tc>
      </w:tr>
    </w:tbl>
    <w:p w:rsidR="007D6870" w:rsidRDefault="007D6870" w:rsidP="007D6870">
      <w:pPr>
        <w:spacing w:after="0" w:line="240" w:lineRule="auto"/>
      </w:pPr>
    </w:p>
    <w:p w:rsidR="0036459A" w:rsidRDefault="0036459A"/>
    <w:sectPr w:rsidR="0036459A" w:rsidSect="00246F5F">
      <w:pgSz w:w="16838" w:h="11906" w:orient="landscape"/>
      <w:pgMar w:top="1134"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870"/>
    <w:rsid w:val="0036459A"/>
    <w:rsid w:val="00640358"/>
    <w:rsid w:val="007D6870"/>
    <w:rsid w:val="009B6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D9EB3"/>
  <w15:chartTrackingRefBased/>
  <w15:docId w15:val="{95D36B0A-8E97-4615-BAF9-F089B8E3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687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68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
    <w:name w:val="tj"/>
    <w:basedOn w:val="a"/>
    <w:rsid w:val="007D687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01">
    <w:name w:val="fontstyle01"/>
    <w:basedOn w:val="a0"/>
    <w:rsid w:val="007D6870"/>
    <w:rPr>
      <w:rFonts w:ascii="TimesNewRomanPSMT" w:hAnsi="TimesNewRomanPSMT" w:hint="default"/>
      <w:b w:val="0"/>
      <w:bCs w:val="0"/>
      <w:i w:val="0"/>
      <w:iCs w:val="0"/>
      <w:color w:val="000000"/>
      <w:sz w:val="28"/>
      <w:szCs w:val="28"/>
    </w:rPr>
  </w:style>
  <w:style w:type="paragraph" w:customStyle="1" w:styleId="a4">
    <w:name w:val=" Знак Знак"/>
    <w:basedOn w:val="a"/>
    <w:rsid w:val="007D6870"/>
    <w:pPr>
      <w:spacing w:after="0" w:line="240" w:lineRule="auto"/>
    </w:pPr>
    <w:rPr>
      <w:rFonts w:ascii="Verdana" w:eastAsia="Times New Roman" w:hAnsi="Verdana" w:cs="Verdana"/>
      <w:sz w:val="20"/>
      <w:szCs w:val="20"/>
      <w:lang w:val="en-US"/>
    </w:rPr>
  </w:style>
  <w:style w:type="character" w:styleId="a5">
    <w:name w:val="Hyperlink"/>
    <w:basedOn w:val="a0"/>
    <w:uiPriority w:val="99"/>
    <w:semiHidden/>
    <w:unhideWhenUsed/>
    <w:rsid w:val="007D6870"/>
    <w:rPr>
      <w:color w:val="0000FF"/>
      <w:u w:val="single"/>
    </w:rPr>
  </w:style>
  <w:style w:type="character" w:customStyle="1" w:styleId="hard-blue-color">
    <w:name w:val="hard-blue-color"/>
    <w:basedOn w:val="a0"/>
    <w:rsid w:val="007D6870"/>
  </w:style>
  <w:style w:type="paragraph" w:customStyle="1" w:styleId="tr">
    <w:name w:val="tr"/>
    <w:basedOn w:val="a"/>
    <w:rsid w:val="007D687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378021">
      <w:bodyDiv w:val="1"/>
      <w:marLeft w:val="0"/>
      <w:marRight w:val="0"/>
      <w:marTop w:val="0"/>
      <w:marBottom w:val="0"/>
      <w:divBdr>
        <w:top w:val="none" w:sz="0" w:space="0" w:color="auto"/>
        <w:left w:val="none" w:sz="0" w:space="0" w:color="auto"/>
        <w:bottom w:val="none" w:sz="0" w:space="0" w:color="auto"/>
        <w:right w:val="none" w:sz="0" w:space="0" w:color="auto"/>
      </w:divBdr>
      <w:divsChild>
        <w:div w:id="670328417">
          <w:marLeft w:val="0"/>
          <w:marRight w:val="0"/>
          <w:marTop w:val="0"/>
          <w:marBottom w:val="0"/>
          <w:divBdr>
            <w:top w:val="none" w:sz="0" w:space="0" w:color="auto"/>
            <w:left w:val="none" w:sz="0" w:space="0" w:color="auto"/>
            <w:bottom w:val="none" w:sz="0" w:space="0" w:color="auto"/>
            <w:right w:val="none" w:sz="0" w:space="0" w:color="auto"/>
          </w:divBdr>
        </w:div>
        <w:div w:id="1179468441">
          <w:marLeft w:val="0"/>
          <w:marRight w:val="0"/>
          <w:marTop w:val="0"/>
          <w:marBottom w:val="0"/>
          <w:divBdr>
            <w:top w:val="none" w:sz="0" w:space="0" w:color="auto"/>
            <w:left w:val="none" w:sz="0" w:space="0" w:color="auto"/>
            <w:bottom w:val="none" w:sz="0" w:space="0" w:color="auto"/>
            <w:right w:val="none" w:sz="0" w:space="0" w:color="auto"/>
          </w:divBdr>
        </w:div>
        <w:div w:id="332729542">
          <w:marLeft w:val="0"/>
          <w:marRight w:val="0"/>
          <w:marTop w:val="0"/>
          <w:marBottom w:val="0"/>
          <w:divBdr>
            <w:top w:val="none" w:sz="0" w:space="0" w:color="auto"/>
            <w:left w:val="none" w:sz="0" w:space="0" w:color="auto"/>
            <w:bottom w:val="none" w:sz="0" w:space="0" w:color="auto"/>
            <w:right w:val="none" w:sz="0" w:space="0" w:color="auto"/>
          </w:divBdr>
        </w:div>
        <w:div w:id="358625461">
          <w:marLeft w:val="0"/>
          <w:marRight w:val="0"/>
          <w:marTop w:val="0"/>
          <w:marBottom w:val="0"/>
          <w:divBdr>
            <w:top w:val="none" w:sz="0" w:space="0" w:color="auto"/>
            <w:left w:val="none" w:sz="0" w:space="0" w:color="auto"/>
            <w:bottom w:val="none" w:sz="0" w:space="0" w:color="auto"/>
            <w:right w:val="none" w:sz="0" w:space="0" w:color="auto"/>
          </w:divBdr>
        </w:div>
        <w:div w:id="849758219">
          <w:marLeft w:val="0"/>
          <w:marRight w:val="0"/>
          <w:marTop w:val="0"/>
          <w:marBottom w:val="0"/>
          <w:divBdr>
            <w:top w:val="none" w:sz="0" w:space="0" w:color="auto"/>
            <w:left w:val="none" w:sz="0" w:space="0" w:color="auto"/>
            <w:bottom w:val="none" w:sz="0" w:space="0" w:color="auto"/>
            <w:right w:val="none" w:sz="0" w:space="0" w:color="auto"/>
          </w:divBdr>
        </w:div>
        <w:div w:id="1603803158">
          <w:marLeft w:val="0"/>
          <w:marRight w:val="0"/>
          <w:marTop w:val="0"/>
          <w:marBottom w:val="0"/>
          <w:divBdr>
            <w:top w:val="none" w:sz="0" w:space="0" w:color="auto"/>
            <w:left w:val="none" w:sz="0" w:space="0" w:color="auto"/>
            <w:bottom w:val="none" w:sz="0" w:space="0" w:color="auto"/>
            <w:right w:val="none" w:sz="0" w:space="0" w:color="auto"/>
          </w:divBdr>
        </w:div>
        <w:div w:id="189538382">
          <w:marLeft w:val="0"/>
          <w:marRight w:val="0"/>
          <w:marTop w:val="0"/>
          <w:marBottom w:val="0"/>
          <w:divBdr>
            <w:top w:val="none" w:sz="0" w:space="0" w:color="auto"/>
            <w:left w:val="none" w:sz="0" w:space="0" w:color="auto"/>
            <w:bottom w:val="none" w:sz="0" w:space="0" w:color="auto"/>
            <w:right w:val="none" w:sz="0" w:space="0" w:color="auto"/>
          </w:divBdr>
        </w:div>
        <w:div w:id="1776172150">
          <w:marLeft w:val="0"/>
          <w:marRight w:val="0"/>
          <w:marTop w:val="0"/>
          <w:marBottom w:val="0"/>
          <w:divBdr>
            <w:top w:val="none" w:sz="0" w:space="0" w:color="auto"/>
            <w:left w:val="none" w:sz="0" w:space="0" w:color="auto"/>
            <w:bottom w:val="none" w:sz="0" w:space="0" w:color="auto"/>
            <w:right w:val="none" w:sz="0" w:space="0" w:color="auto"/>
          </w:divBdr>
        </w:div>
        <w:div w:id="539054413">
          <w:marLeft w:val="0"/>
          <w:marRight w:val="0"/>
          <w:marTop w:val="0"/>
          <w:marBottom w:val="0"/>
          <w:divBdr>
            <w:top w:val="none" w:sz="0" w:space="0" w:color="auto"/>
            <w:left w:val="none" w:sz="0" w:space="0" w:color="auto"/>
            <w:bottom w:val="none" w:sz="0" w:space="0" w:color="auto"/>
            <w:right w:val="none" w:sz="0" w:space="0" w:color="auto"/>
          </w:divBdr>
        </w:div>
        <w:div w:id="128404229">
          <w:marLeft w:val="0"/>
          <w:marRight w:val="0"/>
          <w:marTop w:val="0"/>
          <w:marBottom w:val="0"/>
          <w:divBdr>
            <w:top w:val="none" w:sz="0" w:space="0" w:color="auto"/>
            <w:left w:val="none" w:sz="0" w:space="0" w:color="auto"/>
            <w:bottom w:val="none" w:sz="0" w:space="0" w:color="auto"/>
            <w:right w:val="none" w:sz="0" w:space="0" w:color="auto"/>
          </w:divBdr>
        </w:div>
        <w:div w:id="445007037">
          <w:marLeft w:val="0"/>
          <w:marRight w:val="0"/>
          <w:marTop w:val="0"/>
          <w:marBottom w:val="0"/>
          <w:divBdr>
            <w:top w:val="none" w:sz="0" w:space="0" w:color="auto"/>
            <w:left w:val="none" w:sz="0" w:space="0" w:color="auto"/>
            <w:bottom w:val="none" w:sz="0" w:space="0" w:color="auto"/>
            <w:right w:val="none" w:sz="0" w:space="0" w:color="auto"/>
          </w:divBdr>
        </w:div>
        <w:div w:id="611013770">
          <w:marLeft w:val="0"/>
          <w:marRight w:val="0"/>
          <w:marTop w:val="0"/>
          <w:marBottom w:val="0"/>
          <w:divBdr>
            <w:top w:val="none" w:sz="0" w:space="0" w:color="auto"/>
            <w:left w:val="none" w:sz="0" w:space="0" w:color="auto"/>
            <w:bottom w:val="none" w:sz="0" w:space="0" w:color="auto"/>
            <w:right w:val="none" w:sz="0" w:space="0" w:color="auto"/>
          </w:divBdr>
        </w:div>
        <w:div w:id="1269510252">
          <w:marLeft w:val="0"/>
          <w:marRight w:val="0"/>
          <w:marTop w:val="0"/>
          <w:marBottom w:val="0"/>
          <w:divBdr>
            <w:top w:val="none" w:sz="0" w:space="0" w:color="auto"/>
            <w:left w:val="none" w:sz="0" w:space="0" w:color="auto"/>
            <w:bottom w:val="none" w:sz="0" w:space="0" w:color="auto"/>
            <w:right w:val="none" w:sz="0" w:space="0" w:color="auto"/>
          </w:divBdr>
        </w:div>
      </w:divsChild>
    </w:div>
    <w:div w:id="1643004882">
      <w:bodyDiv w:val="1"/>
      <w:marLeft w:val="0"/>
      <w:marRight w:val="0"/>
      <w:marTop w:val="0"/>
      <w:marBottom w:val="0"/>
      <w:divBdr>
        <w:top w:val="none" w:sz="0" w:space="0" w:color="auto"/>
        <w:left w:val="none" w:sz="0" w:space="0" w:color="auto"/>
        <w:bottom w:val="none" w:sz="0" w:space="0" w:color="auto"/>
        <w:right w:val="none" w:sz="0" w:space="0" w:color="auto"/>
      </w:divBdr>
      <w:divsChild>
        <w:div w:id="149367224">
          <w:marLeft w:val="0"/>
          <w:marRight w:val="0"/>
          <w:marTop w:val="0"/>
          <w:marBottom w:val="0"/>
          <w:divBdr>
            <w:top w:val="none" w:sz="0" w:space="0" w:color="auto"/>
            <w:left w:val="none" w:sz="0" w:space="0" w:color="auto"/>
            <w:bottom w:val="none" w:sz="0" w:space="0" w:color="auto"/>
            <w:right w:val="none" w:sz="0" w:space="0" w:color="auto"/>
          </w:divBdr>
        </w:div>
        <w:div w:id="212616141">
          <w:marLeft w:val="0"/>
          <w:marRight w:val="0"/>
          <w:marTop w:val="0"/>
          <w:marBottom w:val="0"/>
          <w:divBdr>
            <w:top w:val="none" w:sz="0" w:space="0" w:color="auto"/>
            <w:left w:val="none" w:sz="0" w:space="0" w:color="auto"/>
            <w:bottom w:val="none" w:sz="0" w:space="0" w:color="auto"/>
            <w:right w:val="none" w:sz="0" w:space="0" w:color="auto"/>
          </w:divBdr>
        </w:div>
        <w:div w:id="691876988">
          <w:marLeft w:val="0"/>
          <w:marRight w:val="0"/>
          <w:marTop w:val="0"/>
          <w:marBottom w:val="0"/>
          <w:divBdr>
            <w:top w:val="none" w:sz="0" w:space="0" w:color="auto"/>
            <w:left w:val="none" w:sz="0" w:space="0" w:color="auto"/>
            <w:bottom w:val="none" w:sz="0" w:space="0" w:color="auto"/>
            <w:right w:val="none" w:sz="0" w:space="0" w:color="auto"/>
          </w:divBdr>
        </w:div>
        <w:div w:id="85005986">
          <w:marLeft w:val="0"/>
          <w:marRight w:val="0"/>
          <w:marTop w:val="0"/>
          <w:marBottom w:val="0"/>
          <w:divBdr>
            <w:top w:val="none" w:sz="0" w:space="0" w:color="auto"/>
            <w:left w:val="none" w:sz="0" w:space="0" w:color="auto"/>
            <w:bottom w:val="none" w:sz="0" w:space="0" w:color="auto"/>
            <w:right w:val="none" w:sz="0" w:space="0" w:color="auto"/>
          </w:divBdr>
        </w:div>
        <w:div w:id="1287081191">
          <w:marLeft w:val="0"/>
          <w:marRight w:val="0"/>
          <w:marTop w:val="0"/>
          <w:marBottom w:val="0"/>
          <w:divBdr>
            <w:top w:val="none" w:sz="0" w:space="0" w:color="auto"/>
            <w:left w:val="none" w:sz="0" w:space="0" w:color="auto"/>
            <w:bottom w:val="none" w:sz="0" w:space="0" w:color="auto"/>
            <w:right w:val="none" w:sz="0" w:space="0" w:color="auto"/>
          </w:divBdr>
        </w:div>
        <w:div w:id="1564179876">
          <w:marLeft w:val="0"/>
          <w:marRight w:val="0"/>
          <w:marTop w:val="0"/>
          <w:marBottom w:val="0"/>
          <w:divBdr>
            <w:top w:val="none" w:sz="0" w:space="0" w:color="auto"/>
            <w:left w:val="none" w:sz="0" w:space="0" w:color="auto"/>
            <w:bottom w:val="none" w:sz="0" w:space="0" w:color="auto"/>
            <w:right w:val="none" w:sz="0" w:space="0" w:color="auto"/>
          </w:divBdr>
        </w:div>
        <w:div w:id="577446206">
          <w:marLeft w:val="0"/>
          <w:marRight w:val="0"/>
          <w:marTop w:val="0"/>
          <w:marBottom w:val="0"/>
          <w:divBdr>
            <w:top w:val="none" w:sz="0" w:space="0" w:color="auto"/>
            <w:left w:val="none" w:sz="0" w:space="0" w:color="auto"/>
            <w:bottom w:val="none" w:sz="0" w:space="0" w:color="auto"/>
            <w:right w:val="none" w:sz="0" w:space="0" w:color="auto"/>
          </w:divBdr>
        </w:div>
        <w:div w:id="1460562247">
          <w:marLeft w:val="0"/>
          <w:marRight w:val="0"/>
          <w:marTop w:val="0"/>
          <w:marBottom w:val="0"/>
          <w:divBdr>
            <w:top w:val="none" w:sz="0" w:space="0" w:color="auto"/>
            <w:left w:val="none" w:sz="0" w:space="0" w:color="auto"/>
            <w:bottom w:val="none" w:sz="0" w:space="0" w:color="auto"/>
            <w:right w:val="none" w:sz="0" w:space="0" w:color="auto"/>
          </w:divBdr>
        </w:div>
        <w:div w:id="1689210270">
          <w:marLeft w:val="0"/>
          <w:marRight w:val="0"/>
          <w:marTop w:val="0"/>
          <w:marBottom w:val="0"/>
          <w:divBdr>
            <w:top w:val="none" w:sz="0" w:space="0" w:color="auto"/>
            <w:left w:val="none" w:sz="0" w:space="0" w:color="auto"/>
            <w:bottom w:val="none" w:sz="0" w:space="0" w:color="auto"/>
            <w:right w:val="none" w:sz="0" w:space="0" w:color="auto"/>
          </w:divBdr>
        </w:div>
        <w:div w:id="1248929508">
          <w:marLeft w:val="0"/>
          <w:marRight w:val="0"/>
          <w:marTop w:val="0"/>
          <w:marBottom w:val="0"/>
          <w:divBdr>
            <w:top w:val="none" w:sz="0" w:space="0" w:color="auto"/>
            <w:left w:val="none" w:sz="0" w:space="0" w:color="auto"/>
            <w:bottom w:val="none" w:sz="0" w:space="0" w:color="auto"/>
            <w:right w:val="none" w:sz="0" w:space="0" w:color="auto"/>
          </w:divBdr>
        </w:div>
        <w:div w:id="238027931">
          <w:marLeft w:val="0"/>
          <w:marRight w:val="0"/>
          <w:marTop w:val="0"/>
          <w:marBottom w:val="0"/>
          <w:divBdr>
            <w:top w:val="none" w:sz="0" w:space="0" w:color="auto"/>
            <w:left w:val="none" w:sz="0" w:space="0" w:color="auto"/>
            <w:bottom w:val="none" w:sz="0" w:space="0" w:color="auto"/>
            <w:right w:val="none" w:sz="0" w:space="0" w:color="auto"/>
          </w:divBdr>
        </w:div>
        <w:div w:id="1055741102">
          <w:marLeft w:val="0"/>
          <w:marRight w:val="0"/>
          <w:marTop w:val="0"/>
          <w:marBottom w:val="0"/>
          <w:divBdr>
            <w:top w:val="none" w:sz="0" w:space="0" w:color="auto"/>
            <w:left w:val="none" w:sz="0" w:space="0" w:color="auto"/>
            <w:bottom w:val="none" w:sz="0" w:space="0" w:color="auto"/>
            <w:right w:val="none" w:sz="0" w:space="0" w:color="auto"/>
          </w:divBdr>
        </w:div>
        <w:div w:id="993069602">
          <w:marLeft w:val="0"/>
          <w:marRight w:val="0"/>
          <w:marTop w:val="0"/>
          <w:marBottom w:val="0"/>
          <w:divBdr>
            <w:top w:val="none" w:sz="0" w:space="0" w:color="auto"/>
            <w:left w:val="none" w:sz="0" w:space="0" w:color="auto"/>
            <w:bottom w:val="none" w:sz="0" w:space="0" w:color="auto"/>
            <w:right w:val="none" w:sz="0" w:space="0" w:color="auto"/>
          </w:divBdr>
        </w:div>
        <w:div w:id="1143355272">
          <w:marLeft w:val="0"/>
          <w:marRight w:val="0"/>
          <w:marTop w:val="0"/>
          <w:marBottom w:val="0"/>
          <w:divBdr>
            <w:top w:val="none" w:sz="0" w:space="0" w:color="auto"/>
            <w:left w:val="none" w:sz="0" w:space="0" w:color="auto"/>
            <w:bottom w:val="none" w:sz="0" w:space="0" w:color="auto"/>
            <w:right w:val="none" w:sz="0" w:space="0" w:color="auto"/>
          </w:divBdr>
        </w:div>
        <w:div w:id="2003654180">
          <w:marLeft w:val="0"/>
          <w:marRight w:val="0"/>
          <w:marTop w:val="0"/>
          <w:marBottom w:val="0"/>
          <w:divBdr>
            <w:top w:val="none" w:sz="0" w:space="0" w:color="auto"/>
            <w:left w:val="none" w:sz="0" w:space="0" w:color="auto"/>
            <w:bottom w:val="none" w:sz="0" w:space="0" w:color="auto"/>
            <w:right w:val="none" w:sz="0" w:space="0" w:color="auto"/>
          </w:divBdr>
        </w:div>
        <w:div w:id="1289438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012210?ed=2020_01_14&amp;an=6" TargetMode="External"/><Relationship Id="rId13" Type="http://schemas.openxmlformats.org/officeDocument/2006/relationships/hyperlink" Target="https://ips.ligazakon.net/document/view/t193200?ed=2019_09_20&amp;an=281897" TargetMode="External"/><Relationship Id="rId3" Type="http://schemas.openxmlformats.org/officeDocument/2006/relationships/webSettings" Target="webSettings.xml"/><Relationship Id="rId7" Type="http://schemas.openxmlformats.org/officeDocument/2006/relationships/hyperlink" Target="https://ips.ligazakon.net/document/view/gk49766?ed=2021_10_20&amp;an=24" TargetMode="External"/><Relationship Id="rId12" Type="http://schemas.openxmlformats.org/officeDocument/2006/relationships/hyperlink" Target="https://ips.ligazakon.net/document/view/t012210?ed=2020_01_14&amp;an=6"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ps.ligazakon.net/document/view/t150772?ed=2021_06_30&amp;an=417" TargetMode="External"/><Relationship Id="rId11" Type="http://schemas.openxmlformats.org/officeDocument/2006/relationships/hyperlink" Target="https://ips.ligazakon.net/document/view/t193200?ed=2019_09_20&amp;an=281897" TargetMode="External"/><Relationship Id="rId5" Type="http://schemas.openxmlformats.org/officeDocument/2006/relationships/hyperlink" Target="https://ips.ligazakon.net/document/view/gk49766?ed=2021_10_20&amp;an=24" TargetMode="External"/><Relationship Id="rId15" Type="http://schemas.openxmlformats.org/officeDocument/2006/relationships/hyperlink" Target="https://ips.ligazakon.net/document/view/t193200?ed=2019_09_20&amp;an=281897" TargetMode="External"/><Relationship Id="rId10" Type="http://schemas.openxmlformats.org/officeDocument/2006/relationships/hyperlink" Target="https://ips.ligazakon.net/document/view/t012210?ed=2020_01_14&amp;an=6" TargetMode="External"/><Relationship Id="rId4" Type="http://schemas.openxmlformats.org/officeDocument/2006/relationships/hyperlink" Target="https://ips.ligazakon.net/document/view/t150772?ed=2021_06_30&amp;an=417" TargetMode="External"/><Relationship Id="rId9" Type="http://schemas.openxmlformats.org/officeDocument/2006/relationships/hyperlink" Target="https://ips.ligazakon.net/document/view/t193200?ed=2019_09_20&amp;an=281897" TargetMode="External"/><Relationship Id="rId14" Type="http://schemas.openxmlformats.org/officeDocument/2006/relationships/hyperlink" Target="https://ips.ligazakon.net/document/view/t012210?ed=2020_01_14&amp;an=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1480</Words>
  <Characters>10953</Characters>
  <Application>Microsoft Office Word</Application>
  <DocSecurity>0</DocSecurity>
  <Lines>730</Lines>
  <Paragraphs>318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1</cp:revision>
  <dcterms:created xsi:type="dcterms:W3CDTF">2023-05-10T09:30:00Z</dcterms:created>
  <dcterms:modified xsi:type="dcterms:W3CDTF">2023-05-10T09:44:00Z</dcterms:modified>
</cp:coreProperties>
</file>