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5951B1" w14:textId="77777777" w:rsidR="001C6297" w:rsidRPr="00B911FB" w:rsidRDefault="001C6297" w:rsidP="00480AAF">
      <w:pPr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3803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B911FB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6B9FC917" w14:textId="77777777" w:rsidR="00915563" w:rsidRPr="00B911FB" w:rsidRDefault="001C6297" w:rsidP="001C6297">
      <w:pPr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B911FB">
        <w:rPr>
          <w:rFonts w:ascii="Times New Roman" w:hAnsi="Times New Roman" w:cs="Times New Roman"/>
          <w:sz w:val="28"/>
          <w:szCs w:val="28"/>
        </w:rPr>
        <w:t>Постанова Національної комісії, що  здійснює державне регулювання у сферах енергетики та комунальних послуг ______________№__________</w:t>
      </w:r>
    </w:p>
    <w:p w14:paraId="6BF276BB" w14:textId="77777777" w:rsidR="001C6297" w:rsidRPr="00B911FB" w:rsidRDefault="001C6297" w:rsidP="001C629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FC1DC0B" w14:textId="77777777" w:rsidR="001C6297" w:rsidRPr="00B911FB" w:rsidRDefault="001C6297" w:rsidP="00480AAF">
      <w:pPr>
        <w:spacing w:after="0"/>
        <w:ind w:left="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11FB">
        <w:rPr>
          <w:rFonts w:ascii="Times New Roman" w:hAnsi="Times New Roman" w:cs="Times New Roman"/>
          <w:b/>
          <w:sz w:val="28"/>
          <w:szCs w:val="28"/>
        </w:rPr>
        <w:t>Зміни</w:t>
      </w:r>
    </w:p>
    <w:p w14:paraId="5B23726D" w14:textId="77777777" w:rsidR="001C6297" w:rsidRPr="00B911FB" w:rsidRDefault="001C6297" w:rsidP="00480AAF">
      <w:pPr>
        <w:spacing w:after="0"/>
        <w:ind w:left="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11FB">
        <w:rPr>
          <w:rFonts w:ascii="Times New Roman" w:hAnsi="Times New Roman" w:cs="Times New Roman"/>
          <w:b/>
          <w:sz w:val="28"/>
          <w:szCs w:val="28"/>
        </w:rPr>
        <w:t>до Порядку розслідування порушень законодавства щодо функціонування ринків електричної енергії та природного газу</w:t>
      </w:r>
    </w:p>
    <w:p w14:paraId="79E9B708" w14:textId="77777777" w:rsidR="007E0A44" w:rsidRPr="00B911FB" w:rsidRDefault="007E0A44" w:rsidP="007E0A44">
      <w:pPr>
        <w:pStyle w:val="a3"/>
        <w:spacing w:after="12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1F9C47" w14:textId="205CE12A" w:rsidR="007E0A44" w:rsidRPr="00B911FB" w:rsidRDefault="007E0A44" w:rsidP="00480AAF">
      <w:pPr>
        <w:pStyle w:val="a3"/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1FB">
        <w:rPr>
          <w:rFonts w:ascii="Times New Roman" w:hAnsi="Times New Roman" w:cs="Times New Roman"/>
          <w:sz w:val="28"/>
          <w:szCs w:val="28"/>
        </w:rPr>
        <w:t xml:space="preserve">1. </w:t>
      </w:r>
      <w:r w:rsidR="001C6297" w:rsidRPr="00B911FB">
        <w:rPr>
          <w:rFonts w:ascii="Times New Roman" w:hAnsi="Times New Roman" w:cs="Times New Roman"/>
          <w:sz w:val="28"/>
          <w:szCs w:val="28"/>
        </w:rPr>
        <w:t>У глав</w:t>
      </w:r>
      <w:r w:rsidR="000D67A3" w:rsidRPr="00B911FB">
        <w:rPr>
          <w:rFonts w:ascii="Times New Roman" w:hAnsi="Times New Roman" w:cs="Times New Roman"/>
          <w:sz w:val="28"/>
          <w:szCs w:val="28"/>
        </w:rPr>
        <w:t>і</w:t>
      </w:r>
      <w:r w:rsidR="001C6297" w:rsidRPr="00B911FB">
        <w:rPr>
          <w:rFonts w:ascii="Times New Roman" w:hAnsi="Times New Roman" w:cs="Times New Roman"/>
          <w:sz w:val="28"/>
          <w:szCs w:val="28"/>
        </w:rPr>
        <w:t xml:space="preserve"> 1:</w:t>
      </w:r>
    </w:p>
    <w:p w14:paraId="55BB18B2" w14:textId="2636D36A" w:rsidR="007E0A44" w:rsidRPr="00B911FB" w:rsidRDefault="007E0A44" w:rsidP="00480AAF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B911FB">
        <w:rPr>
          <w:rFonts w:ascii="Times New Roman" w:hAnsi="Times New Roman" w:cs="Times New Roman"/>
          <w:sz w:val="28"/>
          <w:szCs w:val="28"/>
        </w:rPr>
        <w:t>1) у пункті 1.3:</w:t>
      </w:r>
    </w:p>
    <w:p w14:paraId="05AF5AC1" w14:textId="61EE0EF6" w:rsidR="007E0A44" w:rsidRPr="00B911FB" w:rsidRDefault="007E0A44" w:rsidP="00AE3066">
      <w:pPr>
        <w:pStyle w:val="a4"/>
        <w:tabs>
          <w:tab w:val="left" w:pos="540"/>
          <w:tab w:val="left" w:pos="630"/>
          <w:tab w:val="left" w:pos="810"/>
        </w:tabs>
        <w:spacing w:after="0"/>
        <w:ind w:left="0" w:firstLine="709"/>
        <w:jc w:val="both"/>
        <w:rPr>
          <w:sz w:val="28"/>
          <w:szCs w:val="28"/>
        </w:rPr>
      </w:pPr>
      <w:r w:rsidRPr="00B911FB">
        <w:rPr>
          <w:sz w:val="28"/>
          <w:szCs w:val="28"/>
        </w:rPr>
        <w:t>в абзаці другому</w:t>
      </w:r>
      <w:r w:rsidR="00057D4F" w:rsidRPr="00B911FB">
        <w:rPr>
          <w:sz w:val="28"/>
          <w:szCs w:val="28"/>
        </w:rPr>
        <w:t xml:space="preserve"> </w:t>
      </w:r>
      <w:r w:rsidRPr="00B911FB">
        <w:rPr>
          <w:sz w:val="28"/>
          <w:szCs w:val="28"/>
        </w:rPr>
        <w:t xml:space="preserve">після </w:t>
      </w:r>
      <w:r w:rsidR="005605B6" w:rsidRPr="00B911FB">
        <w:rPr>
          <w:sz w:val="28"/>
          <w:szCs w:val="28"/>
        </w:rPr>
        <w:t>сл</w:t>
      </w:r>
      <w:r w:rsidR="00C90195" w:rsidRPr="00B911FB">
        <w:rPr>
          <w:sz w:val="28"/>
          <w:szCs w:val="28"/>
        </w:rPr>
        <w:t>і</w:t>
      </w:r>
      <w:r w:rsidR="005605B6" w:rsidRPr="00B911FB">
        <w:rPr>
          <w:sz w:val="28"/>
          <w:szCs w:val="28"/>
        </w:rPr>
        <w:t xml:space="preserve">в </w:t>
      </w:r>
      <w:r w:rsidRPr="00B911FB">
        <w:rPr>
          <w:sz w:val="28"/>
          <w:szCs w:val="28"/>
        </w:rPr>
        <w:t>«</w:t>
      </w:r>
      <w:r w:rsidR="00A80566" w:rsidRPr="00B911FB">
        <w:rPr>
          <w:sz w:val="28"/>
          <w:szCs w:val="28"/>
        </w:rPr>
        <w:t>та природного газу</w:t>
      </w:r>
      <w:r w:rsidRPr="00B911FB">
        <w:rPr>
          <w:sz w:val="28"/>
          <w:szCs w:val="28"/>
        </w:rPr>
        <w:t>» доповнити словами «у письмової формі</w:t>
      </w:r>
      <w:r w:rsidR="00AE3066" w:rsidRPr="00B911FB">
        <w:rPr>
          <w:b/>
          <w:sz w:val="24"/>
          <w:szCs w:val="24"/>
          <w:lang w:eastAsia="uk-UA"/>
        </w:rPr>
        <w:t xml:space="preserve"> </w:t>
      </w:r>
      <w:r w:rsidR="00AE3066" w:rsidRPr="00B911FB">
        <w:rPr>
          <w:sz w:val="28"/>
          <w:szCs w:val="28"/>
          <w:lang w:eastAsia="uk-UA"/>
        </w:rPr>
        <w:t>або в електронній формі з накладенням кваліфікованого електронного підпису уповноваженої особи суб’єкта господарювання та/або кваліфікованої електронної печатки суб’єкта господарювання з дотриманням вимог законів України «Про електронні документи та електронний документообіг» та «Про електронні довірчі послуги»</w:t>
      </w:r>
      <w:r w:rsidRPr="00B911FB">
        <w:rPr>
          <w:sz w:val="28"/>
          <w:szCs w:val="28"/>
        </w:rPr>
        <w:t>;</w:t>
      </w:r>
    </w:p>
    <w:p w14:paraId="3A82CDF1" w14:textId="0B559709" w:rsidR="001C6297" w:rsidRPr="00B911FB" w:rsidRDefault="00077EF3" w:rsidP="00480AA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1FB">
        <w:rPr>
          <w:rFonts w:ascii="Times New Roman" w:hAnsi="Times New Roman" w:cs="Times New Roman"/>
          <w:sz w:val="28"/>
          <w:szCs w:val="28"/>
          <w:lang w:eastAsia="uk-UA"/>
        </w:rPr>
        <w:t xml:space="preserve">після абзацу сьомого </w:t>
      </w:r>
      <w:r w:rsidR="001C6297" w:rsidRPr="00B911FB">
        <w:rPr>
          <w:rFonts w:ascii="Times New Roman" w:hAnsi="Times New Roman" w:cs="Times New Roman"/>
          <w:sz w:val="28"/>
          <w:szCs w:val="28"/>
        </w:rPr>
        <w:t>доповнити</w:t>
      </w:r>
      <w:r w:rsidRPr="00B911FB">
        <w:rPr>
          <w:rFonts w:ascii="Times New Roman" w:hAnsi="Times New Roman" w:cs="Times New Roman"/>
          <w:sz w:val="28"/>
          <w:szCs w:val="28"/>
        </w:rPr>
        <w:t xml:space="preserve"> </w:t>
      </w:r>
      <w:r w:rsidR="001C6297" w:rsidRPr="00B911FB">
        <w:rPr>
          <w:rFonts w:ascii="Times New Roman" w:hAnsi="Times New Roman" w:cs="Times New Roman"/>
          <w:sz w:val="28"/>
          <w:szCs w:val="28"/>
        </w:rPr>
        <w:t>новим абзац</w:t>
      </w:r>
      <w:r w:rsidRPr="00B911FB">
        <w:rPr>
          <w:rFonts w:ascii="Times New Roman" w:hAnsi="Times New Roman" w:cs="Times New Roman"/>
          <w:sz w:val="28"/>
          <w:szCs w:val="28"/>
        </w:rPr>
        <w:t>ом восьмим</w:t>
      </w:r>
      <w:r w:rsidR="001C6297" w:rsidRPr="00B911FB">
        <w:rPr>
          <w:rFonts w:ascii="Times New Roman" w:hAnsi="Times New Roman" w:cs="Times New Roman"/>
          <w:sz w:val="28"/>
          <w:szCs w:val="28"/>
        </w:rPr>
        <w:t xml:space="preserve"> такого змісту:</w:t>
      </w:r>
    </w:p>
    <w:p w14:paraId="47235890" w14:textId="444501BF" w:rsidR="00C13A20" w:rsidRPr="003E772B" w:rsidRDefault="00CE4B5E" w:rsidP="00480AA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72B">
        <w:rPr>
          <w:rFonts w:ascii="Times New Roman" w:hAnsi="Times New Roman" w:cs="Times New Roman"/>
          <w:sz w:val="28"/>
          <w:szCs w:val="28"/>
        </w:rPr>
        <w:t>«</w:t>
      </w:r>
      <w:r w:rsidR="003E772B" w:rsidRPr="003E772B">
        <w:rPr>
          <w:rFonts w:ascii="Times New Roman" w:hAnsi="Times New Roman" w:cs="Times New Roman"/>
          <w:sz w:val="28"/>
          <w:szCs w:val="28"/>
        </w:rPr>
        <w:t xml:space="preserve">розслідування – </w:t>
      </w:r>
      <w:r w:rsidR="003E772B" w:rsidRPr="003E772B">
        <w:rPr>
          <w:rFonts w:ascii="Times New Roman" w:hAnsi="Times New Roman" w:cs="Times New Roman"/>
          <w:sz w:val="28"/>
          <w:szCs w:val="28"/>
          <w:shd w:val="clear" w:color="auto" w:fill="FFFFFF"/>
        </w:rPr>
        <w:t>це збір, дослідження, аналіз та оцінка фактичних даних та інформації з метою виявлення факту наявності порушень законодавства у сфері енергетики</w:t>
      </w:r>
      <w:r w:rsidR="00553421" w:rsidRPr="003E772B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r w:rsidR="00147963" w:rsidRPr="003E772B">
        <w:rPr>
          <w:rFonts w:ascii="Times New Roman" w:hAnsi="Times New Roman" w:cs="Times New Roman"/>
          <w:sz w:val="28"/>
          <w:szCs w:val="28"/>
        </w:rPr>
        <w:t>»</w:t>
      </w:r>
      <w:r w:rsidR="00945EF4" w:rsidRPr="003E772B">
        <w:rPr>
          <w:rFonts w:ascii="Times New Roman" w:hAnsi="Times New Roman" w:cs="Times New Roman"/>
          <w:sz w:val="28"/>
          <w:szCs w:val="28"/>
        </w:rPr>
        <w:t>.</w:t>
      </w:r>
    </w:p>
    <w:p w14:paraId="32096720" w14:textId="51A4CD45" w:rsidR="00945EF4" w:rsidRPr="00B911FB" w:rsidRDefault="00945EF4" w:rsidP="00480AA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1FB">
        <w:rPr>
          <w:rFonts w:ascii="Times New Roman" w:hAnsi="Times New Roman" w:cs="Times New Roman"/>
          <w:sz w:val="28"/>
          <w:szCs w:val="28"/>
        </w:rPr>
        <w:t xml:space="preserve">У </w:t>
      </w:r>
      <w:r w:rsidR="00F26D91" w:rsidRPr="00B911FB">
        <w:rPr>
          <w:rFonts w:ascii="Times New Roman" w:hAnsi="Times New Roman" w:cs="Times New Roman"/>
          <w:sz w:val="28"/>
          <w:szCs w:val="28"/>
        </w:rPr>
        <w:t>зв’язку</w:t>
      </w:r>
      <w:r w:rsidRPr="00B911FB">
        <w:rPr>
          <w:rFonts w:ascii="Times New Roman" w:hAnsi="Times New Roman" w:cs="Times New Roman"/>
          <w:sz w:val="28"/>
          <w:szCs w:val="28"/>
        </w:rPr>
        <w:t xml:space="preserve"> з цим абзаци восьмий – дванадцятий вважати відповідно абзацами </w:t>
      </w:r>
      <w:r w:rsidR="00F26D91" w:rsidRPr="00B911FB">
        <w:rPr>
          <w:rFonts w:ascii="Times New Roman" w:hAnsi="Times New Roman" w:cs="Times New Roman"/>
          <w:sz w:val="28"/>
          <w:szCs w:val="28"/>
        </w:rPr>
        <w:t>дев’ятим</w:t>
      </w:r>
      <w:r w:rsidRPr="00B911FB">
        <w:rPr>
          <w:rFonts w:ascii="Times New Roman" w:hAnsi="Times New Roman" w:cs="Times New Roman"/>
          <w:sz w:val="28"/>
          <w:szCs w:val="28"/>
        </w:rPr>
        <w:t xml:space="preserve"> – тринадцятим;</w:t>
      </w:r>
    </w:p>
    <w:p w14:paraId="5EA7D196" w14:textId="77777777" w:rsidR="00416BFF" w:rsidRPr="00B911FB" w:rsidRDefault="00416BFF" w:rsidP="00480AA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875F9A" w14:textId="30FF0368" w:rsidR="00760ADB" w:rsidRPr="00B911FB" w:rsidRDefault="00C96943" w:rsidP="00480AA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13A20" w:rsidRPr="00B911FB">
        <w:rPr>
          <w:rFonts w:ascii="Times New Roman" w:hAnsi="Times New Roman" w:cs="Times New Roman"/>
          <w:sz w:val="28"/>
          <w:szCs w:val="28"/>
        </w:rPr>
        <w:t xml:space="preserve">) </w:t>
      </w:r>
      <w:r w:rsidR="00B81FB1" w:rsidRPr="00B911FB">
        <w:rPr>
          <w:rFonts w:ascii="Times New Roman" w:hAnsi="Times New Roman" w:cs="Times New Roman"/>
          <w:sz w:val="28"/>
          <w:szCs w:val="28"/>
        </w:rPr>
        <w:t xml:space="preserve">пункт 1.7 </w:t>
      </w:r>
      <w:r w:rsidR="00760ADB" w:rsidRPr="00B911FB">
        <w:rPr>
          <w:rFonts w:ascii="Times New Roman" w:hAnsi="Times New Roman" w:cs="Times New Roman"/>
          <w:sz w:val="28"/>
          <w:szCs w:val="28"/>
        </w:rPr>
        <w:t>викласти у такій редакції:</w:t>
      </w:r>
    </w:p>
    <w:p w14:paraId="4D6B9653" w14:textId="77777777" w:rsidR="00340A35" w:rsidRPr="00B911FB" w:rsidRDefault="00760ADB" w:rsidP="00480AA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1FB">
        <w:rPr>
          <w:rFonts w:ascii="Times New Roman" w:hAnsi="Times New Roman" w:cs="Times New Roman"/>
          <w:sz w:val="28"/>
          <w:szCs w:val="28"/>
        </w:rPr>
        <w:t>«1.7. Період, охоплений розслідуванням, становить не більше тридцяти шести календарних місяців, які передують місяцю початку розслідування.»;</w:t>
      </w:r>
    </w:p>
    <w:p w14:paraId="3372BFE6" w14:textId="77777777" w:rsidR="00340A35" w:rsidRPr="00B911FB" w:rsidRDefault="00340A35" w:rsidP="00480A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38BAE9" w14:textId="1976FE80" w:rsidR="00340A35" w:rsidRPr="00B911FB" w:rsidRDefault="00A12E07" w:rsidP="00480A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1AF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340A35" w:rsidRPr="00B911FB">
        <w:rPr>
          <w:rFonts w:ascii="Times New Roman" w:hAnsi="Times New Roman" w:cs="Times New Roman"/>
          <w:sz w:val="28"/>
          <w:szCs w:val="28"/>
        </w:rPr>
        <w:t>) пункт 1.8 доповнити новим абзацом такого змісту:</w:t>
      </w:r>
    </w:p>
    <w:p w14:paraId="1F676D1D" w14:textId="6586C9DB" w:rsidR="00760ADB" w:rsidRPr="00B911FB" w:rsidRDefault="00340A35" w:rsidP="00480AA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1FB">
        <w:rPr>
          <w:rFonts w:ascii="Times New Roman" w:hAnsi="Times New Roman" w:cs="Times New Roman"/>
          <w:sz w:val="28"/>
          <w:szCs w:val="28"/>
        </w:rPr>
        <w:t xml:space="preserve">«У випадку надання інформації, яка містить значні масиви даних, </w:t>
      </w:r>
      <w:r w:rsidR="00760ADB" w:rsidRPr="00B911FB">
        <w:rPr>
          <w:rFonts w:ascii="Times New Roman" w:hAnsi="Times New Roman" w:cs="Times New Roman"/>
          <w:sz w:val="28"/>
          <w:szCs w:val="28"/>
        </w:rPr>
        <w:t>учасники/</w:t>
      </w:r>
      <w:r w:rsidRPr="00B911FB">
        <w:rPr>
          <w:rFonts w:ascii="Times New Roman" w:hAnsi="Times New Roman" w:cs="Times New Roman"/>
          <w:sz w:val="28"/>
          <w:szCs w:val="28"/>
        </w:rPr>
        <w:t xml:space="preserve">суб’єкти </w:t>
      </w:r>
      <w:r w:rsidR="00760ADB" w:rsidRPr="00B911FB">
        <w:rPr>
          <w:rFonts w:ascii="Times New Roman" w:hAnsi="Times New Roman" w:cs="Times New Roman"/>
          <w:sz w:val="28"/>
          <w:szCs w:val="28"/>
        </w:rPr>
        <w:t>ринку (ринків)</w:t>
      </w:r>
      <w:r w:rsidRPr="00B911FB">
        <w:rPr>
          <w:rFonts w:ascii="Times New Roman" w:hAnsi="Times New Roman" w:cs="Times New Roman"/>
          <w:sz w:val="28"/>
          <w:szCs w:val="28"/>
        </w:rPr>
        <w:t xml:space="preserve"> надають до НКРЕКП інформацію в електронному вигляді у форматі «</w:t>
      </w:r>
      <w:proofErr w:type="spellStart"/>
      <w:r w:rsidRPr="00B911FB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B911FB">
        <w:rPr>
          <w:rFonts w:ascii="Times New Roman" w:hAnsi="Times New Roman" w:cs="Times New Roman"/>
          <w:sz w:val="28"/>
          <w:szCs w:val="28"/>
        </w:rPr>
        <w:t>» або «</w:t>
      </w:r>
      <w:proofErr w:type="spellStart"/>
      <w:r w:rsidRPr="00B911FB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B911FB">
        <w:rPr>
          <w:rFonts w:ascii="Times New Roman" w:hAnsi="Times New Roman" w:cs="Times New Roman"/>
          <w:sz w:val="28"/>
          <w:szCs w:val="28"/>
        </w:rPr>
        <w:t>» з накладенням кваліфікованого електронного підпису уповноваженої особи ліцензіата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на електронну адресу НКРЕКП, та/або через захищений цифровий канал НКРЕКП та/або на електронних цифрових носіях</w:t>
      </w:r>
      <w:r w:rsidR="000D67A3" w:rsidRPr="00B911FB">
        <w:rPr>
          <w:rFonts w:ascii="Times New Roman" w:hAnsi="Times New Roman" w:cs="Times New Roman"/>
          <w:sz w:val="28"/>
          <w:szCs w:val="28"/>
        </w:rPr>
        <w:t>.</w:t>
      </w:r>
      <w:r w:rsidRPr="00B911FB">
        <w:rPr>
          <w:rFonts w:ascii="Times New Roman" w:hAnsi="Times New Roman" w:cs="Times New Roman"/>
          <w:sz w:val="28"/>
          <w:szCs w:val="28"/>
        </w:rPr>
        <w:t>»</w:t>
      </w:r>
      <w:r w:rsidR="000E0A97" w:rsidRPr="00B911FB">
        <w:rPr>
          <w:rFonts w:ascii="Times New Roman" w:hAnsi="Times New Roman" w:cs="Times New Roman"/>
          <w:sz w:val="28"/>
          <w:szCs w:val="28"/>
        </w:rPr>
        <w:t>.</w:t>
      </w:r>
    </w:p>
    <w:p w14:paraId="5DD1BDA9" w14:textId="77777777" w:rsidR="00760ADB" w:rsidRPr="00B911FB" w:rsidRDefault="00760ADB" w:rsidP="00760ADB">
      <w:pPr>
        <w:pStyle w:val="a6"/>
        <w:rPr>
          <w:sz w:val="28"/>
          <w:szCs w:val="28"/>
        </w:rPr>
      </w:pPr>
      <w:r w:rsidRPr="00B911FB">
        <w:rPr>
          <w:sz w:val="28"/>
          <w:szCs w:val="28"/>
        </w:rPr>
        <w:tab/>
      </w:r>
    </w:p>
    <w:p w14:paraId="5265EB36" w14:textId="3AE95C2A" w:rsidR="00760ADB" w:rsidRPr="00B911FB" w:rsidRDefault="00760ADB" w:rsidP="00480AAF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B911FB">
        <w:rPr>
          <w:rFonts w:ascii="Times New Roman" w:hAnsi="Times New Roman" w:cs="Times New Roman"/>
          <w:sz w:val="28"/>
          <w:szCs w:val="28"/>
        </w:rPr>
        <w:t xml:space="preserve">2. </w:t>
      </w:r>
      <w:r w:rsidR="00CF6151" w:rsidRPr="00B911FB">
        <w:rPr>
          <w:rFonts w:ascii="Times New Roman" w:hAnsi="Times New Roman" w:cs="Times New Roman"/>
          <w:sz w:val="28"/>
          <w:szCs w:val="28"/>
        </w:rPr>
        <w:t>У главі 2:</w:t>
      </w:r>
    </w:p>
    <w:p w14:paraId="2AFD6942" w14:textId="77777777" w:rsidR="003D5F3C" w:rsidRPr="00B911FB" w:rsidRDefault="00760ADB" w:rsidP="00480AAF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B911FB">
        <w:rPr>
          <w:rFonts w:ascii="Times New Roman" w:hAnsi="Times New Roman" w:cs="Times New Roman"/>
          <w:sz w:val="28"/>
          <w:szCs w:val="28"/>
        </w:rPr>
        <w:tab/>
      </w:r>
    </w:p>
    <w:p w14:paraId="56BBDF5E" w14:textId="07734F39" w:rsidR="00760ADB" w:rsidRPr="00B911FB" w:rsidRDefault="003D5F3C" w:rsidP="00480AAF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B911FB">
        <w:rPr>
          <w:rFonts w:ascii="Times New Roman" w:hAnsi="Times New Roman" w:cs="Times New Roman"/>
          <w:sz w:val="28"/>
          <w:szCs w:val="28"/>
        </w:rPr>
        <w:t xml:space="preserve">1) </w:t>
      </w:r>
      <w:r w:rsidR="00CF6151" w:rsidRPr="00B911FB">
        <w:rPr>
          <w:rFonts w:ascii="Times New Roman" w:hAnsi="Times New Roman" w:cs="Times New Roman"/>
          <w:sz w:val="28"/>
          <w:szCs w:val="28"/>
        </w:rPr>
        <w:t>пункт</w:t>
      </w:r>
      <w:r w:rsidR="00492F9D" w:rsidRPr="00B911FB">
        <w:rPr>
          <w:rFonts w:ascii="Times New Roman" w:hAnsi="Times New Roman" w:cs="Times New Roman"/>
          <w:sz w:val="28"/>
          <w:szCs w:val="28"/>
        </w:rPr>
        <w:t>и</w:t>
      </w:r>
      <w:r w:rsidR="00CF6151" w:rsidRPr="00B911FB">
        <w:rPr>
          <w:rFonts w:ascii="Times New Roman" w:hAnsi="Times New Roman" w:cs="Times New Roman"/>
          <w:sz w:val="28"/>
          <w:szCs w:val="28"/>
        </w:rPr>
        <w:t xml:space="preserve"> 2.1 </w:t>
      </w:r>
      <w:r w:rsidR="00492F9D" w:rsidRPr="00B911FB">
        <w:rPr>
          <w:rFonts w:ascii="Times New Roman" w:hAnsi="Times New Roman" w:cs="Times New Roman"/>
          <w:sz w:val="28"/>
          <w:szCs w:val="28"/>
        </w:rPr>
        <w:t xml:space="preserve">– 2.3 </w:t>
      </w:r>
      <w:r w:rsidR="00CF6151" w:rsidRPr="00B911FB">
        <w:rPr>
          <w:rFonts w:ascii="Times New Roman" w:hAnsi="Times New Roman" w:cs="Times New Roman"/>
          <w:sz w:val="28"/>
          <w:szCs w:val="28"/>
        </w:rPr>
        <w:t xml:space="preserve">викласти </w:t>
      </w:r>
      <w:r w:rsidR="00553421" w:rsidRPr="00B911FB">
        <w:rPr>
          <w:rFonts w:ascii="Times New Roman" w:hAnsi="Times New Roman" w:cs="Times New Roman"/>
          <w:sz w:val="28"/>
          <w:szCs w:val="28"/>
        </w:rPr>
        <w:t>у</w:t>
      </w:r>
      <w:r w:rsidR="00CF6151" w:rsidRPr="00B911FB">
        <w:rPr>
          <w:rFonts w:ascii="Times New Roman" w:hAnsi="Times New Roman" w:cs="Times New Roman"/>
          <w:sz w:val="28"/>
          <w:szCs w:val="28"/>
        </w:rPr>
        <w:t xml:space="preserve"> такій редакції:</w:t>
      </w:r>
    </w:p>
    <w:p w14:paraId="09199258" w14:textId="77777777" w:rsidR="00EF6DB9" w:rsidRDefault="00054183" w:rsidP="00EF6DB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0" w:name="_Hlk129872771"/>
      <w:r w:rsidRPr="00B911FB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«</w:t>
      </w:r>
      <w:bookmarkStart w:id="1" w:name="_Hlk129182938"/>
      <w:r w:rsidR="00EF6DB9" w:rsidRPr="00EF6DB9">
        <w:rPr>
          <w:rFonts w:ascii="Times New Roman" w:hAnsi="Times New Roman" w:cs="Times New Roman"/>
          <w:sz w:val="28"/>
          <w:szCs w:val="28"/>
          <w:lang w:eastAsia="uk-UA"/>
        </w:rPr>
        <w:t xml:space="preserve">2.1. Дані та обставини, що свідчать про можливе порушення законодавства щодо функціонування ринків, виявляються у процесі здійснення моніторингу функціонування ринків, та/або розгляду повідомлень (заяв) від учасників/суб’єктів ринків та заявників, крім побутових споживачів, про порушення законодавства щодо функціонування ринків, та/або під час здійснення розслідування. </w:t>
      </w:r>
    </w:p>
    <w:p w14:paraId="0ACD1200" w14:textId="050E39F6" w:rsidR="00EF6DB9" w:rsidRPr="00EF6DB9" w:rsidRDefault="00EF6DB9" w:rsidP="00EF6DB9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     </w:t>
      </w:r>
      <w:r w:rsidRPr="00EF6DB9">
        <w:rPr>
          <w:rFonts w:ascii="Times New Roman" w:hAnsi="Times New Roman" w:cs="Times New Roman"/>
          <w:sz w:val="28"/>
          <w:szCs w:val="28"/>
          <w:lang w:eastAsia="uk-UA"/>
        </w:rPr>
        <w:t>Повідомлення (заяви) про можливе порушення законодавства щодо функціонування ринків не можуть бути анонімними, повинні містити найменування заявника (ПІБ –</w:t>
      </w:r>
      <w:r w:rsidRPr="00EF6DB9">
        <w:rPr>
          <w:rFonts w:ascii="Times New Roman" w:hAnsi="Times New Roman" w:cs="Times New Roman"/>
          <w:sz w:val="28"/>
          <w:szCs w:val="28"/>
        </w:rPr>
        <w:t xml:space="preserve"> </w:t>
      </w:r>
      <w:r w:rsidR="00B6446A">
        <w:rPr>
          <w:rFonts w:ascii="Times New Roman" w:hAnsi="Times New Roman" w:cs="Times New Roman"/>
          <w:sz w:val="28"/>
          <w:szCs w:val="28"/>
        </w:rPr>
        <w:t xml:space="preserve">для </w:t>
      </w:r>
      <w:r w:rsidRPr="00EF6DB9">
        <w:rPr>
          <w:rFonts w:ascii="Times New Roman" w:hAnsi="Times New Roman" w:cs="Times New Roman"/>
          <w:sz w:val="28"/>
          <w:szCs w:val="28"/>
          <w:lang w:eastAsia="uk-UA"/>
        </w:rPr>
        <w:t>фізичної особи</w:t>
      </w:r>
      <w:r w:rsidR="0024038A" w:rsidRPr="00FC31AF">
        <w:rPr>
          <w:rFonts w:ascii="Times New Roman" w:hAnsi="Times New Roman" w:cs="Times New Roman"/>
          <w:sz w:val="28"/>
          <w:szCs w:val="28"/>
          <w:lang w:eastAsia="uk-UA"/>
        </w:rPr>
        <w:t>-</w:t>
      </w:r>
      <w:r w:rsidRPr="00EF6DB9">
        <w:rPr>
          <w:rFonts w:ascii="Times New Roman" w:hAnsi="Times New Roman" w:cs="Times New Roman"/>
          <w:sz w:val="28"/>
          <w:szCs w:val="28"/>
          <w:lang w:eastAsia="uk-UA"/>
        </w:rPr>
        <w:t>підприємця), юридичну адресу заявника та бути обґрунтованими.</w:t>
      </w:r>
    </w:p>
    <w:bookmarkEnd w:id="0"/>
    <w:bookmarkEnd w:id="1"/>
    <w:p w14:paraId="7140952F" w14:textId="41488426" w:rsidR="008334DF" w:rsidRPr="008334DF" w:rsidRDefault="008334DF" w:rsidP="00FC31AF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334DF">
        <w:rPr>
          <w:rFonts w:ascii="Times New Roman" w:hAnsi="Times New Roman" w:cs="Times New Roman"/>
          <w:sz w:val="28"/>
          <w:szCs w:val="28"/>
          <w:lang w:eastAsia="uk-UA"/>
        </w:rPr>
        <w:t xml:space="preserve">Повідомлення (заява) про можливе порушення законодавства щодо функціонування ринків має містити відомості щодо об’єкта розслідування, потенційного суб’єкта розслідування, орієнтовного періоду розслідування, а також положення нормативно-правових актів, які </w:t>
      </w:r>
      <w:r w:rsidR="00DE0395">
        <w:rPr>
          <w:rFonts w:ascii="Times New Roman" w:hAnsi="Times New Roman" w:cs="Times New Roman"/>
          <w:sz w:val="28"/>
          <w:szCs w:val="28"/>
          <w:lang w:eastAsia="uk-UA"/>
        </w:rPr>
        <w:t>ймовірно</w:t>
      </w:r>
      <w:r w:rsidR="00DE0395" w:rsidRPr="008334DF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8334DF">
        <w:rPr>
          <w:rFonts w:ascii="Times New Roman" w:hAnsi="Times New Roman" w:cs="Times New Roman"/>
          <w:sz w:val="28"/>
          <w:szCs w:val="28"/>
          <w:lang w:eastAsia="uk-UA"/>
        </w:rPr>
        <w:t xml:space="preserve">були порушені, додатки (наявні копії документів, листів, пояснень та інша інформація щодо обставин, які пропонується розслідувати) та інші наявні матеріали, що мають значення при проведенні розслідування. </w:t>
      </w:r>
    </w:p>
    <w:p w14:paraId="3938D026" w14:textId="382F4CB1" w:rsidR="00030E76" w:rsidRPr="008334DF" w:rsidRDefault="00030E7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6FDF94" w14:textId="769D48FE" w:rsidR="008334DF" w:rsidRPr="008334DF" w:rsidRDefault="008334DF" w:rsidP="00FC31AF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60AB4" w:rsidRPr="00B911FB">
        <w:rPr>
          <w:rFonts w:ascii="Times New Roman" w:hAnsi="Times New Roman" w:cs="Times New Roman"/>
          <w:sz w:val="28"/>
          <w:szCs w:val="28"/>
        </w:rPr>
        <w:t>2.2</w:t>
      </w:r>
      <w:r w:rsidR="00F60AB4" w:rsidRPr="008334DF">
        <w:rPr>
          <w:rFonts w:ascii="Times New Roman" w:hAnsi="Times New Roman" w:cs="Times New Roman"/>
          <w:sz w:val="28"/>
          <w:szCs w:val="28"/>
        </w:rPr>
        <w:t>.</w:t>
      </w:r>
      <w:r w:rsidRPr="008334DF">
        <w:rPr>
          <w:sz w:val="24"/>
          <w:szCs w:val="24"/>
          <w:lang w:eastAsia="uk-UA"/>
        </w:rPr>
        <w:t xml:space="preserve"> </w:t>
      </w:r>
      <w:r w:rsidRPr="008334DF">
        <w:rPr>
          <w:rFonts w:ascii="Times New Roman" w:hAnsi="Times New Roman" w:cs="Times New Roman"/>
          <w:sz w:val="28"/>
          <w:szCs w:val="28"/>
          <w:lang w:eastAsia="uk-UA"/>
        </w:rPr>
        <w:t>Структурний підрозділ НКРЕКП, який виявив обставини, дані у процесі здійснення моніторингу функціонування ринків та/або отримав повідомлення від учасників/суб’єктів ринків та заявників, що свідчать про можливе порушення законодавства щодо функціонування ринків, готує службову записку з повідомленням про можливе порушення законодавства щодо функціонування ринків з урахування</w:t>
      </w:r>
      <w:r w:rsidR="005E2D23" w:rsidRPr="00FC31AF">
        <w:rPr>
          <w:rFonts w:ascii="Times New Roman" w:hAnsi="Times New Roman" w:cs="Times New Roman"/>
          <w:sz w:val="28"/>
          <w:szCs w:val="28"/>
          <w:lang w:eastAsia="uk-UA"/>
        </w:rPr>
        <w:t>м</w:t>
      </w:r>
      <w:r w:rsidRPr="008334DF">
        <w:rPr>
          <w:rFonts w:ascii="Times New Roman" w:hAnsi="Times New Roman" w:cs="Times New Roman"/>
          <w:sz w:val="28"/>
          <w:szCs w:val="28"/>
          <w:lang w:eastAsia="uk-UA"/>
        </w:rPr>
        <w:t xml:space="preserve"> вимог абзацу </w:t>
      </w:r>
      <w:r w:rsidR="007238C5">
        <w:rPr>
          <w:rFonts w:ascii="Times New Roman" w:hAnsi="Times New Roman" w:cs="Times New Roman"/>
          <w:sz w:val="28"/>
          <w:szCs w:val="28"/>
          <w:lang w:eastAsia="uk-UA"/>
        </w:rPr>
        <w:t>третього</w:t>
      </w:r>
      <w:r w:rsidRPr="008334DF">
        <w:rPr>
          <w:rFonts w:ascii="Times New Roman" w:hAnsi="Times New Roman" w:cs="Times New Roman"/>
          <w:sz w:val="28"/>
          <w:szCs w:val="28"/>
          <w:lang w:eastAsia="uk-UA"/>
        </w:rPr>
        <w:t xml:space="preserve"> пункту 2.1 </w:t>
      </w:r>
      <w:r w:rsidR="007238C5">
        <w:rPr>
          <w:rFonts w:ascii="Times New Roman" w:hAnsi="Times New Roman" w:cs="Times New Roman"/>
          <w:sz w:val="28"/>
          <w:szCs w:val="28"/>
          <w:lang w:eastAsia="uk-UA"/>
        </w:rPr>
        <w:t xml:space="preserve">цієї глави </w:t>
      </w:r>
      <w:r w:rsidRPr="008334DF">
        <w:rPr>
          <w:rFonts w:ascii="Times New Roman" w:hAnsi="Times New Roman" w:cs="Times New Roman"/>
          <w:sz w:val="28"/>
          <w:szCs w:val="28"/>
          <w:lang w:eastAsia="uk-UA"/>
        </w:rPr>
        <w:t xml:space="preserve">та надає </w:t>
      </w:r>
      <w:r w:rsidR="00EA0289">
        <w:rPr>
          <w:rFonts w:ascii="Times New Roman" w:hAnsi="Times New Roman" w:cs="Times New Roman"/>
          <w:sz w:val="28"/>
          <w:szCs w:val="28"/>
          <w:lang w:eastAsia="uk-UA"/>
        </w:rPr>
        <w:t xml:space="preserve">її </w:t>
      </w:r>
      <w:r w:rsidRPr="008334DF">
        <w:rPr>
          <w:rFonts w:ascii="Times New Roman" w:hAnsi="Times New Roman" w:cs="Times New Roman"/>
          <w:sz w:val="28"/>
          <w:szCs w:val="28"/>
          <w:lang w:eastAsia="uk-UA"/>
        </w:rPr>
        <w:t xml:space="preserve">до структурного підрозділу НКРЕКП, на який покладено функцію організації розслідування порушень законодавства щодо функціонування ринків електричної енергії та природного газу (далі </w:t>
      </w:r>
      <w:r w:rsidR="00A1293C">
        <w:rPr>
          <w:rFonts w:ascii="Times New Roman" w:hAnsi="Times New Roman" w:cs="Times New Roman"/>
          <w:sz w:val="28"/>
          <w:szCs w:val="28"/>
          <w:lang w:eastAsia="uk-UA"/>
        </w:rPr>
        <w:t>–</w:t>
      </w:r>
      <w:r w:rsidR="00A1293C" w:rsidRPr="008334DF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8334DF">
        <w:rPr>
          <w:rFonts w:ascii="Times New Roman" w:hAnsi="Times New Roman" w:cs="Times New Roman"/>
          <w:sz w:val="28"/>
          <w:szCs w:val="28"/>
          <w:lang w:eastAsia="uk-UA"/>
        </w:rPr>
        <w:t>СП НКРЕКП).</w:t>
      </w:r>
    </w:p>
    <w:p w14:paraId="3274CB12" w14:textId="64F23939" w:rsidR="003A75EF" w:rsidRPr="00B911FB" w:rsidRDefault="003A75EF" w:rsidP="00FC31AF">
      <w:pPr>
        <w:pStyle w:val="a3"/>
        <w:shd w:val="clear" w:color="auto" w:fill="FFFFFF"/>
        <w:spacing w:after="0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AE20785" w14:textId="5AF62858" w:rsidR="008334DF" w:rsidRPr="008334DF" w:rsidRDefault="008334DF" w:rsidP="008334DF">
      <w:pPr>
        <w:pStyle w:val="a3"/>
        <w:shd w:val="clear" w:color="auto" w:fill="FFFFFF"/>
        <w:spacing w:after="15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30E76" w:rsidRPr="00B911FB">
        <w:rPr>
          <w:rFonts w:ascii="Times New Roman" w:hAnsi="Times New Roman" w:cs="Times New Roman"/>
          <w:sz w:val="28"/>
          <w:szCs w:val="28"/>
        </w:rPr>
        <w:t xml:space="preserve">2.3. </w:t>
      </w:r>
      <w:bookmarkStart w:id="2" w:name="_Hlk129873041"/>
      <w:r w:rsidRPr="008334DF">
        <w:rPr>
          <w:rFonts w:ascii="Times New Roman" w:hAnsi="Times New Roman" w:cs="Times New Roman"/>
          <w:sz w:val="28"/>
          <w:szCs w:val="28"/>
        </w:rPr>
        <w:t>СП НКРЕКП на підставі інформації, отриманої відповідно до пункту 2.1 та/або пункту 2.2 цієї глави, та/або на підставі інформації, отриманої ним під час виконання функцій, покладених на СП НКРЕКП, та з дотриманням вимог пункту 2.4 цієї глави виносить на розгляд НКРЕКП відповідно до Регламенту Національної комісії, що здійснює державне регулювання у сферах енергетики та комунальних послуг, затвердженого постановою НКРЕКП від 06 грудня 2016 року № 2133 (далі – Регламент), питання про початок розслідування порушення законодавства щодо функціонування ринків.</w:t>
      </w:r>
    </w:p>
    <w:p w14:paraId="2C476F54" w14:textId="77777777" w:rsidR="008334DF" w:rsidRPr="008334DF" w:rsidRDefault="008334DF" w:rsidP="008334DF">
      <w:pPr>
        <w:pStyle w:val="a3"/>
        <w:shd w:val="clear" w:color="auto" w:fill="FFFFFF"/>
        <w:spacing w:after="150"/>
        <w:ind w:left="0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34DF">
        <w:rPr>
          <w:rFonts w:ascii="Times New Roman" w:hAnsi="Times New Roman" w:cs="Times New Roman"/>
          <w:bCs/>
          <w:sz w:val="28"/>
          <w:szCs w:val="28"/>
        </w:rPr>
        <w:tab/>
        <w:t>У рішенні про початок розслідування вказуються норми та/або положення нормативно-правових актів, порушення яких розслідується.</w:t>
      </w:r>
    </w:p>
    <w:p w14:paraId="4B86C694" w14:textId="0B0634BC" w:rsidR="008334DF" w:rsidRPr="008334DF" w:rsidRDefault="008334DF" w:rsidP="008334DF">
      <w:pPr>
        <w:pStyle w:val="a3"/>
        <w:shd w:val="clear" w:color="auto" w:fill="FFFFFF"/>
        <w:spacing w:after="150"/>
        <w:ind w:left="0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8334DF">
        <w:rPr>
          <w:rFonts w:ascii="Times New Roman" w:hAnsi="Times New Roman" w:cs="Times New Roman"/>
          <w:bCs/>
          <w:sz w:val="28"/>
          <w:szCs w:val="28"/>
        </w:rPr>
        <w:t xml:space="preserve">У разі виявлення під час розслідування іншого суб’єкта розслідування, який не вказаний у рішенні про початок розслідування, і застосування санкцій за порушення, що розслідуються, належать до компетенції Регулятора, </w:t>
      </w:r>
      <w:r w:rsidRPr="008334DF">
        <w:rPr>
          <w:rFonts w:ascii="Times New Roman" w:hAnsi="Times New Roman" w:cs="Times New Roman"/>
          <w:bCs/>
          <w:sz w:val="28"/>
          <w:szCs w:val="28"/>
        </w:rPr>
        <w:br/>
      </w:r>
      <w:r w:rsidRPr="008334D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СП НКРЕКП вносить до рішення НКРЕКП, на підставі якого розпочато розслідування, відповідні зміни. При цьому, НКРЕКП повідомляє </w:t>
      </w:r>
      <w:r w:rsidR="002767D0" w:rsidRPr="008334DF">
        <w:rPr>
          <w:rFonts w:ascii="Times New Roman" w:hAnsi="Times New Roman" w:cs="Times New Roman"/>
          <w:bCs/>
          <w:sz w:val="28"/>
          <w:szCs w:val="28"/>
        </w:rPr>
        <w:t xml:space="preserve">такого суб’єкта розслідування </w:t>
      </w:r>
      <w:r w:rsidRPr="008334DF">
        <w:rPr>
          <w:rFonts w:ascii="Times New Roman" w:hAnsi="Times New Roman" w:cs="Times New Roman"/>
          <w:bCs/>
          <w:sz w:val="28"/>
          <w:szCs w:val="28"/>
        </w:rPr>
        <w:t>про початок розслідування згідно з вимогами пунктів 3.2 та 3.3 глави 3 цього Порядку.</w:t>
      </w:r>
    </w:p>
    <w:p w14:paraId="132F3980" w14:textId="2E96E79F" w:rsidR="00030E76" w:rsidRPr="008334DF" w:rsidRDefault="008334DF" w:rsidP="008334DF">
      <w:pPr>
        <w:pStyle w:val="a3"/>
        <w:shd w:val="clear" w:color="auto" w:fill="FFFFFF"/>
        <w:spacing w:after="15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34DF">
        <w:rPr>
          <w:rFonts w:ascii="Times New Roman" w:hAnsi="Times New Roman" w:cs="Times New Roman"/>
          <w:bCs/>
          <w:sz w:val="28"/>
          <w:szCs w:val="28"/>
        </w:rPr>
        <w:tab/>
        <w:t>У разі виявлення під час розслідування іншого порушення законодавства, яке не вказане у рішенні про початок розслідування, і розгляд такого порушення належить до повноважень інших державних та/або правоохоронних органів, СП НКРЕКП зазначає про це у висновку і пропонує НКРЕКП за результатами розслідування звернутися до інших державних органів та/або правоохоронних органів відповідно до пункту 6.2 глави 6 цього Порядку.</w:t>
      </w:r>
      <w:r w:rsidR="00030E76" w:rsidRPr="008334DF">
        <w:rPr>
          <w:rFonts w:ascii="Times New Roman" w:hAnsi="Times New Roman" w:cs="Times New Roman"/>
          <w:bCs/>
          <w:sz w:val="28"/>
          <w:szCs w:val="28"/>
        </w:rPr>
        <w:t>»;</w:t>
      </w:r>
    </w:p>
    <w:bookmarkEnd w:id="2"/>
    <w:p w14:paraId="2C81C4D6" w14:textId="77777777" w:rsidR="00030E76" w:rsidRPr="00B911FB" w:rsidRDefault="00030E76" w:rsidP="00030E76">
      <w:pPr>
        <w:pStyle w:val="a3"/>
        <w:shd w:val="clear" w:color="auto" w:fill="FFFFFF"/>
        <w:spacing w:after="15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81D2D2" w14:textId="68E4CC62" w:rsidR="001F55BE" w:rsidRPr="00B911FB" w:rsidRDefault="00CF2537" w:rsidP="00F26D91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1FB">
        <w:rPr>
          <w:rFonts w:ascii="Times New Roman" w:hAnsi="Times New Roman" w:cs="Times New Roman"/>
          <w:sz w:val="28"/>
          <w:szCs w:val="28"/>
        </w:rPr>
        <w:t>2</w:t>
      </w:r>
      <w:r w:rsidR="001F55BE" w:rsidRPr="00B911FB">
        <w:rPr>
          <w:rFonts w:ascii="Times New Roman" w:hAnsi="Times New Roman" w:cs="Times New Roman"/>
          <w:sz w:val="28"/>
          <w:szCs w:val="28"/>
        </w:rPr>
        <w:t xml:space="preserve">) </w:t>
      </w:r>
      <w:r w:rsidR="00376D2F" w:rsidRPr="00B911FB">
        <w:rPr>
          <w:rFonts w:ascii="Times New Roman" w:hAnsi="Times New Roman" w:cs="Times New Roman"/>
          <w:sz w:val="28"/>
          <w:szCs w:val="28"/>
        </w:rPr>
        <w:t>пункт 2.6 викласти у такій редакції:</w:t>
      </w:r>
    </w:p>
    <w:p w14:paraId="1381A62C" w14:textId="29D10EF4" w:rsidR="00794C23" w:rsidRPr="00B911FB" w:rsidRDefault="00447318" w:rsidP="000E04A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1FB">
        <w:rPr>
          <w:rFonts w:ascii="Times New Roman" w:hAnsi="Times New Roman" w:cs="Times New Roman"/>
          <w:sz w:val="28"/>
          <w:szCs w:val="28"/>
        </w:rPr>
        <w:t>«</w:t>
      </w:r>
      <w:r w:rsidR="00794C23" w:rsidRPr="00B911FB">
        <w:rPr>
          <w:rFonts w:ascii="Times New Roman" w:hAnsi="Times New Roman" w:cs="Times New Roman"/>
          <w:sz w:val="28"/>
          <w:szCs w:val="28"/>
        </w:rPr>
        <w:t xml:space="preserve">2.6. Разом з рішенням НКРЕКП про початок розслідування на вебсайті НКРЕКП оприлюднюється повідомлення про початок розслідування, яке містить </w:t>
      </w:r>
      <w:r w:rsidR="009159B7" w:rsidRPr="00B911FB">
        <w:rPr>
          <w:rFonts w:ascii="Times New Roman" w:hAnsi="Times New Roman" w:cs="Times New Roman"/>
          <w:sz w:val="28"/>
          <w:szCs w:val="28"/>
        </w:rPr>
        <w:t>інформацію про</w:t>
      </w:r>
      <w:r w:rsidR="00794C23" w:rsidRPr="00B911FB">
        <w:rPr>
          <w:rFonts w:ascii="Times New Roman" w:hAnsi="Times New Roman" w:cs="Times New Roman"/>
          <w:sz w:val="28"/>
          <w:szCs w:val="28"/>
        </w:rPr>
        <w:t>:</w:t>
      </w:r>
    </w:p>
    <w:p w14:paraId="6FD09E54" w14:textId="77777777" w:rsidR="00F41E49" w:rsidRPr="00B911FB" w:rsidRDefault="00F41E49" w:rsidP="00480AA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D40B7D" w14:textId="11E8A8BD" w:rsidR="00794C23" w:rsidRPr="00B911FB" w:rsidRDefault="00794C23" w:rsidP="00480AA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1FB">
        <w:rPr>
          <w:rFonts w:ascii="Times New Roman" w:hAnsi="Times New Roman" w:cs="Times New Roman"/>
          <w:sz w:val="28"/>
          <w:szCs w:val="28"/>
        </w:rPr>
        <w:t xml:space="preserve">1) </w:t>
      </w:r>
      <w:r w:rsidR="00936658" w:rsidRPr="00936658">
        <w:rPr>
          <w:rFonts w:ascii="Times New Roman" w:hAnsi="Times New Roman" w:cs="Times New Roman"/>
          <w:sz w:val="28"/>
          <w:szCs w:val="28"/>
        </w:rPr>
        <w:t>початок розслідування (</w:t>
      </w:r>
      <w:r w:rsidR="00936658" w:rsidRPr="00936658">
        <w:rPr>
          <w:rFonts w:ascii="Times New Roman" w:hAnsi="Times New Roman" w:cs="Times New Roman"/>
          <w:bCs/>
          <w:sz w:val="28"/>
          <w:szCs w:val="28"/>
        </w:rPr>
        <w:t>дата та номер прийняття рішення про початок розслідування</w:t>
      </w:r>
      <w:r w:rsidR="00936658" w:rsidRPr="00936658">
        <w:rPr>
          <w:rFonts w:ascii="Times New Roman" w:hAnsi="Times New Roman" w:cs="Times New Roman"/>
          <w:sz w:val="28"/>
          <w:szCs w:val="28"/>
        </w:rPr>
        <w:t xml:space="preserve">; </w:t>
      </w:r>
      <w:r w:rsidR="00936658" w:rsidRPr="00936658">
        <w:rPr>
          <w:rFonts w:ascii="Times New Roman" w:hAnsi="Times New Roman" w:cs="Times New Roman"/>
          <w:bCs/>
          <w:sz w:val="28"/>
          <w:szCs w:val="28"/>
        </w:rPr>
        <w:t>період, охоплений розслідуванням</w:t>
      </w:r>
      <w:r w:rsidR="00936658" w:rsidRPr="00936658">
        <w:rPr>
          <w:rFonts w:ascii="Times New Roman" w:hAnsi="Times New Roman" w:cs="Times New Roman"/>
          <w:sz w:val="28"/>
          <w:szCs w:val="28"/>
        </w:rPr>
        <w:t xml:space="preserve">; можливе </w:t>
      </w:r>
      <w:r w:rsidR="00936658" w:rsidRPr="00936658">
        <w:rPr>
          <w:rFonts w:ascii="Times New Roman" w:hAnsi="Times New Roman" w:cs="Times New Roman"/>
          <w:bCs/>
          <w:sz w:val="28"/>
          <w:szCs w:val="28"/>
        </w:rPr>
        <w:t>порушення, що розслідується, посилання на норми та/або</w:t>
      </w:r>
      <w:r w:rsidR="00936658" w:rsidRPr="00936658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936658" w:rsidRPr="00936658">
        <w:rPr>
          <w:rFonts w:ascii="Times New Roman" w:hAnsi="Times New Roman" w:cs="Times New Roman"/>
          <w:bCs/>
          <w:sz w:val="28"/>
          <w:szCs w:val="28"/>
        </w:rPr>
        <w:t>положення нормативного-правових актів, порушення яких розслідується</w:t>
      </w:r>
      <w:r w:rsidR="00936658" w:rsidRPr="00936658">
        <w:rPr>
          <w:rFonts w:ascii="Times New Roman" w:hAnsi="Times New Roman" w:cs="Times New Roman"/>
          <w:sz w:val="28"/>
          <w:szCs w:val="28"/>
        </w:rPr>
        <w:t>);</w:t>
      </w:r>
    </w:p>
    <w:p w14:paraId="174F4135" w14:textId="77777777" w:rsidR="00000F69" w:rsidRDefault="00000F69" w:rsidP="00480AA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C9A7F4" w14:textId="6F83332D" w:rsidR="00794C23" w:rsidRPr="00B911FB" w:rsidRDefault="00794C23" w:rsidP="00480AA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1FB">
        <w:rPr>
          <w:rFonts w:ascii="Times New Roman" w:hAnsi="Times New Roman" w:cs="Times New Roman"/>
          <w:sz w:val="28"/>
          <w:szCs w:val="28"/>
        </w:rPr>
        <w:t>2) суб’єкт розслідування (у разі його встановлення).</w:t>
      </w:r>
    </w:p>
    <w:p w14:paraId="3BA9BC1C" w14:textId="1D2B7D0E" w:rsidR="00794C23" w:rsidRPr="00B911FB" w:rsidRDefault="00794C23" w:rsidP="00480AAF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1FB">
        <w:rPr>
          <w:rFonts w:ascii="Times New Roman" w:hAnsi="Times New Roman" w:cs="Times New Roman"/>
          <w:sz w:val="28"/>
          <w:szCs w:val="28"/>
        </w:rPr>
        <w:t>У</w:t>
      </w:r>
      <w:r w:rsidR="00F41E49" w:rsidRPr="00B911FB">
        <w:rPr>
          <w:rFonts w:ascii="Times New Roman" w:hAnsi="Times New Roman" w:cs="Times New Roman"/>
          <w:sz w:val="28"/>
          <w:szCs w:val="28"/>
        </w:rPr>
        <w:t xml:space="preserve"> </w:t>
      </w:r>
      <w:r w:rsidRPr="00B911FB">
        <w:rPr>
          <w:rFonts w:ascii="Times New Roman" w:hAnsi="Times New Roman" w:cs="Times New Roman"/>
          <w:sz w:val="28"/>
          <w:szCs w:val="28"/>
        </w:rPr>
        <w:t>разі якщо рішення про початок розслідування прийняте на засіданні НКРЕКП, що проводиться у формі закритого слухання, у повідомленні зазначається інформація про початок розслідування.</w:t>
      </w:r>
      <w:r w:rsidR="00447318" w:rsidRPr="00B911FB">
        <w:rPr>
          <w:rFonts w:ascii="Times New Roman" w:hAnsi="Times New Roman" w:cs="Times New Roman"/>
          <w:sz w:val="28"/>
          <w:szCs w:val="28"/>
        </w:rPr>
        <w:t>».</w:t>
      </w:r>
    </w:p>
    <w:p w14:paraId="79A25A1B" w14:textId="77777777" w:rsidR="00506030" w:rsidRPr="00B911FB" w:rsidRDefault="00506030" w:rsidP="00480AA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67B924" w14:textId="286946F2" w:rsidR="00506030" w:rsidRPr="00B911FB" w:rsidRDefault="00506030" w:rsidP="00480AA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1FB">
        <w:rPr>
          <w:rFonts w:ascii="Times New Roman" w:hAnsi="Times New Roman" w:cs="Times New Roman"/>
          <w:sz w:val="28"/>
          <w:szCs w:val="28"/>
        </w:rPr>
        <w:t xml:space="preserve">3. </w:t>
      </w:r>
      <w:r w:rsidR="00C141F9" w:rsidRPr="00B911FB">
        <w:rPr>
          <w:rFonts w:ascii="Times New Roman" w:hAnsi="Times New Roman" w:cs="Times New Roman"/>
          <w:sz w:val="28"/>
          <w:szCs w:val="28"/>
        </w:rPr>
        <w:t>У главі 3:</w:t>
      </w:r>
    </w:p>
    <w:p w14:paraId="7A367351" w14:textId="77777777" w:rsidR="00926DCB" w:rsidRPr="00B911FB" w:rsidRDefault="00926DCB" w:rsidP="00480AAF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11FB">
        <w:rPr>
          <w:rFonts w:ascii="Times New Roman" w:hAnsi="Times New Roman" w:cs="Times New Roman"/>
          <w:bCs/>
          <w:sz w:val="28"/>
          <w:szCs w:val="28"/>
        </w:rPr>
        <w:tab/>
      </w:r>
    </w:p>
    <w:p w14:paraId="15F2D115" w14:textId="733AE191" w:rsidR="00147124" w:rsidRPr="00B911FB" w:rsidRDefault="00506030" w:rsidP="00480AA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1FB"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="00C141F9" w:rsidRPr="00B911FB">
        <w:rPr>
          <w:rFonts w:ascii="Times New Roman" w:hAnsi="Times New Roman" w:cs="Times New Roman"/>
          <w:bCs/>
          <w:sz w:val="28"/>
          <w:szCs w:val="28"/>
        </w:rPr>
        <w:t>пункт 3.1 викласти у такій редакції:</w:t>
      </w:r>
      <w:bookmarkStart w:id="3" w:name="_Hlk129251733"/>
    </w:p>
    <w:bookmarkEnd w:id="3"/>
    <w:p w14:paraId="1F4BC06A" w14:textId="3FBD45B9" w:rsidR="002200E7" w:rsidRPr="00B911FB" w:rsidRDefault="006B0185" w:rsidP="00480AA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1FB">
        <w:rPr>
          <w:sz w:val="28"/>
          <w:szCs w:val="28"/>
          <w:lang w:eastAsia="uk-UA"/>
        </w:rPr>
        <w:t>«</w:t>
      </w:r>
      <w:r w:rsidR="002200E7" w:rsidRPr="00B911FB">
        <w:rPr>
          <w:rFonts w:ascii="Times New Roman" w:hAnsi="Times New Roman" w:cs="Times New Roman"/>
          <w:sz w:val="28"/>
          <w:szCs w:val="28"/>
        </w:rPr>
        <w:t xml:space="preserve">3.1. </w:t>
      </w:r>
      <w:r w:rsidR="002200E7" w:rsidRPr="00B911FB">
        <w:rPr>
          <w:rFonts w:ascii="Times New Roman" w:hAnsi="Times New Roman" w:cs="Times New Roman"/>
          <w:sz w:val="28"/>
          <w:szCs w:val="28"/>
          <w:lang w:eastAsia="uk-UA"/>
        </w:rPr>
        <w:t xml:space="preserve">НКРЕКП </w:t>
      </w:r>
      <w:r w:rsidR="007D5440" w:rsidRPr="00B911FB">
        <w:rPr>
          <w:rFonts w:ascii="Times New Roman" w:hAnsi="Times New Roman" w:cs="Times New Roman"/>
          <w:sz w:val="28"/>
          <w:szCs w:val="28"/>
          <w:lang w:eastAsia="uk-UA"/>
        </w:rPr>
        <w:t xml:space="preserve">проводить </w:t>
      </w:r>
      <w:r w:rsidR="002200E7" w:rsidRPr="00B911FB">
        <w:rPr>
          <w:rFonts w:ascii="Times New Roman" w:hAnsi="Times New Roman" w:cs="Times New Roman"/>
          <w:sz w:val="28"/>
          <w:szCs w:val="28"/>
          <w:lang w:eastAsia="uk-UA"/>
        </w:rPr>
        <w:t>розслідування із залученням працівників центрального апарату та/або територіального органу НКРЕКП, до компетенції яких належить розгляд відповідних питань</w:t>
      </w:r>
      <w:r w:rsidR="0055726B" w:rsidRPr="00B911FB"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="002200E7" w:rsidRPr="00B911FB">
        <w:rPr>
          <w:rFonts w:ascii="Times New Roman" w:hAnsi="Times New Roman" w:cs="Times New Roman"/>
          <w:sz w:val="28"/>
          <w:szCs w:val="28"/>
          <w:lang w:eastAsia="uk-UA"/>
        </w:rPr>
        <w:t>»</w:t>
      </w:r>
      <w:r w:rsidR="0022219F" w:rsidRPr="00B911FB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14:paraId="3821554F" w14:textId="77777777" w:rsidR="00506030" w:rsidRPr="00B911FB" w:rsidRDefault="00506030" w:rsidP="00480AA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D29761" w14:textId="7044EAB0" w:rsidR="006C7AAF" w:rsidRPr="00B911FB" w:rsidRDefault="00506030" w:rsidP="00480AAF">
      <w:pPr>
        <w:pStyle w:val="a3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11FB"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="006C7AAF" w:rsidRPr="00B911FB">
        <w:rPr>
          <w:rFonts w:ascii="Times New Roman" w:hAnsi="Times New Roman" w:cs="Times New Roman"/>
          <w:bCs/>
          <w:sz w:val="28"/>
          <w:szCs w:val="28"/>
        </w:rPr>
        <w:t xml:space="preserve">у </w:t>
      </w:r>
      <w:r w:rsidR="00375335" w:rsidRPr="00B911FB">
        <w:rPr>
          <w:rFonts w:ascii="Times New Roman" w:hAnsi="Times New Roman" w:cs="Times New Roman"/>
          <w:bCs/>
          <w:sz w:val="28"/>
          <w:szCs w:val="28"/>
        </w:rPr>
        <w:t>пункт</w:t>
      </w:r>
      <w:r w:rsidR="006C7AAF" w:rsidRPr="00B911FB">
        <w:rPr>
          <w:rFonts w:ascii="Times New Roman" w:hAnsi="Times New Roman" w:cs="Times New Roman"/>
          <w:bCs/>
          <w:sz w:val="28"/>
          <w:szCs w:val="28"/>
        </w:rPr>
        <w:t>і</w:t>
      </w:r>
      <w:r w:rsidR="00375335" w:rsidRPr="00B911FB">
        <w:rPr>
          <w:rFonts w:ascii="Times New Roman" w:hAnsi="Times New Roman" w:cs="Times New Roman"/>
          <w:bCs/>
          <w:sz w:val="28"/>
          <w:szCs w:val="28"/>
        </w:rPr>
        <w:t xml:space="preserve"> 3.</w:t>
      </w:r>
      <w:r w:rsidR="00147124" w:rsidRPr="00B911FB">
        <w:rPr>
          <w:rFonts w:ascii="Times New Roman" w:hAnsi="Times New Roman" w:cs="Times New Roman"/>
          <w:bCs/>
          <w:sz w:val="28"/>
          <w:szCs w:val="28"/>
        </w:rPr>
        <w:t>2</w:t>
      </w:r>
      <w:r w:rsidR="006C7AAF" w:rsidRPr="00B911FB">
        <w:rPr>
          <w:rFonts w:ascii="Times New Roman" w:hAnsi="Times New Roman" w:cs="Times New Roman"/>
          <w:bCs/>
          <w:sz w:val="28"/>
          <w:szCs w:val="28"/>
        </w:rPr>
        <w:t>:</w:t>
      </w:r>
      <w:r w:rsidRPr="00B911F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70662B8" w14:textId="1EEC5973" w:rsidR="006C7AAF" w:rsidRPr="00B911FB" w:rsidRDefault="006C7AAF" w:rsidP="00480AAF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911FB">
        <w:rPr>
          <w:rFonts w:ascii="Times New Roman" w:hAnsi="Times New Roman" w:cs="Times New Roman"/>
          <w:sz w:val="28"/>
          <w:szCs w:val="28"/>
          <w:lang w:eastAsia="uk-UA"/>
        </w:rPr>
        <w:t>абзац перший викласти у такій редакції:</w:t>
      </w:r>
    </w:p>
    <w:p w14:paraId="0B05F7B3" w14:textId="16D913B2" w:rsidR="006C7AAF" w:rsidRPr="00B911FB" w:rsidRDefault="0022219F" w:rsidP="00480AAF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4" w:name="_Hlk130391100"/>
      <w:r w:rsidRPr="00B911FB">
        <w:rPr>
          <w:rFonts w:ascii="Times New Roman" w:hAnsi="Times New Roman" w:cs="Times New Roman"/>
          <w:sz w:val="28"/>
          <w:szCs w:val="28"/>
          <w:lang w:eastAsia="uk-UA"/>
        </w:rPr>
        <w:t xml:space="preserve">«3.2. </w:t>
      </w:r>
      <w:r w:rsidR="002200E7" w:rsidRPr="00B911FB">
        <w:rPr>
          <w:rFonts w:ascii="Times New Roman" w:hAnsi="Times New Roman" w:cs="Times New Roman"/>
          <w:sz w:val="28"/>
          <w:szCs w:val="28"/>
          <w:lang w:eastAsia="uk-UA"/>
        </w:rPr>
        <w:t>У разі початку розслідування щодо встановленого суб’єкта розслідування НКРЕКП протягом 5 робочих днів з дня</w:t>
      </w:r>
      <w:r w:rsidR="004B70A4" w:rsidRPr="00B911FB"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="002200E7" w:rsidRPr="00B911FB">
        <w:rPr>
          <w:rFonts w:ascii="Times New Roman" w:hAnsi="Times New Roman" w:cs="Times New Roman"/>
          <w:sz w:val="28"/>
          <w:szCs w:val="28"/>
          <w:lang w:eastAsia="uk-UA"/>
        </w:rPr>
        <w:t xml:space="preserve"> наступного  за днем оприлюднення рішення НКРЕКП про початок розслідування</w:t>
      </w:r>
      <w:r w:rsidR="003634B5" w:rsidRPr="00B911FB"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="002200E7" w:rsidRPr="00B911FB">
        <w:rPr>
          <w:rFonts w:ascii="Times New Roman" w:hAnsi="Times New Roman" w:cs="Times New Roman"/>
          <w:sz w:val="28"/>
          <w:szCs w:val="28"/>
          <w:lang w:eastAsia="uk-UA"/>
        </w:rPr>
        <w:t xml:space="preserve"> повідомляє про це </w:t>
      </w:r>
      <w:r w:rsidR="003634B5" w:rsidRPr="00B911FB">
        <w:rPr>
          <w:rFonts w:ascii="Times New Roman" w:hAnsi="Times New Roman" w:cs="Times New Roman"/>
          <w:sz w:val="28"/>
          <w:szCs w:val="28"/>
          <w:lang w:eastAsia="uk-UA"/>
        </w:rPr>
        <w:t xml:space="preserve">в письмовій формі </w:t>
      </w:r>
      <w:r w:rsidR="002200E7" w:rsidRPr="00B911FB">
        <w:rPr>
          <w:rFonts w:ascii="Times New Roman" w:hAnsi="Times New Roman" w:cs="Times New Roman"/>
          <w:sz w:val="28"/>
          <w:szCs w:val="28"/>
          <w:lang w:eastAsia="uk-UA"/>
        </w:rPr>
        <w:t>суб’єкта розслідування та заявників (за їх наявності).</w:t>
      </w:r>
      <w:r w:rsidR="001A6B88" w:rsidRPr="00B911FB">
        <w:rPr>
          <w:rFonts w:ascii="Times New Roman" w:hAnsi="Times New Roman" w:cs="Times New Roman"/>
          <w:sz w:val="28"/>
          <w:szCs w:val="28"/>
          <w:lang w:eastAsia="uk-UA"/>
        </w:rPr>
        <w:t>»;</w:t>
      </w:r>
    </w:p>
    <w:bookmarkEnd w:id="4"/>
    <w:p w14:paraId="7EFC531C" w14:textId="03949A57" w:rsidR="006C7AAF" w:rsidRPr="00B911FB" w:rsidRDefault="00506030" w:rsidP="00FC31A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11FB">
        <w:rPr>
          <w:rFonts w:ascii="Times New Roman" w:hAnsi="Times New Roman" w:cs="Times New Roman"/>
          <w:bCs/>
          <w:sz w:val="28"/>
          <w:szCs w:val="28"/>
        </w:rPr>
        <w:t>доповнити нови</w:t>
      </w:r>
      <w:r w:rsidR="00B27C65" w:rsidRPr="00B911FB">
        <w:rPr>
          <w:rFonts w:ascii="Times New Roman" w:hAnsi="Times New Roman" w:cs="Times New Roman"/>
          <w:bCs/>
          <w:sz w:val="28"/>
          <w:szCs w:val="28"/>
        </w:rPr>
        <w:t>м</w:t>
      </w:r>
      <w:r w:rsidR="00147124" w:rsidRPr="00B911FB">
        <w:rPr>
          <w:rFonts w:ascii="Times New Roman" w:hAnsi="Times New Roman" w:cs="Times New Roman"/>
          <w:bCs/>
          <w:sz w:val="28"/>
          <w:szCs w:val="28"/>
        </w:rPr>
        <w:t xml:space="preserve"> абзац</w:t>
      </w:r>
      <w:r w:rsidR="006635C0" w:rsidRPr="00B911FB">
        <w:rPr>
          <w:rFonts w:ascii="Times New Roman" w:hAnsi="Times New Roman" w:cs="Times New Roman"/>
          <w:bCs/>
          <w:sz w:val="28"/>
          <w:szCs w:val="28"/>
        </w:rPr>
        <w:t>ом</w:t>
      </w:r>
      <w:r w:rsidRPr="00B911FB">
        <w:rPr>
          <w:rFonts w:ascii="Times New Roman" w:hAnsi="Times New Roman" w:cs="Times New Roman"/>
          <w:bCs/>
          <w:sz w:val="28"/>
          <w:szCs w:val="28"/>
        </w:rPr>
        <w:t xml:space="preserve"> такого змісту</w:t>
      </w:r>
      <w:r w:rsidR="00375335" w:rsidRPr="00B911FB">
        <w:rPr>
          <w:rFonts w:ascii="Times New Roman" w:hAnsi="Times New Roman" w:cs="Times New Roman"/>
          <w:bCs/>
          <w:sz w:val="28"/>
          <w:szCs w:val="28"/>
        </w:rPr>
        <w:t>:</w:t>
      </w:r>
      <w:bookmarkStart w:id="5" w:name="n160"/>
      <w:bookmarkEnd w:id="5"/>
    </w:p>
    <w:p w14:paraId="310D4525" w14:textId="798EF161" w:rsidR="000D588C" w:rsidRPr="00B911FB" w:rsidRDefault="001A6B88" w:rsidP="00FC31AF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11FB">
        <w:rPr>
          <w:rFonts w:ascii="Times New Roman" w:hAnsi="Times New Roman" w:cs="Times New Roman"/>
          <w:sz w:val="28"/>
          <w:szCs w:val="28"/>
          <w:lang w:eastAsia="uk-UA"/>
        </w:rPr>
        <w:t>«</w:t>
      </w:r>
      <w:r w:rsidR="00936658" w:rsidRPr="00936658">
        <w:rPr>
          <w:rFonts w:ascii="Times New Roman" w:hAnsi="Times New Roman" w:cs="Times New Roman"/>
          <w:sz w:val="28"/>
          <w:szCs w:val="28"/>
          <w:lang w:eastAsia="uk-UA"/>
        </w:rPr>
        <w:t xml:space="preserve">У разі встановлення під час проведення розслідування, розпочатого щодо події (обставини, дії),  яка настала внаслідок порушення, щодо учасника/суб’єкта ринку (ринків), який скоїв порушення, НКРЕКП приймає рішення про оголошення такого учасника/суб’єкта ринку (ринків) суб’єктом розслідування та </w:t>
      </w:r>
      <w:r w:rsidR="00936658" w:rsidRPr="00936658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відповідно до пункту 3.3 цієї глави надсилає йому повідомлення протягом 5 робочих днів з дня, наступного за днем оприлюднення рішення НКРЕКП про оголошення його суб’єктом розслідування, з правами та обов’язками відповідно до цього Порядку.</w:t>
      </w:r>
      <w:r w:rsidR="006635C0" w:rsidRPr="00B911FB">
        <w:rPr>
          <w:rFonts w:ascii="Times New Roman" w:hAnsi="Times New Roman" w:cs="Times New Roman"/>
          <w:sz w:val="28"/>
          <w:szCs w:val="28"/>
          <w:lang w:eastAsia="uk-UA"/>
        </w:rPr>
        <w:t>»;</w:t>
      </w:r>
    </w:p>
    <w:p w14:paraId="65226C8A" w14:textId="77777777" w:rsidR="000A1589" w:rsidRPr="00B911FB" w:rsidRDefault="000D588C" w:rsidP="00480AAF">
      <w:pPr>
        <w:pStyle w:val="a6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911F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14:paraId="74AACAA3" w14:textId="77777777" w:rsidR="00705F67" w:rsidRPr="00B911FB" w:rsidRDefault="000D588C" w:rsidP="00480AAF">
      <w:pPr>
        <w:pStyle w:val="a6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911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3) </w:t>
      </w:r>
      <w:r w:rsidR="00705F67" w:rsidRPr="00B911FB">
        <w:rPr>
          <w:rFonts w:ascii="Times New Roman" w:eastAsia="Times New Roman" w:hAnsi="Times New Roman" w:cs="Times New Roman"/>
          <w:sz w:val="28"/>
          <w:szCs w:val="28"/>
          <w:lang w:eastAsia="uk-UA"/>
        </w:rPr>
        <w:t>пункт 3.</w:t>
      </w:r>
      <w:r w:rsidRPr="00B911FB">
        <w:rPr>
          <w:rFonts w:ascii="Times New Roman" w:eastAsia="Times New Roman" w:hAnsi="Times New Roman" w:cs="Times New Roman"/>
          <w:sz w:val="28"/>
          <w:szCs w:val="28"/>
          <w:lang w:eastAsia="uk-UA"/>
        </w:rPr>
        <w:t>4 викласти у такій редакції:</w:t>
      </w:r>
    </w:p>
    <w:p w14:paraId="7EA2A4D2" w14:textId="77777777" w:rsidR="00801A39" w:rsidRDefault="00801A39" w:rsidP="00801A39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  </w:t>
      </w:r>
      <w:r w:rsidR="000D588C" w:rsidRPr="00801A39">
        <w:rPr>
          <w:rFonts w:ascii="Times New Roman" w:hAnsi="Times New Roman" w:cs="Times New Roman"/>
          <w:sz w:val="28"/>
          <w:szCs w:val="28"/>
          <w:lang w:eastAsia="uk-UA"/>
        </w:rPr>
        <w:t xml:space="preserve">«3.4. </w:t>
      </w:r>
      <w:r w:rsidRPr="00801A39">
        <w:rPr>
          <w:rFonts w:ascii="Times New Roman" w:hAnsi="Times New Roman" w:cs="Times New Roman"/>
          <w:sz w:val="28"/>
          <w:szCs w:val="28"/>
          <w:lang w:eastAsia="uk-UA"/>
        </w:rPr>
        <w:t>НКРЕКП проводить розслідування у строк не більше п’яти місяців з дня, наступного за днем оприлюднення рішення НКРЕКП про початок розслідування.</w:t>
      </w:r>
    </w:p>
    <w:p w14:paraId="7EA79243" w14:textId="172EB5AA" w:rsidR="00801A39" w:rsidRPr="00801A39" w:rsidRDefault="00801A39" w:rsidP="00801A39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01A39">
        <w:rPr>
          <w:rFonts w:ascii="Times New Roman" w:hAnsi="Times New Roman" w:cs="Times New Roman"/>
          <w:sz w:val="28"/>
          <w:szCs w:val="28"/>
          <w:lang w:eastAsia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</w:t>
      </w:r>
      <w:r w:rsidRPr="00801A39">
        <w:rPr>
          <w:rFonts w:ascii="Times New Roman" w:hAnsi="Times New Roman" w:cs="Times New Roman"/>
          <w:sz w:val="28"/>
          <w:szCs w:val="28"/>
          <w:lang w:eastAsia="uk-UA"/>
        </w:rPr>
        <w:t xml:space="preserve">  За наявності обґрунтованих підстав та на підставі пункту 2.3 глави 2 цього Порядку строк проведення розслідування відповідно до рішення НКРЕКП може бути одноразово продовжений не більше ніж на один місяць, а у разі оголошення учасника/суб’єкта ринку (ринків) суб’єктом розслідування відповідно пункту 3.2 цієї глави – не більше ніж на п’ять місяців.</w:t>
      </w:r>
    </w:p>
    <w:p w14:paraId="5E635961" w14:textId="3DA3FC34" w:rsidR="006C7AAF" w:rsidRPr="00B911FB" w:rsidRDefault="00F6603F" w:rsidP="00801A3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911FB">
        <w:rPr>
          <w:rFonts w:ascii="Times New Roman" w:hAnsi="Times New Roman" w:cs="Times New Roman"/>
          <w:sz w:val="28"/>
          <w:szCs w:val="28"/>
          <w:lang w:eastAsia="uk-UA"/>
        </w:rPr>
        <w:t>У разі невстановлення суб’єкта розслідування протягом п’яти місяців  з дня, наступного за днем оприлюднення рішення НКРЕКП про початок розслідування, розслідування підлягає закриттю відповідно до глави 6 цього Порядку.</w:t>
      </w:r>
    </w:p>
    <w:p w14:paraId="2468C5DE" w14:textId="775865BB" w:rsidR="004D76BC" w:rsidRPr="00B911FB" w:rsidRDefault="0059705A" w:rsidP="00480AA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911FB">
        <w:rPr>
          <w:rFonts w:ascii="Times New Roman" w:hAnsi="Times New Roman" w:cs="Times New Roman"/>
          <w:sz w:val="28"/>
          <w:szCs w:val="28"/>
          <w:lang w:eastAsia="uk-UA"/>
        </w:rPr>
        <w:t>Про продовження строку розслідування НКРЕКП повідомляє суб’єкта розслідування не пізніше п’яти робочих днів з дня</w:t>
      </w:r>
      <w:r w:rsidR="0032523E" w:rsidRPr="00B911FB"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Pr="00B911FB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2200E7" w:rsidRPr="00B911FB">
        <w:rPr>
          <w:rFonts w:ascii="Times New Roman" w:hAnsi="Times New Roman" w:cs="Times New Roman"/>
          <w:sz w:val="28"/>
          <w:szCs w:val="28"/>
          <w:lang w:eastAsia="uk-UA"/>
        </w:rPr>
        <w:t xml:space="preserve">наступного за днем </w:t>
      </w:r>
      <w:r w:rsidR="004D76BC" w:rsidRPr="00B911FB">
        <w:rPr>
          <w:rFonts w:ascii="Times New Roman" w:hAnsi="Times New Roman" w:cs="Times New Roman"/>
          <w:sz w:val="28"/>
          <w:szCs w:val="28"/>
          <w:lang w:eastAsia="uk-UA"/>
        </w:rPr>
        <w:t>оприлюднення</w:t>
      </w:r>
      <w:r w:rsidRPr="00B911FB">
        <w:rPr>
          <w:rFonts w:ascii="Times New Roman" w:hAnsi="Times New Roman" w:cs="Times New Roman"/>
          <w:sz w:val="28"/>
          <w:szCs w:val="28"/>
          <w:lang w:eastAsia="uk-UA"/>
        </w:rPr>
        <w:t xml:space="preserve"> рішення</w:t>
      </w:r>
      <w:r w:rsidR="0032523E" w:rsidRPr="00B911FB">
        <w:rPr>
          <w:rFonts w:ascii="Times New Roman" w:hAnsi="Times New Roman" w:cs="Times New Roman"/>
          <w:sz w:val="28"/>
          <w:szCs w:val="28"/>
          <w:lang w:eastAsia="uk-UA"/>
        </w:rPr>
        <w:t xml:space="preserve"> про продовження розслідування,</w:t>
      </w:r>
      <w:r w:rsidRPr="00B911FB">
        <w:rPr>
          <w:rFonts w:ascii="Times New Roman" w:hAnsi="Times New Roman" w:cs="Times New Roman"/>
          <w:sz w:val="28"/>
          <w:szCs w:val="28"/>
          <w:lang w:eastAsia="uk-UA"/>
        </w:rPr>
        <w:t xml:space="preserve"> шляхом направлення на його електронну адресу листа в електронній формі з накладенням кваліфікованого електронного підпису члена НКРЕКП, до функціональних обов’язків якого належить організація </w:t>
      </w:r>
      <w:r w:rsidR="00DE745B">
        <w:rPr>
          <w:rFonts w:ascii="Times New Roman" w:hAnsi="Times New Roman" w:cs="Times New Roman"/>
          <w:sz w:val="28"/>
          <w:szCs w:val="28"/>
          <w:lang w:eastAsia="uk-UA"/>
        </w:rPr>
        <w:t>роботи з питань здійснення</w:t>
      </w:r>
      <w:r w:rsidRPr="00B911FB">
        <w:rPr>
          <w:rFonts w:ascii="Times New Roman" w:hAnsi="Times New Roman" w:cs="Times New Roman"/>
          <w:sz w:val="28"/>
          <w:szCs w:val="28"/>
          <w:lang w:eastAsia="uk-UA"/>
        </w:rPr>
        <w:t xml:space="preserve"> розслідувань, та/або кваліфікованої електронної печатки НКРЕКП.</w:t>
      </w:r>
    </w:p>
    <w:p w14:paraId="627B9124" w14:textId="5855DB3C" w:rsidR="0059705A" w:rsidRPr="00B911FB" w:rsidRDefault="0059705A" w:rsidP="00480AA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911FB">
        <w:rPr>
          <w:rFonts w:ascii="Times New Roman" w:hAnsi="Times New Roman" w:cs="Times New Roman"/>
          <w:sz w:val="28"/>
          <w:szCs w:val="28"/>
          <w:lang w:eastAsia="uk-UA"/>
        </w:rPr>
        <w:t xml:space="preserve">У разі продовження строку розслідування та невиконання вимог абзацу </w:t>
      </w:r>
      <w:r w:rsidR="004D76BC" w:rsidRPr="00B911FB">
        <w:rPr>
          <w:rFonts w:ascii="Times New Roman" w:hAnsi="Times New Roman" w:cs="Times New Roman"/>
          <w:sz w:val="28"/>
          <w:szCs w:val="28"/>
          <w:lang w:eastAsia="uk-UA"/>
        </w:rPr>
        <w:t>четвертого</w:t>
      </w:r>
      <w:r w:rsidRPr="00B911FB">
        <w:rPr>
          <w:rFonts w:ascii="Times New Roman" w:hAnsi="Times New Roman" w:cs="Times New Roman"/>
          <w:sz w:val="28"/>
          <w:szCs w:val="28"/>
          <w:lang w:eastAsia="uk-UA"/>
        </w:rPr>
        <w:t xml:space="preserve"> цього пункту суб’єкт розслідування має право не допускати працівників</w:t>
      </w:r>
      <w:r w:rsidR="004D76BC" w:rsidRPr="00B911FB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B911FB">
        <w:rPr>
          <w:rFonts w:ascii="Times New Roman" w:hAnsi="Times New Roman" w:cs="Times New Roman"/>
          <w:sz w:val="28"/>
          <w:szCs w:val="28"/>
          <w:lang w:eastAsia="uk-UA"/>
        </w:rPr>
        <w:t>НКРЕКП для проведення розслідування або не надавати запитувані документи та інформацію.</w:t>
      </w:r>
      <w:r w:rsidR="004D76BC" w:rsidRPr="00B911FB">
        <w:rPr>
          <w:rFonts w:ascii="Times New Roman" w:hAnsi="Times New Roman" w:cs="Times New Roman"/>
          <w:sz w:val="28"/>
          <w:szCs w:val="28"/>
          <w:lang w:eastAsia="uk-UA"/>
        </w:rPr>
        <w:t>»;</w:t>
      </w:r>
    </w:p>
    <w:p w14:paraId="397BF476" w14:textId="77777777" w:rsidR="004D76BC" w:rsidRPr="00B911FB" w:rsidRDefault="004D76BC" w:rsidP="00480AA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635E194C" w14:textId="4A825064" w:rsidR="004D76BC" w:rsidRPr="00B911FB" w:rsidRDefault="004D76BC" w:rsidP="00480AA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911FB">
        <w:rPr>
          <w:rFonts w:ascii="Times New Roman" w:hAnsi="Times New Roman" w:cs="Times New Roman"/>
          <w:sz w:val="28"/>
          <w:szCs w:val="28"/>
          <w:lang w:eastAsia="uk-UA"/>
        </w:rPr>
        <w:t xml:space="preserve">4) </w:t>
      </w:r>
      <w:r w:rsidR="0095444B" w:rsidRPr="00B911FB">
        <w:rPr>
          <w:rFonts w:ascii="Times New Roman" w:hAnsi="Times New Roman" w:cs="Times New Roman"/>
          <w:sz w:val="28"/>
          <w:szCs w:val="28"/>
          <w:lang w:eastAsia="uk-UA"/>
        </w:rPr>
        <w:t xml:space="preserve">підпункти 3 – </w:t>
      </w:r>
      <w:r w:rsidR="003E16D0" w:rsidRPr="00B911FB">
        <w:rPr>
          <w:rFonts w:ascii="Times New Roman" w:hAnsi="Times New Roman" w:cs="Times New Roman"/>
          <w:sz w:val="28"/>
          <w:szCs w:val="28"/>
          <w:lang w:eastAsia="uk-UA"/>
        </w:rPr>
        <w:t>5</w:t>
      </w:r>
      <w:r w:rsidR="0095444B" w:rsidRPr="00B911FB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B911FB">
        <w:rPr>
          <w:rFonts w:ascii="Times New Roman" w:hAnsi="Times New Roman" w:cs="Times New Roman"/>
          <w:sz w:val="28"/>
          <w:szCs w:val="28"/>
          <w:lang w:eastAsia="uk-UA"/>
        </w:rPr>
        <w:t xml:space="preserve"> пункт</w:t>
      </w:r>
      <w:r w:rsidR="0095444B" w:rsidRPr="00B911FB">
        <w:rPr>
          <w:rFonts w:ascii="Times New Roman" w:hAnsi="Times New Roman" w:cs="Times New Roman"/>
          <w:sz w:val="28"/>
          <w:szCs w:val="28"/>
          <w:lang w:eastAsia="uk-UA"/>
        </w:rPr>
        <w:t>у</w:t>
      </w:r>
      <w:r w:rsidRPr="00B911FB">
        <w:rPr>
          <w:rFonts w:ascii="Times New Roman" w:hAnsi="Times New Roman" w:cs="Times New Roman"/>
          <w:sz w:val="28"/>
          <w:szCs w:val="28"/>
          <w:lang w:eastAsia="uk-UA"/>
        </w:rPr>
        <w:t xml:space="preserve"> 3.6</w:t>
      </w:r>
      <w:r w:rsidR="0095444B" w:rsidRPr="00B911FB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651B2D" w:rsidRPr="00B911FB">
        <w:rPr>
          <w:rFonts w:ascii="Times New Roman" w:hAnsi="Times New Roman" w:cs="Times New Roman"/>
          <w:sz w:val="28"/>
          <w:szCs w:val="28"/>
          <w:lang w:eastAsia="uk-UA"/>
        </w:rPr>
        <w:t>викласти у такій редакції</w:t>
      </w:r>
      <w:r w:rsidRPr="00B911FB">
        <w:rPr>
          <w:rFonts w:ascii="Times New Roman" w:hAnsi="Times New Roman" w:cs="Times New Roman"/>
          <w:sz w:val="28"/>
          <w:szCs w:val="28"/>
          <w:lang w:eastAsia="uk-UA"/>
        </w:rPr>
        <w:t>:</w:t>
      </w:r>
    </w:p>
    <w:p w14:paraId="2BFD6EEC" w14:textId="5391E753" w:rsidR="004D76BC" w:rsidRPr="00B911FB" w:rsidRDefault="004D76BC" w:rsidP="00480AA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911FB">
        <w:rPr>
          <w:rFonts w:ascii="Times New Roman" w:hAnsi="Times New Roman" w:cs="Times New Roman"/>
          <w:sz w:val="28"/>
          <w:szCs w:val="28"/>
          <w:lang w:eastAsia="uk-UA"/>
        </w:rPr>
        <w:t xml:space="preserve">«3) головує або уповноважує іншого працівника </w:t>
      </w:r>
      <w:r w:rsidR="00CE7351" w:rsidRPr="00B911FB">
        <w:rPr>
          <w:rFonts w:ascii="Times New Roman" w:hAnsi="Times New Roman" w:cs="Times New Roman"/>
          <w:sz w:val="28"/>
          <w:szCs w:val="28"/>
          <w:lang w:eastAsia="uk-UA"/>
        </w:rPr>
        <w:t xml:space="preserve">СП </w:t>
      </w:r>
      <w:r w:rsidRPr="00B911FB">
        <w:rPr>
          <w:rFonts w:ascii="Times New Roman" w:hAnsi="Times New Roman" w:cs="Times New Roman"/>
          <w:sz w:val="28"/>
          <w:szCs w:val="28"/>
          <w:lang w:eastAsia="uk-UA"/>
        </w:rPr>
        <w:t>НКРЕКП головувати на слуханнях, які проводить НКРЕКП;</w:t>
      </w:r>
    </w:p>
    <w:p w14:paraId="3495264E" w14:textId="77777777" w:rsidR="00497EA9" w:rsidRPr="00B911FB" w:rsidRDefault="00497EA9" w:rsidP="00480AA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58EB5E9E" w14:textId="1F64433B" w:rsidR="004D76BC" w:rsidRPr="00B911FB" w:rsidRDefault="004D76BC" w:rsidP="00480AA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911FB">
        <w:rPr>
          <w:rFonts w:ascii="Times New Roman" w:hAnsi="Times New Roman" w:cs="Times New Roman"/>
          <w:sz w:val="28"/>
          <w:szCs w:val="28"/>
          <w:lang w:eastAsia="uk-UA"/>
        </w:rPr>
        <w:t>4) підписує протокол слухань;</w:t>
      </w:r>
    </w:p>
    <w:p w14:paraId="5899BCE5" w14:textId="77777777" w:rsidR="0001707E" w:rsidRPr="00B911FB" w:rsidRDefault="0001707E" w:rsidP="00480AA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1CF093CE" w14:textId="14E9D21D" w:rsidR="004D76BC" w:rsidRPr="00B911FB" w:rsidRDefault="004D76BC" w:rsidP="0055342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911FB">
        <w:rPr>
          <w:rFonts w:ascii="Times New Roman" w:hAnsi="Times New Roman" w:cs="Times New Roman"/>
          <w:sz w:val="28"/>
          <w:szCs w:val="28"/>
          <w:lang w:eastAsia="uk-UA"/>
        </w:rPr>
        <w:t>5) затверджує своїм підписом висновок НКРЕКП про результати розслідування</w:t>
      </w:r>
      <w:r w:rsidR="0055726B" w:rsidRPr="00B911FB">
        <w:rPr>
          <w:rFonts w:ascii="Times New Roman" w:hAnsi="Times New Roman" w:cs="Times New Roman"/>
          <w:sz w:val="28"/>
          <w:szCs w:val="28"/>
          <w:lang w:eastAsia="uk-UA"/>
        </w:rPr>
        <w:t>;</w:t>
      </w:r>
      <w:r w:rsidRPr="00B911FB">
        <w:rPr>
          <w:rFonts w:ascii="Times New Roman" w:hAnsi="Times New Roman" w:cs="Times New Roman"/>
          <w:sz w:val="28"/>
          <w:szCs w:val="28"/>
          <w:lang w:eastAsia="uk-UA"/>
        </w:rPr>
        <w:t>»;</w:t>
      </w:r>
    </w:p>
    <w:p w14:paraId="54630DEB" w14:textId="77777777" w:rsidR="00844A28" w:rsidRPr="00B911FB" w:rsidRDefault="00844A2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7719C02B" w14:textId="4E664587" w:rsidR="00844A28" w:rsidRPr="00B911FB" w:rsidRDefault="00844A28" w:rsidP="00480AA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911FB">
        <w:rPr>
          <w:rFonts w:ascii="Times New Roman" w:hAnsi="Times New Roman" w:cs="Times New Roman"/>
          <w:sz w:val="28"/>
          <w:szCs w:val="28"/>
          <w:lang w:eastAsia="uk-UA"/>
        </w:rPr>
        <w:t>5) пункт 3.7 викласти у такій редакції:</w:t>
      </w:r>
    </w:p>
    <w:p w14:paraId="31EE1C9F" w14:textId="44863B16" w:rsidR="00844A28" w:rsidRPr="00B911FB" w:rsidRDefault="00844A28" w:rsidP="00480AA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911FB">
        <w:rPr>
          <w:rFonts w:ascii="Times New Roman" w:hAnsi="Times New Roman" w:cs="Times New Roman"/>
          <w:sz w:val="28"/>
          <w:szCs w:val="28"/>
          <w:lang w:eastAsia="uk-UA"/>
        </w:rPr>
        <w:t>«3.7. НКРЕКП починає розслідування з дня, наступного за днем оприлюднення рішення НКРЕКП про початок розслідування.</w:t>
      </w:r>
    </w:p>
    <w:p w14:paraId="16CCC1ED" w14:textId="30A9D78A" w:rsidR="00844A28" w:rsidRPr="00B911FB" w:rsidRDefault="00844A28" w:rsidP="00480AA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911FB">
        <w:rPr>
          <w:rFonts w:ascii="Times New Roman" w:hAnsi="Times New Roman" w:cs="Times New Roman"/>
          <w:sz w:val="28"/>
          <w:szCs w:val="28"/>
          <w:lang w:eastAsia="uk-UA"/>
        </w:rPr>
        <w:t>НКРЕКП надсила</w:t>
      </w:r>
      <w:r w:rsidR="0069739B" w:rsidRPr="00B911FB">
        <w:rPr>
          <w:rFonts w:ascii="Times New Roman" w:hAnsi="Times New Roman" w:cs="Times New Roman"/>
          <w:sz w:val="28"/>
          <w:szCs w:val="28"/>
          <w:lang w:eastAsia="uk-UA"/>
        </w:rPr>
        <w:t>є</w:t>
      </w:r>
      <w:r w:rsidRPr="00B911FB">
        <w:rPr>
          <w:rFonts w:ascii="Times New Roman" w:hAnsi="Times New Roman" w:cs="Times New Roman"/>
          <w:sz w:val="28"/>
          <w:szCs w:val="28"/>
          <w:lang w:eastAsia="uk-UA"/>
        </w:rPr>
        <w:t xml:space="preserve"> суб’єкту розслідування, учасникам/суб’єктам ринків на їх електронні адреси опитувальник, вимогу щодо надання копій документів, пояснень, пропозицію про визнання порушення, що розслідується, які </w:t>
      </w:r>
      <w:r w:rsidRPr="00B911FB"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надсилаються в електронній формі з накладенням кваліфікованого електронного підпису члена НКРЕКП, до функціональних </w:t>
      </w:r>
      <w:r w:rsidR="00553421" w:rsidRPr="00B911FB">
        <w:rPr>
          <w:rFonts w:ascii="Times New Roman" w:hAnsi="Times New Roman" w:cs="Times New Roman"/>
          <w:sz w:val="28"/>
          <w:szCs w:val="28"/>
          <w:lang w:eastAsia="uk-UA"/>
        </w:rPr>
        <w:t>обов’язків</w:t>
      </w:r>
      <w:r w:rsidRPr="00B911FB">
        <w:rPr>
          <w:rFonts w:ascii="Times New Roman" w:hAnsi="Times New Roman" w:cs="Times New Roman"/>
          <w:sz w:val="28"/>
          <w:szCs w:val="28"/>
          <w:lang w:eastAsia="uk-UA"/>
        </w:rPr>
        <w:t xml:space="preserve"> якого належить організація та проведення розслідувань, та/або кваліфікованої електронної печатки НКРЕКП з дотриманням вимог законів України «Про електронні документи та електронний документообіг» та «Про електронні довірчі послуги».»;</w:t>
      </w:r>
    </w:p>
    <w:p w14:paraId="4838637C" w14:textId="77777777" w:rsidR="00844A28" w:rsidRPr="00B911FB" w:rsidRDefault="00844A28" w:rsidP="00480AA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364D6357" w14:textId="48C5E2D7" w:rsidR="004A43E8" w:rsidRPr="00B911FB" w:rsidRDefault="00844A28" w:rsidP="00480AA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911FB">
        <w:rPr>
          <w:rFonts w:ascii="Times New Roman" w:hAnsi="Times New Roman" w:cs="Times New Roman"/>
          <w:sz w:val="28"/>
          <w:szCs w:val="28"/>
          <w:lang w:eastAsia="uk-UA"/>
        </w:rPr>
        <w:t>6) пункт 3.8 викл</w:t>
      </w:r>
      <w:r w:rsidR="008F732E" w:rsidRPr="00B911FB">
        <w:rPr>
          <w:rFonts w:ascii="Times New Roman" w:hAnsi="Times New Roman" w:cs="Times New Roman"/>
          <w:sz w:val="28"/>
          <w:szCs w:val="28"/>
          <w:lang w:eastAsia="uk-UA"/>
        </w:rPr>
        <w:t>асти у такій редакції:</w:t>
      </w:r>
    </w:p>
    <w:p w14:paraId="0C3187ED" w14:textId="22724332" w:rsidR="008F732E" w:rsidRPr="00B911FB" w:rsidRDefault="008F732E" w:rsidP="00F26D91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911FB">
        <w:rPr>
          <w:rFonts w:ascii="Times New Roman" w:hAnsi="Times New Roman" w:cs="Times New Roman"/>
          <w:sz w:val="28"/>
          <w:szCs w:val="28"/>
          <w:lang w:eastAsia="uk-UA"/>
        </w:rPr>
        <w:t xml:space="preserve">«3.8. НКРЕКП може </w:t>
      </w:r>
      <w:r w:rsidR="00E14B8C">
        <w:rPr>
          <w:rFonts w:ascii="Times New Roman" w:hAnsi="Times New Roman" w:cs="Times New Roman"/>
          <w:sz w:val="28"/>
          <w:szCs w:val="28"/>
          <w:lang w:eastAsia="uk-UA"/>
        </w:rPr>
        <w:t>запропонувати</w:t>
      </w:r>
      <w:r w:rsidR="00E14B8C" w:rsidRPr="00B911FB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B911FB">
        <w:rPr>
          <w:rFonts w:ascii="Times New Roman" w:hAnsi="Times New Roman" w:cs="Times New Roman"/>
          <w:sz w:val="28"/>
          <w:szCs w:val="28"/>
          <w:lang w:eastAsia="uk-UA"/>
        </w:rPr>
        <w:t>суб’єкту розслідування визна</w:t>
      </w:r>
      <w:r w:rsidR="00E14B8C">
        <w:rPr>
          <w:rFonts w:ascii="Times New Roman" w:hAnsi="Times New Roman" w:cs="Times New Roman"/>
          <w:sz w:val="28"/>
          <w:szCs w:val="28"/>
          <w:lang w:eastAsia="uk-UA"/>
        </w:rPr>
        <w:t>ти</w:t>
      </w:r>
      <w:r w:rsidRPr="00B911FB">
        <w:rPr>
          <w:rFonts w:ascii="Times New Roman" w:hAnsi="Times New Roman" w:cs="Times New Roman"/>
          <w:sz w:val="28"/>
          <w:szCs w:val="28"/>
          <w:lang w:eastAsia="uk-UA"/>
        </w:rPr>
        <w:t xml:space="preserve"> порушення, що розслідується.</w:t>
      </w:r>
    </w:p>
    <w:p w14:paraId="6AD512D2" w14:textId="591EFD03" w:rsidR="00844A28" w:rsidRPr="00B911FB" w:rsidRDefault="008F732E" w:rsidP="00F26D91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911FB">
        <w:rPr>
          <w:rFonts w:ascii="Times New Roman" w:hAnsi="Times New Roman" w:cs="Times New Roman"/>
          <w:sz w:val="28"/>
          <w:szCs w:val="28"/>
          <w:lang w:eastAsia="uk-UA"/>
        </w:rPr>
        <w:t>Рішення суб’єкта розслідування щодо визнання/невизнання</w:t>
      </w:r>
      <w:r w:rsidR="0019499C">
        <w:rPr>
          <w:rFonts w:ascii="Times New Roman" w:hAnsi="Times New Roman" w:cs="Times New Roman"/>
          <w:sz w:val="28"/>
          <w:szCs w:val="28"/>
          <w:lang w:eastAsia="uk-UA"/>
        </w:rPr>
        <w:t xml:space="preserve"> ним порушення</w:t>
      </w:r>
      <w:r w:rsidRPr="00B911FB">
        <w:rPr>
          <w:rFonts w:ascii="Times New Roman" w:hAnsi="Times New Roman" w:cs="Times New Roman"/>
          <w:sz w:val="28"/>
          <w:szCs w:val="28"/>
          <w:lang w:eastAsia="uk-UA"/>
        </w:rPr>
        <w:t xml:space="preserve"> долучається НКРЕКП до матеріалів розслідування</w:t>
      </w:r>
      <w:r w:rsidR="000E2950" w:rsidRPr="00B911FB">
        <w:rPr>
          <w:rFonts w:ascii="Times New Roman" w:hAnsi="Times New Roman" w:cs="Times New Roman"/>
          <w:sz w:val="28"/>
          <w:szCs w:val="24"/>
          <w:lang w:eastAsia="uk-UA"/>
        </w:rPr>
        <w:t>.</w:t>
      </w:r>
      <w:r w:rsidR="00273657" w:rsidRPr="00B911FB">
        <w:rPr>
          <w:rFonts w:ascii="Times New Roman" w:hAnsi="Times New Roman" w:cs="Times New Roman"/>
          <w:sz w:val="28"/>
          <w:szCs w:val="24"/>
          <w:lang w:eastAsia="uk-UA"/>
        </w:rPr>
        <w:t>»</w:t>
      </w:r>
      <w:r w:rsidR="00273657" w:rsidRPr="00B911FB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14:paraId="5752ADBD" w14:textId="77777777" w:rsidR="002E5F3F" w:rsidRPr="00B911FB" w:rsidRDefault="002E5F3F" w:rsidP="00480AA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3F90D914" w14:textId="758FB92F" w:rsidR="00844A28" w:rsidRPr="00B911FB" w:rsidRDefault="00844A28" w:rsidP="00480AAF">
      <w:pPr>
        <w:pStyle w:val="a6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911FB">
        <w:rPr>
          <w:rFonts w:ascii="Times New Roman" w:hAnsi="Times New Roman" w:cs="Times New Roman"/>
          <w:sz w:val="28"/>
          <w:szCs w:val="28"/>
          <w:lang w:eastAsia="uk-UA"/>
        </w:rPr>
        <w:t xml:space="preserve">7) </w:t>
      </w:r>
      <w:r w:rsidR="00705F67" w:rsidRPr="00B911FB">
        <w:rPr>
          <w:rFonts w:ascii="Times New Roman" w:eastAsia="Times New Roman" w:hAnsi="Times New Roman" w:cs="Times New Roman"/>
          <w:sz w:val="28"/>
          <w:szCs w:val="28"/>
          <w:lang w:eastAsia="uk-UA"/>
        </w:rPr>
        <w:t>пункт 3.1</w:t>
      </w:r>
      <w:r w:rsidR="007D7AEC" w:rsidRPr="00B911FB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0224BC" w:rsidRPr="00B911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05F67" w:rsidRPr="00B911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доповнити двома </w:t>
      </w:r>
      <w:r w:rsidR="004F6B0D" w:rsidRPr="00B911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новими </w:t>
      </w:r>
      <w:r w:rsidR="00705F67" w:rsidRPr="00B911FB">
        <w:rPr>
          <w:rFonts w:ascii="Times New Roman" w:eastAsia="Times New Roman" w:hAnsi="Times New Roman" w:cs="Times New Roman"/>
          <w:sz w:val="28"/>
          <w:szCs w:val="28"/>
          <w:lang w:eastAsia="uk-UA"/>
        </w:rPr>
        <w:t>абзацами такого змісту:</w:t>
      </w:r>
    </w:p>
    <w:p w14:paraId="5EEB184F" w14:textId="6B7CB499" w:rsidR="00F5295C" w:rsidRPr="00F5295C" w:rsidRDefault="00F5295C" w:rsidP="00FC31A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844A28" w:rsidRPr="00F5295C">
        <w:rPr>
          <w:rFonts w:ascii="Times New Roman" w:hAnsi="Times New Roman" w:cs="Times New Roman"/>
          <w:bCs/>
          <w:sz w:val="28"/>
          <w:szCs w:val="28"/>
        </w:rPr>
        <w:t>«</w:t>
      </w:r>
      <w:r w:rsidRPr="00F5295C">
        <w:rPr>
          <w:rFonts w:ascii="Times New Roman" w:hAnsi="Times New Roman" w:cs="Times New Roman"/>
          <w:bCs/>
          <w:sz w:val="28"/>
          <w:szCs w:val="28"/>
        </w:rPr>
        <w:t>У разі якщо погоджений висновок містить конфіденційну інформацію, або інформацію з обмеженим доступом іншого суб’єкта розслідування, він надсилається з ретушуванням відомостей,  доступ до яких обмежений.</w:t>
      </w:r>
    </w:p>
    <w:p w14:paraId="0BBE3F0D" w14:textId="2A2949FE" w:rsidR="00705F67" w:rsidRPr="00F5295C" w:rsidRDefault="00F5295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95C">
        <w:rPr>
          <w:rFonts w:ascii="Times New Roman" w:hAnsi="Times New Roman" w:cs="Times New Roman"/>
          <w:sz w:val="28"/>
          <w:szCs w:val="28"/>
        </w:rPr>
        <w:t>Погоджений висновок, що містить конфіденційну інформацію або іншу інформацію з обмеженим доступом, надсилається без ретушування відомостей, доступ яких обмежений, тим суб’єктам розслідування, які входять до одного вертикально інтегрованого суб’єкта господарювання (вертикально інтегрованої організації) або суб’єкти розслідування є афілійованим між собою.</w:t>
      </w:r>
      <w:r w:rsidR="00705F67" w:rsidRPr="00F5295C">
        <w:rPr>
          <w:rFonts w:ascii="Times New Roman" w:hAnsi="Times New Roman" w:cs="Times New Roman"/>
          <w:sz w:val="28"/>
          <w:szCs w:val="28"/>
        </w:rPr>
        <w:t>»</w:t>
      </w:r>
      <w:r w:rsidR="0049794C" w:rsidRPr="00F5295C">
        <w:rPr>
          <w:rFonts w:ascii="Times New Roman" w:hAnsi="Times New Roman" w:cs="Times New Roman"/>
          <w:sz w:val="28"/>
          <w:szCs w:val="28"/>
        </w:rPr>
        <w:t>.</w:t>
      </w:r>
    </w:p>
    <w:p w14:paraId="1C8589CD" w14:textId="77777777" w:rsidR="004609C4" w:rsidRPr="00B911FB" w:rsidRDefault="004609C4" w:rsidP="00480AA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5290B180" w14:textId="6EA1A057" w:rsidR="0084031C" w:rsidRDefault="00BE16A5" w:rsidP="00480AA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1FB">
        <w:rPr>
          <w:rFonts w:ascii="Times New Roman" w:hAnsi="Times New Roman" w:cs="Times New Roman"/>
          <w:sz w:val="28"/>
          <w:szCs w:val="28"/>
        </w:rPr>
        <w:t xml:space="preserve">4. </w:t>
      </w:r>
      <w:r w:rsidR="0084031C">
        <w:rPr>
          <w:rFonts w:ascii="Times New Roman" w:hAnsi="Times New Roman" w:cs="Times New Roman"/>
          <w:sz w:val="28"/>
          <w:szCs w:val="28"/>
        </w:rPr>
        <w:t>П</w:t>
      </w:r>
      <w:r w:rsidR="00705F67" w:rsidRPr="00B911FB">
        <w:rPr>
          <w:rFonts w:ascii="Times New Roman" w:hAnsi="Times New Roman" w:cs="Times New Roman"/>
          <w:sz w:val="28"/>
          <w:szCs w:val="28"/>
        </w:rPr>
        <w:t>ункт 4.</w:t>
      </w:r>
      <w:r w:rsidR="00F4450E" w:rsidRPr="00B911FB">
        <w:rPr>
          <w:rFonts w:ascii="Times New Roman" w:hAnsi="Times New Roman" w:cs="Times New Roman"/>
          <w:sz w:val="28"/>
          <w:szCs w:val="28"/>
        </w:rPr>
        <w:t>4</w:t>
      </w:r>
      <w:r w:rsidR="0084031C">
        <w:rPr>
          <w:rFonts w:ascii="Times New Roman" w:hAnsi="Times New Roman" w:cs="Times New Roman"/>
          <w:sz w:val="28"/>
          <w:szCs w:val="28"/>
        </w:rPr>
        <w:t xml:space="preserve"> глави 4</w:t>
      </w:r>
      <w:r w:rsidRPr="00B911FB">
        <w:rPr>
          <w:rFonts w:ascii="Times New Roman" w:hAnsi="Times New Roman" w:cs="Times New Roman"/>
          <w:sz w:val="28"/>
          <w:szCs w:val="28"/>
        </w:rPr>
        <w:t xml:space="preserve"> </w:t>
      </w:r>
      <w:r w:rsidR="00F4450E" w:rsidRPr="00B911FB">
        <w:rPr>
          <w:rFonts w:ascii="Times New Roman" w:hAnsi="Times New Roman" w:cs="Times New Roman"/>
          <w:sz w:val="28"/>
          <w:szCs w:val="28"/>
        </w:rPr>
        <w:t>викласти у такій редакції</w:t>
      </w:r>
      <w:r w:rsidR="00705F67" w:rsidRPr="00B911FB">
        <w:rPr>
          <w:rFonts w:ascii="Times New Roman" w:hAnsi="Times New Roman" w:cs="Times New Roman"/>
          <w:sz w:val="28"/>
          <w:szCs w:val="28"/>
        </w:rPr>
        <w:t>:</w:t>
      </w:r>
    </w:p>
    <w:p w14:paraId="49912191" w14:textId="77777777" w:rsidR="0084031C" w:rsidRPr="00B911FB" w:rsidRDefault="0084031C" w:rsidP="00480AA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GoBack"/>
      <w:bookmarkEnd w:id="6"/>
    </w:p>
    <w:p w14:paraId="387BDF76" w14:textId="0E65C675" w:rsidR="001E70ED" w:rsidRPr="00B911FB" w:rsidRDefault="00EC6080" w:rsidP="00480AAF">
      <w:pPr>
        <w:spacing w:after="0"/>
        <w:ind w:firstLine="709"/>
        <w:jc w:val="both"/>
        <w:rPr>
          <w:b/>
          <w:sz w:val="28"/>
          <w:szCs w:val="28"/>
        </w:rPr>
      </w:pPr>
      <w:r w:rsidRPr="00B911FB">
        <w:rPr>
          <w:rFonts w:ascii="Times New Roman" w:hAnsi="Times New Roman" w:cs="Times New Roman"/>
          <w:sz w:val="28"/>
          <w:szCs w:val="28"/>
        </w:rPr>
        <w:t xml:space="preserve">«4.4. </w:t>
      </w:r>
      <w:r w:rsidR="001E70ED" w:rsidRPr="00B911FB">
        <w:rPr>
          <w:rFonts w:ascii="Times New Roman" w:hAnsi="Times New Roman" w:cs="Times New Roman"/>
          <w:sz w:val="28"/>
          <w:szCs w:val="28"/>
        </w:rPr>
        <w:t xml:space="preserve">У разі неможливості прибути на слухання, за  наявності поважних причин суб’єкт розслідування та/або її уповноважений представник зобов’язані не пізніше ніж за три робочі дні до початку слухань повідомити </w:t>
      </w:r>
      <w:r w:rsidRPr="00B911FB">
        <w:rPr>
          <w:rFonts w:ascii="Times New Roman" w:hAnsi="Times New Roman" w:cs="Times New Roman"/>
          <w:sz w:val="28"/>
          <w:szCs w:val="28"/>
        </w:rPr>
        <w:t xml:space="preserve">про це </w:t>
      </w:r>
      <w:r w:rsidR="001E70ED" w:rsidRPr="00B911FB">
        <w:rPr>
          <w:rFonts w:ascii="Times New Roman" w:hAnsi="Times New Roman" w:cs="Times New Roman"/>
          <w:sz w:val="28"/>
          <w:szCs w:val="28"/>
        </w:rPr>
        <w:t>НКРЕКП з підтвердженням поважності причин. СП НКРЕКП інформує про нову дату проведення слухань</w:t>
      </w:r>
      <w:r w:rsidR="001E70ED" w:rsidRPr="00B911FB">
        <w:rPr>
          <w:sz w:val="28"/>
          <w:szCs w:val="28"/>
        </w:rPr>
        <w:t>.</w:t>
      </w:r>
    </w:p>
    <w:p w14:paraId="033892FA" w14:textId="04F4E270" w:rsidR="001E70ED" w:rsidRPr="00B911FB" w:rsidRDefault="001E70ED" w:rsidP="00480A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911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Листування між СП НКРЕКП та суб’єктом розслідування відбувається шляхом направлення повідомлень на офіційні електронні адреси НКРЕКП та електронні адреси </w:t>
      </w:r>
      <w:r w:rsidR="005A592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працівників</w:t>
      </w:r>
      <w:r w:rsidR="005A5927" w:rsidRPr="00B911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911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СП НКРЕКП та </w:t>
      </w:r>
      <w:bookmarkStart w:id="7" w:name="_Hlk130373383"/>
      <w:r w:rsidRPr="00B911FB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суб’єкта розслідування з накладенням кваліфікованого електронного підпису уповноваженої особи суб’єкта господарювання/члена НКРЕКП, до функціональних обов’язків якого належить організація та проведення розслідувань, та/або кваліфікованої електронної печатки суб’єкта господарювання/НКРЕКП.</w:t>
      </w:r>
      <w:bookmarkEnd w:id="7"/>
    </w:p>
    <w:p w14:paraId="2C6B43E2" w14:textId="731A6BAA" w:rsidR="001E70ED" w:rsidRPr="00B911FB" w:rsidRDefault="001E70ED" w:rsidP="00480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1FB">
        <w:rPr>
          <w:rFonts w:ascii="Times New Roman" w:hAnsi="Times New Roman" w:cs="Times New Roman"/>
          <w:sz w:val="28"/>
          <w:szCs w:val="28"/>
        </w:rPr>
        <w:t>Учасниками слухань є представники, уповноважені представляти інтереси учасника ринку на підставі підтверджуючих документів відповідно до законодавства.</w:t>
      </w:r>
    </w:p>
    <w:p w14:paraId="2A17FE63" w14:textId="50F064FD" w:rsidR="001E70ED" w:rsidRPr="00B911FB" w:rsidRDefault="001E70ED" w:rsidP="00480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1FB">
        <w:rPr>
          <w:rFonts w:ascii="Times New Roman" w:hAnsi="Times New Roman" w:cs="Times New Roman"/>
          <w:sz w:val="28"/>
          <w:szCs w:val="28"/>
        </w:rPr>
        <w:t>До початку слухань учасники мають підтвердити свою присутність у секретаря слухань, надати документи, що підтверджують їх повноваження щодо представництва інтересів суб’єкта розслідувань.</w:t>
      </w:r>
      <w:r w:rsidR="009F6D1D" w:rsidRPr="00B911FB">
        <w:rPr>
          <w:rFonts w:ascii="Times New Roman" w:hAnsi="Times New Roman" w:cs="Times New Roman"/>
          <w:sz w:val="28"/>
          <w:szCs w:val="28"/>
        </w:rPr>
        <w:t>»</w:t>
      </w:r>
      <w:r w:rsidR="00753800" w:rsidRPr="00B911FB">
        <w:rPr>
          <w:rFonts w:ascii="Times New Roman" w:hAnsi="Times New Roman" w:cs="Times New Roman"/>
          <w:sz w:val="28"/>
          <w:szCs w:val="28"/>
        </w:rPr>
        <w:t>.</w:t>
      </w:r>
    </w:p>
    <w:p w14:paraId="7586D8CE" w14:textId="77777777" w:rsidR="00CB7217" w:rsidRPr="00B911FB" w:rsidRDefault="00CB7217" w:rsidP="00480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38438E" w14:textId="576C340C" w:rsidR="00CB7217" w:rsidRPr="00B911FB" w:rsidRDefault="00753800" w:rsidP="00480A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911FB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49794C" w:rsidRPr="00B911FB">
        <w:rPr>
          <w:rFonts w:ascii="Times New Roman" w:hAnsi="Times New Roman" w:cs="Times New Roman"/>
          <w:sz w:val="28"/>
          <w:szCs w:val="28"/>
        </w:rPr>
        <w:t xml:space="preserve"> </w:t>
      </w:r>
      <w:r w:rsidRPr="00B911FB">
        <w:rPr>
          <w:rFonts w:ascii="Times New Roman" w:hAnsi="Times New Roman" w:cs="Times New Roman"/>
          <w:sz w:val="28"/>
          <w:szCs w:val="28"/>
        </w:rPr>
        <w:t>У</w:t>
      </w:r>
      <w:r w:rsidR="0049794C" w:rsidRPr="00B911FB">
        <w:rPr>
          <w:rFonts w:ascii="Times New Roman" w:hAnsi="Times New Roman" w:cs="Times New Roman"/>
          <w:sz w:val="28"/>
          <w:szCs w:val="28"/>
        </w:rPr>
        <w:t xml:space="preserve"> пунктах 3.3, 3.9, 3.11</w:t>
      </w:r>
      <w:r w:rsidR="000806FE" w:rsidRPr="00B911FB">
        <w:rPr>
          <w:rFonts w:ascii="Times New Roman" w:hAnsi="Times New Roman" w:cs="Times New Roman"/>
          <w:sz w:val="28"/>
          <w:szCs w:val="28"/>
        </w:rPr>
        <w:t>,</w:t>
      </w:r>
      <w:r w:rsidR="0049794C" w:rsidRPr="00B911FB">
        <w:rPr>
          <w:rFonts w:ascii="Times New Roman" w:hAnsi="Times New Roman" w:cs="Times New Roman"/>
          <w:sz w:val="28"/>
          <w:szCs w:val="28"/>
        </w:rPr>
        <w:t xml:space="preserve"> 3.13 </w:t>
      </w:r>
      <w:r w:rsidRPr="00B911FB">
        <w:rPr>
          <w:rFonts w:ascii="Times New Roman" w:hAnsi="Times New Roman" w:cs="Times New Roman"/>
          <w:sz w:val="28"/>
          <w:szCs w:val="28"/>
        </w:rPr>
        <w:t xml:space="preserve">глави 3 </w:t>
      </w:r>
      <w:r w:rsidR="000806FE" w:rsidRPr="00B911FB">
        <w:rPr>
          <w:rFonts w:ascii="Times New Roman" w:hAnsi="Times New Roman" w:cs="Times New Roman"/>
          <w:sz w:val="28"/>
          <w:szCs w:val="28"/>
        </w:rPr>
        <w:t xml:space="preserve">та </w:t>
      </w:r>
      <w:r w:rsidR="00CB7217" w:rsidRPr="00B911FB">
        <w:rPr>
          <w:rFonts w:ascii="Times New Roman" w:hAnsi="Times New Roman" w:cs="Times New Roman"/>
          <w:sz w:val="28"/>
          <w:szCs w:val="28"/>
        </w:rPr>
        <w:t>у</w:t>
      </w:r>
      <w:r w:rsidR="008E0F5A" w:rsidRPr="00B911FB">
        <w:rPr>
          <w:rFonts w:ascii="Times New Roman" w:hAnsi="Times New Roman" w:cs="Times New Roman"/>
          <w:sz w:val="28"/>
          <w:szCs w:val="28"/>
        </w:rPr>
        <w:t xml:space="preserve"> </w:t>
      </w:r>
      <w:r w:rsidR="00CB7217" w:rsidRPr="00B911FB">
        <w:rPr>
          <w:rFonts w:ascii="Times New Roman" w:hAnsi="Times New Roman" w:cs="Times New Roman"/>
          <w:sz w:val="28"/>
          <w:szCs w:val="28"/>
        </w:rPr>
        <w:t>пунктах 4.1, 4.3, 4.6</w:t>
      </w:r>
      <w:r w:rsidR="00AB4980" w:rsidRPr="00B911FB">
        <w:rPr>
          <w:rFonts w:ascii="Times New Roman" w:hAnsi="Times New Roman" w:cs="Times New Roman"/>
          <w:sz w:val="28"/>
          <w:szCs w:val="28"/>
        </w:rPr>
        <w:t>,</w:t>
      </w:r>
      <w:r w:rsidR="00CB7217" w:rsidRPr="00B911FB">
        <w:rPr>
          <w:rFonts w:ascii="Times New Roman" w:hAnsi="Times New Roman" w:cs="Times New Roman"/>
          <w:sz w:val="28"/>
          <w:szCs w:val="28"/>
        </w:rPr>
        <w:t xml:space="preserve"> 4.7 </w:t>
      </w:r>
      <w:r w:rsidR="00BF4E46" w:rsidRPr="00B911FB">
        <w:rPr>
          <w:rFonts w:ascii="Times New Roman" w:hAnsi="Times New Roman" w:cs="Times New Roman"/>
          <w:sz w:val="28"/>
          <w:szCs w:val="28"/>
        </w:rPr>
        <w:t>г</w:t>
      </w:r>
      <w:r w:rsidR="000806FE" w:rsidRPr="00B911FB">
        <w:rPr>
          <w:rFonts w:ascii="Times New Roman" w:hAnsi="Times New Roman" w:cs="Times New Roman"/>
          <w:sz w:val="28"/>
          <w:szCs w:val="28"/>
        </w:rPr>
        <w:t xml:space="preserve">лави 4 </w:t>
      </w:r>
      <w:r w:rsidR="00B04836" w:rsidRPr="00B911FB">
        <w:rPr>
          <w:rFonts w:ascii="Times New Roman" w:hAnsi="Times New Roman" w:cs="Times New Roman"/>
          <w:sz w:val="28"/>
          <w:szCs w:val="28"/>
          <w:lang w:eastAsia="uk-UA"/>
        </w:rPr>
        <w:t xml:space="preserve">абревіатуру </w:t>
      </w:r>
      <w:r w:rsidR="00CB7217" w:rsidRPr="00B911FB">
        <w:rPr>
          <w:rFonts w:ascii="Times New Roman" w:hAnsi="Times New Roman" w:cs="Times New Roman"/>
          <w:sz w:val="28"/>
          <w:szCs w:val="28"/>
          <w:lang w:eastAsia="uk-UA"/>
        </w:rPr>
        <w:t xml:space="preserve">«СП» </w:t>
      </w:r>
      <w:r w:rsidR="00344589" w:rsidRPr="00B911FB">
        <w:rPr>
          <w:rFonts w:ascii="Times New Roman" w:hAnsi="Times New Roman" w:cs="Times New Roman"/>
          <w:sz w:val="28"/>
          <w:szCs w:val="28"/>
          <w:lang w:eastAsia="uk-UA"/>
        </w:rPr>
        <w:t>виключити.</w:t>
      </w:r>
    </w:p>
    <w:p w14:paraId="76848E00" w14:textId="77777777" w:rsidR="00344589" w:rsidRPr="00B911FB" w:rsidRDefault="00344589" w:rsidP="00480AAF">
      <w:pPr>
        <w:spacing w:after="0"/>
        <w:ind w:firstLine="709"/>
        <w:jc w:val="both"/>
        <w:rPr>
          <w:sz w:val="28"/>
          <w:szCs w:val="28"/>
        </w:rPr>
      </w:pPr>
    </w:p>
    <w:p w14:paraId="757F117D" w14:textId="386B878D" w:rsidR="0088145B" w:rsidRPr="00B911FB" w:rsidRDefault="008361D9" w:rsidP="00480AA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1FB">
        <w:rPr>
          <w:rFonts w:ascii="Times New Roman" w:hAnsi="Times New Roman" w:cs="Times New Roman"/>
          <w:sz w:val="28"/>
          <w:szCs w:val="28"/>
        </w:rPr>
        <w:tab/>
      </w:r>
      <w:r w:rsidR="00807D17" w:rsidRPr="00B911FB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6C4C7B58" w14:textId="77777777" w:rsidR="005A7629" w:rsidRPr="00B911FB" w:rsidRDefault="005A7629" w:rsidP="005A762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1FB">
        <w:rPr>
          <w:rFonts w:ascii="Times New Roman" w:hAnsi="Times New Roman" w:cs="Times New Roman"/>
          <w:sz w:val="28"/>
          <w:szCs w:val="28"/>
        </w:rPr>
        <w:t xml:space="preserve">Директор Департаменту </w:t>
      </w:r>
    </w:p>
    <w:p w14:paraId="6B095D6B" w14:textId="172B73D8" w:rsidR="0088145B" w:rsidRPr="00B911FB" w:rsidRDefault="005A7629" w:rsidP="005A762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1FB">
        <w:rPr>
          <w:rFonts w:ascii="Times New Roman" w:hAnsi="Times New Roman" w:cs="Times New Roman"/>
          <w:sz w:val="28"/>
          <w:szCs w:val="28"/>
        </w:rPr>
        <w:t>ліцензійного контролю</w:t>
      </w:r>
      <w:r w:rsidRPr="00B911FB">
        <w:rPr>
          <w:rFonts w:ascii="Times New Roman" w:hAnsi="Times New Roman" w:cs="Times New Roman"/>
          <w:sz w:val="28"/>
          <w:szCs w:val="28"/>
        </w:rPr>
        <w:tab/>
      </w:r>
      <w:r w:rsidRPr="00B911FB">
        <w:rPr>
          <w:rFonts w:ascii="Times New Roman" w:hAnsi="Times New Roman" w:cs="Times New Roman"/>
          <w:sz w:val="28"/>
          <w:szCs w:val="28"/>
        </w:rPr>
        <w:tab/>
      </w:r>
      <w:r w:rsidRPr="00B911FB">
        <w:rPr>
          <w:rFonts w:ascii="Times New Roman" w:hAnsi="Times New Roman" w:cs="Times New Roman"/>
          <w:sz w:val="28"/>
          <w:szCs w:val="28"/>
        </w:rPr>
        <w:tab/>
      </w:r>
      <w:r w:rsidRPr="00B911FB">
        <w:rPr>
          <w:rFonts w:ascii="Times New Roman" w:hAnsi="Times New Roman" w:cs="Times New Roman"/>
          <w:sz w:val="28"/>
          <w:szCs w:val="28"/>
        </w:rPr>
        <w:tab/>
      </w:r>
      <w:r w:rsidRPr="00B911FB">
        <w:rPr>
          <w:rFonts w:ascii="Times New Roman" w:hAnsi="Times New Roman" w:cs="Times New Roman"/>
          <w:sz w:val="28"/>
          <w:szCs w:val="28"/>
        </w:rPr>
        <w:tab/>
      </w:r>
      <w:r w:rsidRPr="00B911FB">
        <w:rPr>
          <w:rFonts w:ascii="Times New Roman" w:hAnsi="Times New Roman" w:cs="Times New Roman"/>
          <w:sz w:val="28"/>
          <w:szCs w:val="28"/>
        </w:rPr>
        <w:tab/>
        <w:t xml:space="preserve">  Ярослав ЗЕЛЕНЮК</w:t>
      </w:r>
    </w:p>
    <w:sectPr w:rsidR="0088145B" w:rsidRPr="00B911FB" w:rsidSect="00404B7E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6D0727" w14:textId="77777777" w:rsidR="00D45EFE" w:rsidRDefault="00D45EFE" w:rsidP="00EA3C64">
      <w:pPr>
        <w:spacing w:after="0" w:line="240" w:lineRule="auto"/>
      </w:pPr>
      <w:r>
        <w:separator/>
      </w:r>
    </w:p>
  </w:endnote>
  <w:endnote w:type="continuationSeparator" w:id="0">
    <w:p w14:paraId="6F4D3F4F" w14:textId="77777777" w:rsidR="00D45EFE" w:rsidRDefault="00D45EFE" w:rsidP="00EA3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97EEFF" w14:textId="77777777" w:rsidR="00D45EFE" w:rsidRDefault="00D45EFE" w:rsidP="00EA3C64">
      <w:pPr>
        <w:spacing w:after="0" w:line="240" w:lineRule="auto"/>
      </w:pPr>
      <w:r>
        <w:separator/>
      </w:r>
    </w:p>
  </w:footnote>
  <w:footnote w:type="continuationSeparator" w:id="0">
    <w:p w14:paraId="38E2B067" w14:textId="77777777" w:rsidR="00D45EFE" w:rsidRDefault="00D45EFE" w:rsidP="00EA3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8200198"/>
      <w:docPartObj>
        <w:docPartGallery w:val="Page Numbers (Top of Page)"/>
        <w:docPartUnique/>
      </w:docPartObj>
    </w:sdtPr>
    <w:sdtEndPr/>
    <w:sdtContent>
      <w:p w14:paraId="138D3E3B" w14:textId="4C640ECE" w:rsidR="00404B7E" w:rsidRDefault="00404B7E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5927">
          <w:rPr>
            <w:noProof/>
          </w:rPr>
          <w:t>6</w:t>
        </w:r>
        <w:r>
          <w:fldChar w:fldCharType="end"/>
        </w:r>
      </w:p>
    </w:sdtContent>
  </w:sdt>
  <w:p w14:paraId="7003D83A" w14:textId="77777777" w:rsidR="00404B7E" w:rsidRDefault="00404B7E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5B80"/>
    <w:multiLevelType w:val="hybridMultilevel"/>
    <w:tmpl w:val="B280829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24075"/>
    <w:multiLevelType w:val="hybridMultilevel"/>
    <w:tmpl w:val="01EAE1D2"/>
    <w:lvl w:ilvl="0" w:tplc="DC344922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15" w:hanging="360"/>
      </w:pPr>
    </w:lvl>
    <w:lvl w:ilvl="2" w:tplc="0422001B" w:tentative="1">
      <w:start w:val="1"/>
      <w:numFmt w:val="lowerRoman"/>
      <w:lvlText w:val="%3."/>
      <w:lvlJc w:val="right"/>
      <w:pPr>
        <w:ind w:left="2235" w:hanging="180"/>
      </w:pPr>
    </w:lvl>
    <w:lvl w:ilvl="3" w:tplc="0422000F" w:tentative="1">
      <w:start w:val="1"/>
      <w:numFmt w:val="decimal"/>
      <w:lvlText w:val="%4."/>
      <w:lvlJc w:val="left"/>
      <w:pPr>
        <w:ind w:left="2955" w:hanging="360"/>
      </w:pPr>
    </w:lvl>
    <w:lvl w:ilvl="4" w:tplc="04220019" w:tentative="1">
      <w:start w:val="1"/>
      <w:numFmt w:val="lowerLetter"/>
      <w:lvlText w:val="%5."/>
      <w:lvlJc w:val="left"/>
      <w:pPr>
        <w:ind w:left="3675" w:hanging="360"/>
      </w:pPr>
    </w:lvl>
    <w:lvl w:ilvl="5" w:tplc="0422001B" w:tentative="1">
      <w:start w:val="1"/>
      <w:numFmt w:val="lowerRoman"/>
      <w:lvlText w:val="%6."/>
      <w:lvlJc w:val="right"/>
      <w:pPr>
        <w:ind w:left="4395" w:hanging="180"/>
      </w:pPr>
    </w:lvl>
    <w:lvl w:ilvl="6" w:tplc="0422000F" w:tentative="1">
      <w:start w:val="1"/>
      <w:numFmt w:val="decimal"/>
      <w:lvlText w:val="%7."/>
      <w:lvlJc w:val="left"/>
      <w:pPr>
        <w:ind w:left="5115" w:hanging="360"/>
      </w:pPr>
    </w:lvl>
    <w:lvl w:ilvl="7" w:tplc="04220019" w:tentative="1">
      <w:start w:val="1"/>
      <w:numFmt w:val="lowerLetter"/>
      <w:lvlText w:val="%8."/>
      <w:lvlJc w:val="left"/>
      <w:pPr>
        <w:ind w:left="5835" w:hanging="360"/>
      </w:pPr>
    </w:lvl>
    <w:lvl w:ilvl="8" w:tplc="0422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35D447F"/>
    <w:multiLevelType w:val="hybridMultilevel"/>
    <w:tmpl w:val="BF2C8EEE"/>
    <w:lvl w:ilvl="0" w:tplc="0422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94172"/>
    <w:multiLevelType w:val="hybridMultilevel"/>
    <w:tmpl w:val="5A4C80FA"/>
    <w:lvl w:ilvl="0" w:tplc="C2549C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290BC3"/>
    <w:multiLevelType w:val="hybridMultilevel"/>
    <w:tmpl w:val="DAAA6EFA"/>
    <w:lvl w:ilvl="0" w:tplc="2C86980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7552B"/>
    <w:multiLevelType w:val="hybridMultilevel"/>
    <w:tmpl w:val="A6D82E0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F439ED"/>
    <w:multiLevelType w:val="hybridMultilevel"/>
    <w:tmpl w:val="25DCC45A"/>
    <w:lvl w:ilvl="0" w:tplc="8AE60542">
      <w:start w:val="1"/>
      <w:numFmt w:val="decimal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96552E"/>
    <w:multiLevelType w:val="hybridMultilevel"/>
    <w:tmpl w:val="264C85A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A4143B"/>
    <w:multiLevelType w:val="hybridMultilevel"/>
    <w:tmpl w:val="EE500C28"/>
    <w:lvl w:ilvl="0" w:tplc="1A80FE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D272E75"/>
    <w:multiLevelType w:val="hybridMultilevel"/>
    <w:tmpl w:val="BC0468B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3B0D18"/>
    <w:multiLevelType w:val="hybridMultilevel"/>
    <w:tmpl w:val="9016188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7"/>
  </w:num>
  <w:num w:numId="8">
    <w:abstractNumId w:val="8"/>
  </w:num>
  <w:num w:numId="9">
    <w:abstractNumId w:val="5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297"/>
    <w:rsid w:val="00000F69"/>
    <w:rsid w:val="00015F22"/>
    <w:rsid w:val="0001707E"/>
    <w:rsid w:val="00020120"/>
    <w:rsid w:val="000224BC"/>
    <w:rsid w:val="00030E76"/>
    <w:rsid w:val="0003307C"/>
    <w:rsid w:val="000349C2"/>
    <w:rsid w:val="0003738E"/>
    <w:rsid w:val="00051E61"/>
    <w:rsid w:val="00054183"/>
    <w:rsid w:val="00054BF6"/>
    <w:rsid w:val="00057D4F"/>
    <w:rsid w:val="00077EF3"/>
    <w:rsid w:val="000806FE"/>
    <w:rsid w:val="00080C00"/>
    <w:rsid w:val="00082109"/>
    <w:rsid w:val="000A1589"/>
    <w:rsid w:val="000A4839"/>
    <w:rsid w:val="000B2EE7"/>
    <w:rsid w:val="000C466E"/>
    <w:rsid w:val="000D1E56"/>
    <w:rsid w:val="000D4AE4"/>
    <w:rsid w:val="000D588C"/>
    <w:rsid w:val="000D67A3"/>
    <w:rsid w:val="000E04A0"/>
    <w:rsid w:val="000E0A97"/>
    <w:rsid w:val="000E0AEB"/>
    <w:rsid w:val="000E2950"/>
    <w:rsid w:val="001108E7"/>
    <w:rsid w:val="001123EE"/>
    <w:rsid w:val="001229E9"/>
    <w:rsid w:val="00132ED9"/>
    <w:rsid w:val="0013393E"/>
    <w:rsid w:val="00134052"/>
    <w:rsid w:val="00143CA6"/>
    <w:rsid w:val="00147124"/>
    <w:rsid w:val="00147963"/>
    <w:rsid w:val="001503C2"/>
    <w:rsid w:val="00150AED"/>
    <w:rsid w:val="00151F29"/>
    <w:rsid w:val="0016370E"/>
    <w:rsid w:val="00164489"/>
    <w:rsid w:val="0016749C"/>
    <w:rsid w:val="00173100"/>
    <w:rsid w:val="00175FB6"/>
    <w:rsid w:val="00183CE0"/>
    <w:rsid w:val="00187006"/>
    <w:rsid w:val="00190AB4"/>
    <w:rsid w:val="00193B81"/>
    <w:rsid w:val="00193FD6"/>
    <w:rsid w:val="0019499C"/>
    <w:rsid w:val="00195863"/>
    <w:rsid w:val="001A0075"/>
    <w:rsid w:val="001A6B88"/>
    <w:rsid w:val="001C6297"/>
    <w:rsid w:val="001E0E14"/>
    <w:rsid w:val="001E21CC"/>
    <w:rsid w:val="001E70ED"/>
    <w:rsid w:val="001F14E5"/>
    <w:rsid w:val="001F34F3"/>
    <w:rsid w:val="001F55BE"/>
    <w:rsid w:val="00202BBE"/>
    <w:rsid w:val="00214901"/>
    <w:rsid w:val="002174F0"/>
    <w:rsid w:val="002200E7"/>
    <w:rsid w:val="0022219F"/>
    <w:rsid w:val="00225BBD"/>
    <w:rsid w:val="00233BCB"/>
    <w:rsid w:val="0024038A"/>
    <w:rsid w:val="0025702D"/>
    <w:rsid w:val="00257912"/>
    <w:rsid w:val="0026105E"/>
    <w:rsid w:val="00273657"/>
    <w:rsid w:val="002767D0"/>
    <w:rsid w:val="00280053"/>
    <w:rsid w:val="002A221C"/>
    <w:rsid w:val="002B6CE8"/>
    <w:rsid w:val="002B7450"/>
    <w:rsid w:val="002D6DC8"/>
    <w:rsid w:val="002D6F04"/>
    <w:rsid w:val="002E21BA"/>
    <w:rsid w:val="002E5F3F"/>
    <w:rsid w:val="002F5325"/>
    <w:rsid w:val="003020EC"/>
    <w:rsid w:val="0030394C"/>
    <w:rsid w:val="00304F70"/>
    <w:rsid w:val="0032523E"/>
    <w:rsid w:val="00326233"/>
    <w:rsid w:val="00330F2D"/>
    <w:rsid w:val="00335B62"/>
    <w:rsid w:val="00340A35"/>
    <w:rsid w:val="00344589"/>
    <w:rsid w:val="003634B5"/>
    <w:rsid w:val="0036706C"/>
    <w:rsid w:val="00375335"/>
    <w:rsid w:val="00376D2F"/>
    <w:rsid w:val="003803C1"/>
    <w:rsid w:val="00390BB7"/>
    <w:rsid w:val="003A75EF"/>
    <w:rsid w:val="003D3012"/>
    <w:rsid w:val="003D40ED"/>
    <w:rsid w:val="003D5F3C"/>
    <w:rsid w:val="003D601D"/>
    <w:rsid w:val="003E079C"/>
    <w:rsid w:val="003E16D0"/>
    <w:rsid w:val="003E24CD"/>
    <w:rsid w:val="003E355B"/>
    <w:rsid w:val="003E62E8"/>
    <w:rsid w:val="003E772B"/>
    <w:rsid w:val="003E7F93"/>
    <w:rsid w:val="003F565F"/>
    <w:rsid w:val="00400042"/>
    <w:rsid w:val="00404B7E"/>
    <w:rsid w:val="004132AF"/>
    <w:rsid w:val="00414E37"/>
    <w:rsid w:val="0041508D"/>
    <w:rsid w:val="00416BFF"/>
    <w:rsid w:val="00421EC5"/>
    <w:rsid w:val="004276CB"/>
    <w:rsid w:val="00444CC0"/>
    <w:rsid w:val="00447318"/>
    <w:rsid w:val="004609C4"/>
    <w:rsid w:val="00471003"/>
    <w:rsid w:val="00480AAF"/>
    <w:rsid w:val="00492F9D"/>
    <w:rsid w:val="0049794C"/>
    <w:rsid w:val="00497EA9"/>
    <w:rsid w:val="004A3F84"/>
    <w:rsid w:val="004A43E8"/>
    <w:rsid w:val="004B54B3"/>
    <w:rsid w:val="004B70A4"/>
    <w:rsid w:val="004C631D"/>
    <w:rsid w:val="004D76BC"/>
    <w:rsid w:val="004E6919"/>
    <w:rsid w:val="004F6B0D"/>
    <w:rsid w:val="00506030"/>
    <w:rsid w:val="00524F55"/>
    <w:rsid w:val="00526038"/>
    <w:rsid w:val="00533658"/>
    <w:rsid w:val="00534D91"/>
    <w:rsid w:val="00553421"/>
    <w:rsid w:val="0055726B"/>
    <w:rsid w:val="005605B6"/>
    <w:rsid w:val="00561CEE"/>
    <w:rsid w:val="00580C9A"/>
    <w:rsid w:val="0059036C"/>
    <w:rsid w:val="0059705A"/>
    <w:rsid w:val="005A5927"/>
    <w:rsid w:val="005A7629"/>
    <w:rsid w:val="005B2549"/>
    <w:rsid w:val="005B4915"/>
    <w:rsid w:val="005B550E"/>
    <w:rsid w:val="005C242F"/>
    <w:rsid w:val="005C31EB"/>
    <w:rsid w:val="005C5958"/>
    <w:rsid w:val="005C6C7D"/>
    <w:rsid w:val="005E1327"/>
    <w:rsid w:val="005E2D23"/>
    <w:rsid w:val="005E56EB"/>
    <w:rsid w:val="005E6192"/>
    <w:rsid w:val="005F752B"/>
    <w:rsid w:val="006273A8"/>
    <w:rsid w:val="006302D5"/>
    <w:rsid w:val="0063157E"/>
    <w:rsid w:val="00632971"/>
    <w:rsid w:val="00647853"/>
    <w:rsid w:val="00651B2D"/>
    <w:rsid w:val="00661A64"/>
    <w:rsid w:val="006635C0"/>
    <w:rsid w:val="006641CC"/>
    <w:rsid w:val="0067732F"/>
    <w:rsid w:val="006967C7"/>
    <w:rsid w:val="0069739B"/>
    <w:rsid w:val="006B0185"/>
    <w:rsid w:val="006C7AAF"/>
    <w:rsid w:val="006D072E"/>
    <w:rsid w:val="006E4AED"/>
    <w:rsid w:val="00700B6B"/>
    <w:rsid w:val="00705F67"/>
    <w:rsid w:val="007136CC"/>
    <w:rsid w:val="00717414"/>
    <w:rsid w:val="007208D9"/>
    <w:rsid w:val="007238C5"/>
    <w:rsid w:val="00726D30"/>
    <w:rsid w:val="007378B1"/>
    <w:rsid w:val="0074142C"/>
    <w:rsid w:val="00743644"/>
    <w:rsid w:val="00753800"/>
    <w:rsid w:val="00757D46"/>
    <w:rsid w:val="00760ADB"/>
    <w:rsid w:val="00766568"/>
    <w:rsid w:val="0077125A"/>
    <w:rsid w:val="0077777C"/>
    <w:rsid w:val="00787B2B"/>
    <w:rsid w:val="0079155E"/>
    <w:rsid w:val="00794C23"/>
    <w:rsid w:val="00796B7F"/>
    <w:rsid w:val="007A2C2B"/>
    <w:rsid w:val="007A3774"/>
    <w:rsid w:val="007A5EFC"/>
    <w:rsid w:val="007A74BD"/>
    <w:rsid w:val="007B7755"/>
    <w:rsid w:val="007C3E33"/>
    <w:rsid w:val="007D5440"/>
    <w:rsid w:val="007D7AEC"/>
    <w:rsid w:val="007E0A44"/>
    <w:rsid w:val="007E5A09"/>
    <w:rsid w:val="007F5C33"/>
    <w:rsid w:val="007F60BE"/>
    <w:rsid w:val="00800539"/>
    <w:rsid w:val="00801A39"/>
    <w:rsid w:val="00801D35"/>
    <w:rsid w:val="00803CBF"/>
    <w:rsid w:val="00807D17"/>
    <w:rsid w:val="0081427B"/>
    <w:rsid w:val="008334DF"/>
    <w:rsid w:val="00833DC9"/>
    <w:rsid w:val="008361D9"/>
    <w:rsid w:val="0084031C"/>
    <w:rsid w:val="00844A28"/>
    <w:rsid w:val="00850127"/>
    <w:rsid w:val="00870C6A"/>
    <w:rsid w:val="008735E1"/>
    <w:rsid w:val="00873902"/>
    <w:rsid w:val="008804C6"/>
    <w:rsid w:val="0088145B"/>
    <w:rsid w:val="0088546A"/>
    <w:rsid w:val="00890BC0"/>
    <w:rsid w:val="008948E0"/>
    <w:rsid w:val="008A255F"/>
    <w:rsid w:val="008A32FA"/>
    <w:rsid w:val="008C01D0"/>
    <w:rsid w:val="008C280C"/>
    <w:rsid w:val="008D4F0B"/>
    <w:rsid w:val="008E0F5A"/>
    <w:rsid w:val="008E591B"/>
    <w:rsid w:val="008F732E"/>
    <w:rsid w:val="008F7A64"/>
    <w:rsid w:val="009159B7"/>
    <w:rsid w:val="00924E22"/>
    <w:rsid w:val="00926DCB"/>
    <w:rsid w:val="00936658"/>
    <w:rsid w:val="0093731B"/>
    <w:rsid w:val="00937EDF"/>
    <w:rsid w:val="009432EE"/>
    <w:rsid w:val="00945A91"/>
    <w:rsid w:val="00945EF4"/>
    <w:rsid w:val="0095444B"/>
    <w:rsid w:val="009546F1"/>
    <w:rsid w:val="00963608"/>
    <w:rsid w:val="009678DA"/>
    <w:rsid w:val="00974F86"/>
    <w:rsid w:val="009771BB"/>
    <w:rsid w:val="00992ADF"/>
    <w:rsid w:val="009B6834"/>
    <w:rsid w:val="009C54D6"/>
    <w:rsid w:val="009C6A8A"/>
    <w:rsid w:val="009E77E0"/>
    <w:rsid w:val="009F6D1D"/>
    <w:rsid w:val="00A00792"/>
    <w:rsid w:val="00A04D7E"/>
    <w:rsid w:val="00A051F7"/>
    <w:rsid w:val="00A1293C"/>
    <w:rsid w:val="00A12E07"/>
    <w:rsid w:val="00A25F81"/>
    <w:rsid w:val="00A32EAD"/>
    <w:rsid w:val="00A336F7"/>
    <w:rsid w:val="00A425CD"/>
    <w:rsid w:val="00A42C7E"/>
    <w:rsid w:val="00A53D55"/>
    <w:rsid w:val="00A80566"/>
    <w:rsid w:val="00A848C3"/>
    <w:rsid w:val="00A9657D"/>
    <w:rsid w:val="00AA343C"/>
    <w:rsid w:val="00AB048E"/>
    <w:rsid w:val="00AB4980"/>
    <w:rsid w:val="00AD6E4D"/>
    <w:rsid w:val="00AD7065"/>
    <w:rsid w:val="00AE1E8F"/>
    <w:rsid w:val="00AE2FDA"/>
    <w:rsid w:val="00AE3066"/>
    <w:rsid w:val="00AE51C3"/>
    <w:rsid w:val="00B04836"/>
    <w:rsid w:val="00B20642"/>
    <w:rsid w:val="00B27C65"/>
    <w:rsid w:val="00B34FD7"/>
    <w:rsid w:val="00B351BB"/>
    <w:rsid w:val="00B423DE"/>
    <w:rsid w:val="00B45F35"/>
    <w:rsid w:val="00B62C8C"/>
    <w:rsid w:val="00B6446A"/>
    <w:rsid w:val="00B650DB"/>
    <w:rsid w:val="00B81FB1"/>
    <w:rsid w:val="00B85808"/>
    <w:rsid w:val="00B911FB"/>
    <w:rsid w:val="00B91EBB"/>
    <w:rsid w:val="00B923CA"/>
    <w:rsid w:val="00BA29D1"/>
    <w:rsid w:val="00BA4F1E"/>
    <w:rsid w:val="00BB3761"/>
    <w:rsid w:val="00BB445F"/>
    <w:rsid w:val="00BB57A3"/>
    <w:rsid w:val="00BD09F6"/>
    <w:rsid w:val="00BD20F3"/>
    <w:rsid w:val="00BE16A5"/>
    <w:rsid w:val="00BF4E46"/>
    <w:rsid w:val="00BF4FDB"/>
    <w:rsid w:val="00BF718D"/>
    <w:rsid w:val="00C0596E"/>
    <w:rsid w:val="00C13A20"/>
    <w:rsid w:val="00C141F9"/>
    <w:rsid w:val="00C14940"/>
    <w:rsid w:val="00C212D4"/>
    <w:rsid w:val="00C4657C"/>
    <w:rsid w:val="00C513F5"/>
    <w:rsid w:val="00C5162B"/>
    <w:rsid w:val="00C55310"/>
    <w:rsid w:val="00C6581A"/>
    <w:rsid w:val="00C67514"/>
    <w:rsid w:val="00C7142D"/>
    <w:rsid w:val="00C75F24"/>
    <w:rsid w:val="00C86572"/>
    <w:rsid w:val="00C90195"/>
    <w:rsid w:val="00C93EDC"/>
    <w:rsid w:val="00C96943"/>
    <w:rsid w:val="00CB7217"/>
    <w:rsid w:val="00CC5CF2"/>
    <w:rsid w:val="00CC73BD"/>
    <w:rsid w:val="00CC75B2"/>
    <w:rsid w:val="00CE2E17"/>
    <w:rsid w:val="00CE4B5E"/>
    <w:rsid w:val="00CE7351"/>
    <w:rsid w:val="00CF0AD2"/>
    <w:rsid w:val="00CF2537"/>
    <w:rsid w:val="00CF6151"/>
    <w:rsid w:val="00D121A1"/>
    <w:rsid w:val="00D251B0"/>
    <w:rsid w:val="00D35442"/>
    <w:rsid w:val="00D41DBB"/>
    <w:rsid w:val="00D45EFE"/>
    <w:rsid w:val="00D6692E"/>
    <w:rsid w:val="00D7278F"/>
    <w:rsid w:val="00D74392"/>
    <w:rsid w:val="00D928EF"/>
    <w:rsid w:val="00DA535E"/>
    <w:rsid w:val="00DA76FA"/>
    <w:rsid w:val="00DB702C"/>
    <w:rsid w:val="00DC0BC0"/>
    <w:rsid w:val="00DC5C6C"/>
    <w:rsid w:val="00DC767D"/>
    <w:rsid w:val="00DE0395"/>
    <w:rsid w:val="00DE2F25"/>
    <w:rsid w:val="00DE745B"/>
    <w:rsid w:val="00DF1A3D"/>
    <w:rsid w:val="00E05F2A"/>
    <w:rsid w:val="00E11B2F"/>
    <w:rsid w:val="00E14B8C"/>
    <w:rsid w:val="00E216F3"/>
    <w:rsid w:val="00E339BB"/>
    <w:rsid w:val="00E41131"/>
    <w:rsid w:val="00E72F57"/>
    <w:rsid w:val="00E90B89"/>
    <w:rsid w:val="00EA0289"/>
    <w:rsid w:val="00EA3C64"/>
    <w:rsid w:val="00EA567E"/>
    <w:rsid w:val="00EA7451"/>
    <w:rsid w:val="00EB3EE4"/>
    <w:rsid w:val="00EC293A"/>
    <w:rsid w:val="00EC6080"/>
    <w:rsid w:val="00ED2FFF"/>
    <w:rsid w:val="00ED5E1A"/>
    <w:rsid w:val="00ED7622"/>
    <w:rsid w:val="00EE2FF6"/>
    <w:rsid w:val="00EF6DB9"/>
    <w:rsid w:val="00F0743B"/>
    <w:rsid w:val="00F11C9A"/>
    <w:rsid w:val="00F22E4B"/>
    <w:rsid w:val="00F26D91"/>
    <w:rsid w:val="00F32EE9"/>
    <w:rsid w:val="00F41E49"/>
    <w:rsid w:val="00F4450E"/>
    <w:rsid w:val="00F52513"/>
    <w:rsid w:val="00F5295C"/>
    <w:rsid w:val="00F60AB4"/>
    <w:rsid w:val="00F6603F"/>
    <w:rsid w:val="00F66FB1"/>
    <w:rsid w:val="00F74486"/>
    <w:rsid w:val="00F90DAD"/>
    <w:rsid w:val="00F9155E"/>
    <w:rsid w:val="00FB145F"/>
    <w:rsid w:val="00FC1C95"/>
    <w:rsid w:val="00FC31AF"/>
    <w:rsid w:val="00FD6D24"/>
    <w:rsid w:val="00FE5E8C"/>
    <w:rsid w:val="00FF07FB"/>
    <w:rsid w:val="00FF57D3"/>
    <w:rsid w:val="00FF66FC"/>
    <w:rsid w:val="00FF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64897"/>
  <w15:chartTrackingRefBased/>
  <w15:docId w15:val="{AA843D14-F0B5-4B70-8B32-EAE589A44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6297"/>
    <w:pPr>
      <w:ind w:left="720"/>
      <w:contextualSpacing/>
    </w:pPr>
  </w:style>
  <w:style w:type="paragraph" w:styleId="a4">
    <w:name w:val="Body Text Indent"/>
    <w:basedOn w:val="a"/>
    <w:link w:val="a5"/>
    <w:rsid w:val="00057D4F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ий текст з відступом Знак"/>
    <w:basedOn w:val="a0"/>
    <w:link w:val="a4"/>
    <w:rsid w:val="00057D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basedOn w:val="a"/>
    <w:uiPriority w:val="1"/>
    <w:qFormat/>
    <w:rsid w:val="00DE2F25"/>
    <w:pPr>
      <w:spacing w:after="0" w:line="240" w:lineRule="auto"/>
    </w:pPr>
    <w:rPr>
      <w:rFonts w:ascii="Calibri" w:hAnsi="Calibri" w:cs="Calibri"/>
    </w:rPr>
  </w:style>
  <w:style w:type="table" w:styleId="a7">
    <w:name w:val="Table Grid"/>
    <w:basedOn w:val="a1"/>
    <w:rsid w:val="00EA3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EA3C64"/>
    <w:pPr>
      <w:spacing w:after="0" w:line="240" w:lineRule="auto"/>
    </w:pPr>
    <w:rPr>
      <w:sz w:val="20"/>
      <w:szCs w:val="20"/>
    </w:rPr>
  </w:style>
  <w:style w:type="character" w:customStyle="1" w:styleId="a9">
    <w:name w:val="Текст виноски Знак"/>
    <w:basedOn w:val="a0"/>
    <w:link w:val="a8"/>
    <w:uiPriority w:val="99"/>
    <w:semiHidden/>
    <w:rsid w:val="00EA3C64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EA3C64"/>
    <w:rPr>
      <w:vertAlign w:val="superscript"/>
    </w:rPr>
  </w:style>
  <w:style w:type="character" w:styleId="ab">
    <w:name w:val="Hyperlink"/>
    <w:uiPriority w:val="99"/>
    <w:unhideWhenUsed/>
    <w:rsid w:val="001E70E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077E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077EF3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214901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214901"/>
    <w:pPr>
      <w:spacing w:line="240" w:lineRule="auto"/>
    </w:pPr>
    <w:rPr>
      <w:sz w:val="20"/>
      <w:szCs w:val="20"/>
    </w:rPr>
  </w:style>
  <w:style w:type="character" w:customStyle="1" w:styleId="af0">
    <w:name w:val="Текст примітки Знак"/>
    <w:basedOn w:val="a0"/>
    <w:link w:val="af"/>
    <w:uiPriority w:val="99"/>
    <w:semiHidden/>
    <w:rsid w:val="00214901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214901"/>
    <w:rPr>
      <w:b/>
      <w:bCs/>
    </w:rPr>
  </w:style>
  <w:style w:type="character" w:customStyle="1" w:styleId="af2">
    <w:name w:val="Тема примітки Знак"/>
    <w:basedOn w:val="af0"/>
    <w:link w:val="af1"/>
    <w:uiPriority w:val="99"/>
    <w:semiHidden/>
    <w:rsid w:val="00214901"/>
    <w:rPr>
      <w:b/>
      <w:bCs/>
      <w:sz w:val="20"/>
      <w:szCs w:val="20"/>
    </w:rPr>
  </w:style>
  <w:style w:type="paragraph" w:styleId="af3">
    <w:name w:val="header"/>
    <w:basedOn w:val="a"/>
    <w:link w:val="af4"/>
    <w:uiPriority w:val="99"/>
    <w:rsid w:val="0071741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Верхній колонтитул Знак"/>
    <w:basedOn w:val="a0"/>
    <w:link w:val="af3"/>
    <w:uiPriority w:val="99"/>
    <w:rsid w:val="0071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404B7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6">
    <w:name w:val="Нижній колонтитул Знак"/>
    <w:basedOn w:val="a0"/>
    <w:link w:val="af5"/>
    <w:uiPriority w:val="99"/>
    <w:rsid w:val="00404B7E"/>
  </w:style>
  <w:style w:type="paragraph" w:styleId="af7">
    <w:name w:val="Revision"/>
    <w:hidden/>
    <w:uiPriority w:val="99"/>
    <w:semiHidden/>
    <w:rsid w:val="005E2D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58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7560</Words>
  <Characters>4310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Олексій Романенко</dc:creator>
  <cp:keywords/>
  <dc:description/>
  <cp:lastModifiedBy>АКБ</cp:lastModifiedBy>
  <cp:revision>4</cp:revision>
  <cp:lastPrinted>2023-04-10T05:54:00Z</cp:lastPrinted>
  <dcterms:created xsi:type="dcterms:W3CDTF">2023-04-26T10:10:00Z</dcterms:created>
  <dcterms:modified xsi:type="dcterms:W3CDTF">2023-05-03T09:49:00Z</dcterms:modified>
</cp:coreProperties>
</file>