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29F" w:rsidRPr="00B3339F" w:rsidRDefault="0038029F" w:rsidP="0038029F">
      <w:pPr>
        <w:spacing w:before="120"/>
        <w:contextualSpacing/>
        <w:jc w:val="center"/>
        <w:rPr>
          <w:bCs/>
          <w:sz w:val="28"/>
          <w:szCs w:val="28"/>
          <w:lang w:val="uk-UA"/>
        </w:rPr>
      </w:pPr>
      <w:r w:rsidRPr="00B3339F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38029F" w:rsidRPr="00CD156B" w:rsidRDefault="0038029F" w:rsidP="0038029F">
      <w:pPr>
        <w:rPr>
          <w:b/>
          <w:sz w:val="27"/>
          <w:szCs w:val="27"/>
          <w:lang w:val="uk-UA"/>
        </w:rPr>
      </w:pPr>
    </w:p>
    <w:p w:rsidR="0038029F" w:rsidRPr="00D2656B" w:rsidRDefault="0038029F" w:rsidP="0038029F">
      <w:pPr>
        <w:jc w:val="center"/>
        <w:rPr>
          <w:b/>
          <w:sz w:val="28"/>
          <w:szCs w:val="28"/>
          <w:lang w:val="uk-UA"/>
        </w:rPr>
      </w:pPr>
      <w:r w:rsidRPr="00D2656B">
        <w:rPr>
          <w:b/>
          <w:sz w:val="28"/>
          <w:szCs w:val="28"/>
          <w:lang w:val="uk-UA"/>
        </w:rPr>
        <w:t>АНАЛІЗ ВПЛИВУ</w:t>
      </w:r>
    </w:p>
    <w:p w:rsidR="0038029F" w:rsidRPr="00D2656B" w:rsidRDefault="0038029F" w:rsidP="0038029F">
      <w:pPr>
        <w:jc w:val="center"/>
        <w:rPr>
          <w:b/>
          <w:sz w:val="28"/>
          <w:szCs w:val="28"/>
          <w:lang w:val="uk-UA"/>
        </w:rPr>
      </w:pPr>
      <w:r w:rsidRPr="00D2656B">
        <w:rPr>
          <w:b/>
          <w:sz w:val="28"/>
          <w:szCs w:val="28"/>
          <w:lang w:val="uk-UA"/>
        </w:rPr>
        <w:t xml:space="preserve">проєкту постанови НКРЕКП </w:t>
      </w:r>
      <w:bookmarkStart w:id="0" w:name="_Hlk9418831"/>
      <w:r w:rsidRPr="00D2656B">
        <w:rPr>
          <w:b/>
          <w:color w:val="000000"/>
          <w:sz w:val="28"/>
          <w:szCs w:val="28"/>
          <w:lang w:val="uk-UA"/>
        </w:rPr>
        <w:t>«</w:t>
      </w:r>
      <w:r w:rsidRPr="00D2656B">
        <w:rPr>
          <w:b/>
          <w:sz w:val="28"/>
          <w:szCs w:val="28"/>
          <w:lang w:val="uk-UA"/>
        </w:rPr>
        <w:t>Про затвердження Змін до деяких постанов НКРЕКП щодо сприяння розвитку виробництва біометану</w:t>
      </w:r>
      <w:r w:rsidRPr="00D2656B">
        <w:rPr>
          <w:b/>
          <w:color w:val="000000"/>
          <w:sz w:val="28"/>
          <w:szCs w:val="28"/>
          <w:lang w:val="uk-UA"/>
        </w:rPr>
        <w:t>»</w:t>
      </w:r>
      <w:bookmarkEnd w:id="0"/>
      <w:r w:rsidRPr="00D2656B">
        <w:rPr>
          <w:b/>
          <w:color w:val="000000"/>
          <w:sz w:val="28"/>
          <w:szCs w:val="28"/>
          <w:lang w:val="uk-UA"/>
        </w:rPr>
        <w:t>, що містить ознаки регуляторного акта</w:t>
      </w:r>
    </w:p>
    <w:p w:rsidR="0038029F" w:rsidRPr="00E57DC9" w:rsidRDefault="0038029F" w:rsidP="005F231D">
      <w:pPr>
        <w:pStyle w:val="a3"/>
        <w:widowControl w:val="0"/>
        <w:spacing w:before="0" w:beforeAutospacing="0" w:after="0" w:afterAutospacing="0"/>
        <w:ind w:left="709"/>
        <w:rPr>
          <w:sz w:val="28"/>
          <w:szCs w:val="28"/>
          <w:lang w:val="uk-UA"/>
        </w:rPr>
      </w:pPr>
    </w:p>
    <w:p w:rsidR="0038029F" w:rsidRPr="002A3B19" w:rsidRDefault="0038029F" w:rsidP="005F231D">
      <w:pPr>
        <w:ind w:left="709"/>
        <w:rPr>
          <w:b/>
          <w:sz w:val="28"/>
          <w:szCs w:val="28"/>
          <w:lang w:val="uk-UA"/>
        </w:rPr>
      </w:pPr>
      <w:r w:rsidRPr="002A3B19">
        <w:rPr>
          <w:b/>
          <w:iCs/>
          <w:sz w:val="28"/>
          <w:szCs w:val="28"/>
          <w:lang w:val="uk-UA"/>
        </w:rPr>
        <w:t xml:space="preserve">І. </w:t>
      </w:r>
      <w:r w:rsidRPr="002A3B19">
        <w:rPr>
          <w:b/>
          <w:sz w:val="28"/>
          <w:szCs w:val="28"/>
          <w:lang w:val="uk-UA"/>
        </w:rPr>
        <w:t>Визначення проблеми</w:t>
      </w:r>
    </w:p>
    <w:p w:rsidR="002A3B19" w:rsidRPr="002A3B19" w:rsidRDefault="002A3B19" w:rsidP="002A3B19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A3B19" w:rsidRPr="002A3B19" w:rsidRDefault="002A3B19" w:rsidP="002A3B19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A3B19">
        <w:rPr>
          <w:rFonts w:eastAsia="Calibri"/>
          <w:sz w:val="28"/>
          <w:szCs w:val="28"/>
          <w:lang w:val="uk-UA" w:eastAsia="en-US"/>
        </w:rPr>
        <w:t xml:space="preserve">На </w:t>
      </w:r>
      <w:r w:rsidRPr="002A3B19">
        <w:rPr>
          <w:rFonts w:eastAsia="Calibri"/>
          <w:sz w:val="28"/>
          <w:szCs w:val="28"/>
          <w:lang w:val="uk-UA" w:eastAsia="en-US"/>
        </w:rPr>
        <w:t>сьогодні</w:t>
      </w:r>
      <w:r w:rsidRPr="002A3B19">
        <w:rPr>
          <w:rFonts w:eastAsia="Calibri"/>
          <w:sz w:val="28"/>
          <w:szCs w:val="28"/>
          <w:lang w:val="uk-UA" w:eastAsia="en-US"/>
        </w:rPr>
        <w:t xml:space="preserve"> </w:t>
      </w:r>
      <w:r w:rsidRPr="002A3B19">
        <w:rPr>
          <w:rFonts w:eastAsia="Calibri"/>
          <w:sz w:val="28"/>
          <w:szCs w:val="28"/>
          <w:lang w:val="uk-UA" w:eastAsia="en-US"/>
        </w:rPr>
        <w:t>залишається</w:t>
      </w:r>
      <w:r w:rsidRPr="002A3B19">
        <w:rPr>
          <w:rFonts w:eastAsia="Calibri"/>
          <w:sz w:val="28"/>
          <w:szCs w:val="28"/>
          <w:lang w:val="uk-UA" w:eastAsia="en-US"/>
        </w:rPr>
        <w:t xml:space="preserve"> актуальним питання</w:t>
      </w:r>
      <w:r w:rsidRPr="002A3B19">
        <w:rPr>
          <w:rFonts w:eastAsia="Calibri"/>
          <w:sz w:val="28"/>
          <w:szCs w:val="28"/>
          <w:lang w:val="uk-UA" w:eastAsia="en-US"/>
        </w:rPr>
        <w:t xml:space="preserve"> </w:t>
      </w:r>
      <w:bookmarkStart w:id="1" w:name="_Hlk132722142"/>
      <w:r w:rsidRPr="002A3B19">
        <w:rPr>
          <w:rFonts w:eastAsia="Calibri"/>
          <w:sz w:val="28"/>
          <w:szCs w:val="28"/>
          <w:lang w:val="uk-UA" w:eastAsia="en-US"/>
        </w:rPr>
        <w:t>підвищення енергетичної незалежності</w:t>
      </w:r>
      <w:bookmarkEnd w:id="1"/>
      <w:r w:rsidRPr="002A3B19">
        <w:rPr>
          <w:rFonts w:eastAsia="Calibri"/>
          <w:sz w:val="28"/>
          <w:szCs w:val="28"/>
          <w:lang w:val="uk-UA" w:eastAsia="en-US"/>
        </w:rPr>
        <w:t xml:space="preserve"> держави</w:t>
      </w:r>
      <w:r w:rsidRPr="002A3B19">
        <w:rPr>
          <w:rFonts w:eastAsia="Calibri"/>
          <w:sz w:val="28"/>
          <w:szCs w:val="28"/>
          <w:lang w:val="uk-UA" w:eastAsia="en-US"/>
        </w:rPr>
        <w:t xml:space="preserve">, зокрема, шляхом використання відновлювальних джерел енергії та альтернативних видів палива. Важливу роль у досягненні зазначеної мети відіграють відновлювані гази, такі як </w:t>
      </w:r>
      <w:r w:rsidRPr="002A3B19">
        <w:rPr>
          <w:sz w:val="28"/>
          <w:szCs w:val="28"/>
          <w:shd w:val="clear" w:color="auto" w:fill="FFFFFF"/>
          <w:lang w:val="uk-UA"/>
        </w:rPr>
        <w:t>біометан.</w:t>
      </w:r>
    </w:p>
    <w:p w:rsidR="002A3B19" w:rsidRPr="002A3B19" w:rsidRDefault="002A3B19" w:rsidP="002A3B19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A3B19">
        <w:rPr>
          <w:sz w:val="28"/>
          <w:szCs w:val="28"/>
          <w:shd w:val="clear" w:color="auto" w:fill="FFFFFF"/>
          <w:lang w:val="uk-UA"/>
        </w:rPr>
        <w:t>Крім цього біометан вважається економічно ефективним способом декарбонізації енергетики і економіки України, розвиток виробництва якого сприятиме досягненню кліматичної нейтральності, що є стратегічним напрямком реформування енергетичного сектору в країнах-членах ЄС та України.</w:t>
      </w:r>
    </w:p>
    <w:p w:rsidR="0038029F" w:rsidRPr="002A3B19" w:rsidRDefault="0038029F" w:rsidP="0038029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2A3B19">
        <w:rPr>
          <w:sz w:val="28"/>
          <w:szCs w:val="28"/>
          <w:lang w:val="uk-UA"/>
        </w:rPr>
        <w:t>Законом України «</w:t>
      </w:r>
      <w:r w:rsidRPr="002A3B19">
        <w:rPr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розвитку виробництва біометану</w:t>
      </w:r>
      <w:r w:rsidRPr="002A3B19">
        <w:rPr>
          <w:sz w:val="28"/>
          <w:szCs w:val="28"/>
          <w:lang w:val="uk-UA"/>
        </w:rPr>
        <w:t>»</w:t>
      </w:r>
      <w:r w:rsidRPr="002A3B19">
        <w:rPr>
          <w:rFonts w:eastAsia="Calibri"/>
          <w:sz w:val="28"/>
          <w:szCs w:val="28"/>
          <w:lang w:val="uk-UA" w:eastAsia="en-US"/>
        </w:rPr>
        <w:t xml:space="preserve"> були внесені</w:t>
      </w:r>
      <w:r w:rsidR="002A3B19" w:rsidRPr="002A3B19">
        <w:rPr>
          <w:rFonts w:eastAsia="Calibri"/>
          <w:sz w:val="28"/>
          <w:szCs w:val="28"/>
          <w:lang w:val="uk-UA" w:eastAsia="en-US"/>
        </w:rPr>
        <w:t xml:space="preserve"> зміни до частини першої статті </w:t>
      </w:r>
      <w:r w:rsidRPr="002A3B19">
        <w:rPr>
          <w:rFonts w:eastAsia="Calibri"/>
          <w:sz w:val="28"/>
          <w:szCs w:val="28"/>
          <w:lang w:val="uk-UA" w:eastAsia="en-US"/>
        </w:rPr>
        <w:t xml:space="preserve">19 Закону України «Про ринок природного газу», відповідно до яких </w:t>
      </w:r>
      <w:r w:rsidRPr="002A3B19">
        <w:rPr>
          <w:sz w:val="28"/>
          <w:szCs w:val="28"/>
          <w:shd w:val="clear" w:color="auto" w:fill="FFFFFF"/>
          <w:lang w:val="uk-UA"/>
        </w:rPr>
        <w:t>біогаз та інший вид газу з альтернативних джерел вважається прирівняним до природного газу, при умові що такий газ відповідає вимогам (фізико-хімічним показникам) для доступу до газотранспортних і газорозподільних систем.</w:t>
      </w:r>
    </w:p>
    <w:p w:rsidR="0038029F" w:rsidRPr="002A3B19" w:rsidRDefault="0038029F" w:rsidP="0038029F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A3B19">
        <w:rPr>
          <w:sz w:val="28"/>
          <w:szCs w:val="28"/>
          <w:shd w:val="clear" w:color="auto" w:fill="FFFFFF"/>
          <w:lang w:val="uk-UA"/>
        </w:rPr>
        <w:t xml:space="preserve">Відповідні положення щодо умов доступу </w:t>
      </w:r>
      <w:r w:rsidRPr="002A3B1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та приєднання виробників </w:t>
      </w:r>
      <w:r w:rsidRPr="002A3B19">
        <w:rPr>
          <w:sz w:val="28"/>
          <w:szCs w:val="28"/>
          <w:shd w:val="clear" w:color="auto" w:fill="FFFFFF"/>
          <w:lang w:val="uk-UA"/>
        </w:rPr>
        <w:t>біогазу, фізико-хімічні показники якого відповідають нормативно-правовим актам на природний газ, до газотранспортних і газорозподільних систем, передбачені положеннями Кодексу газотранспортної системи, затвердженого постановою НКРЕКП від 30.09.2015 № 2493</w:t>
      </w:r>
      <w:r w:rsidR="000F64DD" w:rsidRPr="002A3B19">
        <w:rPr>
          <w:sz w:val="28"/>
          <w:szCs w:val="28"/>
          <w:shd w:val="clear" w:color="auto" w:fill="FFFFFF"/>
          <w:lang w:val="uk-UA"/>
        </w:rPr>
        <w:t xml:space="preserve"> (далі – Кодекс ГТС)</w:t>
      </w:r>
      <w:r w:rsidRPr="002A3B19">
        <w:rPr>
          <w:sz w:val="28"/>
          <w:szCs w:val="28"/>
          <w:shd w:val="clear" w:color="auto" w:fill="FFFFFF"/>
          <w:lang w:val="uk-UA"/>
        </w:rPr>
        <w:t>, та Кодексу газорозподільних систем, затвердженого постановою НКРЕКП від 30.09.2015 № 2494</w:t>
      </w:r>
      <w:r w:rsidR="000F64DD" w:rsidRPr="002A3B19">
        <w:rPr>
          <w:sz w:val="28"/>
          <w:szCs w:val="28"/>
          <w:shd w:val="clear" w:color="auto" w:fill="FFFFFF"/>
          <w:lang w:val="uk-UA"/>
        </w:rPr>
        <w:t xml:space="preserve"> (далі – Кодекс ГРМ)</w:t>
      </w:r>
      <w:r w:rsidRPr="002A3B19">
        <w:rPr>
          <w:sz w:val="28"/>
          <w:szCs w:val="28"/>
          <w:shd w:val="clear" w:color="auto" w:fill="FFFFFF"/>
          <w:lang w:val="uk-UA"/>
        </w:rPr>
        <w:t>.</w:t>
      </w:r>
    </w:p>
    <w:p w:rsidR="0038029F" w:rsidRPr="002A3B19" w:rsidRDefault="0038029F" w:rsidP="0038029F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A3B19">
        <w:rPr>
          <w:sz w:val="28"/>
          <w:szCs w:val="28"/>
          <w:shd w:val="clear" w:color="auto" w:fill="FFFFFF"/>
          <w:lang w:val="uk-UA"/>
        </w:rPr>
        <w:t>Слід також зазначити, що у лютому 2023 року між Прем'єр-міністром України Д. </w:t>
      </w:r>
      <w:proofErr w:type="spellStart"/>
      <w:r w:rsidRPr="002A3B19">
        <w:rPr>
          <w:sz w:val="28"/>
          <w:szCs w:val="28"/>
          <w:shd w:val="clear" w:color="auto" w:fill="FFFFFF"/>
          <w:lang w:val="uk-UA"/>
        </w:rPr>
        <w:t>Шмигалем</w:t>
      </w:r>
      <w:proofErr w:type="spellEnd"/>
      <w:r w:rsidRPr="002A3B19">
        <w:rPr>
          <w:sz w:val="28"/>
          <w:szCs w:val="28"/>
          <w:shd w:val="clear" w:color="auto" w:fill="FFFFFF"/>
          <w:lang w:val="uk-UA"/>
        </w:rPr>
        <w:t xml:space="preserve"> та Головою Європейської комісії </w:t>
      </w:r>
      <w:proofErr w:type="spellStart"/>
      <w:r w:rsidRPr="002A3B19">
        <w:rPr>
          <w:sz w:val="28"/>
          <w:szCs w:val="28"/>
          <w:shd w:val="clear" w:color="auto" w:fill="FFFFFF"/>
          <w:lang w:val="uk-UA"/>
        </w:rPr>
        <w:t>Урсулою</w:t>
      </w:r>
      <w:proofErr w:type="spellEnd"/>
      <w:r w:rsidRPr="002A3B19">
        <w:rPr>
          <w:sz w:val="28"/>
          <w:szCs w:val="28"/>
          <w:shd w:val="clear" w:color="auto" w:fill="FFFFFF"/>
          <w:lang w:val="uk-UA"/>
        </w:rPr>
        <w:t xml:space="preserve"> фон дер </w:t>
      </w:r>
      <w:proofErr w:type="spellStart"/>
      <w:r w:rsidRPr="002A3B19">
        <w:rPr>
          <w:sz w:val="28"/>
          <w:szCs w:val="28"/>
          <w:shd w:val="clear" w:color="auto" w:fill="FFFFFF"/>
          <w:lang w:val="uk-UA"/>
        </w:rPr>
        <w:t>Ляєн</w:t>
      </w:r>
      <w:proofErr w:type="spellEnd"/>
      <w:r w:rsidRPr="002A3B19">
        <w:rPr>
          <w:sz w:val="28"/>
          <w:szCs w:val="28"/>
          <w:shd w:val="clear" w:color="auto" w:fill="FFFFFF"/>
          <w:lang w:val="uk-UA"/>
        </w:rPr>
        <w:t xml:space="preserve"> підписано Меморандум про взаєморозуміння між Україною та Європейським Союзом щодо стратегічного партнерства у сфері біометану, водню та інших синтетичних газів, в рамках якого сторони домовились зосередити співпрацю, зокрема на виявленні та усуненні технічних та регуляторних бар'єрів для виробництва, транспортування та зберігання біометану.</w:t>
      </w:r>
    </w:p>
    <w:p w:rsidR="0038029F" w:rsidRPr="002A3B19" w:rsidRDefault="0038029F" w:rsidP="0038029F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2A3B19">
        <w:rPr>
          <w:sz w:val="28"/>
          <w:szCs w:val="28"/>
          <w:lang w:val="uk-UA"/>
        </w:rPr>
        <w:t xml:space="preserve">У зв’язку із зазначеним, керуючись положеннями статті 17 Закону України </w:t>
      </w:r>
      <w:r w:rsidRPr="002A3B19">
        <w:rPr>
          <w:rFonts w:eastAsia="Calibri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Pr="002A3B19">
        <w:rPr>
          <w:sz w:val="28"/>
          <w:szCs w:val="28"/>
          <w:lang w:val="uk-UA"/>
        </w:rPr>
        <w:t>, з метою</w:t>
      </w:r>
      <w:r w:rsidR="000F64DD" w:rsidRPr="002A3B19">
        <w:rPr>
          <w:sz w:val="28"/>
          <w:szCs w:val="28"/>
          <w:lang w:val="uk-UA"/>
        </w:rPr>
        <w:t xml:space="preserve"> сприяння</w:t>
      </w:r>
      <w:r w:rsidRPr="002A3B19">
        <w:rPr>
          <w:sz w:val="28"/>
          <w:szCs w:val="28"/>
          <w:lang w:val="uk-UA"/>
        </w:rPr>
        <w:t xml:space="preserve"> розвитку виробництва біометану в Україні та вдосконалення умов доступу виробників біометану до об’єктів газової інфраструктури, </w:t>
      </w:r>
      <w:r w:rsidR="002C2446" w:rsidRPr="002A3B19">
        <w:rPr>
          <w:rFonts w:eastAsia="Calibri"/>
          <w:sz w:val="28"/>
          <w:szCs w:val="28"/>
          <w:lang w:val="uk-UA"/>
        </w:rPr>
        <w:t xml:space="preserve">НКРЕКП </w:t>
      </w:r>
      <w:r w:rsidRPr="002A3B1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було розроблено проєкт постанови «</w:t>
      </w:r>
      <w:r w:rsidRPr="002A3B19">
        <w:rPr>
          <w:sz w:val="28"/>
          <w:szCs w:val="28"/>
          <w:lang w:val="uk-UA"/>
        </w:rPr>
        <w:t xml:space="preserve">Про затвердження Змін до деяких постанов НКРЕКП щодо сприяння розвитку </w:t>
      </w:r>
      <w:r w:rsidRPr="002A3B19">
        <w:rPr>
          <w:sz w:val="28"/>
          <w:szCs w:val="28"/>
          <w:lang w:val="uk-UA"/>
        </w:rPr>
        <w:lastRenderedPageBreak/>
        <w:t>виробництва біометану</w:t>
      </w:r>
      <w:r w:rsidRPr="002A3B1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 (далі – Проєкт постанови), положеннями якого передбачається внесення змін нормативно-правових актів НКРЕКП, направлених на врегулювання питання фізичного доступу виробників біометану до газотранспортної та газорозподільних систем.</w:t>
      </w:r>
    </w:p>
    <w:p w:rsidR="002C2446" w:rsidRPr="002A3B19" w:rsidRDefault="002C2446" w:rsidP="002C2446">
      <w:pPr>
        <w:ind w:firstLine="709"/>
        <w:jc w:val="both"/>
        <w:rPr>
          <w:sz w:val="28"/>
          <w:szCs w:val="28"/>
          <w:lang w:val="uk-UA"/>
        </w:rPr>
      </w:pPr>
      <w:r w:rsidRPr="002A3B19">
        <w:rPr>
          <w:sz w:val="28"/>
          <w:szCs w:val="28"/>
          <w:lang w:val="uk-UA"/>
        </w:rPr>
        <w:t xml:space="preserve">Так, </w:t>
      </w:r>
      <w:proofErr w:type="spellStart"/>
      <w:r w:rsidRPr="002A3B19">
        <w:rPr>
          <w:sz w:val="28"/>
          <w:szCs w:val="28"/>
          <w:lang w:val="uk-UA"/>
        </w:rPr>
        <w:t>Проєктом</w:t>
      </w:r>
      <w:proofErr w:type="spellEnd"/>
      <w:r w:rsidRPr="002A3B19">
        <w:rPr>
          <w:sz w:val="28"/>
          <w:szCs w:val="28"/>
          <w:lang w:val="uk-UA"/>
        </w:rPr>
        <w:t xml:space="preserve"> постанови визначені особливості приєднання реверсної компресорної станції, як</w:t>
      </w:r>
      <w:r w:rsidRPr="002A3B19">
        <w:rPr>
          <w:color w:val="333333"/>
          <w:sz w:val="28"/>
          <w:szCs w:val="28"/>
          <w:lang w:val="uk-UA" w:eastAsia="uk-UA"/>
        </w:rPr>
        <w:t xml:space="preserve"> </w:t>
      </w:r>
      <w:r w:rsidRPr="002A3B19">
        <w:rPr>
          <w:sz w:val="28"/>
          <w:szCs w:val="28"/>
          <w:lang w:val="uk-UA"/>
        </w:rPr>
        <w:t>об’єкта газотранспортної системи, через яку виробники біометану матимуть можливість фізично передавати надлишки газу, який не може бути відібраним у певний період року споживачами, приєднаними до мереж відповідного оператора газорозподільних систем (далі – ГРМ), в мережі оператора газотранспортної системи (далі – ГТС). Зазначені зм</w:t>
      </w:r>
      <w:r w:rsidR="002A3B19" w:rsidRPr="002A3B19">
        <w:rPr>
          <w:sz w:val="28"/>
          <w:szCs w:val="28"/>
          <w:lang w:val="uk-UA"/>
        </w:rPr>
        <w:t>іни сприяють усуненню</w:t>
      </w:r>
      <w:r w:rsidRPr="002A3B19">
        <w:rPr>
          <w:sz w:val="28"/>
          <w:szCs w:val="28"/>
          <w:lang w:val="uk-UA"/>
        </w:rPr>
        <w:t xml:space="preserve"> технічних обмежень передачі біометану до газорозподільної системи, що в свою чергу має стимулювати виробників біометану збільшувати обсяги виробництва газу.</w:t>
      </w:r>
    </w:p>
    <w:p w:rsidR="002C2446" w:rsidRPr="002A3B19" w:rsidRDefault="002C2446" w:rsidP="002C244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2A3B19">
        <w:rPr>
          <w:sz w:val="28"/>
          <w:szCs w:val="28"/>
          <w:lang w:val="uk-UA"/>
        </w:rPr>
        <w:t xml:space="preserve">Слід також зазначити, що з метою ефективності та прозорості обліку виробленого/поданого до ГРМ/ГТС біометану, </w:t>
      </w:r>
      <w:proofErr w:type="spellStart"/>
      <w:r w:rsidRPr="002A3B19">
        <w:rPr>
          <w:sz w:val="28"/>
          <w:szCs w:val="28"/>
          <w:lang w:val="uk-UA"/>
        </w:rPr>
        <w:t>Проєктом</w:t>
      </w:r>
      <w:proofErr w:type="spellEnd"/>
      <w:r w:rsidRPr="002A3B19">
        <w:rPr>
          <w:sz w:val="28"/>
          <w:szCs w:val="28"/>
          <w:lang w:val="uk-UA"/>
        </w:rPr>
        <w:t xml:space="preserve"> постанови пропонується </w:t>
      </w:r>
      <w:r w:rsidRPr="002A3B19">
        <w:rPr>
          <w:rFonts w:eastAsia="Calibri"/>
          <w:sz w:val="28"/>
          <w:szCs w:val="28"/>
          <w:lang w:val="uk-UA" w:eastAsia="en-US"/>
        </w:rPr>
        <w:t>виділення у газотранспортній системі фізичної та віртуальної точок входу з газорозподільних систем (через мережі яких передається біометан за наявності реверсної компресорної станції).</w:t>
      </w:r>
    </w:p>
    <w:p w:rsidR="002C2446" w:rsidRPr="002A3B19" w:rsidRDefault="002C2446" w:rsidP="002C2446">
      <w:pPr>
        <w:ind w:firstLine="709"/>
        <w:jc w:val="both"/>
        <w:rPr>
          <w:sz w:val="28"/>
          <w:szCs w:val="28"/>
          <w:lang w:val="uk-UA"/>
        </w:rPr>
      </w:pPr>
      <w:r w:rsidRPr="002A3B19">
        <w:rPr>
          <w:sz w:val="28"/>
          <w:szCs w:val="28"/>
          <w:lang w:val="uk-UA"/>
        </w:rPr>
        <w:t xml:space="preserve">Крім того </w:t>
      </w:r>
      <w:proofErr w:type="spellStart"/>
      <w:r w:rsidRPr="002A3B19">
        <w:rPr>
          <w:sz w:val="28"/>
          <w:szCs w:val="28"/>
          <w:lang w:val="uk-UA"/>
        </w:rPr>
        <w:t>Проєктом</w:t>
      </w:r>
      <w:proofErr w:type="spellEnd"/>
      <w:r w:rsidRPr="002A3B19">
        <w:rPr>
          <w:sz w:val="28"/>
          <w:szCs w:val="28"/>
          <w:lang w:val="uk-UA"/>
        </w:rPr>
        <w:t xml:space="preserve"> постанови пропонується внести зміни до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регулювання, затвердженої постановою НКРЕКП від 30.09.2015 № 2517</w:t>
      </w:r>
      <w:r w:rsidR="002A3B19" w:rsidRPr="002A3B19">
        <w:rPr>
          <w:sz w:val="28"/>
          <w:szCs w:val="28"/>
          <w:lang w:val="uk-UA"/>
        </w:rPr>
        <w:t xml:space="preserve"> (далі – Методика)</w:t>
      </w:r>
      <w:r w:rsidRPr="002A3B19">
        <w:rPr>
          <w:sz w:val="28"/>
          <w:szCs w:val="28"/>
          <w:lang w:val="uk-UA"/>
        </w:rPr>
        <w:t>, з метою врегулювання питання встановлення тарифів на послуги транспортування природного газу для нових точок входу та/або виходу в/з газотранспортну(</w:t>
      </w:r>
      <w:proofErr w:type="spellStart"/>
      <w:r w:rsidRPr="002A3B19">
        <w:rPr>
          <w:sz w:val="28"/>
          <w:szCs w:val="28"/>
          <w:lang w:val="uk-UA"/>
        </w:rPr>
        <w:t>ої</w:t>
      </w:r>
      <w:proofErr w:type="spellEnd"/>
      <w:r w:rsidRPr="002A3B19">
        <w:rPr>
          <w:sz w:val="28"/>
          <w:szCs w:val="28"/>
          <w:lang w:val="uk-UA"/>
        </w:rPr>
        <w:t>) систему(и) протягом регуляторного періоду.</w:t>
      </w:r>
    </w:p>
    <w:p w:rsidR="0038029F" w:rsidRPr="002A3B19" w:rsidRDefault="0038029F" w:rsidP="00D2656B">
      <w:pPr>
        <w:jc w:val="both"/>
        <w:rPr>
          <w:sz w:val="28"/>
          <w:szCs w:val="28"/>
          <w:lang w:val="uk-UA"/>
        </w:rPr>
      </w:pPr>
    </w:p>
    <w:p w:rsidR="0038029F" w:rsidRPr="002A3B19" w:rsidRDefault="0038029F" w:rsidP="00D2656B">
      <w:pPr>
        <w:jc w:val="both"/>
        <w:rPr>
          <w:sz w:val="28"/>
          <w:szCs w:val="28"/>
          <w:lang w:val="uk-UA"/>
        </w:rPr>
      </w:pPr>
      <w:r w:rsidRPr="002A3B19">
        <w:rPr>
          <w:sz w:val="28"/>
          <w:szCs w:val="28"/>
          <w:lang w:val="uk-UA"/>
        </w:rPr>
        <w:t>Основні групи (підгрупи), на які проблема справляє вплив: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4557"/>
        <w:gridCol w:w="2463"/>
      </w:tblGrid>
      <w:tr w:rsidR="0038029F" w:rsidRPr="002A3B19" w:rsidTr="00D2656B">
        <w:trPr>
          <w:jc w:val="center"/>
        </w:trPr>
        <w:tc>
          <w:tcPr>
            <w:tcW w:w="2927" w:type="dxa"/>
            <w:shd w:val="clear" w:color="auto" w:fill="auto"/>
          </w:tcPr>
          <w:p w:rsidR="0038029F" w:rsidRPr="002A3B19" w:rsidRDefault="0038029F" w:rsidP="00D2656B">
            <w:pPr>
              <w:jc w:val="center"/>
              <w:rPr>
                <w:b/>
                <w:lang w:val="uk-UA"/>
              </w:rPr>
            </w:pPr>
            <w:r w:rsidRPr="002A3B19">
              <w:rPr>
                <w:b/>
                <w:lang w:val="uk-UA"/>
              </w:rPr>
              <w:t>Групи (підгрупи)</w:t>
            </w:r>
          </w:p>
        </w:tc>
        <w:tc>
          <w:tcPr>
            <w:tcW w:w="4557" w:type="dxa"/>
            <w:shd w:val="clear" w:color="auto" w:fill="auto"/>
          </w:tcPr>
          <w:p w:rsidR="0038029F" w:rsidRPr="002A3B19" w:rsidRDefault="0038029F" w:rsidP="00D2656B">
            <w:pPr>
              <w:jc w:val="center"/>
              <w:rPr>
                <w:b/>
                <w:lang w:val="uk-UA"/>
              </w:rPr>
            </w:pPr>
            <w:r w:rsidRPr="002A3B19">
              <w:rPr>
                <w:b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38029F" w:rsidRPr="002A3B19" w:rsidRDefault="0038029F" w:rsidP="00D2656B">
            <w:pPr>
              <w:jc w:val="center"/>
              <w:rPr>
                <w:b/>
                <w:lang w:val="uk-UA"/>
              </w:rPr>
            </w:pPr>
            <w:r w:rsidRPr="002A3B19">
              <w:rPr>
                <w:b/>
                <w:lang w:val="uk-UA"/>
              </w:rPr>
              <w:t>Ні</w:t>
            </w:r>
          </w:p>
        </w:tc>
      </w:tr>
      <w:tr w:rsidR="0038029F" w:rsidRPr="002A3B19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2A3B19" w:rsidRDefault="0038029F" w:rsidP="00D2656B">
            <w:pPr>
              <w:rPr>
                <w:lang w:val="uk-UA"/>
              </w:rPr>
            </w:pPr>
            <w:r w:rsidRPr="002A3B19">
              <w:rPr>
                <w:lang w:val="uk-UA"/>
              </w:rPr>
              <w:t>Громадяни</w:t>
            </w:r>
          </w:p>
        </w:tc>
        <w:tc>
          <w:tcPr>
            <w:tcW w:w="4557" w:type="dxa"/>
            <w:shd w:val="clear" w:color="auto" w:fill="auto"/>
            <w:vAlign w:val="center"/>
          </w:tcPr>
          <w:p w:rsidR="0038029F" w:rsidRPr="002A3B19" w:rsidRDefault="0038029F" w:rsidP="00D2656B">
            <w:pPr>
              <w:jc w:val="center"/>
              <w:rPr>
                <w:lang w:val="uk-UA"/>
              </w:rPr>
            </w:pPr>
            <w:r w:rsidRPr="002A3B19">
              <w:rPr>
                <w:lang w:val="uk-UA"/>
              </w:rPr>
              <w:t>–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8029F" w:rsidRPr="002A3B19" w:rsidRDefault="0038029F" w:rsidP="00D2656B">
            <w:pPr>
              <w:jc w:val="center"/>
              <w:rPr>
                <w:lang w:val="uk-UA"/>
              </w:rPr>
            </w:pPr>
            <w:r w:rsidRPr="002A3B19">
              <w:rPr>
                <w:lang w:val="uk-UA"/>
              </w:rPr>
              <w:t>Ні</w:t>
            </w:r>
          </w:p>
        </w:tc>
      </w:tr>
      <w:tr w:rsidR="0038029F" w:rsidRPr="002A3B19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2A3B19" w:rsidRDefault="0038029F" w:rsidP="00D2656B">
            <w:pPr>
              <w:rPr>
                <w:lang w:val="uk-UA"/>
              </w:rPr>
            </w:pPr>
            <w:r w:rsidRPr="002A3B19">
              <w:rPr>
                <w:lang w:val="uk-UA"/>
              </w:rPr>
              <w:t>Держава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29F" w:rsidRPr="002A3B19" w:rsidRDefault="0038029F" w:rsidP="00D2656B">
            <w:pPr>
              <w:jc w:val="center"/>
              <w:rPr>
                <w:lang w:val="uk-UA"/>
              </w:rPr>
            </w:pPr>
            <w:r w:rsidRPr="002A3B19">
              <w:rPr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38029F" w:rsidRPr="002A3B19" w:rsidRDefault="0038029F" w:rsidP="00D2656B">
            <w:pPr>
              <w:jc w:val="center"/>
              <w:rPr>
                <w:lang w:val="uk-UA"/>
              </w:rPr>
            </w:pPr>
            <w:r w:rsidRPr="002A3B19">
              <w:rPr>
                <w:lang w:val="uk-UA"/>
              </w:rPr>
              <w:t>–</w:t>
            </w:r>
          </w:p>
        </w:tc>
      </w:tr>
      <w:tr w:rsidR="0038029F" w:rsidRPr="002A3B19" w:rsidTr="00D2656B">
        <w:trPr>
          <w:jc w:val="center"/>
        </w:trPr>
        <w:tc>
          <w:tcPr>
            <w:tcW w:w="2927" w:type="dxa"/>
            <w:shd w:val="clear" w:color="auto" w:fill="auto"/>
            <w:vAlign w:val="center"/>
          </w:tcPr>
          <w:p w:rsidR="0038029F" w:rsidRPr="002A3B19" w:rsidRDefault="0038029F" w:rsidP="00D2656B">
            <w:pPr>
              <w:rPr>
                <w:lang w:val="uk-UA"/>
              </w:rPr>
            </w:pPr>
            <w:r w:rsidRPr="002A3B19">
              <w:rPr>
                <w:lang w:val="uk-UA"/>
              </w:rPr>
              <w:t>Суб’єкти господарювання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29F" w:rsidRPr="002A3B19" w:rsidRDefault="0038029F" w:rsidP="00D2656B">
            <w:pPr>
              <w:jc w:val="center"/>
              <w:rPr>
                <w:lang w:val="uk-UA"/>
              </w:rPr>
            </w:pPr>
            <w:r w:rsidRPr="002A3B19">
              <w:rPr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38029F" w:rsidRPr="002A3B19" w:rsidRDefault="0038029F" w:rsidP="00D2656B">
            <w:pPr>
              <w:jc w:val="center"/>
              <w:rPr>
                <w:lang w:val="uk-UA"/>
              </w:rPr>
            </w:pPr>
            <w:r w:rsidRPr="002A3B19">
              <w:rPr>
                <w:lang w:val="uk-UA"/>
              </w:rPr>
              <w:t>–</w:t>
            </w:r>
          </w:p>
        </w:tc>
      </w:tr>
    </w:tbl>
    <w:p w:rsidR="002A3B19" w:rsidRPr="00E57DC9" w:rsidRDefault="002A3B19" w:rsidP="002A3B19">
      <w:pPr>
        <w:pStyle w:val="a3"/>
        <w:widowControl w:val="0"/>
        <w:spacing w:before="0" w:beforeAutospacing="0" w:after="0" w:afterAutospacing="0"/>
        <w:ind w:firstLine="709"/>
        <w:rPr>
          <w:bCs/>
          <w:color w:val="000000"/>
          <w:sz w:val="28"/>
          <w:szCs w:val="28"/>
          <w:lang w:val="uk-UA"/>
        </w:rPr>
      </w:pPr>
    </w:p>
    <w:p w:rsidR="0038029F" w:rsidRPr="002A3B19" w:rsidRDefault="0038029F" w:rsidP="002A3B19">
      <w:pPr>
        <w:pStyle w:val="a3"/>
        <w:widowControl w:val="0"/>
        <w:spacing w:before="0" w:beforeAutospacing="0" w:after="0" w:afterAutospacing="0"/>
        <w:ind w:firstLine="709"/>
        <w:rPr>
          <w:b/>
          <w:sz w:val="28"/>
          <w:szCs w:val="28"/>
          <w:lang w:val="uk-UA"/>
        </w:rPr>
      </w:pPr>
      <w:r w:rsidRPr="002A3B19">
        <w:rPr>
          <w:b/>
          <w:bCs/>
          <w:color w:val="000000"/>
          <w:sz w:val="28"/>
          <w:szCs w:val="28"/>
          <w:lang w:val="uk-UA"/>
        </w:rPr>
        <w:t xml:space="preserve">ІІ. </w:t>
      </w:r>
      <w:r w:rsidRPr="002A3B19">
        <w:rPr>
          <w:b/>
          <w:sz w:val="28"/>
          <w:szCs w:val="28"/>
          <w:lang w:val="uk-UA"/>
        </w:rPr>
        <w:t>Цілі державного регулювання</w:t>
      </w:r>
    </w:p>
    <w:p w:rsidR="0038029F" w:rsidRPr="00E57DC9" w:rsidRDefault="0038029F" w:rsidP="002A3B19">
      <w:pPr>
        <w:pStyle w:val="a3"/>
        <w:widowControl w:val="0"/>
        <w:spacing w:before="0" w:beforeAutospacing="0" w:after="0" w:afterAutospacing="0"/>
        <w:ind w:firstLine="709"/>
        <w:rPr>
          <w:bCs/>
          <w:color w:val="000000"/>
          <w:sz w:val="28"/>
          <w:szCs w:val="28"/>
          <w:lang w:val="uk-UA"/>
        </w:rPr>
      </w:pPr>
    </w:p>
    <w:p w:rsidR="0038029F" w:rsidRPr="002A3B19" w:rsidRDefault="0038029F" w:rsidP="00E57DC9">
      <w:pPr>
        <w:widowControl w:val="0"/>
        <w:ind w:firstLine="709"/>
        <w:jc w:val="both"/>
        <w:rPr>
          <w:color w:val="000000"/>
          <w:sz w:val="28"/>
          <w:szCs w:val="28"/>
          <w:lang w:val="uk-UA"/>
        </w:rPr>
      </w:pPr>
      <w:bookmarkStart w:id="2" w:name="_Hlk14968184"/>
      <w:r w:rsidRPr="002A3B19">
        <w:rPr>
          <w:sz w:val="28"/>
          <w:szCs w:val="28"/>
          <w:lang w:val="uk-UA"/>
        </w:rPr>
        <w:t xml:space="preserve">Метою прийняття </w:t>
      </w:r>
      <w:r w:rsidRPr="002A3B19">
        <w:rPr>
          <w:bCs/>
          <w:sz w:val="28"/>
          <w:szCs w:val="28"/>
          <w:lang w:val="uk-UA"/>
        </w:rPr>
        <w:t>проєкту постанови</w:t>
      </w:r>
      <w:r w:rsidRPr="002A3B19">
        <w:rPr>
          <w:sz w:val="28"/>
          <w:szCs w:val="28"/>
          <w:lang w:val="uk-UA" w:eastAsia="uk-UA"/>
        </w:rPr>
        <w:t xml:space="preserve"> </w:t>
      </w:r>
      <w:bookmarkStart w:id="3" w:name="_Hlk63257727"/>
      <w:r w:rsidRPr="002A3B19">
        <w:rPr>
          <w:sz w:val="28"/>
          <w:szCs w:val="28"/>
          <w:lang w:val="uk-UA"/>
        </w:rPr>
        <w:t xml:space="preserve">є </w:t>
      </w:r>
      <w:bookmarkEnd w:id="2"/>
      <w:r w:rsidR="000F64DD" w:rsidRPr="002A3B19">
        <w:rPr>
          <w:sz w:val="28"/>
          <w:szCs w:val="28"/>
          <w:lang w:val="uk-UA"/>
        </w:rPr>
        <w:t>сприяння розвитку виробництва біометану в Україні та вдосконалення умов доступу виробників біометану до об’єктів газової інфраструктури.</w:t>
      </w:r>
    </w:p>
    <w:bookmarkEnd w:id="3"/>
    <w:p w:rsidR="0038029F" w:rsidRPr="002A3B19" w:rsidRDefault="0038029F" w:rsidP="002A3B19">
      <w:pPr>
        <w:widowControl w:val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38029F" w:rsidRPr="002A3B19" w:rsidRDefault="0038029F" w:rsidP="002A3B19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2A3B19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38029F" w:rsidRPr="00E57DC9" w:rsidRDefault="0038029F" w:rsidP="002A3B19">
      <w:pPr>
        <w:ind w:firstLine="709"/>
        <w:jc w:val="both"/>
        <w:rPr>
          <w:sz w:val="28"/>
          <w:szCs w:val="28"/>
          <w:lang w:val="uk-UA"/>
        </w:rPr>
      </w:pPr>
    </w:p>
    <w:p w:rsidR="0038029F" w:rsidRPr="002A3B19" w:rsidRDefault="0038029F" w:rsidP="00D2656B">
      <w:pPr>
        <w:jc w:val="both"/>
        <w:rPr>
          <w:sz w:val="28"/>
          <w:szCs w:val="28"/>
          <w:lang w:val="uk-UA"/>
        </w:rPr>
      </w:pPr>
      <w:r w:rsidRPr="002A3B19">
        <w:rPr>
          <w:sz w:val="28"/>
          <w:szCs w:val="28"/>
          <w:lang w:val="uk-UA"/>
        </w:rPr>
        <w:t>1. Визначення альтернативних способів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7422"/>
      </w:tblGrid>
      <w:tr w:rsidR="0038029F" w:rsidRPr="00D2656B" w:rsidTr="00153DBF">
        <w:tc>
          <w:tcPr>
            <w:tcW w:w="2206" w:type="dxa"/>
            <w:shd w:val="clear" w:color="auto" w:fill="auto"/>
          </w:tcPr>
          <w:p w:rsidR="0038029F" w:rsidRPr="00D2656B" w:rsidRDefault="0038029F" w:rsidP="00D2656B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7422" w:type="dxa"/>
            <w:shd w:val="clear" w:color="auto" w:fill="auto"/>
          </w:tcPr>
          <w:p w:rsidR="0038029F" w:rsidRPr="00D2656B" w:rsidRDefault="0038029F" w:rsidP="00D2656B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Опис альтернативи</w:t>
            </w:r>
          </w:p>
        </w:tc>
      </w:tr>
      <w:tr w:rsidR="0038029F" w:rsidRPr="00D2656B" w:rsidTr="00153DBF">
        <w:tc>
          <w:tcPr>
            <w:tcW w:w="2206" w:type="dxa"/>
            <w:shd w:val="clear" w:color="auto" w:fill="auto"/>
          </w:tcPr>
          <w:p w:rsidR="0038029F" w:rsidRPr="00D2656B" w:rsidRDefault="0038029F" w:rsidP="00D2656B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Альтернатива 1</w:t>
            </w:r>
          </w:p>
          <w:p w:rsidR="0038029F" w:rsidRPr="00D2656B" w:rsidRDefault="0038029F" w:rsidP="00D2656B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 xml:space="preserve">Збереження чинного </w:t>
            </w:r>
            <w:r w:rsidRPr="00D2656B">
              <w:rPr>
                <w:bCs/>
                <w:lang w:val="uk-UA"/>
              </w:rPr>
              <w:lastRenderedPageBreak/>
              <w:t>регулювання</w:t>
            </w:r>
          </w:p>
        </w:tc>
        <w:tc>
          <w:tcPr>
            <w:tcW w:w="7422" w:type="dxa"/>
            <w:shd w:val="clear" w:color="auto" w:fill="auto"/>
          </w:tcPr>
          <w:p w:rsidR="0038029F" w:rsidRPr="00D2656B" w:rsidRDefault="0038029F" w:rsidP="00D2656B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D2656B">
              <w:rPr>
                <w:lang w:val="uk-UA"/>
              </w:rPr>
              <w:lastRenderedPageBreak/>
              <w:t xml:space="preserve">Збереження </w:t>
            </w:r>
            <w:r w:rsidR="000F64DD" w:rsidRPr="00D2656B">
              <w:rPr>
                <w:lang w:val="uk-UA"/>
              </w:rPr>
              <w:t xml:space="preserve">існуючого регулювання питання доступу виробників біометану до газотранспортної та газорозподільної систем </w:t>
            </w:r>
            <w:r w:rsidR="002C2446" w:rsidRPr="00D2656B">
              <w:rPr>
                <w:lang w:val="uk-UA"/>
              </w:rPr>
              <w:t xml:space="preserve">не стимулюватиме виробників біометану збільшувати обсяги </w:t>
            </w:r>
            <w:r w:rsidR="002C2446" w:rsidRPr="00D2656B">
              <w:rPr>
                <w:lang w:val="uk-UA"/>
              </w:rPr>
              <w:lastRenderedPageBreak/>
              <w:t xml:space="preserve">виробництва газу, оскільки існуватимуть перешкоди для </w:t>
            </w:r>
            <w:r w:rsidR="002C2446" w:rsidRPr="002C2446">
              <w:rPr>
                <w:lang w:val="uk-UA"/>
              </w:rPr>
              <w:t>фізично</w:t>
            </w:r>
            <w:r w:rsidR="002C2446" w:rsidRPr="00D2656B">
              <w:rPr>
                <w:lang w:val="uk-UA"/>
              </w:rPr>
              <w:t>ї</w:t>
            </w:r>
            <w:r w:rsidR="002C2446" w:rsidRPr="002C2446">
              <w:rPr>
                <w:lang w:val="uk-UA"/>
              </w:rPr>
              <w:t xml:space="preserve"> переда</w:t>
            </w:r>
            <w:r w:rsidR="002C2446" w:rsidRPr="00D2656B">
              <w:rPr>
                <w:lang w:val="uk-UA"/>
              </w:rPr>
              <w:t>чі виробниками біометану</w:t>
            </w:r>
            <w:r w:rsidR="002C2446" w:rsidRPr="002C2446">
              <w:rPr>
                <w:lang w:val="uk-UA"/>
              </w:rPr>
              <w:t xml:space="preserve"> надлишк</w:t>
            </w:r>
            <w:r w:rsidR="002C2446" w:rsidRPr="00D2656B">
              <w:rPr>
                <w:lang w:val="uk-UA"/>
              </w:rPr>
              <w:t>у</w:t>
            </w:r>
            <w:r w:rsidR="002C2446" w:rsidRPr="002C2446">
              <w:rPr>
                <w:lang w:val="uk-UA"/>
              </w:rPr>
              <w:t xml:space="preserve"> газу, який не може бути відібраним у певний період року споживачами, приєднаними до мереж відповідного оператора газорозподільних систем, в мережі оператора газотранспортної системи</w:t>
            </w:r>
          </w:p>
        </w:tc>
      </w:tr>
      <w:tr w:rsidR="0038029F" w:rsidRPr="00D2656B" w:rsidTr="00153DBF">
        <w:tc>
          <w:tcPr>
            <w:tcW w:w="2206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lastRenderedPageBreak/>
              <w:t>Альтернатива 2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7422" w:type="dxa"/>
            <w:shd w:val="clear" w:color="auto" w:fill="auto"/>
          </w:tcPr>
          <w:p w:rsidR="0038029F" w:rsidRPr="00D2656B" w:rsidRDefault="0038029F" w:rsidP="002A3B1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 xml:space="preserve">Зміни до </w:t>
            </w:r>
            <w:r w:rsidR="000F64DD" w:rsidRPr="00D2656B">
              <w:rPr>
                <w:lang w:val="uk-UA"/>
              </w:rPr>
              <w:t>Кодексу ГТС</w:t>
            </w:r>
            <w:r w:rsidR="002C2446" w:rsidRPr="00D2656B">
              <w:rPr>
                <w:lang w:val="uk-UA"/>
              </w:rPr>
              <w:t xml:space="preserve">, </w:t>
            </w:r>
            <w:r w:rsidR="000F64DD" w:rsidRPr="00D2656B">
              <w:rPr>
                <w:lang w:val="uk-UA"/>
              </w:rPr>
              <w:t>Кодексу ГРМ, а також Методики</w:t>
            </w:r>
            <w:r w:rsidR="002A3B19">
              <w:rPr>
                <w:lang w:val="uk-UA"/>
              </w:rPr>
              <w:t>,</w:t>
            </w:r>
            <w:r w:rsidRPr="00D2656B">
              <w:rPr>
                <w:lang w:val="uk-UA"/>
              </w:rPr>
              <w:t xml:space="preserve"> сприятимуть розвитку </w:t>
            </w:r>
            <w:r w:rsidR="000F64DD" w:rsidRPr="00D2656B">
              <w:rPr>
                <w:lang w:val="uk-UA"/>
              </w:rPr>
              <w:t>виробництва біометану в Україні</w:t>
            </w:r>
            <w:r w:rsidR="002C2446" w:rsidRPr="00D2656B">
              <w:rPr>
                <w:lang w:val="uk-UA"/>
              </w:rPr>
              <w:t xml:space="preserve"> та </w:t>
            </w:r>
            <w:r w:rsidR="002C2446" w:rsidRPr="00D2656B"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врегулюють питання фізичного доступу виробників біометану до газотранспортної та газорозподільних систем, які </w:t>
            </w:r>
            <w:r w:rsidR="002C2446" w:rsidRPr="00D2656B">
              <w:rPr>
                <w:lang w:val="uk-UA"/>
              </w:rPr>
              <w:t>матимуть можливість фізично передавати біометан до газотранспортної системи через мережі відповідного оп</w:t>
            </w:r>
            <w:r w:rsidR="002A3B19">
              <w:rPr>
                <w:lang w:val="uk-UA"/>
              </w:rPr>
              <w:t>ератора газорозподільних систем</w:t>
            </w:r>
          </w:p>
        </w:tc>
      </w:tr>
    </w:tbl>
    <w:p w:rsidR="0038029F" w:rsidRPr="00D2656B" w:rsidRDefault="0038029F" w:rsidP="0038029F">
      <w:pPr>
        <w:tabs>
          <w:tab w:val="left" w:pos="720"/>
        </w:tabs>
        <w:rPr>
          <w:lang w:val="uk-UA"/>
        </w:rPr>
      </w:pPr>
    </w:p>
    <w:p w:rsidR="0038029F" w:rsidRPr="002A3B19" w:rsidRDefault="0038029F" w:rsidP="002A3B19">
      <w:pPr>
        <w:tabs>
          <w:tab w:val="left" w:pos="720"/>
        </w:tabs>
        <w:ind w:firstLine="709"/>
        <w:rPr>
          <w:sz w:val="28"/>
          <w:szCs w:val="28"/>
          <w:lang w:val="uk-UA"/>
        </w:rPr>
      </w:pPr>
      <w:r w:rsidRPr="002A3B19">
        <w:rPr>
          <w:sz w:val="28"/>
          <w:szCs w:val="28"/>
          <w:lang w:val="uk-UA"/>
        </w:rPr>
        <w:t>2. Оцінка вибраних альтернативних способів досягнення цілей</w:t>
      </w:r>
    </w:p>
    <w:p w:rsidR="0038029F" w:rsidRPr="002A3B19" w:rsidRDefault="0038029F" w:rsidP="0038029F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2A3B19">
        <w:rPr>
          <w:sz w:val="28"/>
          <w:szCs w:val="28"/>
          <w:lang w:val="uk-UA"/>
        </w:rPr>
        <w:t>Оцінка впливу на сферу інтересів держави: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685"/>
        <w:gridCol w:w="3402"/>
      </w:tblGrid>
      <w:tr w:rsidR="0038029F" w:rsidRPr="00D2656B" w:rsidTr="00153DBF">
        <w:tc>
          <w:tcPr>
            <w:tcW w:w="2689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685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ind w:right="-136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Витрати</w:t>
            </w:r>
          </w:p>
        </w:tc>
      </w:tr>
      <w:tr w:rsidR="0038029F" w:rsidRPr="00D2656B" w:rsidTr="00153DBF">
        <w:tc>
          <w:tcPr>
            <w:tcW w:w="2689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Альтернатива 1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В</w:t>
            </w:r>
            <w:r w:rsidRPr="00D2656B">
              <w:rPr>
                <w:lang w:val="uk-UA"/>
              </w:rPr>
              <w:t>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D2656B" w:rsidRDefault="0038029F" w:rsidP="00153DBF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В</w:t>
            </w:r>
            <w:r w:rsidRPr="00D2656B">
              <w:rPr>
                <w:lang w:val="uk-UA"/>
              </w:rPr>
              <w:t>ідсутні</w:t>
            </w:r>
          </w:p>
        </w:tc>
      </w:tr>
      <w:tr w:rsidR="0038029F" w:rsidRPr="00D2656B" w:rsidTr="00153DBF">
        <w:tc>
          <w:tcPr>
            <w:tcW w:w="2689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Альтернатива 2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D2656B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685" w:type="dxa"/>
            <w:shd w:val="clear" w:color="auto" w:fill="auto"/>
          </w:tcPr>
          <w:p w:rsidR="0038029F" w:rsidRPr="00D2656B" w:rsidRDefault="0038029F" w:rsidP="000F64DD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D2656B">
              <w:rPr>
                <w:lang w:val="uk-UA"/>
              </w:rPr>
              <w:t>Ефективне виконання завдань державного регулювання</w:t>
            </w:r>
            <w:r w:rsidR="002C2446" w:rsidRPr="00D2656B">
              <w:rPr>
                <w:lang w:val="uk-UA"/>
              </w:rPr>
              <w:t xml:space="preserve">, що матиме позитивний вплив для вирішення питання щодо </w:t>
            </w:r>
            <w:r w:rsidR="002C2446" w:rsidRPr="00D2656B">
              <w:rPr>
                <w:rFonts w:eastAsia="Calibri"/>
                <w:lang w:val="uk-UA" w:eastAsia="en-US"/>
              </w:rPr>
              <w:t xml:space="preserve">досягнення енергетичної незалежності, зокрема, шляхом використання відновлювальних джерел енергії та альтернативних видів палива, та </w:t>
            </w:r>
            <w:r w:rsidR="002C2446" w:rsidRPr="00D2656B">
              <w:rPr>
                <w:shd w:val="clear" w:color="auto" w:fill="FFFFFF"/>
                <w:lang w:val="uk-UA"/>
              </w:rPr>
              <w:t>кліматичної нейтральності, що є стратегічним напрямком реформування енергетичного сектору в країнах-членах ЄС та Україні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</w:tr>
    </w:tbl>
    <w:p w:rsidR="0038029F" w:rsidRPr="00D2656B" w:rsidRDefault="0038029F" w:rsidP="0038029F">
      <w:pPr>
        <w:pStyle w:val="a3"/>
        <w:widowControl w:val="0"/>
        <w:spacing w:before="0" w:beforeAutospacing="0" w:after="0" w:afterAutospacing="0"/>
        <w:rPr>
          <w:bCs/>
          <w:color w:val="000000"/>
          <w:lang w:val="uk-UA"/>
        </w:rPr>
      </w:pPr>
    </w:p>
    <w:p w:rsidR="0038029F" w:rsidRPr="002A3B19" w:rsidRDefault="0038029F" w:rsidP="0038029F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2A3B19">
        <w:rPr>
          <w:bCs/>
          <w:color w:val="000000"/>
          <w:sz w:val="28"/>
          <w:szCs w:val="28"/>
          <w:lang w:val="uk-UA"/>
        </w:rPr>
        <w:t>Оцінка впливу на сферу інтересів громадян: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38029F" w:rsidRPr="00D2656B" w:rsidTr="00153DBF">
        <w:tc>
          <w:tcPr>
            <w:tcW w:w="2628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ind w:right="-74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368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Витрати</w:t>
            </w:r>
          </w:p>
        </w:tc>
      </w:tr>
      <w:tr w:rsidR="0038029F" w:rsidRPr="00D2656B" w:rsidTr="00153DBF">
        <w:tc>
          <w:tcPr>
            <w:tcW w:w="2628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Альтернатива 1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</w:tr>
      <w:tr w:rsidR="0038029F" w:rsidRPr="00D2656B" w:rsidTr="00153DBF">
        <w:tc>
          <w:tcPr>
            <w:tcW w:w="2628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Альтернатива 2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8029F" w:rsidRPr="00D2656B" w:rsidRDefault="002C2446" w:rsidP="002C244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Відсутні</w:t>
            </w:r>
          </w:p>
        </w:tc>
      </w:tr>
    </w:tbl>
    <w:p w:rsidR="0038029F" w:rsidRPr="00D2656B" w:rsidRDefault="0038029F" w:rsidP="0038029F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lang w:val="uk-UA"/>
        </w:rPr>
      </w:pPr>
    </w:p>
    <w:p w:rsidR="0038029F" w:rsidRPr="002A3B19" w:rsidRDefault="0038029F" w:rsidP="0038029F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  <w:lang w:val="uk-UA"/>
        </w:rPr>
      </w:pPr>
      <w:r w:rsidRPr="002A3B19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827"/>
        <w:gridCol w:w="3402"/>
      </w:tblGrid>
      <w:tr w:rsidR="0038029F" w:rsidRPr="00D2656B" w:rsidTr="00153DBF">
        <w:tc>
          <w:tcPr>
            <w:tcW w:w="2547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827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ind w:right="-108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402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656B">
              <w:rPr>
                <w:b/>
                <w:bCs/>
                <w:lang w:val="uk-UA"/>
              </w:rPr>
              <w:t>Витрати</w:t>
            </w:r>
          </w:p>
        </w:tc>
      </w:tr>
      <w:tr w:rsidR="0038029F" w:rsidRPr="00D2656B" w:rsidTr="00153DBF">
        <w:tc>
          <w:tcPr>
            <w:tcW w:w="2547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Альтернатива 1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highlight w:val="yellow"/>
                <w:lang w:val="uk-UA"/>
              </w:rPr>
            </w:pPr>
            <w:r w:rsidRPr="00D2656B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highlight w:val="yellow"/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</w:tr>
      <w:tr w:rsidR="0038029F" w:rsidRPr="00D2656B" w:rsidTr="00153DBF">
        <w:trPr>
          <w:trHeight w:val="983"/>
        </w:trPr>
        <w:tc>
          <w:tcPr>
            <w:tcW w:w="2547" w:type="dxa"/>
            <w:shd w:val="clear" w:color="auto" w:fill="auto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Альтернатива 2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8029F" w:rsidRPr="00D2656B" w:rsidRDefault="005F231D" w:rsidP="005F231D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D2656B">
              <w:rPr>
                <w:lang w:val="uk-UA"/>
              </w:rPr>
              <w:t>Удосконалення умов доступу та приєднання виробників біометану до ГТС та ГРМ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656B">
              <w:rPr>
                <w:bCs/>
                <w:lang w:val="uk-UA"/>
              </w:rPr>
              <w:t>Відсутні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lang w:val="uk-UA"/>
              </w:rPr>
            </w:pPr>
          </w:p>
        </w:tc>
      </w:tr>
    </w:tbl>
    <w:p w:rsidR="0038029F" w:rsidRPr="00D2656B" w:rsidRDefault="0038029F" w:rsidP="0038029F">
      <w:pPr>
        <w:pStyle w:val="a3"/>
        <w:widowControl w:val="0"/>
        <w:spacing w:before="0" w:beforeAutospacing="0" w:after="0" w:afterAutospacing="0"/>
        <w:rPr>
          <w:b/>
          <w:lang w:val="uk-UA"/>
        </w:rPr>
      </w:pPr>
    </w:p>
    <w:p w:rsidR="0038029F" w:rsidRPr="002A3B19" w:rsidRDefault="0038029F" w:rsidP="00E57DC9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2A3B19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38029F" w:rsidRPr="00E57DC9" w:rsidRDefault="0038029F" w:rsidP="0038029F">
      <w:pPr>
        <w:pStyle w:val="a3"/>
        <w:widowControl w:val="0"/>
        <w:spacing w:before="0" w:beforeAutospacing="0" w:after="0" w:afterAutospacing="0"/>
        <w:ind w:firstLine="540"/>
        <w:rPr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38029F" w:rsidRPr="00D2656B" w:rsidTr="00153DBF">
        <w:tc>
          <w:tcPr>
            <w:tcW w:w="2988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D2656B">
              <w:rPr>
                <w:b/>
                <w:lang w:val="uk-UA"/>
              </w:rPr>
              <w:t>бала</w:t>
            </w:r>
            <w:proofErr w:type="spellEnd"/>
          </w:p>
        </w:tc>
      </w:tr>
      <w:tr w:rsidR="0038029F" w:rsidRPr="00D2656B" w:rsidTr="00153DBF">
        <w:tc>
          <w:tcPr>
            <w:tcW w:w="2988" w:type="dxa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>Альтернатива 1</w:t>
            </w:r>
          </w:p>
          <w:p w:rsidR="0038029F" w:rsidRPr="00D2656B" w:rsidRDefault="0038029F" w:rsidP="00153DBF">
            <w:pPr>
              <w:rPr>
                <w:lang w:val="uk-UA"/>
              </w:rPr>
            </w:pPr>
            <w:r w:rsidRPr="00D2656B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38029F" w:rsidRPr="00D2656B" w:rsidRDefault="0038029F" w:rsidP="00153DBF">
            <w:pPr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1</w:t>
            </w:r>
          </w:p>
        </w:tc>
        <w:tc>
          <w:tcPr>
            <w:tcW w:w="4707" w:type="dxa"/>
          </w:tcPr>
          <w:p w:rsidR="0038029F" w:rsidRPr="00D2656B" w:rsidRDefault="0038029F" w:rsidP="005F231D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D2656B">
              <w:rPr>
                <w:color w:val="000000"/>
                <w:lang w:val="uk-UA" w:eastAsia="en-US"/>
              </w:rPr>
              <w:t xml:space="preserve">Не забезпечує досягнення поставленої мети. Гальмує </w:t>
            </w:r>
            <w:r w:rsidR="005F231D" w:rsidRPr="00D2656B">
              <w:rPr>
                <w:color w:val="000000"/>
                <w:lang w:val="uk-UA" w:eastAsia="en-US"/>
              </w:rPr>
              <w:t>розвиток виробництва біометану в Україні</w:t>
            </w:r>
          </w:p>
        </w:tc>
      </w:tr>
      <w:tr w:rsidR="0038029F" w:rsidRPr="00D2656B" w:rsidTr="00153DBF">
        <w:tc>
          <w:tcPr>
            <w:tcW w:w="2988" w:type="dxa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>Альтернатива 2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2223" w:type="dxa"/>
          </w:tcPr>
          <w:p w:rsidR="0038029F" w:rsidRPr="00D2656B" w:rsidRDefault="0038029F" w:rsidP="00153DBF">
            <w:pPr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4</w:t>
            </w:r>
          </w:p>
        </w:tc>
        <w:tc>
          <w:tcPr>
            <w:tcW w:w="4707" w:type="dxa"/>
          </w:tcPr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D2656B">
              <w:rPr>
                <w:color w:val="000000"/>
                <w:lang w:val="uk-UA" w:eastAsia="en-US"/>
              </w:rPr>
              <w:t>Дозволяє вирішити проблему найбільш ефективни</w:t>
            </w:r>
            <w:r w:rsidR="002A3B19">
              <w:rPr>
                <w:color w:val="000000"/>
                <w:lang w:val="uk-UA" w:eastAsia="en-US"/>
              </w:rPr>
              <w:t>м та найменш затратним способом</w:t>
            </w:r>
          </w:p>
        </w:tc>
      </w:tr>
    </w:tbl>
    <w:p w:rsidR="0038029F" w:rsidRPr="00D2656B" w:rsidRDefault="0038029F" w:rsidP="0038029F">
      <w:pPr>
        <w:jc w:val="both"/>
        <w:rPr>
          <w:bCs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1630"/>
        <w:gridCol w:w="1630"/>
        <w:gridCol w:w="3686"/>
      </w:tblGrid>
      <w:tr w:rsidR="0038029F" w:rsidRPr="00D2656B" w:rsidTr="002A3B19">
        <w:tc>
          <w:tcPr>
            <w:tcW w:w="2972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1630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Вигоди (підсумок)</w:t>
            </w:r>
          </w:p>
        </w:tc>
        <w:tc>
          <w:tcPr>
            <w:tcW w:w="1630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686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38029F" w:rsidRPr="00D2656B" w:rsidTr="002A3B19">
        <w:tc>
          <w:tcPr>
            <w:tcW w:w="2972" w:type="dxa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>Альтернатива 1</w:t>
            </w:r>
          </w:p>
          <w:p w:rsidR="0038029F" w:rsidRPr="00D2656B" w:rsidRDefault="0038029F" w:rsidP="00153DBF">
            <w:pPr>
              <w:rPr>
                <w:lang w:val="uk-UA"/>
              </w:rPr>
            </w:pPr>
            <w:r w:rsidRPr="00D2656B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1630" w:type="dxa"/>
            <w:vAlign w:val="center"/>
          </w:tcPr>
          <w:p w:rsidR="0038029F" w:rsidRPr="00D2656B" w:rsidRDefault="0038029F" w:rsidP="00153DBF">
            <w:pPr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  <w:tc>
          <w:tcPr>
            <w:tcW w:w="1630" w:type="dxa"/>
            <w:vAlign w:val="center"/>
          </w:tcPr>
          <w:p w:rsidR="0038029F" w:rsidRPr="00D2656B" w:rsidRDefault="0038029F" w:rsidP="00153DBF">
            <w:pPr>
              <w:shd w:val="clear" w:color="auto" w:fill="FFFFFF"/>
              <w:jc w:val="center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  <w:tc>
          <w:tcPr>
            <w:tcW w:w="3686" w:type="dxa"/>
            <w:vAlign w:val="center"/>
          </w:tcPr>
          <w:p w:rsidR="002C2446" w:rsidRPr="002C2446" w:rsidRDefault="002C2446" w:rsidP="002C2446">
            <w:pPr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2C2446">
              <w:rPr>
                <w:rFonts w:eastAsia="Calibri"/>
                <w:color w:val="000000"/>
                <w:lang w:val="uk-UA" w:eastAsia="en-US"/>
              </w:rPr>
              <w:t xml:space="preserve">Реалізація альтернативи 1: </w:t>
            </w:r>
          </w:p>
          <w:p w:rsidR="0038029F" w:rsidRPr="00D2656B" w:rsidRDefault="002C2446" w:rsidP="002C2446">
            <w:pPr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2C2446">
              <w:rPr>
                <w:rFonts w:eastAsia="Calibri"/>
                <w:color w:val="000000"/>
                <w:lang w:val="uk-UA" w:eastAsia="en-US"/>
              </w:rPr>
              <w:t>Не дозволяє вирішити поставлену задачу</w:t>
            </w:r>
          </w:p>
        </w:tc>
      </w:tr>
      <w:tr w:rsidR="0038029F" w:rsidRPr="00D2656B" w:rsidTr="002A3B19">
        <w:tc>
          <w:tcPr>
            <w:tcW w:w="2972" w:type="dxa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>Альтернатива 2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1630" w:type="dxa"/>
            <w:vAlign w:val="center"/>
          </w:tcPr>
          <w:p w:rsidR="0038029F" w:rsidRPr="00D2656B" w:rsidRDefault="0038029F" w:rsidP="00153DBF">
            <w:pPr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Найбільш вигідний, забезпечує ефективне виконання завдань державного регулювання</w:t>
            </w:r>
          </w:p>
        </w:tc>
        <w:tc>
          <w:tcPr>
            <w:tcW w:w="1630" w:type="dxa"/>
            <w:vAlign w:val="center"/>
          </w:tcPr>
          <w:p w:rsidR="0038029F" w:rsidRPr="00D2656B" w:rsidRDefault="0038029F" w:rsidP="00153DBF">
            <w:pPr>
              <w:jc w:val="center"/>
              <w:rPr>
                <w:lang w:val="uk-UA"/>
              </w:rPr>
            </w:pPr>
            <w:r w:rsidRPr="00D2656B">
              <w:rPr>
                <w:lang w:val="uk-UA"/>
              </w:rPr>
              <w:t>Відсутні</w:t>
            </w:r>
          </w:p>
        </w:tc>
        <w:tc>
          <w:tcPr>
            <w:tcW w:w="3686" w:type="dxa"/>
            <w:vAlign w:val="center"/>
          </w:tcPr>
          <w:p w:rsidR="002C2446" w:rsidRPr="002C2446" w:rsidRDefault="002C2446" w:rsidP="002C2446">
            <w:pPr>
              <w:jc w:val="both"/>
              <w:rPr>
                <w:rFonts w:eastAsia="Calibri"/>
                <w:color w:val="000000"/>
                <w:lang w:val="uk-UA" w:eastAsia="en-US"/>
              </w:rPr>
            </w:pPr>
            <w:r w:rsidRPr="002C2446">
              <w:rPr>
                <w:rFonts w:eastAsia="Calibri"/>
                <w:color w:val="000000"/>
                <w:lang w:val="uk-UA" w:eastAsia="en-US"/>
              </w:rPr>
              <w:t xml:space="preserve">Реалізація альтернативи </w:t>
            </w:r>
            <w:r w:rsidRPr="00D2656B">
              <w:rPr>
                <w:rFonts w:eastAsia="Calibri"/>
                <w:color w:val="000000"/>
                <w:lang w:val="uk-UA" w:eastAsia="en-US"/>
              </w:rPr>
              <w:t>2</w:t>
            </w:r>
            <w:r w:rsidRPr="002C2446">
              <w:rPr>
                <w:rFonts w:eastAsia="Calibri"/>
                <w:color w:val="000000"/>
                <w:lang w:val="uk-UA" w:eastAsia="en-US"/>
              </w:rPr>
              <w:t>:</w:t>
            </w:r>
          </w:p>
          <w:p w:rsidR="0038029F" w:rsidRPr="00D2656B" w:rsidRDefault="002C2446" w:rsidP="002A3B1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D2656B">
              <w:rPr>
                <w:color w:val="000000"/>
                <w:lang w:val="uk-UA" w:eastAsia="en-US"/>
              </w:rPr>
              <w:t>Пр</w:t>
            </w:r>
            <w:r w:rsidR="002A3B19">
              <w:rPr>
                <w:color w:val="000000"/>
                <w:lang w:val="uk-UA" w:eastAsia="en-US"/>
              </w:rPr>
              <w:t xml:space="preserve">ийняття </w:t>
            </w:r>
            <w:r w:rsidRPr="00D2656B">
              <w:rPr>
                <w:color w:val="000000"/>
                <w:lang w:val="uk-UA" w:eastAsia="en-US"/>
              </w:rPr>
              <w:t>постанови д</w:t>
            </w:r>
            <w:r w:rsidR="002A3B19">
              <w:rPr>
                <w:color w:val="000000"/>
                <w:lang w:val="uk-UA" w:eastAsia="en-US"/>
              </w:rPr>
              <w:t>озволить досягнути задекларованих цілей</w:t>
            </w:r>
            <w:r w:rsidRPr="00D2656B">
              <w:rPr>
                <w:color w:val="000000"/>
                <w:lang w:val="uk-UA" w:eastAsia="en-US"/>
              </w:rPr>
              <w:t xml:space="preserve"> повною мірою, вирішити проблему найефективнішим способом та встановить зрозуміле загальне регулювання</w:t>
            </w:r>
          </w:p>
        </w:tc>
      </w:tr>
    </w:tbl>
    <w:p w:rsidR="0038029F" w:rsidRPr="00D2656B" w:rsidRDefault="0038029F" w:rsidP="0038029F">
      <w:pPr>
        <w:jc w:val="both"/>
        <w:rPr>
          <w:bCs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38029F" w:rsidRPr="00D2656B" w:rsidTr="00153DBF">
        <w:tc>
          <w:tcPr>
            <w:tcW w:w="2960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38029F" w:rsidRPr="00D2656B" w:rsidRDefault="0038029F" w:rsidP="00153DBF">
            <w:pPr>
              <w:jc w:val="center"/>
              <w:rPr>
                <w:b/>
                <w:lang w:val="uk-UA"/>
              </w:rPr>
            </w:pPr>
            <w:r w:rsidRPr="00D2656B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38029F" w:rsidRPr="00D2656B" w:rsidTr="00153DBF">
        <w:tc>
          <w:tcPr>
            <w:tcW w:w="2960" w:type="dxa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>Альтернатива 1</w:t>
            </w:r>
          </w:p>
          <w:p w:rsidR="0038029F" w:rsidRPr="00D2656B" w:rsidRDefault="0038029F" w:rsidP="00153DBF">
            <w:pPr>
              <w:rPr>
                <w:lang w:val="uk-UA"/>
              </w:rPr>
            </w:pPr>
            <w:r w:rsidRPr="00D2656B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 xml:space="preserve">Не вирішує </w:t>
            </w:r>
            <w:r w:rsidR="002C2446" w:rsidRPr="00D2656B">
              <w:rPr>
                <w:lang w:val="uk-UA"/>
              </w:rPr>
              <w:t>поставлену задачу</w:t>
            </w:r>
          </w:p>
        </w:tc>
        <w:tc>
          <w:tcPr>
            <w:tcW w:w="2013" w:type="dxa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>Відсутній</w:t>
            </w:r>
          </w:p>
        </w:tc>
      </w:tr>
      <w:tr w:rsidR="0038029F" w:rsidRPr="00D2656B" w:rsidTr="00153DBF">
        <w:trPr>
          <w:trHeight w:val="420"/>
        </w:trPr>
        <w:tc>
          <w:tcPr>
            <w:tcW w:w="2960" w:type="dxa"/>
          </w:tcPr>
          <w:p w:rsidR="0038029F" w:rsidRPr="00D2656B" w:rsidRDefault="0038029F" w:rsidP="00153DBF">
            <w:pPr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>Альтернатива 2</w:t>
            </w:r>
          </w:p>
          <w:p w:rsidR="0038029F" w:rsidRPr="00D2656B" w:rsidRDefault="0038029F" w:rsidP="00153DB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656B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9F" w:rsidRPr="00D2656B" w:rsidRDefault="002C2446" w:rsidP="00153DBF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2656B">
              <w:rPr>
                <w:color w:val="000000"/>
                <w:lang w:val="uk-UA" w:eastAsia="en-US"/>
              </w:rPr>
              <w:t>Забезпечує досягнення цілей державного регулювання. Дозволяє вирішити проблему найбільш ефективним способом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29F" w:rsidRPr="00D2656B" w:rsidRDefault="0038029F" w:rsidP="00153DBF">
            <w:pPr>
              <w:spacing w:line="259" w:lineRule="auto"/>
              <w:ind w:right="55"/>
              <w:jc w:val="both"/>
              <w:rPr>
                <w:lang w:val="uk-UA"/>
              </w:rPr>
            </w:pPr>
            <w:r w:rsidRPr="00D2656B">
              <w:rPr>
                <w:lang w:val="uk-UA"/>
              </w:rPr>
              <w:t xml:space="preserve">Відсутній </w:t>
            </w:r>
          </w:p>
        </w:tc>
      </w:tr>
    </w:tbl>
    <w:p w:rsidR="0038029F" w:rsidRPr="00752BF1" w:rsidRDefault="0038029F" w:rsidP="0038029F">
      <w:pPr>
        <w:rPr>
          <w:b/>
          <w:sz w:val="28"/>
          <w:szCs w:val="28"/>
          <w:lang w:val="uk-UA"/>
        </w:rPr>
      </w:pPr>
    </w:p>
    <w:p w:rsidR="0038029F" w:rsidRPr="00752BF1" w:rsidRDefault="0038029F" w:rsidP="002A3B19">
      <w:pPr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752BF1">
        <w:rPr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:rsidR="005F231D" w:rsidRDefault="00CC2F20" w:rsidP="005F231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C2F20">
        <w:rPr>
          <w:rFonts w:cs="Calibri"/>
          <w:sz w:val="28"/>
          <w:szCs w:val="28"/>
          <w:lang w:val="uk-UA" w:eastAsia="en-US"/>
        </w:rPr>
        <w:t xml:space="preserve">Для досягнення поставленої мети пропонується прийняти постанову </w:t>
      </w:r>
      <w:r w:rsidRPr="00CC2F20">
        <w:rPr>
          <w:sz w:val="28"/>
          <w:szCs w:val="28"/>
          <w:lang w:val="uk-UA" w:eastAsia="en-US"/>
        </w:rPr>
        <w:t>НКРЕКП</w:t>
      </w:r>
      <w:r>
        <w:rPr>
          <w:sz w:val="28"/>
          <w:szCs w:val="28"/>
          <w:lang w:val="uk-UA" w:eastAsia="en-US"/>
        </w:rPr>
        <w:t xml:space="preserve"> «</w:t>
      </w:r>
      <w:r w:rsidRPr="00045587">
        <w:rPr>
          <w:sz w:val="28"/>
          <w:szCs w:val="28"/>
          <w:lang w:val="uk-UA"/>
        </w:rPr>
        <w:t>Про затвердження Змін до деяких постанов НКРЕКП щодо сприяння розвитку виробництва біометану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 w:eastAsia="en-US"/>
        </w:rPr>
        <w:t>, положення якої спрямовані</w:t>
      </w:r>
      <w:r w:rsidR="00D2656B">
        <w:rPr>
          <w:sz w:val="28"/>
          <w:szCs w:val="28"/>
          <w:lang w:val="uk-UA" w:eastAsia="en-US"/>
        </w:rPr>
        <w:t xml:space="preserve"> на</w:t>
      </w:r>
      <w:r>
        <w:rPr>
          <w:sz w:val="28"/>
          <w:szCs w:val="28"/>
          <w:lang w:val="uk-UA" w:eastAsia="en-US"/>
        </w:rPr>
        <w:t xml:space="preserve"> </w:t>
      </w:r>
      <w:r w:rsidR="00D2656B">
        <w:rPr>
          <w:sz w:val="28"/>
          <w:szCs w:val="28"/>
          <w:lang w:val="uk-UA"/>
        </w:rPr>
        <w:t xml:space="preserve">удосконалення </w:t>
      </w:r>
      <w:r w:rsidR="00D2656B">
        <w:rPr>
          <w:sz w:val="28"/>
          <w:szCs w:val="28"/>
          <w:lang w:val="uk-UA"/>
        </w:rPr>
        <w:lastRenderedPageBreak/>
        <w:t xml:space="preserve">вимог Кодексу ГТС, Кодексу ГРМ та Методики, що як наслідок </w:t>
      </w:r>
      <w:r w:rsidR="00D2656B" w:rsidRPr="00D2656B">
        <w:rPr>
          <w:sz w:val="28"/>
          <w:szCs w:val="28"/>
          <w:lang w:val="uk-UA"/>
        </w:rPr>
        <w:t>сприятиме розвитку виробництва біометану в Україні та</w:t>
      </w:r>
      <w:r w:rsidR="00D2656B">
        <w:rPr>
          <w:sz w:val="28"/>
          <w:szCs w:val="28"/>
          <w:lang w:val="uk-UA"/>
        </w:rPr>
        <w:t xml:space="preserve"> </w:t>
      </w:r>
      <w:r w:rsidR="002A3B19">
        <w:rPr>
          <w:sz w:val="28"/>
          <w:szCs w:val="28"/>
          <w:lang w:val="uk-UA"/>
        </w:rPr>
        <w:t>усуненню</w:t>
      </w:r>
      <w:r w:rsidR="00D2656B" w:rsidRPr="00045587">
        <w:rPr>
          <w:sz w:val="28"/>
          <w:szCs w:val="28"/>
          <w:lang w:val="uk-UA"/>
        </w:rPr>
        <w:t xml:space="preserve"> технічних обмежень передачі біометану до газорозподільної системи, що в свою чергу має стимулювати виробників біометану збільшувати обсяги виробництва газу</w:t>
      </w:r>
      <w:r w:rsidR="005F231D">
        <w:rPr>
          <w:sz w:val="28"/>
          <w:szCs w:val="28"/>
          <w:lang w:val="uk-UA"/>
        </w:rPr>
        <w:t>.</w:t>
      </w:r>
    </w:p>
    <w:p w:rsidR="00CC2F20" w:rsidRPr="00CC2F20" w:rsidRDefault="00CC2F20" w:rsidP="00CC2F20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CC2F20">
        <w:rPr>
          <w:color w:val="000000"/>
          <w:sz w:val="28"/>
          <w:szCs w:val="28"/>
          <w:shd w:val="clear" w:color="auto" w:fill="FFFFFF"/>
          <w:lang w:val="uk-UA" w:eastAsia="en-US"/>
        </w:rPr>
        <w:t>Впливу зовнішніх факторів, що можуть мати негативний вплив на виконання вимог регуля</w:t>
      </w:r>
      <w:r w:rsidR="002A3B19">
        <w:rPr>
          <w:color w:val="000000"/>
          <w:sz w:val="28"/>
          <w:szCs w:val="28"/>
          <w:shd w:val="clear" w:color="auto" w:fill="FFFFFF"/>
          <w:lang w:val="uk-UA" w:eastAsia="en-US"/>
        </w:rPr>
        <w:t>торного акта, не очікується.</w:t>
      </w:r>
    </w:p>
    <w:p w:rsidR="002A3B19" w:rsidRDefault="00CC2F20" w:rsidP="00CC2F20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CC2F20">
        <w:rPr>
          <w:color w:val="000000"/>
          <w:sz w:val="28"/>
          <w:szCs w:val="28"/>
          <w:shd w:val="clear" w:color="auto" w:fill="FFFFFF"/>
          <w:lang w:val="uk-UA" w:eastAsia="en-US"/>
        </w:rPr>
        <w:t>Надано високу оцінку можливості впровадження та виконання вимог регуляторного акта суб’єктами господарювання.</w:t>
      </w:r>
    </w:p>
    <w:p w:rsidR="00CC2F20" w:rsidRPr="00CC2F20" w:rsidRDefault="00CC2F20" w:rsidP="00CC2F20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CC2F20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 </w:t>
      </w:r>
    </w:p>
    <w:p w:rsidR="0038029F" w:rsidRPr="00CC2F20" w:rsidRDefault="00CC2F20" w:rsidP="00CC2F20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 w:eastAsia="en-US"/>
        </w:rPr>
      </w:pPr>
      <w:r w:rsidRPr="00CC2F20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Функції в частині здійснення державного контролю та нагляду за додержанням вимог акта будуть </w:t>
      </w:r>
      <w:proofErr w:type="spellStart"/>
      <w:r w:rsidRPr="00CC2F20">
        <w:rPr>
          <w:color w:val="000000"/>
          <w:sz w:val="28"/>
          <w:szCs w:val="28"/>
          <w:shd w:val="clear" w:color="auto" w:fill="FFFFFF"/>
          <w:lang w:val="uk-UA" w:eastAsia="en-US"/>
        </w:rPr>
        <w:t>здійснюватись</w:t>
      </w:r>
      <w:proofErr w:type="spellEnd"/>
      <w:r w:rsidRPr="00CC2F20">
        <w:rPr>
          <w:color w:val="000000"/>
          <w:sz w:val="28"/>
          <w:szCs w:val="28"/>
          <w:shd w:val="clear" w:color="auto" w:fill="FFFFFF"/>
          <w:lang w:val="uk-UA" w:eastAsia="en-US"/>
        </w:rPr>
        <w:t xml:space="preserve"> державними органами, яким, відповідно до законодавства, надані такі повноваження. </w:t>
      </w:r>
    </w:p>
    <w:p w:rsidR="0038029F" w:rsidRPr="00C12CE8" w:rsidRDefault="0038029F" w:rsidP="00E57DC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38029F" w:rsidRPr="00C12CE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  <w:r w:rsidRPr="00C12CE8">
        <w:rPr>
          <w:b/>
          <w:bCs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38029F" w:rsidRPr="00C12CE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Термін </w:t>
      </w:r>
      <w:r w:rsidRPr="00C12CE8">
        <w:rPr>
          <w:rStyle w:val="spelle"/>
          <w:sz w:val="28"/>
          <w:szCs w:val="28"/>
          <w:lang w:val="uk-UA"/>
        </w:rPr>
        <w:t>дії</w:t>
      </w:r>
      <w:r w:rsidRPr="00C12CE8">
        <w:rPr>
          <w:sz w:val="28"/>
          <w:szCs w:val="28"/>
          <w:lang w:val="uk-UA"/>
        </w:rPr>
        <w:t xml:space="preserve"> акта не</w:t>
      </w:r>
      <w:r w:rsidRPr="00C12CE8">
        <w:rPr>
          <w:rStyle w:val="spelle"/>
          <w:sz w:val="28"/>
          <w:szCs w:val="28"/>
          <w:lang w:val="uk-UA"/>
        </w:rPr>
        <w:t>обмежений</w:t>
      </w:r>
      <w:r w:rsidRPr="00C12CE8">
        <w:rPr>
          <w:sz w:val="28"/>
          <w:szCs w:val="28"/>
          <w:lang w:val="uk-UA"/>
        </w:rPr>
        <w:t>. Він може бути змінений у разі внесення відповідних змін до законодавства.</w:t>
      </w:r>
    </w:p>
    <w:p w:rsidR="0038029F" w:rsidRPr="00BB638A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:rsidR="0038029F" w:rsidRPr="00C12CE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C12CE8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38029F" w:rsidRPr="00C12CE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4" w:name="_Hlk69799505"/>
      <w:r w:rsidRPr="00C12CE8">
        <w:rPr>
          <w:sz w:val="28"/>
          <w:szCs w:val="28"/>
          <w:lang w:val="uk-UA"/>
        </w:rPr>
        <w:t xml:space="preserve">Після набрання чинності постановою НКРЕКП «Про </w:t>
      </w:r>
      <w:r>
        <w:rPr>
          <w:sz w:val="28"/>
          <w:szCs w:val="28"/>
          <w:lang w:val="uk-UA"/>
        </w:rPr>
        <w:t>внесення змін до Кодексу газотранспортної системи та Кодексу газорозподільних систем</w:t>
      </w:r>
      <w:r w:rsidRPr="00C12CE8">
        <w:rPr>
          <w:sz w:val="28"/>
          <w:szCs w:val="28"/>
          <w:lang w:val="uk-UA"/>
        </w:rPr>
        <w:t>» її результативність визначається такими кількісними показниками:</w:t>
      </w:r>
    </w:p>
    <w:p w:rsidR="0038029F" w:rsidRPr="00C12CE8" w:rsidRDefault="0038029F" w:rsidP="003802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1)</w:t>
      </w:r>
      <w:r>
        <w:rPr>
          <w:color w:val="FF0000"/>
          <w:sz w:val="28"/>
          <w:szCs w:val="28"/>
          <w:lang w:val="uk-UA"/>
        </w:rPr>
        <w:t> </w:t>
      </w:r>
      <w:r w:rsidRPr="00C12CE8">
        <w:rPr>
          <w:sz w:val="28"/>
          <w:szCs w:val="28"/>
          <w:lang w:val="uk-UA"/>
        </w:rPr>
        <w:t>розміром надходжень до Державного бюджету України – реалізація проєкту регуляторного акта не потребує витрат із Державного бюджету України;</w:t>
      </w:r>
    </w:p>
    <w:p w:rsidR="0038029F" w:rsidRPr="00C12CE8" w:rsidRDefault="0038029F" w:rsidP="0038029F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> </w:t>
      </w:r>
      <w:r w:rsidRPr="00C12CE8">
        <w:rPr>
          <w:sz w:val="28"/>
          <w:szCs w:val="28"/>
          <w:lang w:val="uk-UA"/>
        </w:rPr>
        <w:t>кількістю суб'єктів господарювання та/або фізичних осіб, на яких поширюється дія акта – дія акта поширюватиметься на</w:t>
      </w:r>
      <w:r w:rsidR="005F231D">
        <w:rPr>
          <w:sz w:val="28"/>
          <w:szCs w:val="28"/>
          <w:lang w:val="uk-UA"/>
        </w:rPr>
        <w:t xml:space="preserve"> виробників біометану,</w:t>
      </w:r>
      <w:r>
        <w:rPr>
          <w:sz w:val="28"/>
          <w:szCs w:val="28"/>
          <w:lang w:val="uk-UA"/>
        </w:rPr>
        <w:t xml:space="preserve"> оператора газотранспортної </w:t>
      </w:r>
      <w:r w:rsidRPr="009D656B">
        <w:rPr>
          <w:sz w:val="28"/>
          <w:szCs w:val="28"/>
          <w:lang w:val="uk-UA"/>
        </w:rPr>
        <w:t>системи</w:t>
      </w:r>
      <w:r w:rsidR="005F231D">
        <w:rPr>
          <w:sz w:val="28"/>
          <w:szCs w:val="28"/>
          <w:lang w:val="uk-UA"/>
        </w:rPr>
        <w:t>, операторів газорозподільних систем</w:t>
      </w:r>
      <w:r w:rsidRPr="00C12CE8">
        <w:rPr>
          <w:sz w:val="28"/>
          <w:szCs w:val="28"/>
          <w:lang w:val="uk-UA"/>
        </w:rPr>
        <w:t>;</w:t>
      </w:r>
    </w:p>
    <w:p w:rsidR="0038029F" w:rsidRPr="00C12CE8" w:rsidRDefault="0038029F" w:rsidP="0038029F">
      <w:pPr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3) рівнем поінформованості суб’єктів господарювання з основних положень</w:t>
      </w:r>
      <w:r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>акта – середній.</w:t>
      </w:r>
    </w:p>
    <w:bookmarkEnd w:id="4"/>
    <w:p w:rsidR="0038029F" w:rsidRPr="00C12CE8" w:rsidRDefault="0038029F" w:rsidP="003802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Відповідно до вимог частини другої статті 15 </w:t>
      </w:r>
      <w:r>
        <w:rPr>
          <w:color w:val="000000"/>
          <w:sz w:val="28"/>
          <w:szCs w:val="28"/>
          <w:lang w:val="uk-UA"/>
        </w:rPr>
        <w:t>Закону України</w:t>
      </w:r>
      <w:r w:rsidRPr="00C12CE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«Про Національну комісію, що здійснює державне регулювання у сферах енергетики та комунальних послуг»</w:t>
      </w:r>
      <w:r w:rsidRPr="00C12CE8">
        <w:rPr>
          <w:sz w:val="28"/>
          <w:szCs w:val="28"/>
          <w:lang w:val="uk-UA"/>
        </w:rPr>
        <w:t xml:space="preserve"> проєкт постанови</w:t>
      </w:r>
      <w:r>
        <w:rPr>
          <w:sz w:val="28"/>
          <w:szCs w:val="28"/>
          <w:lang w:val="uk-UA"/>
        </w:rPr>
        <w:t xml:space="preserve"> НКРЕКП</w:t>
      </w:r>
      <w:r w:rsidRPr="00C12CE8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затвердження Змін до деяких постанов НКРЕКП</w:t>
      </w:r>
      <w:r w:rsidR="005F231D">
        <w:rPr>
          <w:sz w:val="28"/>
          <w:szCs w:val="28"/>
          <w:lang w:val="uk-UA"/>
        </w:rPr>
        <w:t xml:space="preserve"> щодо сприяння розвитку виробництва біометану</w:t>
      </w:r>
      <w:r>
        <w:rPr>
          <w:sz w:val="28"/>
          <w:szCs w:val="28"/>
          <w:lang w:val="uk-UA"/>
        </w:rPr>
        <w:t>»,</w:t>
      </w:r>
      <w:r w:rsidRPr="00C12CE8">
        <w:rPr>
          <w:color w:val="000000"/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C12CE8">
        <w:rPr>
          <w:sz w:val="28"/>
          <w:szCs w:val="28"/>
          <w:lang w:val="uk-UA"/>
        </w:rPr>
        <w:t>вебсайті</w:t>
      </w:r>
      <w:proofErr w:type="spellEnd"/>
      <w:r w:rsidRPr="00C12CE8">
        <w:rPr>
          <w:sz w:val="28"/>
          <w:szCs w:val="28"/>
          <w:lang w:val="uk-UA"/>
        </w:rPr>
        <w:t xml:space="preserve"> НКРЕКП </w:t>
      </w:r>
      <w:r>
        <w:rPr>
          <w:sz w:val="28"/>
          <w:szCs w:val="28"/>
          <w:lang w:val="uk-UA"/>
        </w:rPr>
        <w:t>у</w:t>
      </w:r>
      <w:r w:rsidRPr="00C12CE8">
        <w:rPr>
          <w:sz w:val="28"/>
          <w:szCs w:val="28"/>
          <w:lang w:val="uk-UA"/>
        </w:rPr>
        <w:t xml:space="preserve"> мережі Інтернет: </w:t>
      </w:r>
      <w:hyperlink r:id="rId5" w:history="1">
        <w:r w:rsidRPr="00C12CE8">
          <w:rPr>
            <w:rStyle w:val="a5"/>
            <w:color w:val="000000"/>
            <w:sz w:val="28"/>
            <w:szCs w:val="28"/>
            <w:lang w:val="uk-UA"/>
          </w:rPr>
          <w:t>http://nerc.gov.ua</w:t>
        </w:r>
      </w:hyperlink>
      <w:r w:rsidRPr="00C12CE8">
        <w:rPr>
          <w:sz w:val="28"/>
          <w:szCs w:val="28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38029F" w:rsidRPr="00C12CE8" w:rsidRDefault="0038029F" w:rsidP="003802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НКРЕКП у межах компетенції надаватиме необхідні роз’яснення щодо норм проєкту регуляторного акта після його прийняття.</w:t>
      </w:r>
    </w:p>
    <w:p w:rsidR="00E57DC9" w:rsidRDefault="00E57DC9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8029F" w:rsidRPr="00C12CE8" w:rsidRDefault="0038029F" w:rsidP="0038029F">
      <w:pPr>
        <w:ind w:firstLine="540"/>
        <w:jc w:val="both"/>
        <w:rPr>
          <w:b/>
          <w:sz w:val="28"/>
          <w:szCs w:val="28"/>
          <w:lang w:val="uk-UA"/>
        </w:rPr>
      </w:pPr>
      <w:bookmarkStart w:id="5" w:name="_GoBack"/>
      <w:bookmarkEnd w:id="5"/>
      <w:r w:rsidRPr="00C12CE8">
        <w:rPr>
          <w:b/>
          <w:sz w:val="28"/>
          <w:szCs w:val="28"/>
          <w:lang w:val="uk-UA"/>
        </w:rPr>
        <w:lastRenderedPageBreak/>
        <w:t>VIII. Очікувані результати прийняття регуляторного акта</w:t>
      </w:r>
    </w:p>
    <w:p w:rsidR="0038029F" w:rsidRPr="00E57DC9" w:rsidRDefault="0038029F" w:rsidP="0038029F">
      <w:pPr>
        <w:ind w:firstLine="540"/>
        <w:jc w:val="both"/>
        <w:rPr>
          <w:sz w:val="28"/>
          <w:szCs w:val="28"/>
          <w:lang w:val="uk-UA"/>
        </w:rPr>
      </w:pPr>
    </w:p>
    <w:p w:rsidR="00CC2F20" w:rsidRDefault="0038029F" w:rsidP="00D2656B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п</w:t>
      </w:r>
      <w:r w:rsidRPr="00752BF1">
        <w:rPr>
          <w:sz w:val="28"/>
          <w:szCs w:val="28"/>
          <w:lang w:val="uk-UA"/>
        </w:rPr>
        <w:t>останови НКРЕКП</w:t>
      </w:r>
      <w:r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затвердження Змін до деяких постанов НКРЕКП</w:t>
      </w:r>
      <w:r w:rsidR="005F231D">
        <w:rPr>
          <w:sz w:val="28"/>
          <w:szCs w:val="28"/>
          <w:lang w:val="uk-UA"/>
        </w:rPr>
        <w:t xml:space="preserve"> щодо сприяння розвитку виробництва біомет</w:t>
      </w:r>
      <w:r w:rsidR="00D2656B">
        <w:rPr>
          <w:sz w:val="28"/>
          <w:szCs w:val="28"/>
          <w:lang w:val="uk-UA"/>
        </w:rPr>
        <w:t>ан</w:t>
      </w:r>
      <w:r w:rsidR="005F231D">
        <w:rPr>
          <w:sz w:val="28"/>
          <w:szCs w:val="28"/>
          <w:lang w:val="uk-UA"/>
        </w:rPr>
        <w:t>у</w:t>
      </w:r>
      <w:r w:rsidRPr="00C12CE8">
        <w:rPr>
          <w:sz w:val="28"/>
          <w:szCs w:val="28"/>
          <w:lang w:val="uk-UA"/>
        </w:rPr>
        <w:t>»</w:t>
      </w:r>
      <w:r w:rsidR="00CC2F20">
        <w:rPr>
          <w:sz w:val="28"/>
          <w:szCs w:val="28"/>
          <w:lang w:val="uk-UA"/>
        </w:rPr>
        <w:t xml:space="preserve"> дозволить </w:t>
      </w:r>
      <w:r w:rsidRPr="00752BF1">
        <w:rPr>
          <w:sz w:val="28"/>
          <w:szCs w:val="28"/>
          <w:lang w:val="uk-UA"/>
        </w:rPr>
        <w:t xml:space="preserve"> </w:t>
      </w:r>
      <w:r w:rsidR="00CC2F20">
        <w:rPr>
          <w:sz w:val="28"/>
          <w:szCs w:val="28"/>
          <w:lang w:val="uk-UA"/>
        </w:rPr>
        <w:t xml:space="preserve">удосконалити положення Кодексу ГТС, Кодексу ГРМ та Методики, </w:t>
      </w:r>
      <w:r w:rsidR="00D2656B">
        <w:rPr>
          <w:sz w:val="28"/>
          <w:szCs w:val="28"/>
          <w:lang w:val="uk-UA"/>
        </w:rPr>
        <w:t xml:space="preserve">що як наслідок </w:t>
      </w:r>
      <w:r w:rsidR="00D2656B" w:rsidRPr="00D2656B">
        <w:rPr>
          <w:sz w:val="28"/>
          <w:szCs w:val="28"/>
          <w:lang w:val="uk-UA"/>
        </w:rPr>
        <w:t>сприятиме розвитку виробництва біометану в Україні та</w:t>
      </w:r>
      <w:r w:rsidR="00D2656B">
        <w:rPr>
          <w:sz w:val="28"/>
          <w:szCs w:val="28"/>
          <w:lang w:val="uk-UA"/>
        </w:rPr>
        <w:t xml:space="preserve"> </w:t>
      </w:r>
      <w:r w:rsidR="002A3B19">
        <w:rPr>
          <w:sz w:val="28"/>
          <w:szCs w:val="28"/>
          <w:lang w:val="uk-UA"/>
        </w:rPr>
        <w:t>усуненню</w:t>
      </w:r>
      <w:r w:rsidR="00CC2F20" w:rsidRPr="00045587">
        <w:rPr>
          <w:sz w:val="28"/>
          <w:szCs w:val="28"/>
          <w:lang w:val="uk-UA"/>
        </w:rPr>
        <w:t xml:space="preserve"> технічних обмежень передачі біометану до газорозподільної системи, що в свою чергу має стимулювати виробників біометану збільшувати обсяги виробництва газу</w:t>
      </w:r>
      <w:r w:rsidR="00D2656B">
        <w:rPr>
          <w:sz w:val="28"/>
          <w:szCs w:val="28"/>
          <w:lang w:val="uk-UA"/>
        </w:rPr>
        <w:t>.</w:t>
      </w:r>
    </w:p>
    <w:p w:rsidR="00CC2F20" w:rsidRDefault="00CC2F20" w:rsidP="002A3B19">
      <w:pPr>
        <w:widowControl w:val="0"/>
        <w:jc w:val="both"/>
        <w:rPr>
          <w:sz w:val="28"/>
          <w:szCs w:val="28"/>
          <w:lang w:val="uk-UA"/>
        </w:rPr>
      </w:pPr>
    </w:p>
    <w:p w:rsidR="0038029F" w:rsidRPr="009D656B" w:rsidRDefault="0038029F" w:rsidP="0038029F">
      <w:pPr>
        <w:pStyle w:val="a3"/>
        <w:widowControl w:val="0"/>
        <w:spacing w:before="0" w:beforeAutospacing="0" w:after="0" w:afterAutospacing="0"/>
        <w:rPr>
          <w:rStyle w:val="spelle"/>
          <w:sz w:val="28"/>
          <w:szCs w:val="28"/>
          <w:lang w:val="uk-UA"/>
        </w:rPr>
      </w:pPr>
    </w:p>
    <w:p w:rsidR="0038029F" w:rsidRPr="009D656B" w:rsidRDefault="0038029F" w:rsidP="0038029F">
      <w:pPr>
        <w:pStyle w:val="a3"/>
        <w:widowControl w:val="0"/>
        <w:spacing w:before="0" w:beforeAutospacing="0" w:after="0" w:afterAutospacing="0"/>
        <w:rPr>
          <w:rStyle w:val="spelle"/>
          <w:sz w:val="28"/>
          <w:szCs w:val="28"/>
          <w:lang w:val="uk-UA"/>
        </w:rPr>
      </w:pPr>
    </w:p>
    <w:p w:rsidR="0038029F" w:rsidRPr="00C12CE8" w:rsidRDefault="0038029F" w:rsidP="0038029F">
      <w:pPr>
        <w:rPr>
          <w:sz w:val="28"/>
          <w:szCs w:val="28"/>
          <w:lang w:val="uk-UA"/>
        </w:rPr>
      </w:pPr>
      <w:r w:rsidRPr="00C12CE8">
        <w:rPr>
          <w:rStyle w:val="spelle"/>
          <w:b/>
          <w:sz w:val="28"/>
          <w:szCs w:val="28"/>
          <w:lang w:val="uk-UA"/>
        </w:rPr>
        <w:t>Голова НКРЕКП</w:t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>
        <w:rPr>
          <w:rStyle w:val="spelle"/>
          <w:b/>
          <w:sz w:val="28"/>
          <w:szCs w:val="28"/>
          <w:lang w:val="uk-UA"/>
        </w:rPr>
        <w:t>Костянтин</w:t>
      </w:r>
      <w:r w:rsidRPr="00C12CE8">
        <w:rPr>
          <w:rStyle w:val="spelle"/>
          <w:b/>
          <w:sz w:val="28"/>
          <w:szCs w:val="28"/>
          <w:lang w:val="uk-UA"/>
        </w:rPr>
        <w:t xml:space="preserve"> У</w:t>
      </w:r>
      <w:r>
        <w:rPr>
          <w:rStyle w:val="spelle"/>
          <w:b/>
          <w:sz w:val="28"/>
          <w:szCs w:val="28"/>
          <w:lang w:val="uk-UA"/>
        </w:rPr>
        <w:t>ЩАПОВСЬКИЙ</w:t>
      </w:r>
    </w:p>
    <w:sectPr w:rsidR="0038029F" w:rsidRPr="00C12CE8" w:rsidSect="00B333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9F"/>
    <w:rsid w:val="000F64DD"/>
    <w:rsid w:val="002A3B19"/>
    <w:rsid w:val="002C2446"/>
    <w:rsid w:val="002F1DCF"/>
    <w:rsid w:val="0038029F"/>
    <w:rsid w:val="004F0E6D"/>
    <w:rsid w:val="005F231D"/>
    <w:rsid w:val="00C95F4C"/>
    <w:rsid w:val="00CC2F20"/>
    <w:rsid w:val="00D2656B"/>
    <w:rsid w:val="00E5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A1764-E126-4294-9814-1C433417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38029F"/>
  </w:style>
  <w:style w:type="paragraph" w:styleId="a3">
    <w:name w:val="Body Text"/>
    <w:basedOn w:val="a"/>
    <w:link w:val="a4"/>
    <w:rsid w:val="0038029F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3802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rsid w:val="003802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7580</Words>
  <Characters>4321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Пріщенко</cp:lastModifiedBy>
  <cp:revision>2</cp:revision>
  <dcterms:created xsi:type="dcterms:W3CDTF">2023-04-24T13:43:00Z</dcterms:created>
  <dcterms:modified xsi:type="dcterms:W3CDTF">2023-04-24T13:43:00Z</dcterms:modified>
</cp:coreProperties>
</file>