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39F" w:rsidRPr="00B3339F" w:rsidRDefault="00B3339F" w:rsidP="00B3339F">
      <w:pPr>
        <w:spacing w:before="120"/>
        <w:contextualSpacing/>
        <w:jc w:val="center"/>
        <w:rPr>
          <w:bCs/>
          <w:sz w:val="28"/>
          <w:szCs w:val="28"/>
          <w:lang w:val="uk-UA"/>
        </w:rPr>
      </w:pPr>
      <w:r w:rsidRPr="00B3339F">
        <w:rPr>
          <w:sz w:val="28"/>
          <w:szCs w:val="28"/>
          <w:lang w:val="uk-UA"/>
        </w:rPr>
        <w:t>НАЦІОНАЛЬНА КОМІСІЯ, ЩО ЗДІЙСНЮЄ ДЕРЖАВНЕ РЕГУЛЮВАННЯ У СФЕРАХ ЕНЕРГЕТИКИ ТА КОМУНАЛЬНИХ ПОСЛУГ</w:t>
      </w:r>
    </w:p>
    <w:p w:rsidR="00B3339F" w:rsidRPr="00CD156B" w:rsidRDefault="00B3339F" w:rsidP="00B3339F">
      <w:pPr>
        <w:rPr>
          <w:b/>
          <w:sz w:val="27"/>
          <w:szCs w:val="27"/>
          <w:lang w:val="uk-UA"/>
        </w:rPr>
      </w:pPr>
    </w:p>
    <w:p w:rsidR="00B3339F" w:rsidRPr="007C2099" w:rsidRDefault="00B3339F" w:rsidP="00B3339F">
      <w:pPr>
        <w:jc w:val="center"/>
        <w:rPr>
          <w:b/>
          <w:sz w:val="28"/>
          <w:szCs w:val="28"/>
          <w:lang w:val="uk-UA"/>
        </w:rPr>
      </w:pPr>
      <w:r w:rsidRPr="007C2099">
        <w:rPr>
          <w:b/>
          <w:sz w:val="28"/>
          <w:szCs w:val="28"/>
          <w:lang w:val="uk-UA"/>
        </w:rPr>
        <w:t>АНАЛІЗ ВПЛИВУ</w:t>
      </w:r>
    </w:p>
    <w:p w:rsidR="00B3339F" w:rsidRPr="007C2099" w:rsidRDefault="00B3339F" w:rsidP="00B3339F">
      <w:pPr>
        <w:jc w:val="center"/>
        <w:rPr>
          <w:b/>
          <w:sz w:val="28"/>
          <w:szCs w:val="28"/>
          <w:lang w:val="uk-UA"/>
        </w:rPr>
      </w:pPr>
      <w:r w:rsidRPr="007C2099">
        <w:rPr>
          <w:b/>
          <w:sz w:val="28"/>
          <w:szCs w:val="28"/>
          <w:lang w:val="uk-UA"/>
        </w:rPr>
        <w:t xml:space="preserve">проєкту постанови НКРЕКП </w:t>
      </w:r>
      <w:bookmarkStart w:id="0" w:name="_Hlk9418831"/>
      <w:r w:rsidRPr="007C2099">
        <w:rPr>
          <w:b/>
          <w:color w:val="000000"/>
          <w:sz w:val="28"/>
          <w:szCs w:val="28"/>
          <w:lang w:val="uk-UA"/>
        </w:rPr>
        <w:t>«</w:t>
      </w:r>
      <w:r w:rsidRPr="007C2099">
        <w:rPr>
          <w:b/>
          <w:sz w:val="28"/>
          <w:szCs w:val="28"/>
          <w:lang w:val="uk-UA"/>
        </w:rPr>
        <w:t xml:space="preserve">Про </w:t>
      </w:r>
      <w:r w:rsidR="00C370B6" w:rsidRPr="007C2099">
        <w:rPr>
          <w:b/>
          <w:sz w:val="28"/>
          <w:szCs w:val="28"/>
          <w:lang w:val="uk-UA"/>
        </w:rPr>
        <w:t>затвердження Змін до деяких постанов НКРЕКП</w:t>
      </w:r>
      <w:r w:rsidRPr="007C2099">
        <w:rPr>
          <w:b/>
          <w:color w:val="000000"/>
          <w:sz w:val="28"/>
          <w:szCs w:val="28"/>
          <w:lang w:val="uk-UA"/>
        </w:rPr>
        <w:t>»</w:t>
      </w:r>
      <w:bookmarkEnd w:id="0"/>
      <w:r w:rsidRPr="007C2099">
        <w:rPr>
          <w:b/>
          <w:color w:val="000000"/>
          <w:sz w:val="28"/>
          <w:szCs w:val="28"/>
          <w:lang w:val="uk-UA"/>
        </w:rPr>
        <w:t>, що містить ознаки регуляторного акта</w:t>
      </w:r>
    </w:p>
    <w:p w:rsidR="00B3339F" w:rsidRPr="007C2099" w:rsidRDefault="00B3339F" w:rsidP="00B3339F">
      <w:pPr>
        <w:pStyle w:val="a3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B3339F" w:rsidRPr="007C2099" w:rsidRDefault="00B3339F" w:rsidP="00B3339F">
      <w:pPr>
        <w:ind w:firstLine="540"/>
        <w:rPr>
          <w:b/>
          <w:sz w:val="28"/>
          <w:szCs w:val="28"/>
          <w:lang w:val="uk-UA"/>
        </w:rPr>
      </w:pPr>
      <w:r w:rsidRPr="007C2099">
        <w:rPr>
          <w:b/>
          <w:iCs/>
          <w:sz w:val="28"/>
          <w:szCs w:val="28"/>
          <w:lang w:val="uk-UA"/>
        </w:rPr>
        <w:t xml:space="preserve">І. </w:t>
      </w:r>
      <w:r w:rsidRPr="007C2099">
        <w:rPr>
          <w:b/>
          <w:sz w:val="28"/>
          <w:szCs w:val="28"/>
          <w:lang w:val="uk-UA"/>
        </w:rPr>
        <w:t>Визначення проблеми</w:t>
      </w:r>
    </w:p>
    <w:p w:rsidR="00B3339F" w:rsidRPr="00CD156B" w:rsidRDefault="00B3339F" w:rsidP="00B3339F">
      <w:pPr>
        <w:widowControl w:val="0"/>
        <w:jc w:val="center"/>
        <w:rPr>
          <w:rFonts w:eastAsia="Calibri"/>
          <w:sz w:val="27"/>
          <w:szCs w:val="27"/>
          <w:lang w:val="uk-UA" w:eastAsia="en-US"/>
        </w:rPr>
      </w:pPr>
    </w:p>
    <w:p w:rsidR="00C370B6" w:rsidRPr="00DC4731" w:rsidRDefault="00C370B6" w:rsidP="00C370B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DC4731">
        <w:rPr>
          <w:rFonts w:eastAsia="Calibri"/>
          <w:sz w:val="28"/>
          <w:szCs w:val="28"/>
          <w:lang w:val="uk-UA" w:eastAsia="en-US"/>
        </w:rPr>
        <w:t xml:space="preserve">Положеннями глави V Регламенту (ЄС) 2017/459 від 16 березня 2017 року, </w:t>
      </w:r>
      <w:r w:rsidR="00B56236" w:rsidRPr="00DC4731">
        <w:rPr>
          <w:rFonts w:eastAsia="Calibri"/>
          <w:sz w:val="28"/>
          <w:szCs w:val="28"/>
          <w:lang w:val="uk-UA" w:eastAsia="en-US"/>
        </w:rPr>
        <w:t xml:space="preserve">яким запроваджується мережевий кодекс щодо механізмів розподілу потужності в газотранспортних системах та яким скасовується Регламент (ЄС) № 984/2013, </w:t>
      </w:r>
      <w:r w:rsidRPr="00DC4731">
        <w:rPr>
          <w:rFonts w:eastAsia="Calibri"/>
          <w:sz w:val="28"/>
          <w:szCs w:val="28"/>
          <w:lang w:val="uk-UA" w:eastAsia="en-US"/>
        </w:rPr>
        <w:t xml:space="preserve">які </w:t>
      </w:r>
      <w:proofErr w:type="spellStart"/>
      <w:r w:rsidRPr="00DC4731">
        <w:rPr>
          <w:rFonts w:eastAsia="Calibri"/>
          <w:sz w:val="28"/>
          <w:szCs w:val="28"/>
          <w:lang w:val="uk-UA" w:eastAsia="en-US"/>
        </w:rPr>
        <w:t>імплементовані</w:t>
      </w:r>
      <w:proofErr w:type="spellEnd"/>
      <w:r w:rsidRPr="00DC4731">
        <w:rPr>
          <w:rFonts w:eastAsia="Calibri"/>
          <w:sz w:val="28"/>
          <w:szCs w:val="28"/>
          <w:lang w:val="uk-UA" w:eastAsia="en-US"/>
        </w:rPr>
        <w:t xml:space="preserve"> в розділі ХХ Кодексу газотранспортної системи, затвердженого постановою НКРЕКП від 30.09.2015 № 2493 (далі – Кодекс)</w:t>
      </w:r>
      <w:r w:rsidR="00060B86" w:rsidRPr="00DC4731">
        <w:rPr>
          <w:rFonts w:eastAsia="Calibri"/>
          <w:sz w:val="28"/>
          <w:szCs w:val="28"/>
          <w:lang w:val="uk-UA" w:eastAsia="en-US"/>
        </w:rPr>
        <w:t>,</w:t>
      </w:r>
      <w:r w:rsidRPr="00DC4731">
        <w:rPr>
          <w:rFonts w:eastAsia="Calibri"/>
          <w:sz w:val="28"/>
          <w:szCs w:val="28"/>
          <w:lang w:val="uk-UA" w:eastAsia="en-US"/>
        </w:rPr>
        <w:t xml:space="preserve"> визначено процедуру нової (збільшеної) потужності на міждержавних з’єднаннях.</w:t>
      </w:r>
    </w:p>
    <w:p w:rsidR="00C370B6" w:rsidRPr="009D5557" w:rsidRDefault="0047304F" w:rsidP="00C370B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DC4731">
        <w:rPr>
          <w:rFonts w:eastAsia="Calibri"/>
          <w:sz w:val="28"/>
          <w:szCs w:val="28"/>
          <w:lang w:val="uk-UA" w:eastAsia="en-US"/>
        </w:rPr>
        <w:t>Відповідно до вимог</w:t>
      </w:r>
      <w:r w:rsidR="00F87290" w:rsidRPr="00DC4731">
        <w:rPr>
          <w:rFonts w:eastAsia="Calibri"/>
          <w:sz w:val="28"/>
          <w:szCs w:val="28"/>
          <w:lang w:val="uk-UA" w:eastAsia="en-US"/>
        </w:rPr>
        <w:t xml:space="preserve"> глави </w:t>
      </w:r>
      <w:r w:rsidR="00F87290" w:rsidRPr="00DC4731">
        <w:rPr>
          <w:rFonts w:eastAsia="Calibri"/>
          <w:sz w:val="28"/>
          <w:szCs w:val="28"/>
          <w:lang w:val="en-US" w:eastAsia="en-US"/>
        </w:rPr>
        <w:t>V</w:t>
      </w:r>
      <w:r w:rsidR="00F87290" w:rsidRPr="0027091D">
        <w:rPr>
          <w:rFonts w:eastAsia="Calibri"/>
          <w:sz w:val="28"/>
          <w:szCs w:val="28"/>
          <w:lang w:val="uk-UA" w:eastAsia="en-US"/>
        </w:rPr>
        <w:t xml:space="preserve"> </w:t>
      </w:r>
      <w:r w:rsidR="00F87290" w:rsidRPr="00DC4731">
        <w:rPr>
          <w:rFonts w:eastAsia="Calibri"/>
          <w:sz w:val="28"/>
          <w:szCs w:val="28"/>
          <w:lang w:val="uk-UA" w:eastAsia="en-US"/>
        </w:rPr>
        <w:t>Регламенту та</w:t>
      </w:r>
      <w:r w:rsidRPr="00DC4731">
        <w:rPr>
          <w:rFonts w:eastAsia="Calibri"/>
          <w:sz w:val="28"/>
          <w:szCs w:val="28"/>
          <w:lang w:val="uk-UA" w:eastAsia="en-US"/>
        </w:rPr>
        <w:t xml:space="preserve"> розділу ХХ Кодексу</w:t>
      </w:r>
      <w:r w:rsidR="00060B86" w:rsidRPr="00DC4731">
        <w:rPr>
          <w:rFonts w:eastAsia="Calibri"/>
          <w:sz w:val="28"/>
          <w:szCs w:val="28"/>
          <w:lang w:val="uk-UA" w:eastAsia="en-US"/>
        </w:rPr>
        <w:t xml:space="preserve"> </w:t>
      </w:r>
      <w:r w:rsidR="00F87290" w:rsidRPr="00DC4731">
        <w:rPr>
          <w:rFonts w:eastAsia="Calibri"/>
          <w:sz w:val="28"/>
          <w:szCs w:val="28"/>
          <w:lang w:val="uk-UA" w:eastAsia="en-US"/>
        </w:rPr>
        <w:t>ТОВ </w:t>
      </w:r>
      <w:r w:rsidR="00060B86" w:rsidRPr="00DC4731">
        <w:rPr>
          <w:rFonts w:eastAsia="Calibri"/>
          <w:sz w:val="28"/>
          <w:szCs w:val="28"/>
          <w:lang w:val="uk-UA" w:eastAsia="en-US"/>
        </w:rPr>
        <w:t>«Оператор ГТС України»</w:t>
      </w:r>
      <w:r w:rsidR="00F87290" w:rsidRPr="00DC4731">
        <w:rPr>
          <w:rFonts w:eastAsia="Calibri"/>
          <w:sz w:val="28"/>
          <w:szCs w:val="28"/>
          <w:lang w:val="uk-UA" w:eastAsia="en-US"/>
        </w:rPr>
        <w:t xml:space="preserve"> (далі – Оператор ГТС)</w:t>
      </w:r>
      <w:r w:rsidRPr="00DC4731">
        <w:rPr>
          <w:rFonts w:eastAsia="Calibri"/>
          <w:sz w:val="28"/>
          <w:szCs w:val="28"/>
          <w:lang w:val="uk-UA" w:eastAsia="en-US"/>
        </w:rPr>
        <w:t xml:space="preserve"> у 2021 році</w:t>
      </w:r>
      <w:r w:rsidR="00060B86" w:rsidRPr="00DC4731">
        <w:rPr>
          <w:rFonts w:eastAsia="Calibri"/>
          <w:sz w:val="28"/>
          <w:szCs w:val="28"/>
          <w:lang w:val="uk-UA" w:eastAsia="en-US"/>
        </w:rPr>
        <w:t xml:space="preserve"> було здійснено оцінку ринкового попиту у точці міждержавного з’єднання України з</w:t>
      </w:r>
      <w:r w:rsidR="00060B86" w:rsidRPr="00060B86">
        <w:rPr>
          <w:rFonts w:eastAsia="Calibri"/>
          <w:sz w:val="28"/>
          <w:szCs w:val="28"/>
          <w:lang w:val="uk-UA" w:eastAsia="en-US"/>
        </w:rPr>
        <w:t xml:space="preserve"> Польщею в напрямку з Польщі </w:t>
      </w:r>
      <w:r w:rsidR="00060B86">
        <w:rPr>
          <w:rFonts w:eastAsia="Calibri"/>
          <w:sz w:val="28"/>
          <w:szCs w:val="28"/>
          <w:lang w:val="uk-UA" w:eastAsia="en-US"/>
        </w:rPr>
        <w:t>до України</w:t>
      </w:r>
      <w:r>
        <w:rPr>
          <w:rFonts w:eastAsia="Calibri"/>
          <w:sz w:val="28"/>
          <w:szCs w:val="28"/>
          <w:lang w:val="uk-UA" w:eastAsia="en-US"/>
        </w:rPr>
        <w:t>,</w:t>
      </w:r>
      <w:r w:rsidR="00060B86">
        <w:rPr>
          <w:rFonts w:eastAsia="Calibri"/>
          <w:sz w:val="28"/>
          <w:szCs w:val="28"/>
          <w:lang w:val="uk-UA" w:eastAsia="en-US"/>
        </w:rPr>
        <w:t xml:space="preserve"> та пройдено етап </w:t>
      </w:r>
      <w:proofErr w:type="spellStart"/>
      <w:r w:rsidR="00060B86">
        <w:rPr>
          <w:rFonts w:eastAsia="Calibri"/>
          <w:sz w:val="28"/>
          <w:szCs w:val="28"/>
          <w:lang w:val="uk-UA" w:eastAsia="en-US"/>
        </w:rPr>
        <w:t>проє</w:t>
      </w:r>
      <w:r w:rsidR="00060B86" w:rsidRPr="00060B86">
        <w:rPr>
          <w:rFonts w:eastAsia="Calibri"/>
          <w:sz w:val="28"/>
          <w:szCs w:val="28"/>
          <w:lang w:val="uk-UA" w:eastAsia="en-US"/>
        </w:rPr>
        <w:t>ктування</w:t>
      </w:r>
      <w:proofErr w:type="spellEnd"/>
      <w:r w:rsidR="00060B86" w:rsidRPr="00060B86">
        <w:rPr>
          <w:rFonts w:eastAsia="Calibri"/>
          <w:sz w:val="28"/>
          <w:szCs w:val="28"/>
          <w:lang w:val="uk-UA" w:eastAsia="en-US"/>
        </w:rPr>
        <w:t>, що передбачає збільшення технічної потужності на 3,87 млн. кВт*год/год.</w:t>
      </w:r>
    </w:p>
    <w:p w:rsidR="00F87290" w:rsidRDefault="00C370B6" w:rsidP="00F87290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Після погодження НКРЕКП та Регулятором Польщі </w:t>
      </w:r>
      <w:r w:rsidRPr="0015585F">
        <w:rPr>
          <w:rFonts w:eastAsia="Calibri"/>
          <w:sz w:val="28"/>
          <w:szCs w:val="28"/>
          <w:lang w:val="uk-UA" w:eastAsia="en-US"/>
        </w:rPr>
        <w:t>проєкт</w:t>
      </w:r>
      <w:r>
        <w:rPr>
          <w:rFonts w:eastAsia="Calibri"/>
          <w:sz w:val="28"/>
          <w:szCs w:val="28"/>
          <w:lang w:val="uk-UA" w:eastAsia="en-US"/>
        </w:rPr>
        <w:t>у</w:t>
      </w:r>
      <w:r w:rsidRPr="0015585F">
        <w:rPr>
          <w:rFonts w:eastAsia="Calibri"/>
          <w:sz w:val="28"/>
          <w:szCs w:val="28"/>
          <w:lang w:val="uk-UA" w:eastAsia="en-US"/>
        </w:rPr>
        <w:t xml:space="preserve"> пропозицій зі збільшення потужності</w:t>
      </w:r>
      <w:r>
        <w:rPr>
          <w:rFonts w:eastAsia="Calibri"/>
          <w:sz w:val="28"/>
          <w:szCs w:val="28"/>
          <w:lang w:val="uk-UA" w:eastAsia="en-US"/>
        </w:rPr>
        <w:t>, поданого операторами газотранспортної системи України та Польщі,</w:t>
      </w:r>
      <w:r w:rsidRPr="0070452C">
        <w:rPr>
          <w:rFonts w:eastAsia="Calibri"/>
          <w:sz w:val="28"/>
          <w:szCs w:val="28"/>
          <w:lang w:val="uk-UA" w:eastAsia="en-US"/>
        </w:rPr>
        <w:t xml:space="preserve"> </w:t>
      </w:r>
      <w:r w:rsidR="00F87290" w:rsidRPr="00F87290">
        <w:rPr>
          <w:rFonts w:eastAsia="Calibri"/>
          <w:sz w:val="28"/>
          <w:szCs w:val="28"/>
          <w:lang w:val="uk-UA" w:eastAsia="en-US"/>
        </w:rPr>
        <w:t>залучені оператори</w:t>
      </w:r>
      <w:r w:rsidR="00F87290">
        <w:rPr>
          <w:rFonts w:eastAsia="Calibri"/>
          <w:sz w:val="28"/>
          <w:szCs w:val="28"/>
          <w:lang w:val="uk-UA" w:eastAsia="en-US"/>
        </w:rPr>
        <w:t xml:space="preserve"> </w:t>
      </w:r>
      <w:r w:rsidR="00F87290" w:rsidRPr="00F87290">
        <w:rPr>
          <w:rFonts w:eastAsia="Calibri"/>
          <w:sz w:val="28"/>
          <w:szCs w:val="28"/>
          <w:lang w:val="uk-UA" w:eastAsia="en-US"/>
        </w:rPr>
        <w:t xml:space="preserve">газотранспортних систем </w:t>
      </w:r>
      <w:r w:rsidR="00F87290">
        <w:rPr>
          <w:rFonts w:eastAsia="Calibri"/>
          <w:sz w:val="28"/>
          <w:szCs w:val="28"/>
          <w:lang w:val="uk-UA" w:eastAsia="en-US"/>
        </w:rPr>
        <w:t>за</w:t>
      </w:r>
      <w:r w:rsidR="00F87290" w:rsidRPr="00F87290">
        <w:rPr>
          <w:rFonts w:eastAsia="Calibri"/>
          <w:sz w:val="28"/>
          <w:szCs w:val="28"/>
          <w:lang w:val="uk-UA" w:eastAsia="en-US"/>
        </w:rPr>
        <w:t>пропонують нову (збільшену) потужність разом із відповідною</w:t>
      </w:r>
      <w:r w:rsidR="00F87290">
        <w:rPr>
          <w:rFonts w:eastAsia="Calibri"/>
          <w:sz w:val="28"/>
          <w:szCs w:val="28"/>
          <w:lang w:val="uk-UA" w:eastAsia="en-US"/>
        </w:rPr>
        <w:t xml:space="preserve"> </w:t>
      </w:r>
      <w:r w:rsidR="00F87290" w:rsidRPr="00F87290">
        <w:rPr>
          <w:rFonts w:eastAsia="Calibri"/>
          <w:sz w:val="28"/>
          <w:szCs w:val="28"/>
          <w:lang w:val="uk-UA" w:eastAsia="en-US"/>
        </w:rPr>
        <w:t>вільною потужністю на щорічному аукціоні з розподілу річної потужності</w:t>
      </w:r>
      <w:r w:rsidR="00F87290">
        <w:rPr>
          <w:rFonts w:eastAsia="Calibri"/>
          <w:sz w:val="28"/>
          <w:szCs w:val="28"/>
          <w:lang w:val="uk-UA" w:eastAsia="en-US"/>
        </w:rPr>
        <w:t>.</w:t>
      </w:r>
    </w:p>
    <w:p w:rsidR="00C370B6" w:rsidRDefault="00C370B6" w:rsidP="00C370B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0116B7">
        <w:rPr>
          <w:rFonts w:eastAsia="Calibri"/>
          <w:sz w:val="28"/>
          <w:szCs w:val="28"/>
          <w:lang w:val="uk-UA" w:eastAsia="en-US"/>
        </w:rPr>
        <w:t>Якщо за результатами аукціону нової (збільшеної) потужності виникнуть зобов’язання замовників послуг транспортування щодо розподілу такої потужності та економічний тест вважатиметься позитивним, виникає необхідність у своєчасному вдосконаленні положень Кодексу та Типового договору транспортування природного газу, затвердженого постановою НКРЕКП від 30.09.2015 № 2497</w:t>
      </w:r>
      <w:r w:rsidR="00F87290">
        <w:rPr>
          <w:rFonts w:eastAsia="Calibri"/>
          <w:sz w:val="28"/>
          <w:szCs w:val="28"/>
          <w:lang w:val="uk-UA" w:eastAsia="en-US"/>
        </w:rPr>
        <w:t xml:space="preserve"> (далі – Типовий договір)</w:t>
      </w:r>
      <w:r w:rsidRPr="000116B7">
        <w:rPr>
          <w:rFonts w:eastAsia="Calibri"/>
          <w:sz w:val="28"/>
          <w:szCs w:val="28"/>
          <w:lang w:val="uk-UA" w:eastAsia="en-US"/>
        </w:rPr>
        <w:t>, які регулюють питання подальшої реалізації проєкту нової (збільшеної) потужності та взаємовідносин між Оператором ГТС та відповідними замовниками послуг транспортування.</w:t>
      </w:r>
    </w:p>
    <w:p w:rsidR="00C370B6" w:rsidRDefault="00C370B6" w:rsidP="00C370B6">
      <w:pPr>
        <w:ind w:firstLine="709"/>
        <w:jc w:val="both"/>
        <w:rPr>
          <w:sz w:val="28"/>
          <w:szCs w:val="28"/>
          <w:lang w:val="uk-UA"/>
        </w:rPr>
      </w:pPr>
      <w:r w:rsidRPr="003A3F66">
        <w:rPr>
          <w:rFonts w:eastAsia="Calibri"/>
          <w:sz w:val="28"/>
          <w:szCs w:val="28"/>
          <w:lang w:val="uk-UA" w:eastAsia="en-US"/>
        </w:rPr>
        <w:t>У зв’язку із зазначеним, керуючись положеннями статті 17 Закону України «Про Національну комісію, що здійснює державне регулювання у сферах енергетики та комунальних послуг»</w:t>
      </w:r>
      <w:r w:rsidRPr="009B4394">
        <w:rPr>
          <w:lang w:val="uk-UA"/>
        </w:rPr>
        <w:t xml:space="preserve"> </w:t>
      </w:r>
      <w:r w:rsidR="0027091D">
        <w:rPr>
          <w:rFonts w:eastAsia="Calibri"/>
          <w:sz w:val="28"/>
          <w:szCs w:val="28"/>
          <w:lang w:val="uk-UA" w:eastAsia="en-US"/>
        </w:rPr>
        <w:t xml:space="preserve">НКРЕКП </w:t>
      </w:r>
      <w:r w:rsidRPr="00641557">
        <w:rPr>
          <w:rFonts w:eastAsia="Calibri"/>
          <w:sz w:val="28"/>
          <w:szCs w:val="28"/>
          <w:lang w:val="uk-UA" w:eastAsia="en-US"/>
        </w:rPr>
        <w:t xml:space="preserve">розроблено </w:t>
      </w:r>
      <w:proofErr w:type="spellStart"/>
      <w:r w:rsidRPr="00641557">
        <w:rPr>
          <w:rFonts w:eastAsia="Calibri"/>
          <w:sz w:val="28"/>
          <w:szCs w:val="28"/>
          <w:lang w:val="uk-UA" w:eastAsia="en-US"/>
        </w:rPr>
        <w:t>проєкт</w:t>
      </w:r>
      <w:proofErr w:type="spellEnd"/>
      <w:r w:rsidRPr="00641557">
        <w:rPr>
          <w:rFonts w:eastAsia="Calibri"/>
          <w:sz w:val="28"/>
          <w:szCs w:val="28"/>
          <w:lang w:val="uk-UA" w:eastAsia="en-US"/>
        </w:rPr>
        <w:t xml:space="preserve"> постанови </w:t>
      </w:r>
      <w:r w:rsidRPr="00A50915">
        <w:rPr>
          <w:b/>
          <w:sz w:val="28"/>
          <w:szCs w:val="28"/>
          <w:lang w:val="uk-UA"/>
        </w:rPr>
        <w:t>«</w:t>
      </w:r>
      <w:r w:rsidRPr="00641557">
        <w:rPr>
          <w:sz w:val="28"/>
          <w:szCs w:val="28"/>
          <w:lang w:val="uk-UA"/>
        </w:rPr>
        <w:t>Про затвердження Змін до деяких постанов НКРЕКП»</w:t>
      </w:r>
      <w:r w:rsidR="00F87290">
        <w:rPr>
          <w:sz w:val="28"/>
          <w:szCs w:val="28"/>
          <w:lang w:val="uk-UA"/>
        </w:rPr>
        <w:t xml:space="preserve"> (далі – </w:t>
      </w:r>
      <w:proofErr w:type="spellStart"/>
      <w:r w:rsidR="0027091D">
        <w:rPr>
          <w:sz w:val="28"/>
          <w:szCs w:val="28"/>
          <w:lang w:val="uk-UA"/>
        </w:rPr>
        <w:t>П</w:t>
      </w:r>
      <w:r w:rsidR="00F87290">
        <w:rPr>
          <w:sz w:val="28"/>
          <w:szCs w:val="28"/>
          <w:lang w:val="uk-UA"/>
        </w:rPr>
        <w:t>роєкт</w:t>
      </w:r>
      <w:proofErr w:type="spellEnd"/>
      <w:r w:rsidR="00F87290">
        <w:rPr>
          <w:sz w:val="28"/>
          <w:szCs w:val="28"/>
          <w:lang w:val="uk-UA"/>
        </w:rPr>
        <w:t xml:space="preserve"> постанови)</w:t>
      </w:r>
      <w:r>
        <w:rPr>
          <w:sz w:val="28"/>
          <w:szCs w:val="28"/>
          <w:lang w:val="uk-UA"/>
        </w:rPr>
        <w:t>.</w:t>
      </w:r>
    </w:p>
    <w:p w:rsidR="00F87290" w:rsidRDefault="00F87290" w:rsidP="00B3339F">
      <w:pPr>
        <w:ind w:firstLine="540"/>
        <w:jc w:val="both"/>
        <w:rPr>
          <w:sz w:val="27"/>
          <w:szCs w:val="27"/>
          <w:lang w:val="uk-UA"/>
        </w:rPr>
      </w:pPr>
    </w:p>
    <w:p w:rsidR="00B3339F" w:rsidRPr="00B3339F" w:rsidRDefault="00B3339F" w:rsidP="00B3339F">
      <w:pPr>
        <w:ind w:firstLine="540"/>
        <w:jc w:val="both"/>
        <w:rPr>
          <w:sz w:val="28"/>
          <w:szCs w:val="28"/>
          <w:lang w:val="uk-UA"/>
        </w:rPr>
      </w:pPr>
      <w:r w:rsidRPr="00B3339F">
        <w:rPr>
          <w:sz w:val="28"/>
          <w:szCs w:val="28"/>
          <w:lang w:val="uk-UA"/>
        </w:rPr>
        <w:t xml:space="preserve">Основні групи (підгрупи), </w:t>
      </w:r>
      <w:r w:rsidR="00F87290">
        <w:rPr>
          <w:sz w:val="28"/>
          <w:szCs w:val="28"/>
          <w:lang w:val="uk-UA"/>
        </w:rPr>
        <w:t>на які проблема справляє вплив:</w:t>
      </w: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4557"/>
        <w:gridCol w:w="2463"/>
      </w:tblGrid>
      <w:tr w:rsidR="00B3339F" w:rsidRPr="00CD156B" w:rsidTr="005F776F">
        <w:trPr>
          <w:jc w:val="center"/>
        </w:trPr>
        <w:tc>
          <w:tcPr>
            <w:tcW w:w="3348" w:type="dxa"/>
            <w:shd w:val="clear" w:color="auto" w:fill="auto"/>
          </w:tcPr>
          <w:p w:rsidR="00B3339F" w:rsidRPr="00CD156B" w:rsidRDefault="00B3339F" w:rsidP="005F776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Групи (підгрупи)</w:t>
            </w:r>
          </w:p>
        </w:tc>
        <w:tc>
          <w:tcPr>
            <w:tcW w:w="4557" w:type="dxa"/>
            <w:shd w:val="clear" w:color="auto" w:fill="auto"/>
          </w:tcPr>
          <w:p w:rsidR="00B3339F" w:rsidRPr="00CD156B" w:rsidRDefault="00B3339F" w:rsidP="005F776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shd w:val="clear" w:color="auto" w:fill="auto"/>
          </w:tcPr>
          <w:p w:rsidR="00B3339F" w:rsidRPr="00CD156B" w:rsidRDefault="00B3339F" w:rsidP="005F776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Ні</w:t>
            </w:r>
          </w:p>
        </w:tc>
      </w:tr>
      <w:tr w:rsidR="00B3339F" w:rsidRPr="00CD156B" w:rsidTr="00F87290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B3339F" w:rsidRPr="00CD156B" w:rsidRDefault="00B3339F" w:rsidP="00F87290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Громадяни</w:t>
            </w:r>
          </w:p>
        </w:tc>
        <w:tc>
          <w:tcPr>
            <w:tcW w:w="4557" w:type="dxa"/>
            <w:shd w:val="clear" w:color="auto" w:fill="auto"/>
            <w:vAlign w:val="center"/>
          </w:tcPr>
          <w:p w:rsidR="00B3339F" w:rsidRPr="00CD156B" w:rsidRDefault="00F87290" w:rsidP="005F77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B3339F" w:rsidRPr="00CD156B" w:rsidRDefault="00730C78" w:rsidP="005F77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Ні</w:t>
            </w:r>
          </w:p>
        </w:tc>
      </w:tr>
      <w:tr w:rsidR="00B3339F" w:rsidRPr="00CD156B" w:rsidTr="005F776F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B3339F" w:rsidRPr="00CD156B" w:rsidRDefault="00B3339F" w:rsidP="00F87290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Держава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339F" w:rsidRPr="00CD156B" w:rsidRDefault="00B3339F" w:rsidP="005F776F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B3339F" w:rsidRPr="00CD156B" w:rsidRDefault="00F87290" w:rsidP="005F77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B3339F" w:rsidRPr="00CD156B" w:rsidTr="005F776F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B3339F" w:rsidRPr="00CD156B" w:rsidRDefault="00B3339F" w:rsidP="005F776F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Суб’єкти господарювання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339F" w:rsidRPr="00CD156B" w:rsidRDefault="00B3339F" w:rsidP="005F77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B3339F" w:rsidRPr="00CD156B" w:rsidRDefault="00F87290" w:rsidP="005F77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:rsidR="00B3339F" w:rsidRPr="00B3339F" w:rsidRDefault="00B3339F" w:rsidP="00B3339F">
      <w:pPr>
        <w:pStyle w:val="a3"/>
        <w:widowControl w:val="0"/>
        <w:spacing w:before="0" w:beforeAutospacing="0" w:after="0" w:afterAutospacing="0"/>
        <w:ind w:firstLine="567"/>
        <w:rPr>
          <w:b/>
          <w:sz w:val="28"/>
          <w:szCs w:val="28"/>
          <w:lang w:val="uk-UA"/>
        </w:rPr>
      </w:pPr>
      <w:r w:rsidRPr="00B3339F">
        <w:rPr>
          <w:b/>
          <w:bCs/>
          <w:color w:val="000000"/>
          <w:sz w:val="28"/>
          <w:szCs w:val="28"/>
          <w:lang w:val="uk-UA"/>
        </w:rPr>
        <w:lastRenderedPageBreak/>
        <w:t xml:space="preserve">ІІ. </w:t>
      </w:r>
      <w:r w:rsidRPr="00B3339F">
        <w:rPr>
          <w:b/>
          <w:sz w:val="28"/>
          <w:szCs w:val="28"/>
          <w:lang w:val="uk-UA"/>
        </w:rPr>
        <w:t>Цілі державного регулювання</w:t>
      </w:r>
    </w:p>
    <w:p w:rsidR="00B3339F" w:rsidRPr="00B3339F" w:rsidRDefault="00B3339F" w:rsidP="00B3339F">
      <w:pPr>
        <w:pStyle w:val="a3"/>
        <w:widowControl w:val="0"/>
        <w:spacing w:before="0" w:beforeAutospacing="0" w:after="0" w:afterAutospacing="0"/>
        <w:ind w:firstLine="540"/>
        <w:rPr>
          <w:b/>
          <w:bCs/>
          <w:color w:val="000000"/>
          <w:sz w:val="28"/>
          <w:szCs w:val="28"/>
          <w:lang w:val="uk-UA"/>
        </w:rPr>
      </w:pPr>
    </w:p>
    <w:p w:rsidR="009B2D1B" w:rsidRDefault="009B2D1B" w:rsidP="009B2D1B">
      <w:pPr>
        <w:widowControl w:val="0"/>
        <w:ind w:firstLine="567"/>
        <w:jc w:val="both"/>
        <w:rPr>
          <w:sz w:val="28"/>
          <w:szCs w:val="28"/>
          <w:lang w:val="uk-UA"/>
        </w:rPr>
      </w:pPr>
      <w:bookmarkStart w:id="1" w:name="_Hlk14968184"/>
      <w:r w:rsidRPr="00B3339F">
        <w:rPr>
          <w:sz w:val="28"/>
          <w:szCs w:val="28"/>
          <w:lang w:val="uk-UA"/>
        </w:rPr>
        <w:t xml:space="preserve">Метою прийняття </w:t>
      </w:r>
      <w:proofErr w:type="spellStart"/>
      <w:r>
        <w:rPr>
          <w:bCs/>
          <w:sz w:val="28"/>
          <w:szCs w:val="28"/>
          <w:lang w:val="uk-UA"/>
        </w:rPr>
        <w:t>Проєкту</w:t>
      </w:r>
      <w:proofErr w:type="spellEnd"/>
      <w:r>
        <w:rPr>
          <w:bCs/>
          <w:sz w:val="28"/>
          <w:szCs w:val="28"/>
          <w:lang w:val="uk-UA"/>
        </w:rPr>
        <w:t xml:space="preserve"> п</w:t>
      </w:r>
      <w:r w:rsidRPr="00B3339F">
        <w:rPr>
          <w:bCs/>
          <w:sz w:val="28"/>
          <w:szCs w:val="28"/>
          <w:lang w:val="uk-UA"/>
        </w:rPr>
        <w:t>останови</w:t>
      </w:r>
      <w:r w:rsidRPr="00B3339F">
        <w:rPr>
          <w:sz w:val="28"/>
          <w:szCs w:val="28"/>
          <w:lang w:val="uk-UA" w:eastAsia="uk-UA"/>
        </w:rPr>
        <w:t xml:space="preserve"> </w:t>
      </w:r>
      <w:bookmarkStart w:id="2" w:name="_Hlk63257727"/>
      <w:r w:rsidRPr="00B3339F">
        <w:rPr>
          <w:sz w:val="28"/>
          <w:szCs w:val="28"/>
          <w:lang w:val="uk-UA"/>
        </w:rPr>
        <w:t xml:space="preserve">є </w:t>
      </w:r>
      <w:bookmarkEnd w:id="1"/>
      <w:r w:rsidRPr="001F4110">
        <w:rPr>
          <w:sz w:val="28"/>
          <w:szCs w:val="28"/>
          <w:lang w:val="uk-UA"/>
        </w:rPr>
        <w:t>своєчасн</w:t>
      </w:r>
      <w:r>
        <w:rPr>
          <w:sz w:val="28"/>
          <w:szCs w:val="28"/>
          <w:lang w:val="uk-UA"/>
        </w:rPr>
        <w:t>е</w:t>
      </w:r>
      <w:r w:rsidRPr="001F4110">
        <w:rPr>
          <w:sz w:val="28"/>
          <w:szCs w:val="28"/>
          <w:lang w:val="uk-UA"/>
        </w:rPr>
        <w:t xml:space="preserve"> </w:t>
      </w:r>
      <w:r w:rsidRPr="00372E37">
        <w:rPr>
          <w:sz w:val="28"/>
          <w:szCs w:val="28"/>
          <w:lang w:val="uk-UA"/>
        </w:rPr>
        <w:t xml:space="preserve">створення необхідних передумов для успішної реалізації </w:t>
      </w:r>
      <w:proofErr w:type="spellStart"/>
      <w:r w:rsidRPr="00372E37">
        <w:rPr>
          <w:sz w:val="28"/>
          <w:szCs w:val="28"/>
          <w:lang w:val="uk-UA"/>
        </w:rPr>
        <w:t>проєкту</w:t>
      </w:r>
      <w:proofErr w:type="spellEnd"/>
      <w:r w:rsidRPr="00372E37">
        <w:rPr>
          <w:sz w:val="28"/>
          <w:szCs w:val="28"/>
          <w:lang w:val="uk-UA"/>
        </w:rPr>
        <w:t xml:space="preserve"> нової (збільшеної) потужності та </w:t>
      </w:r>
      <w:r w:rsidRPr="00372E37">
        <w:rPr>
          <w:rFonts w:eastAsia="Calibri"/>
          <w:sz w:val="28"/>
          <w:szCs w:val="28"/>
          <w:lang w:val="uk-UA" w:eastAsia="en-US"/>
        </w:rPr>
        <w:t>вдосконалення положень Кодексу та Типового договору, які регулюють питання взаємовідносин замовників послуг транспортування та Оператора ГТС</w:t>
      </w:r>
      <w:r w:rsidRPr="001F4110">
        <w:rPr>
          <w:sz w:val="28"/>
          <w:szCs w:val="28"/>
          <w:lang w:val="uk-UA"/>
        </w:rPr>
        <w:t>.</w:t>
      </w:r>
    </w:p>
    <w:bookmarkEnd w:id="2"/>
    <w:p w:rsidR="00B3339F" w:rsidRPr="00B3339F" w:rsidRDefault="00B3339F" w:rsidP="00B3339F">
      <w:pPr>
        <w:widowControl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B3339F" w:rsidRPr="00B3339F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 w:rsidRPr="00B3339F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:rsidR="00B3339F" w:rsidRPr="00B3339F" w:rsidRDefault="00B3339F" w:rsidP="00B3339F">
      <w:pPr>
        <w:ind w:firstLine="540"/>
        <w:jc w:val="both"/>
        <w:rPr>
          <w:sz w:val="28"/>
          <w:szCs w:val="28"/>
          <w:lang w:val="uk-UA"/>
        </w:rPr>
      </w:pPr>
    </w:p>
    <w:p w:rsidR="00B3339F" w:rsidRPr="00B3339F" w:rsidRDefault="00B3339F" w:rsidP="002D71F0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B3339F">
        <w:rPr>
          <w:sz w:val="28"/>
          <w:szCs w:val="28"/>
          <w:lang w:val="uk-UA"/>
        </w:rPr>
        <w:t>Визначення альтернативних способів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7422"/>
      </w:tblGrid>
      <w:tr w:rsidR="00B3339F" w:rsidRPr="00CD156B" w:rsidTr="000E590D">
        <w:tc>
          <w:tcPr>
            <w:tcW w:w="2206" w:type="dxa"/>
            <w:shd w:val="clear" w:color="auto" w:fill="auto"/>
          </w:tcPr>
          <w:p w:rsidR="00B3339F" w:rsidRPr="00CD156B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7422" w:type="dxa"/>
            <w:shd w:val="clear" w:color="auto" w:fill="auto"/>
          </w:tcPr>
          <w:p w:rsidR="00B3339F" w:rsidRPr="00CD156B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Опис альтернативи</w:t>
            </w:r>
          </w:p>
        </w:tc>
      </w:tr>
      <w:tr w:rsidR="00B3339F" w:rsidRPr="0027091D" w:rsidTr="000E590D">
        <w:tc>
          <w:tcPr>
            <w:tcW w:w="2206" w:type="dxa"/>
            <w:shd w:val="clear" w:color="auto" w:fill="auto"/>
          </w:tcPr>
          <w:p w:rsidR="00B3339F" w:rsidRPr="007E4486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7E4486">
              <w:rPr>
                <w:bCs/>
                <w:lang w:val="uk-UA"/>
              </w:rPr>
              <w:t>Альтернатива 1</w:t>
            </w:r>
          </w:p>
          <w:p w:rsidR="00B3339F" w:rsidRPr="007E4486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7E4486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7422" w:type="dxa"/>
            <w:shd w:val="clear" w:color="auto" w:fill="auto"/>
          </w:tcPr>
          <w:p w:rsidR="00FF49A6" w:rsidRPr="00FF49A6" w:rsidRDefault="00FF49A6" w:rsidP="00FF49A6">
            <w:pPr>
              <w:jc w:val="both"/>
              <w:rPr>
                <w:rFonts w:eastAsia="Calibri"/>
                <w:color w:val="000000"/>
                <w:lang w:val="uk-UA" w:eastAsia="en-US"/>
              </w:rPr>
            </w:pPr>
            <w:r w:rsidRPr="00FF49A6">
              <w:rPr>
                <w:rFonts w:eastAsia="Calibri"/>
                <w:color w:val="000000"/>
                <w:lang w:val="uk-UA" w:eastAsia="en-US"/>
              </w:rPr>
              <w:t>Не приймати зазначене регулювання.</w:t>
            </w:r>
          </w:p>
          <w:p w:rsidR="00B95F66" w:rsidRPr="00FF49A6" w:rsidRDefault="00FF49A6" w:rsidP="007E4486">
            <w:pPr>
              <w:shd w:val="clear" w:color="auto" w:fill="FFFFFF"/>
              <w:jc w:val="both"/>
              <w:rPr>
                <w:highlight w:val="yellow"/>
                <w:lang w:val="uk-UA"/>
              </w:rPr>
            </w:pPr>
            <w:r w:rsidRPr="00FF49A6">
              <w:rPr>
                <w:rFonts w:eastAsia="Calibri"/>
                <w:color w:val="000000"/>
                <w:lang w:val="uk-UA" w:eastAsia="en-US"/>
              </w:rPr>
              <w:t>Продовжить існувати необхідність внесення змін до положень нормативно-правових актів, які регулюють відносини на ринку природного газу</w:t>
            </w:r>
          </w:p>
        </w:tc>
      </w:tr>
      <w:tr w:rsidR="00B3339F" w:rsidRPr="00725AE6" w:rsidTr="000E590D">
        <w:tc>
          <w:tcPr>
            <w:tcW w:w="2206" w:type="dxa"/>
            <w:shd w:val="clear" w:color="auto" w:fill="auto"/>
          </w:tcPr>
          <w:p w:rsidR="00B3339F" w:rsidRPr="007E4486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7E4486">
              <w:rPr>
                <w:bCs/>
                <w:lang w:val="uk-UA"/>
              </w:rPr>
              <w:t>Альтернатива 2</w:t>
            </w:r>
          </w:p>
          <w:p w:rsidR="00B3339F" w:rsidRPr="007E4486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7E4486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7422" w:type="dxa"/>
            <w:shd w:val="clear" w:color="auto" w:fill="auto"/>
          </w:tcPr>
          <w:p w:rsidR="00B3339F" w:rsidRPr="007E4486" w:rsidRDefault="009B2D1B" w:rsidP="007E4486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7E4486">
              <w:rPr>
                <w:bCs/>
                <w:lang w:val="uk-UA"/>
              </w:rPr>
              <w:t xml:space="preserve">Зміни до </w:t>
            </w:r>
            <w:r w:rsidRPr="007E4486">
              <w:rPr>
                <w:lang w:val="uk-UA"/>
              </w:rPr>
              <w:t xml:space="preserve">Кодексу та Типового </w:t>
            </w:r>
            <w:r w:rsidRPr="00B91E82">
              <w:rPr>
                <w:rFonts w:eastAsia="Calibri"/>
                <w:color w:val="000000"/>
                <w:lang w:val="uk-UA" w:eastAsia="en-US"/>
              </w:rPr>
              <w:t>договору сприятимуть своєчасн</w:t>
            </w:r>
            <w:r>
              <w:rPr>
                <w:rFonts w:eastAsia="Calibri"/>
                <w:color w:val="000000"/>
                <w:lang w:val="uk-UA" w:eastAsia="en-US"/>
              </w:rPr>
              <w:t>ому</w:t>
            </w:r>
            <w:r w:rsidRPr="00B91E82">
              <w:rPr>
                <w:rFonts w:eastAsia="Calibri"/>
                <w:color w:val="000000"/>
                <w:lang w:val="uk-UA" w:eastAsia="en-US"/>
              </w:rPr>
              <w:t xml:space="preserve"> створенн</w:t>
            </w:r>
            <w:r>
              <w:rPr>
                <w:rFonts w:eastAsia="Calibri"/>
                <w:color w:val="000000"/>
                <w:lang w:val="uk-UA" w:eastAsia="en-US"/>
              </w:rPr>
              <w:t>ю</w:t>
            </w:r>
            <w:r w:rsidRPr="00B91E82">
              <w:rPr>
                <w:rFonts w:eastAsia="Calibri"/>
                <w:color w:val="000000"/>
                <w:lang w:val="uk-UA" w:eastAsia="en-US"/>
              </w:rPr>
              <w:t xml:space="preserve"> необхідних передумов для успішної реалізації </w:t>
            </w:r>
            <w:proofErr w:type="spellStart"/>
            <w:r w:rsidRPr="00B91E82">
              <w:rPr>
                <w:rFonts w:eastAsia="Calibri"/>
                <w:color w:val="000000"/>
                <w:lang w:val="uk-UA" w:eastAsia="en-US"/>
              </w:rPr>
              <w:t>проєкту</w:t>
            </w:r>
            <w:proofErr w:type="spellEnd"/>
            <w:r w:rsidRPr="00B91E82">
              <w:rPr>
                <w:rFonts w:eastAsia="Calibri"/>
                <w:color w:val="000000"/>
                <w:lang w:val="uk-UA" w:eastAsia="en-US"/>
              </w:rPr>
              <w:t xml:space="preserve"> нової (збільшеної) потужності та вдосконалення положень Кодексу та Типового договору, які регулюють питання взаємовідносин замовників послуг транспортування та Оператора ГТС</w:t>
            </w:r>
          </w:p>
        </w:tc>
      </w:tr>
    </w:tbl>
    <w:p w:rsidR="00B3339F" w:rsidRPr="00B95F66" w:rsidRDefault="00B3339F" w:rsidP="00B3339F">
      <w:pPr>
        <w:tabs>
          <w:tab w:val="left" w:pos="720"/>
        </w:tabs>
        <w:rPr>
          <w:sz w:val="28"/>
          <w:szCs w:val="28"/>
          <w:lang w:val="uk-UA"/>
        </w:rPr>
      </w:pPr>
    </w:p>
    <w:p w:rsidR="00B3339F" w:rsidRPr="00B95F66" w:rsidRDefault="00B3339F" w:rsidP="002D71F0">
      <w:pPr>
        <w:tabs>
          <w:tab w:val="left" w:pos="720"/>
        </w:tabs>
        <w:ind w:firstLine="709"/>
        <w:rPr>
          <w:sz w:val="28"/>
          <w:szCs w:val="28"/>
          <w:lang w:val="uk-UA"/>
        </w:rPr>
      </w:pPr>
      <w:r w:rsidRPr="00B95F66">
        <w:rPr>
          <w:sz w:val="28"/>
          <w:szCs w:val="28"/>
          <w:lang w:val="uk-UA"/>
        </w:rPr>
        <w:t>2. Оцінка вибраних альтернативних способів досягнення цілей</w:t>
      </w:r>
    </w:p>
    <w:p w:rsidR="00B3339F" w:rsidRPr="00B95F66" w:rsidRDefault="00B3339F" w:rsidP="00B3339F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B95F66">
        <w:rPr>
          <w:sz w:val="28"/>
          <w:szCs w:val="28"/>
          <w:lang w:val="uk-UA"/>
        </w:rPr>
        <w:t>Оцінка впливу на сферу інтересів держави: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3685"/>
        <w:gridCol w:w="3402"/>
      </w:tblGrid>
      <w:tr w:rsidR="00B3339F" w:rsidRPr="00D2518C" w:rsidTr="000E590D">
        <w:tc>
          <w:tcPr>
            <w:tcW w:w="2689" w:type="dxa"/>
            <w:shd w:val="clear" w:color="auto" w:fill="auto"/>
          </w:tcPr>
          <w:p w:rsidR="00B3339F" w:rsidRPr="00D2518C" w:rsidRDefault="00B3339F" w:rsidP="00B95F66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Вид альтернативи</w:t>
            </w:r>
          </w:p>
        </w:tc>
        <w:tc>
          <w:tcPr>
            <w:tcW w:w="3685" w:type="dxa"/>
            <w:shd w:val="clear" w:color="auto" w:fill="auto"/>
          </w:tcPr>
          <w:p w:rsidR="00B3339F" w:rsidRPr="00D2518C" w:rsidRDefault="00B3339F" w:rsidP="00B95F66">
            <w:pPr>
              <w:pStyle w:val="a3"/>
              <w:widowControl w:val="0"/>
              <w:spacing w:before="0" w:beforeAutospacing="0" w:after="0" w:afterAutospacing="0"/>
              <w:ind w:right="-136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Вигоди</w:t>
            </w:r>
          </w:p>
        </w:tc>
        <w:tc>
          <w:tcPr>
            <w:tcW w:w="3402" w:type="dxa"/>
            <w:shd w:val="clear" w:color="auto" w:fill="auto"/>
          </w:tcPr>
          <w:p w:rsidR="00B3339F" w:rsidRPr="00D2518C" w:rsidRDefault="00B3339F" w:rsidP="00B95F66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Витрати</w:t>
            </w:r>
          </w:p>
        </w:tc>
      </w:tr>
      <w:tr w:rsidR="00B3339F" w:rsidRPr="00D2518C" w:rsidTr="000E590D">
        <w:tc>
          <w:tcPr>
            <w:tcW w:w="2689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Альтернатива 1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3339F" w:rsidRPr="00D2518C" w:rsidRDefault="00B3339F" w:rsidP="000E590D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В</w:t>
            </w:r>
            <w:r w:rsidRPr="007E4486">
              <w:rPr>
                <w:lang w:val="uk-UA"/>
              </w:rPr>
              <w:t>ідсутні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339F" w:rsidRPr="00D2518C" w:rsidRDefault="000E590D" w:rsidP="000E590D">
            <w:pPr>
              <w:shd w:val="clear" w:color="auto" w:fill="FFFFFF"/>
              <w:jc w:val="center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В</w:t>
            </w:r>
            <w:r w:rsidRPr="007E4486">
              <w:rPr>
                <w:lang w:val="uk-UA"/>
              </w:rPr>
              <w:t>ідсутні</w:t>
            </w:r>
          </w:p>
        </w:tc>
      </w:tr>
      <w:tr w:rsidR="00B3339F" w:rsidRPr="00D2518C" w:rsidTr="000E590D">
        <w:tc>
          <w:tcPr>
            <w:tcW w:w="2689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Альтернатива 2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both"/>
              <w:rPr>
                <w:b/>
                <w:bCs/>
                <w:lang w:val="uk-UA"/>
              </w:rPr>
            </w:pPr>
            <w:r w:rsidRPr="00D2518C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685" w:type="dxa"/>
            <w:shd w:val="clear" w:color="auto" w:fill="auto"/>
          </w:tcPr>
          <w:p w:rsidR="00B3339F" w:rsidRPr="00FF49A6" w:rsidRDefault="00D97DC9" w:rsidP="00D97DC9">
            <w:pPr>
              <w:pStyle w:val="a3"/>
              <w:widowControl w:val="0"/>
              <w:spacing w:before="0" w:beforeAutospacing="0" w:after="0" w:afterAutospacing="0"/>
              <w:jc w:val="both"/>
              <w:rPr>
                <w:highlight w:val="yellow"/>
                <w:lang w:val="uk-UA"/>
              </w:rPr>
            </w:pPr>
            <w:r w:rsidRPr="00FF49A6">
              <w:rPr>
                <w:bCs/>
                <w:lang w:val="uk-UA"/>
              </w:rPr>
              <w:t>Ефективне виконання завдань державного регулювання</w:t>
            </w:r>
            <w:r w:rsidR="00FF49A6" w:rsidRPr="00FF49A6">
              <w:rPr>
                <w:bCs/>
                <w:lang w:val="uk-UA"/>
              </w:rPr>
              <w:t>, з метою</w:t>
            </w:r>
            <w:r w:rsidRPr="00FF49A6">
              <w:rPr>
                <w:bCs/>
                <w:lang w:val="uk-UA"/>
              </w:rPr>
              <w:t xml:space="preserve"> </w:t>
            </w:r>
            <w:r w:rsidR="00FF49A6" w:rsidRPr="00FF49A6">
              <w:rPr>
                <w:bCs/>
                <w:lang w:val="uk-UA"/>
              </w:rPr>
              <w:t>забезпечення безпеки газопостачання та диверсифікації джерел та маршрутів транспортування природного газу в Україну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339F" w:rsidRPr="00D2518C" w:rsidRDefault="00B3339F" w:rsidP="007E4486">
            <w:pPr>
              <w:pStyle w:val="a3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Відсутні</w:t>
            </w:r>
          </w:p>
        </w:tc>
      </w:tr>
    </w:tbl>
    <w:p w:rsidR="00B3339F" w:rsidRPr="00B95F66" w:rsidRDefault="00B3339F" w:rsidP="00B3339F">
      <w:pPr>
        <w:pStyle w:val="a3"/>
        <w:widowControl w:val="0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:rsidR="00B3339F" w:rsidRPr="00B95F66" w:rsidRDefault="00B3339F" w:rsidP="00B3339F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 w:rsidRPr="00B95F66">
        <w:rPr>
          <w:bCs/>
          <w:color w:val="000000"/>
          <w:sz w:val="28"/>
          <w:szCs w:val="28"/>
          <w:lang w:val="uk-UA"/>
        </w:rPr>
        <w:t>Оцінка впливу на сферу інтересів громадян: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780"/>
        <w:gridCol w:w="3368"/>
      </w:tblGrid>
      <w:tr w:rsidR="00B3339F" w:rsidRPr="00D2518C" w:rsidTr="000E590D">
        <w:tc>
          <w:tcPr>
            <w:tcW w:w="2628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Вид альтернативи</w:t>
            </w:r>
          </w:p>
        </w:tc>
        <w:tc>
          <w:tcPr>
            <w:tcW w:w="3780" w:type="dxa"/>
            <w:shd w:val="clear" w:color="auto" w:fill="auto"/>
          </w:tcPr>
          <w:p w:rsidR="00B3339F" w:rsidRPr="00D2518C" w:rsidRDefault="00B3339F" w:rsidP="00B95F66">
            <w:pPr>
              <w:pStyle w:val="a3"/>
              <w:widowControl w:val="0"/>
              <w:spacing w:before="0" w:beforeAutospacing="0" w:after="0" w:afterAutospacing="0"/>
              <w:ind w:right="-74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Вигоди</w:t>
            </w:r>
          </w:p>
        </w:tc>
        <w:tc>
          <w:tcPr>
            <w:tcW w:w="3368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Витрати</w:t>
            </w:r>
          </w:p>
        </w:tc>
      </w:tr>
      <w:tr w:rsidR="00B3339F" w:rsidRPr="00D2518C" w:rsidTr="000E590D">
        <w:tc>
          <w:tcPr>
            <w:tcW w:w="2628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Альтернатива 1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B3339F" w:rsidRPr="007E4486" w:rsidRDefault="00B3339F" w:rsidP="007E4486">
            <w:pPr>
              <w:pStyle w:val="a3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7E4486">
              <w:rPr>
                <w:lang w:val="uk-UA"/>
              </w:rPr>
              <w:t>Відсутні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B3339F" w:rsidRPr="00D2518C" w:rsidRDefault="00B3339F" w:rsidP="00D2518C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D2518C">
              <w:rPr>
                <w:lang w:val="uk-UA"/>
              </w:rPr>
              <w:t>Відсутні</w:t>
            </w:r>
          </w:p>
        </w:tc>
      </w:tr>
      <w:tr w:rsidR="00B3339F" w:rsidRPr="00D2518C" w:rsidTr="000E590D">
        <w:tc>
          <w:tcPr>
            <w:tcW w:w="2628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Альтернатива 2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B3339F" w:rsidRPr="0027091D" w:rsidRDefault="0027091D" w:rsidP="0027091D">
            <w:pPr>
              <w:pStyle w:val="a3"/>
              <w:widowControl w:val="0"/>
              <w:spacing w:before="0" w:beforeAutospacing="0" w:after="0" w:afterAutospacing="0"/>
              <w:jc w:val="center"/>
              <w:rPr>
                <w:highlight w:val="yellow"/>
                <w:lang w:val="uk-UA"/>
              </w:rPr>
            </w:pPr>
            <w:r w:rsidRPr="0027091D">
              <w:rPr>
                <w:lang w:val="uk-UA"/>
              </w:rPr>
              <w:t>Відсутні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B3339F" w:rsidRPr="00D2518C" w:rsidRDefault="00B3339F" w:rsidP="00D2518C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Відсутні</w:t>
            </w:r>
          </w:p>
        </w:tc>
      </w:tr>
    </w:tbl>
    <w:p w:rsidR="007E4486" w:rsidRPr="00CD156B" w:rsidRDefault="007E4486" w:rsidP="00B3339F">
      <w:pPr>
        <w:pStyle w:val="a3"/>
        <w:widowControl w:val="0"/>
        <w:spacing w:before="0" w:beforeAutospacing="0" w:after="0" w:afterAutospacing="0"/>
        <w:jc w:val="both"/>
        <w:rPr>
          <w:bCs/>
          <w:color w:val="000000"/>
          <w:sz w:val="27"/>
          <w:szCs w:val="27"/>
          <w:lang w:val="uk-UA"/>
        </w:rPr>
      </w:pPr>
    </w:p>
    <w:p w:rsidR="00B3339F" w:rsidRPr="00B95F66" w:rsidRDefault="00B3339F" w:rsidP="00B95F66">
      <w:pPr>
        <w:pStyle w:val="a3"/>
        <w:widowControl w:val="0"/>
        <w:numPr>
          <w:ilvl w:val="0"/>
          <w:numId w:val="1"/>
        </w:numPr>
        <w:tabs>
          <w:tab w:val="clear" w:pos="1080"/>
          <w:tab w:val="num" w:pos="0"/>
        </w:tabs>
        <w:spacing w:before="0" w:beforeAutospacing="0" w:after="0" w:afterAutospacing="0"/>
        <w:ind w:left="0" w:firstLine="720"/>
        <w:jc w:val="both"/>
        <w:rPr>
          <w:bCs/>
          <w:color w:val="000000"/>
          <w:sz w:val="28"/>
          <w:szCs w:val="28"/>
          <w:lang w:val="uk-UA"/>
        </w:rPr>
      </w:pPr>
      <w:r w:rsidRPr="00B95F66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3827"/>
        <w:gridCol w:w="3402"/>
      </w:tblGrid>
      <w:tr w:rsidR="00B3339F" w:rsidRPr="00D2518C" w:rsidTr="00D97DC9">
        <w:tc>
          <w:tcPr>
            <w:tcW w:w="2547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Вид альтернативи</w:t>
            </w:r>
          </w:p>
        </w:tc>
        <w:tc>
          <w:tcPr>
            <w:tcW w:w="3827" w:type="dxa"/>
            <w:shd w:val="clear" w:color="auto" w:fill="auto"/>
          </w:tcPr>
          <w:p w:rsidR="00B3339F" w:rsidRPr="00D2518C" w:rsidRDefault="00B3339F" w:rsidP="00B95F66">
            <w:pPr>
              <w:pStyle w:val="a3"/>
              <w:widowControl w:val="0"/>
              <w:spacing w:before="0" w:beforeAutospacing="0" w:after="0" w:afterAutospacing="0"/>
              <w:ind w:right="-108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Вигоди</w:t>
            </w:r>
          </w:p>
        </w:tc>
        <w:tc>
          <w:tcPr>
            <w:tcW w:w="3402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Витрати</w:t>
            </w:r>
          </w:p>
        </w:tc>
      </w:tr>
      <w:tr w:rsidR="00B3339F" w:rsidRPr="00C370B6" w:rsidTr="00D97DC9">
        <w:tc>
          <w:tcPr>
            <w:tcW w:w="2547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Альтернатива 1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highlight w:val="yellow"/>
                <w:lang w:val="uk-UA"/>
              </w:rPr>
            </w:pPr>
            <w:r w:rsidRPr="00D2518C">
              <w:rPr>
                <w:bCs/>
                <w:lang w:val="uk-UA"/>
              </w:rPr>
              <w:t xml:space="preserve">Збереження чинного </w:t>
            </w:r>
            <w:r w:rsidRPr="00D2518C">
              <w:rPr>
                <w:bCs/>
                <w:lang w:val="uk-UA"/>
              </w:rPr>
              <w:lastRenderedPageBreak/>
              <w:t>регулювання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3339F" w:rsidRPr="00D2518C" w:rsidRDefault="00730C78" w:rsidP="00D97DC9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highlight w:val="yellow"/>
                <w:lang w:val="uk-UA"/>
              </w:rPr>
            </w:pPr>
            <w:r w:rsidRPr="00D97DC9">
              <w:rPr>
                <w:lang w:val="uk-UA"/>
              </w:rPr>
              <w:lastRenderedPageBreak/>
              <w:t>Відсутні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339F" w:rsidRPr="00D2518C" w:rsidRDefault="00D97DC9" w:rsidP="00D97DC9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D97DC9">
              <w:rPr>
                <w:lang w:val="uk-UA"/>
              </w:rPr>
              <w:t>Відсутні</w:t>
            </w:r>
          </w:p>
        </w:tc>
      </w:tr>
      <w:tr w:rsidR="00B3339F" w:rsidRPr="00EF3AB5" w:rsidTr="00D97DC9">
        <w:trPr>
          <w:trHeight w:val="983"/>
        </w:trPr>
        <w:tc>
          <w:tcPr>
            <w:tcW w:w="2547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Альтернатива 2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3339F" w:rsidRPr="00D2518C" w:rsidRDefault="009B2D1B" w:rsidP="00D97D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91E82">
              <w:rPr>
                <w:lang w:val="uk-UA"/>
              </w:rPr>
              <w:t xml:space="preserve">Своєчасне створення необхідних передумов для успішної реалізації </w:t>
            </w:r>
            <w:proofErr w:type="spellStart"/>
            <w:r w:rsidRPr="00B91E82">
              <w:rPr>
                <w:lang w:val="uk-UA"/>
              </w:rPr>
              <w:t>проєкту</w:t>
            </w:r>
            <w:proofErr w:type="spellEnd"/>
            <w:r w:rsidRPr="00B91E82">
              <w:rPr>
                <w:lang w:val="uk-UA"/>
              </w:rPr>
              <w:t xml:space="preserve"> нової (збільшеної) потужності та </w:t>
            </w:r>
            <w:r w:rsidRPr="00B91E82">
              <w:rPr>
                <w:rFonts w:eastAsia="Calibri"/>
                <w:lang w:val="uk-UA" w:eastAsia="en-US"/>
              </w:rPr>
              <w:t>вдосконалення положень Кодексу та Типового договору, які регулюють питання взаємовідносин замовників послуг транспортування та Оператора ГТС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339F" w:rsidRPr="00D2518C" w:rsidRDefault="00B3339F" w:rsidP="00D97DC9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Відсутні</w:t>
            </w:r>
          </w:p>
          <w:p w:rsidR="00B3339F" w:rsidRPr="00D2518C" w:rsidRDefault="00B3339F" w:rsidP="00D97DC9">
            <w:pPr>
              <w:pStyle w:val="a3"/>
              <w:widowControl w:val="0"/>
              <w:spacing w:before="0" w:beforeAutospacing="0" w:after="0" w:afterAutospacing="0"/>
              <w:ind w:left="432" w:hanging="432"/>
              <w:jc w:val="center"/>
              <w:rPr>
                <w:bCs/>
                <w:lang w:val="uk-UA"/>
              </w:rPr>
            </w:pPr>
          </w:p>
        </w:tc>
      </w:tr>
    </w:tbl>
    <w:p w:rsidR="00B3339F" w:rsidRPr="00D2518C" w:rsidRDefault="00B3339F" w:rsidP="00B3339F">
      <w:pPr>
        <w:pStyle w:val="a3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B3339F" w:rsidRPr="00D2518C" w:rsidRDefault="00B3339F" w:rsidP="00543DF0">
      <w:pPr>
        <w:pStyle w:val="a3"/>
        <w:widowControl w:val="0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D2518C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:rsidR="00B3339F" w:rsidRPr="00D2518C" w:rsidRDefault="00B3339F" w:rsidP="00B3339F">
      <w:pPr>
        <w:pStyle w:val="a3"/>
        <w:widowControl w:val="0"/>
        <w:spacing w:before="0" w:beforeAutospacing="0" w:after="0" w:afterAutospacing="0"/>
        <w:ind w:firstLine="540"/>
        <w:rPr>
          <w:b/>
          <w:sz w:val="28"/>
          <w:szCs w:val="28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2223"/>
        <w:gridCol w:w="4707"/>
      </w:tblGrid>
      <w:tr w:rsidR="00B3339F" w:rsidRPr="00D2518C" w:rsidTr="005F776F">
        <w:tc>
          <w:tcPr>
            <w:tcW w:w="2988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223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4707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D2518C">
              <w:rPr>
                <w:b/>
                <w:lang w:val="uk-UA"/>
              </w:rPr>
              <w:t>бала</w:t>
            </w:r>
            <w:proofErr w:type="spellEnd"/>
          </w:p>
        </w:tc>
      </w:tr>
      <w:tr w:rsidR="00B3339F" w:rsidRPr="0027091D" w:rsidTr="005F776F">
        <w:tc>
          <w:tcPr>
            <w:tcW w:w="2988" w:type="dxa"/>
          </w:tcPr>
          <w:p w:rsidR="00B3339F" w:rsidRPr="00D2518C" w:rsidRDefault="00B3339F" w:rsidP="005F776F">
            <w:pPr>
              <w:jc w:val="both"/>
              <w:rPr>
                <w:lang w:val="uk-UA"/>
              </w:rPr>
            </w:pPr>
            <w:r w:rsidRPr="00D2518C">
              <w:rPr>
                <w:lang w:val="uk-UA"/>
              </w:rPr>
              <w:t>Альтернатива 1</w:t>
            </w:r>
          </w:p>
          <w:p w:rsidR="00B3339F" w:rsidRPr="00D2518C" w:rsidRDefault="00B3339F" w:rsidP="005F776F">
            <w:pPr>
              <w:rPr>
                <w:lang w:val="uk-UA"/>
              </w:rPr>
            </w:pPr>
            <w:r w:rsidRPr="00D2518C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2223" w:type="dxa"/>
          </w:tcPr>
          <w:p w:rsidR="00B3339F" w:rsidRPr="00D2518C" w:rsidRDefault="00B3339F" w:rsidP="005F776F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1</w:t>
            </w:r>
          </w:p>
        </w:tc>
        <w:tc>
          <w:tcPr>
            <w:tcW w:w="4707" w:type="dxa"/>
          </w:tcPr>
          <w:p w:rsidR="00B3339F" w:rsidRPr="00730C78" w:rsidRDefault="00730C78" w:rsidP="00BB638A">
            <w:pPr>
              <w:shd w:val="clear" w:color="auto" w:fill="FFFFFF"/>
              <w:jc w:val="both"/>
              <w:rPr>
                <w:bCs/>
                <w:lang w:val="uk-UA"/>
              </w:rPr>
            </w:pPr>
            <w:r w:rsidRPr="00730C78">
              <w:rPr>
                <w:color w:val="000000"/>
                <w:lang w:val="uk-UA" w:eastAsia="en-US"/>
              </w:rPr>
              <w:t>Не забезпечує досягнення поставленої мети.</w:t>
            </w:r>
            <w:r w:rsidR="00EF3AB5">
              <w:rPr>
                <w:color w:val="000000"/>
                <w:lang w:val="uk-UA" w:eastAsia="en-US"/>
              </w:rPr>
              <w:t xml:space="preserve"> </w:t>
            </w:r>
            <w:r w:rsidR="00FF49A6">
              <w:rPr>
                <w:rFonts w:eastAsia="Calibri"/>
                <w:color w:val="000000"/>
                <w:lang w:val="uk-UA" w:eastAsia="en-US"/>
              </w:rPr>
              <w:t>І</w:t>
            </w:r>
            <w:r w:rsidR="00FF49A6" w:rsidRPr="00FF49A6">
              <w:rPr>
                <w:rFonts w:eastAsia="Calibri"/>
                <w:color w:val="000000"/>
                <w:lang w:val="uk-UA" w:eastAsia="en-US"/>
              </w:rPr>
              <w:t>снуватиме необхідність в удосконаленні нормативно-правових актів</w:t>
            </w:r>
            <w:r w:rsidR="00FF49A6">
              <w:rPr>
                <w:color w:val="000000"/>
                <w:lang w:val="uk-UA" w:eastAsia="en-US"/>
              </w:rPr>
              <w:t>, зокрема Кодексу та Типового договору</w:t>
            </w:r>
          </w:p>
        </w:tc>
      </w:tr>
      <w:tr w:rsidR="00B3339F" w:rsidRPr="00D2518C" w:rsidTr="005F776F">
        <w:tc>
          <w:tcPr>
            <w:tcW w:w="2988" w:type="dxa"/>
          </w:tcPr>
          <w:p w:rsidR="00B3339F" w:rsidRPr="00D2518C" w:rsidRDefault="00B3339F" w:rsidP="005F776F">
            <w:pPr>
              <w:jc w:val="both"/>
              <w:rPr>
                <w:lang w:val="uk-UA"/>
              </w:rPr>
            </w:pPr>
            <w:r w:rsidRPr="00D2518C">
              <w:rPr>
                <w:lang w:val="uk-UA"/>
              </w:rPr>
              <w:t>Альтернатива 2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lang w:val="uk-UA"/>
              </w:rPr>
              <w:t>Внесення змін до чинного регуляторного акта (обраний спосіб)</w:t>
            </w:r>
          </w:p>
        </w:tc>
        <w:tc>
          <w:tcPr>
            <w:tcW w:w="2223" w:type="dxa"/>
          </w:tcPr>
          <w:p w:rsidR="00B3339F" w:rsidRPr="00D2518C" w:rsidRDefault="00B3339F" w:rsidP="005F776F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4</w:t>
            </w:r>
          </w:p>
        </w:tc>
        <w:tc>
          <w:tcPr>
            <w:tcW w:w="4707" w:type="dxa"/>
          </w:tcPr>
          <w:p w:rsidR="00B3339F" w:rsidRPr="00AB41E1" w:rsidRDefault="00730C78" w:rsidP="00BB638A">
            <w:pPr>
              <w:pStyle w:val="a3"/>
              <w:widowControl w:val="0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B41E1">
              <w:rPr>
                <w:color w:val="000000"/>
                <w:lang w:val="uk-UA" w:eastAsia="en-US"/>
              </w:rPr>
              <w:t>Дозволяє вирішити проблему найбільш ефективни</w:t>
            </w:r>
            <w:r w:rsidR="00BB638A">
              <w:rPr>
                <w:color w:val="000000"/>
                <w:lang w:val="uk-UA" w:eastAsia="en-US"/>
              </w:rPr>
              <w:t>м та найменш затратним способом</w:t>
            </w:r>
          </w:p>
        </w:tc>
      </w:tr>
    </w:tbl>
    <w:p w:rsidR="00B3339F" w:rsidRPr="00D2518C" w:rsidRDefault="00B3339F" w:rsidP="00B3339F">
      <w:pPr>
        <w:jc w:val="both"/>
        <w:rPr>
          <w:bCs/>
          <w:sz w:val="27"/>
          <w:szCs w:val="27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1418"/>
        <w:gridCol w:w="1559"/>
        <w:gridCol w:w="3969"/>
      </w:tblGrid>
      <w:tr w:rsidR="00B3339F" w:rsidRPr="00D2518C" w:rsidTr="009D656B">
        <w:tc>
          <w:tcPr>
            <w:tcW w:w="2972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1418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Вигоди (підсумок)</w:t>
            </w:r>
          </w:p>
        </w:tc>
        <w:tc>
          <w:tcPr>
            <w:tcW w:w="1559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3969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752BF1" w:rsidRPr="0027091D" w:rsidTr="009D656B">
        <w:tc>
          <w:tcPr>
            <w:tcW w:w="2972" w:type="dxa"/>
          </w:tcPr>
          <w:p w:rsidR="00752BF1" w:rsidRPr="00D2518C" w:rsidRDefault="00752BF1" w:rsidP="00752BF1">
            <w:pPr>
              <w:jc w:val="both"/>
              <w:rPr>
                <w:lang w:val="uk-UA"/>
              </w:rPr>
            </w:pPr>
            <w:r w:rsidRPr="00D2518C">
              <w:rPr>
                <w:lang w:val="uk-UA"/>
              </w:rPr>
              <w:t>Альтернатива 1</w:t>
            </w:r>
          </w:p>
          <w:p w:rsidR="00752BF1" w:rsidRPr="00D2518C" w:rsidRDefault="00752BF1" w:rsidP="00752BF1">
            <w:pPr>
              <w:rPr>
                <w:lang w:val="uk-UA"/>
              </w:rPr>
            </w:pPr>
            <w:r w:rsidRPr="00D2518C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1418" w:type="dxa"/>
            <w:vAlign w:val="center"/>
          </w:tcPr>
          <w:p w:rsidR="00752BF1" w:rsidRPr="00D2518C" w:rsidRDefault="00752BF1" w:rsidP="00BB638A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Відсутні</w:t>
            </w:r>
          </w:p>
        </w:tc>
        <w:tc>
          <w:tcPr>
            <w:tcW w:w="1559" w:type="dxa"/>
            <w:vAlign w:val="center"/>
          </w:tcPr>
          <w:p w:rsidR="00752BF1" w:rsidRPr="00D2518C" w:rsidRDefault="00BB638A" w:rsidP="00BB638A">
            <w:pPr>
              <w:shd w:val="clear" w:color="auto" w:fill="FFFFFF"/>
              <w:jc w:val="center"/>
              <w:rPr>
                <w:bCs/>
                <w:lang w:val="uk-UA"/>
              </w:rPr>
            </w:pPr>
            <w:r w:rsidRPr="00D2518C">
              <w:rPr>
                <w:lang w:val="uk-UA"/>
              </w:rPr>
              <w:t>Відсутні</w:t>
            </w:r>
          </w:p>
        </w:tc>
        <w:tc>
          <w:tcPr>
            <w:tcW w:w="3969" w:type="dxa"/>
            <w:vAlign w:val="center"/>
          </w:tcPr>
          <w:p w:rsidR="00FF49A6" w:rsidRPr="00FF49A6" w:rsidRDefault="00FF49A6" w:rsidP="00FF49A6">
            <w:pPr>
              <w:jc w:val="both"/>
              <w:rPr>
                <w:rFonts w:eastAsia="Calibri"/>
                <w:color w:val="000000"/>
                <w:lang w:val="uk-UA" w:eastAsia="en-US"/>
              </w:rPr>
            </w:pPr>
            <w:r w:rsidRPr="00FF49A6">
              <w:rPr>
                <w:rFonts w:eastAsia="Calibri"/>
                <w:color w:val="000000"/>
                <w:lang w:val="uk-UA" w:eastAsia="en-US"/>
              </w:rPr>
              <w:t xml:space="preserve">Реалізація альтернативи 1: </w:t>
            </w:r>
          </w:p>
          <w:p w:rsidR="00752BF1" w:rsidRPr="00FF49A6" w:rsidRDefault="00FF49A6" w:rsidP="00FF49A6">
            <w:pPr>
              <w:jc w:val="both"/>
              <w:rPr>
                <w:rFonts w:eastAsia="Calibri"/>
                <w:color w:val="000000"/>
                <w:lang w:val="uk-UA" w:eastAsia="en-US"/>
              </w:rPr>
            </w:pPr>
            <w:r w:rsidRPr="00FF49A6">
              <w:rPr>
                <w:rFonts w:eastAsia="Calibri"/>
                <w:color w:val="000000"/>
                <w:lang w:val="uk-UA" w:eastAsia="en-US"/>
              </w:rPr>
              <w:t>Не дозволяє вирішити поставлену задачу</w:t>
            </w:r>
          </w:p>
        </w:tc>
      </w:tr>
      <w:tr w:rsidR="00752BF1" w:rsidRPr="00D2518C" w:rsidTr="00A51FCB">
        <w:tc>
          <w:tcPr>
            <w:tcW w:w="2972" w:type="dxa"/>
          </w:tcPr>
          <w:p w:rsidR="00752BF1" w:rsidRPr="00D2518C" w:rsidRDefault="00752BF1" w:rsidP="00752BF1">
            <w:pPr>
              <w:jc w:val="both"/>
              <w:rPr>
                <w:lang w:val="uk-UA"/>
              </w:rPr>
            </w:pPr>
            <w:r w:rsidRPr="00D2518C">
              <w:rPr>
                <w:lang w:val="uk-UA"/>
              </w:rPr>
              <w:t>Альтернатива 2</w:t>
            </w:r>
          </w:p>
          <w:p w:rsidR="00752BF1" w:rsidRPr="00D2518C" w:rsidRDefault="00752BF1" w:rsidP="00752BF1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1418" w:type="dxa"/>
          </w:tcPr>
          <w:p w:rsidR="00FF49A6" w:rsidRPr="00FF49A6" w:rsidRDefault="00FF49A6" w:rsidP="00FF49A6">
            <w:pPr>
              <w:jc w:val="both"/>
              <w:rPr>
                <w:rFonts w:eastAsia="Calibri"/>
                <w:color w:val="000000"/>
                <w:lang w:val="uk-UA" w:eastAsia="en-US"/>
              </w:rPr>
            </w:pPr>
            <w:r w:rsidRPr="00FF49A6">
              <w:rPr>
                <w:rFonts w:eastAsia="Calibri"/>
                <w:color w:val="000000"/>
                <w:lang w:val="uk-UA" w:eastAsia="en-US"/>
              </w:rPr>
              <w:t xml:space="preserve">Забезпечення дієвості та прозорості механізмів регулювання ринку природного газу та ефективне </w:t>
            </w:r>
            <w:r w:rsidRPr="00FF49A6">
              <w:rPr>
                <w:rFonts w:eastAsia="Calibri"/>
                <w:lang w:val="uk-UA"/>
              </w:rPr>
              <w:t>використання ресурсів</w:t>
            </w:r>
          </w:p>
          <w:p w:rsidR="00752BF1" w:rsidRPr="00D2518C" w:rsidRDefault="00752BF1" w:rsidP="00BB638A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752BF1" w:rsidRPr="00D2518C" w:rsidRDefault="00752BF1" w:rsidP="00BB638A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Відсутні</w:t>
            </w:r>
          </w:p>
        </w:tc>
        <w:tc>
          <w:tcPr>
            <w:tcW w:w="3969" w:type="dxa"/>
          </w:tcPr>
          <w:p w:rsidR="00FF49A6" w:rsidRDefault="00FF49A6" w:rsidP="00FF49A6">
            <w:pPr>
              <w:pStyle w:val="a3"/>
              <w:widowControl w:val="0"/>
              <w:spacing w:before="0" w:beforeAutospacing="0" w:after="0" w:afterAutospacing="0"/>
              <w:jc w:val="both"/>
              <w:rPr>
                <w:rFonts w:eastAsia="Calibri"/>
                <w:color w:val="000000"/>
                <w:lang w:val="uk-UA" w:eastAsia="en-US"/>
              </w:rPr>
            </w:pPr>
            <w:r w:rsidRPr="00FF49A6">
              <w:rPr>
                <w:rFonts w:eastAsia="Calibri"/>
                <w:color w:val="000000"/>
                <w:lang w:val="uk-UA" w:eastAsia="en-US"/>
              </w:rPr>
              <w:t xml:space="preserve">Реалізація альтернативи </w:t>
            </w:r>
            <w:r>
              <w:rPr>
                <w:rFonts w:eastAsia="Calibri"/>
                <w:color w:val="000000"/>
                <w:lang w:val="uk-UA" w:eastAsia="en-US"/>
              </w:rPr>
              <w:t>2</w:t>
            </w:r>
            <w:r w:rsidRPr="00FF49A6">
              <w:rPr>
                <w:rFonts w:eastAsia="Calibri"/>
                <w:color w:val="000000"/>
                <w:lang w:val="uk-UA" w:eastAsia="en-US"/>
              </w:rPr>
              <w:t>:</w:t>
            </w:r>
          </w:p>
          <w:p w:rsidR="00752BF1" w:rsidRPr="00D2518C" w:rsidRDefault="00FF49A6" w:rsidP="00FF49A6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proofErr w:type="spellStart"/>
            <w:r w:rsidRPr="00FF49A6">
              <w:rPr>
                <w:rFonts w:eastAsia="Calibri"/>
                <w:color w:val="000000"/>
                <w:lang w:val="uk-UA" w:eastAsia="en-US"/>
              </w:rPr>
              <w:t>Проєкт</w:t>
            </w:r>
            <w:proofErr w:type="spellEnd"/>
            <w:r w:rsidRPr="00FF49A6">
              <w:rPr>
                <w:rFonts w:eastAsia="Calibri"/>
                <w:color w:val="000000"/>
                <w:lang w:val="uk-UA" w:eastAsia="en-US"/>
              </w:rPr>
              <w:t xml:space="preserve"> постанови дозволить досягнути задекларовані цілі повною мірою, вирішити проблему найефективнішим способом та встановить зрозуміле загальне регулювання</w:t>
            </w:r>
          </w:p>
        </w:tc>
      </w:tr>
    </w:tbl>
    <w:p w:rsidR="00B3339F" w:rsidRPr="00CD156B" w:rsidRDefault="00B3339F" w:rsidP="00B3339F">
      <w:pPr>
        <w:jc w:val="both"/>
        <w:rPr>
          <w:bCs/>
          <w:sz w:val="27"/>
          <w:szCs w:val="27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0"/>
        <w:gridCol w:w="4945"/>
        <w:gridCol w:w="2013"/>
      </w:tblGrid>
      <w:tr w:rsidR="00B3339F" w:rsidRPr="00CD156B" w:rsidTr="005F776F">
        <w:tc>
          <w:tcPr>
            <w:tcW w:w="2960" w:type="dxa"/>
          </w:tcPr>
          <w:p w:rsidR="00B3339F" w:rsidRPr="00BB7661" w:rsidRDefault="00B3339F" w:rsidP="005F776F">
            <w:pPr>
              <w:jc w:val="center"/>
              <w:rPr>
                <w:b/>
                <w:lang w:val="uk-UA"/>
              </w:rPr>
            </w:pPr>
            <w:r w:rsidRPr="00BB7661">
              <w:rPr>
                <w:b/>
                <w:lang w:val="uk-UA"/>
              </w:rPr>
              <w:t>Рейтинг</w:t>
            </w:r>
          </w:p>
        </w:tc>
        <w:tc>
          <w:tcPr>
            <w:tcW w:w="4945" w:type="dxa"/>
          </w:tcPr>
          <w:p w:rsidR="00B3339F" w:rsidRPr="00BB7661" w:rsidRDefault="00B3339F" w:rsidP="005F776F">
            <w:pPr>
              <w:jc w:val="center"/>
              <w:rPr>
                <w:b/>
                <w:lang w:val="uk-UA"/>
              </w:rPr>
            </w:pPr>
            <w:r w:rsidRPr="00BB7661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013" w:type="dxa"/>
          </w:tcPr>
          <w:p w:rsidR="00B3339F" w:rsidRPr="00BB7661" w:rsidRDefault="00B3339F" w:rsidP="005F776F">
            <w:pPr>
              <w:jc w:val="center"/>
              <w:rPr>
                <w:b/>
                <w:lang w:val="uk-UA"/>
              </w:rPr>
            </w:pPr>
            <w:r w:rsidRPr="00BB7661">
              <w:rPr>
                <w:b/>
                <w:lang w:val="uk-UA"/>
              </w:rPr>
              <w:t>Оцінка ризику зовнішніх чинників на дію запропонованог</w:t>
            </w:r>
            <w:r w:rsidRPr="00BB7661">
              <w:rPr>
                <w:b/>
                <w:lang w:val="uk-UA"/>
              </w:rPr>
              <w:lastRenderedPageBreak/>
              <w:t>о регуляторного акта</w:t>
            </w:r>
          </w:p>
        </w:tc>
      </w:tr>
      <w:tr w:rsidR="00B3339F" w:rsidRPr="00CD156B" w:rsidTr="005F776F">
        <w:tc>
          <w:tcPr>
            <w:tcW w:w="2960" w:type="dxa"/>
          </w:tcPr>
          <w:p w:rsidR="00B3339F" w:rsidRPr="00BB7661" w:rsidRDefault="00B3339F" w:rsidP="005F776F">
            <w:pPr>
              <w:jc w:val="both"/>
              <w:rPr>
                <w:lang w:val="uk-UA"/>
              </w:rPr>
            </w:pPr>
            <w:r w:rsidRPr="00BB7661">
              <w:rPr>
                <w:lang w:val="uk-UA"/>
              </w:rPr>
              <w:lastRenderedPageBreak/>
              <w:t>Альтернатива 1</w:t>
            </w:r>
          </w:p>
          <w:p w:rsidR="00B3339F" w:rsidRPr="00BB7661" w:rsidRDefault="00B3339F" w:rsidP="005F776F">
            <w:pPr>
              <w:rPr>
                <w:lang w:val="uk-UA"/>
              </w:rPr>
            </w:pPr>
            <w:r w:rsidRPr="00BB7661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4945" w:type="dxa"/>
            <w:shd w:val="clear" w:color="auto" w:fill="auto"/>
          </w:tcPr>
          <w:p w:rsidR="00B3339F" w:rsidRPr="00BB7661" w:rsidRDefault="00B3339F" w:rsidP="005F776F">
            <w:pPr>
              <w:jc w:val="both"/>
              <w:rPr>
                <w:lang w:val="uk-UA"/>
              </w:rPr>
            </w:pPr>
            <w:r w:rsidRPr="00BB7661">
              <w:rPr>
                <w:lang w:val="uk-UA"/>
              </w:rPr>
              <w:t>Не вирішує визначену проблему</w:t>
            </w:r>
          </w:p>
        </w:tc>
        <w:tc>
          <w:tcPr>
            <w:tcW w:w="2013" w:type="dxa"/>
          </w:tcPr>
          <w:p w:rsidR="00B3339F" w:rsidRPr="00BB7661" w:rsidRDefault="00B3339F" w:rsidP="005F776F">
            <w:pPr>
              <w:jc w:val="both"/>
              <w:rPr>
                <w:lang w:val="uk-UA"/>
              </w:rPr>
            </w:pPr>
            <w:r w:rsidRPr="00BB7661">
              <w:rPr>
                <w:lang w:val="uk-UA"/>
              </w:rPr>
              <w:t>Відсутній</w:t>
            </w:r>
          </w:p>
        </w:tc>
      </w:tr>
      <w:tr w:rsidR="00B3339F" w:rsidRPr="00CD156B" w:rsidTr="005F776F">
        <w:trPr>
          <w:trHeight w:val="420"/>
        </w:trPr>
        <w:tc>
          <w:tcPr>
            <w:tcW w:w="2960" w:type="dxa"/>
          </w:tcPr>
          <w:p w:rsidR="00B3339F" w:rsidRPr="00BB7661" w:rsidRDefault="00B3339F" w:rsidP="005F776F">
            <w:pPr>
              <w:jc w:val="both"/>
              <w:rPr>
                <w:lang w:val="uk-UA"/>
              </w:rPr>
            </w:pPr>
            <w:r w:rsidRPr="00BB7661">
              <w:rPr>
                <w:lang w:val="uk-UA"/>
              </w:rPr>
              <w:t>Альтернатива 2</w:t>
            </w:r>
          </w:p>
          <w:p w:rsidR="00B3339F" w:rsidRPr="00BB7661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BB7661">
              <w:rPr>
                <w:lang w:val="uk-UA"/>
              </w:rPr>
              <w:t>Внесення змін до чинного регуляторного акта (обраний спосіб)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39F" w:rsidRPr="00BB7661" w:rsidRDefault="00BB7661" w:rsidP="00752BF1">
            <w:pPr>
              <w:pStyle w:val="a3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BB7661">
              <w:rPr>
                <w:bCs/>
                <w:lang w:val="uk-UA"/>
              </w:rPr>
              <w:t>Забезпечує досягнення цілей державного регулювання. Дозволяє вирішити проблему найбільш ефективним способом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39F" w:rsidRPr="00BB7661" w:rsidRDefault="00B3339F" w:rsidP="005F776F">
            <w:pPr>
              <w:spacing w:line="259" w:lineRule="auto"/>
              <w:ind w:right="55"/>
              <w:jc w:val="both"/>
              <w:rPr>
                <w:lang w:val="uk-UA"/>
              </w:rPr>
            </w:pPr>
            <w:r w:rsidRPr="00BB7661">
              <w:rPr>
                <w:lang w:val="uk-UA"/>
              </w:rPr>
              <w:t xml:space="preserve">Відсутній </w:t>
            </w:r>
          </w:p>
        </w:tc>
      </w:tr>
    </w:tbl>
    <w:p w:rsidR="00B3339F" w:rsidRPr="00752BF1" w:rsidRDefault="00B3339F" w:rsidP="00B3339F">
      <w:pPr>
        <w:rPr>
          <w:b/>
          <w:sz w:val="28"/>
          <w:szCs w:val="28"/>
          <w:lang w:val="uk-UA"/>
        </w:rPr>
      </w:pPr>
    </w:p>
    <w:p w:rsidR="00B3339F" w:rsidRPr="00752BF1" w:rsidRDefault="00B3339F" w:rsidP="00543DF0">
      <w:pPr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752BF1">
        <w:rPr>
          <w:b/>
          <w:sz w:val="28"/>
          <w:szCs w:val="28"/>
          <w:lang w:val="uk-UA"/>
        </w:rPr>
        <w:t>V. Механізми та заходи, які забезпечать розв'язання визначеної проблеми</w:t>
      </w:r>
    </w:p>
    <w:p w:rsidR="009B2D1B" w:rsidRDefault="009B2D1B" w:rsidP="009B2D1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BB7661">
        <w:rPr>
          <w:rFonts w:cs="Calibri"/>
          <w:sz w:val="28"/>
          <w:szCs w:val="28"/>
          <w:lang w:val="uk-UA" w:eastAsia="en-US"/>
        </w:rPr>
        <w:t xml:space="preserve">Для досягнення поставленої мети пропонується прийняти постанову </w:t>
      </w:r>
      <w:r w:rsidRPr="00BB7661">
        <w:rPr>
          <w:sz w:val="28"/>
          <w:szCs w:val="28"/>
          <w:lang w:val="uk-UA" w:eastAsia="en-US"/>
        </w:rPr>
        <w:t>НКРЕКП</w:t>
      </w:r>
      <w:r>
        <w:rPr>
          <w:sz w:val="28"/>
          <w:szCs w:val="28"/>
          <w:lang w:val="uk-UA" w:eastAsia="en-US"/>
        </w:rPr>
        <w:t xml:space="preserve"> «</w:t>
      </w:r>
      <w:r w:rsidRPr="00641557">
        <w:rPr>
          <w:sz w:val="28"/>
          <w:szCs w:val="28"/>
          <w:lang w:val="uk-UA"/>
        </w:rPr>
        <w:t>Про затвердження Змін до деяких постанов НКРЕКП»</w:t>
      </w:r>
      <w:r>
        <w:rPr>
          <w:sz w:val="28"/>
          <w:szCs w:val="28"/>
          <w:lang w:val="uk-UA"/>
        </w:rPr>
        <w:t xml:space="preserve">, яка забезпечить </w:t>
      </w:r>
      <w:r w:rsidRPr="001F4110">
        <w:rPr>
          <w:sz w:val="28"/>
          <w:szCs w:val="28"/>
          <w:lang w:val="uk-UA"/>
        </w:rPr>
        <w:t>своєчасн</w:t>
      </w:r>
      <w:r>
        <w:rPr>
          <w:sz w:val="28"/>
          <w:szCs w:val="28"/>
          <w:lang w:val="uk-UA"/>
        </w:rPr>
        <w:t>е</w:t>
      </w:r>
      <w:r w:rsidRPr="001F4110">
        <w:rPr>
          <w:sz w:val="28"/>
          <w:szCs w:val="28"/>
          <w:lang w:val="uk-UA"/>
        </w:rPr>
        <w:t xml:space="preserve"> </w:t>
      </w:r>
      <w:r w:rsidRPr="00372E37">
        <w:rPr>
          <w:sz w:val="28"/>
          <w:szCs w:val="28"/>
          <w:lang w:val="uk-UA"/>
        </w:rPr>
        <w:t xml:space="preserve">створення необхідних передумов для успішної реалізації </w:t>
      </w:r>
      <w:proofErr w:type="spellStart"/>
      <w:r w:rsidRPr="00372E37">
        <w:rPr>
          <w:sz w:val="28"/>
          <w:szCs w:val="28"/>
          <w:lang w:val="uk-UA"/>
        </w:rPr>
        <w:t>проєкту</w:t>
      </w:r>
      <w:proofErr w:type="spellEnd"/>
      <w:r w:rsidRPr="00372E37">
        <w:rPr>
          <w:sz w:val="28"/>
          <w:szCs w:val="28"/>
          <w:lang w:val="uk-UA"/>
        </w:rPr>
        <w:t xml:space="preserve"> нової (збільшеної) потужності та </w:t>
      </w:r>
      <w:r w:rsidRPr="00372E37">
        <w:rPr>
          <w:rFonts w:eastAsia="Calibri"/>
          <w:sz w:val="28"/>
          <w:szCs w:val="28"/>
          <w:lang w:val="uk-UA" w:eastAsia="en-US"/>
        </w:rPr>
        <w:t>вдосконалення положень Кодексу та Типового договору, які регулюють питання взаємовідносин замовників послуг транспортування та Оператора ГТС</w:t>
      </w:r>
      <w:r>
        <w:rPr>
          <w:sz w:val="28"/>
          <w:szCs w:val="28"/>
          <w:lang w:val="uk-UA"/>
        </w:rPr>
        <w:t>.</w:t>
      </w:r>
    </w:p>
    <w:p w:rsidR="00BB7661" w:rsidRPr="00BB7661" w:rsidRDefault="00BB7661" w:rsidP="00BB7661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 w:eastAsia="en-US"/>
        </w:rPr>
      </w:pPr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>акта</w:t>
      </w:r>
      <w:proofErr w:type="spellEnd"/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>, не очікується.</w:t>
      </w:r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ab/>
      </w:r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ab/>
      </w:r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ab/>
      </w:r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ab/>
      </w:r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ab/>
      </w:r>
    </w:p>
    <w:p w:rsidR="00BB7661" w:rsidRPr="00BB7661" w:rsidRDefault="00BB7661" w:rsidP="00BB7661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 w:eastAsia="en-US"/>
        </w:rPr>
      </w:pPr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Надано високу оцінку можливості впровадження та виконання вимог регуляторного </w:t>
      </w:r>
      <w:proofErr w:type="spellStart"/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>акта</w:t>
      </w:r>
      <w:proofErr w:type="spellEnd"/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 суб’єктами господарювання. </w:t>
      </w:r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ab/>
      </w:r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ab/>
      </w:r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ab/>
      </w:r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ab/>
      </w:r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ab/>
      </w:r>
    </w:p>
    <w:p w:rsidR="00BB7661" w:rsidRPr="00BB7661" w:rsidRDefault="00BB7661" w:rsidP="00BB7661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 w:eastAsia="en-US"/>
        </w:rPr>
      </w:pPr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>акта</w:t>
      </w:r>
      <w:proofErr w:type="spellEnd"/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 не розроблялась, оскільки введення в дію положень регуляторного </w:t>
      </w:r>
      <w:proofErr w:type="spellStart"/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>акта</w:t>
      </w:r>
      <w:proofErr w:type="spellEnd"/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 не призведе до настання будь-яких негативних наслідків. </w:t>
      </w:r>
    </w:p>
    <w:p w:rsidR="00BB7661" w:rsidRPr="00BB7661" w:rsidRDefault="00BB7661" w:rsidP="00BB7661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 w:eastAsia="en-US"/>
        </w:rPr>
      </w:pPr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Функції в частині здійснення державного контролю та нагляду за додержанням вимог </w:t>
      </w:r>
      <w:proofErr w:type="spellStart"/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>акта</w:t>
      </w:r>
      <w:proofErr w:type="spellEnd"/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 будуть </w:t>
      </w:r>
      <w:proofErr w:type="spellStart"/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>здійснюватись</w:t>
      </w:r>
      <w:proofErr w:type="spellEnd"/>
      <w:r w:rsidRPr="00BB7661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 державними органами, яким, відповідно до законодавства, надані такі повноваження. </w:t>
      </w:r>
    </w:p>
    <w:p w:rsidR="00B3339F" w:rsidRPr="00C12CE8" w:rsidRDefault="00B3339F" w:rsidP="00B3339F">
      <w:pPr>
        <w:widowControl w:val="0"/>
        <w:jc w:val="both"/>
        <w:rPr>
          <w:color w:val="000000"/>
          <w:sz w:val="28"/>
          <w:szCs w:val="28"/>
          <w:lang w:val="uk-UA"/>
        </w:rPr>
      </w:pP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  <w:lang w:val="uk-UA"/>
        </w:rPr>
      </w:pPr>
      <w:r w:rsidRPr="00C12CE8">
        <w:rPr>
          <w:b/>
          <w:bCs/>
          <w:sz w:val="28"/>
          <w:szCs w:val="28"/>
          <w:lang w:val="uk-UA"/>
        </w:rPr>
        <w:t>VI. Обґрунтування запропонованого строку дії регуляторного акта</w:t>
      </w: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 xml:space="preserve">Термін </w:t>
      </w:r>
      <w:r w:rsidRPr="00C12CE8">
        <w:rPr>
          <w:rStyle w:val="spelle"/>
          <w:sz w:val="28"/>
          <w:szCs w:val="28"/>
          <w:lang w:val="uk-UA"/>
        </w:rPr>
        <w:t>дії</w:t>
      </w:r>
      <w:r w:rsidRPr="00C12CE8">
        <w:rPr>
          <w:sz w:val="28"/>
          <w:szCs w:val="28"/>
          <w:lang w:val="uk-UA"/>
        </w:rPr>
        <w:t xml:space="preserve"> акта не</w:t>
      </w:r>
      <w:r w:rsidRPr="00C12CE8">
        <w:rPr>
          <w:rStyle w:val="spelle"/>
          <w:sz w:val="28"/>
          <w:szCs w:val="28"/>
          <w:lang w:val="uk-UA"/>
        </w:rPr>
        <w:t>обмежений</w:t>
      </w:r>
      <w:r w:rsidRPr="00C12CE8">
        <w:rPr>
          <w:sz w:val="28"/>
          <w:szCs w:val="28"/>
          <w:lang w:val="uk-UA"/>
        </w:rPr>
        <w:t>. Він може бути змінений у разі внесення відповідних змін до законодавства.</w:t>
      </w:r>
    </w:p>
    <w:p w:rsidR="00B3339F" w:rsidRPr="00BB638A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8"/>
          <w:szCs w:val="28"/>
          <w:lang w:val="uk-UA"/>
        </w:rPr>
      </w:pPr>
      <w:r w:rsidRPr="00C12CE8">
        <w:rPr>
          <w:b/>
          <w:sz w:val="28"/>
          <w:szCs w:val="28"/>
          <w:lang w:val="uk-UA"/>
        </w:rPr>
        <w:t>VII. Визначення показників результативності дії регуляторного акта</w:t>
      </w: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bookmarkStart w:id="3" w:name="_Hlk69799505"/>
      <w:r w:rsidRPr="00C12CE8">
        <w:rPr>
          <w:sz w:val="28"/>
          <w:szCs w:val="28"/>
          <w:lang w:val="uk-UA"/>
        </w:rPr>
        <w:t xml:space="preserve">Після набрання чинності постановою НКРЕКП «Про </w:t>
      </w:r>
      <w:r w:rsidR="00BB7661">
        <w:rPr>
          <w:sz w:val="28"/>
          <w:szCs w:val="28"/>
          <w:lang w:val="uk-UA"/>
        </w:rPr>
        <w:t>затвердження Змін до деяких постанов НКРЕКП</w:t>
      </w:r>
      <w:r w:rsidRPr="00C12CE8">
        <w:rPr>
          <w:sz w:val="28"/>
          <w:szCs w:val="28"/>
          <w:lang w:val="uk-UA"/>
        </w:rPr>
        <w:t>» її результативність визначається такими кількісними показниками:</w:t>
      </w: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>1)</w:t>
      </w:r>
      <w:r w:rsidR="009D656B">
        <w:rPr>
          <w:color w:val="FF0000"/>
          <w:sz w:val="28"/>
          <w:szCs w:val="28"/>
          <w:lang w:val="uk-UA"/>
        </w:rPr>
        <w:t> </w:t>
      </w:r>
      <w:r w:rsidRPr="00C12CE8">
        <w:rPr>
          <w:sz w:val="28"/>
          <w:szCs w:val="28"/>
          <w:lang w:val="uk-UA"/>
        </w:rPr>
        <w:t>розміром надходжень до Державного бюджету України – реалізація проєкту регуляторного акта не потребує витрат із Державного бюджету України;</w:t>
      </w: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>2)</w:t>
      </w:r>
      <w:r w:rsidR="009D656B">
        <w:rPr>
          <w:sz w:val="28"/>
          <w:szCs w:val="28"/>
          <w:lang w:val="uk-UA"/>
        </w:rPr>
        <w:t> </w:t>
      </w:r>
      <w:r w:rsidRPr="00C12CE8">
        <w:rPr>
          <w:sz w:val="28"/>
          <w:szCs w:val="28"/>
          <w:lang w:val="uk-UA"/>
        </w:rPr>
        <w:t>кількістю суб'єктів господарювання та/або фізичних осіб, на яких поширюється дія акта – дія акта поширюватиметься на</w:t>
      </w:r>
      <w:r w:rsidR="00AB41E1">
        <w:rPr>
          <w:sz w:val="28"/>
          <w:szCs w:val="28"/>
          <w:lang w:val="uk-UA"/>
        </w:rPr>
        <w:t xml:space="preserve"> оператора газотранспортної </w:t>
      </w:r>
      <w:r w:rsidR="00AB41E1" w:rsidRPr="009D656B">
        <w:rPr>
          <w:sz w:val="28"/>
          <w:szCs w:val="28"/>
          <w:lang w:val="uk-UA"/>
        </w:rPr>
        <w:t>системи та</w:t>
      </w:r>
      <w:r w:rsidRPr="009D656B">
        <w:rPr>
          <w:sz w:val="28"/>
          <w:szCs w:val="28"/>
          <w:lang w:val="uk-UA"/>
        </w:rPr>
        <w:t xml:space="preserve"> суб’єктів господарювання</w:t>
      </w:r>
      <w:r w:rsidRPr="009D656B">
        <w:rPr>
          <w:bCs/>
          <w:color w:val="000000"/>
          <w:sz w:val="28"/>
          <w:szCs w:val="28"/>
          <w:lang w:val="uk-UA"/>
        </w:rPr>
        <w:t xml:space="preserve">, </w:t>
      </w:r>
      <w:r w:rsidR="009D656B" w:rsidRPr="009D656B">
        <w:rPr>
          <w:bCs/>
          <w:color w:val="000000"/>
          <w:sz w:val="28"/>
          <w:szCs w:val="28"/>
          <w:lang w:val="uk-UA"/>
        </w:rPr>
        <w:t>які є замовниками</w:t>
      </w:r>
      <w:r w:rsidR="009D656B">
        <w:rPr>
          <w:bCs/>
          <w:color w:val="000000"/>
          <w:sz w:val="28"/>
          <w:szCs w:val="28"/>
          <w:lang w:val="uk-UA"/>
        </w:rPr>
        <w:t xml:space="preserve"> послуг транспортування природного газу</w:t>
      </w:r>
      <w:r w:rsidRPr="00C12CE8">
        <w:rPr>
          <w:sz w:val="28"/>
          <w:szCs w:val="28"/>
          <w:lang w:val="uk-UA"/>
        </w:rPr>
        <w:t>;</w:t>
      </w:r>
    </w:p>
    <w:p w:rsidR="00B3339F" w:rsidRPr="00C12CE8" w:rsidRDefault="00B3339F" w:rsidP="00B3339F">
      <w:pPr>
        <w:ind w:firstLine="539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>3) рівнем поінформованості суб’єктів господарювання з основних положень</w:t>
      </w:r>
      <w:r w:rsidR="00C12CE8">
        <w:rPr>
          <w:sz w:val="28"/>
          <w:szCs w:val="28"/>
          <w:lang w:val="uk-UA"/>
        </w:rPr>
        <w:t xml:space="preserve"> </w:t>
      </w:r>
      <w:r w:rsidRPr="00C12CE8">
        <w:rPr>
          <w:sz w:val="28"/>
          <w:szCs w:val="28"/>
          <w:lang w:val="uk-UA"/>
        </w:rPr>
        <w:t>акта – середній.</w:t>
      </w:r>
    </w:p>
    <w:bookmarkEnd w:id="3"/>
    <w:p w:rsidR="00B3339F" w:rsidRPr="00C12CE8" w:rsidRDefault="00B3339F" w:rsidP="00B3339F">
      <w:pPr>
        <w:ind w:firstLine="540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lastRenderedPageBreak/>
        <w:t xml:space="preserve">Відповідно до вимог частини другої статті 15 </w:t>
      </w:r>
      <w:r w:rsidR="009D656B">
        <w:rPr>
          <w:color w:val="000000"/>
          <w:sz w:val="28"/>
          <w:szCs w:val="28"/>
          <w:lang w:val="uk-UA"/>
        </w:rPr>
        <w:t>Закону України</w:t>
      </w:r>
      <w:r w:rsidRPr="00C12CE8">
        <w:rPr>
          <w:color w:val="000000"/>
          <w:sz w:val="28"/>
          <w:szCs w:val="28"/>
          <w:lang w:val="uk-UA"/>
        </w:rPr>
        <w:t xml:space="preserve"> </w:t>
      </w:r>
      <w:r w:rsidR="009D656B">
        <w:rPr>
          <w:color w:val="000000"/>
          <w:sz w:val="28"/>
          <w:szCs w:val="28"/>
          <w:lang w:val="uk-UA"/>
        </w:rPr>
        <w:t>«Про Національну комісію, що здійснює державне регулювання у сферах енергетики та комунальних послуг»</w:t>
      </w:r>
      <w:r w:rsidRPr="00C12CE8">
        <w:rPr>
          <w:sz w:val="28"/>
          <w:szCs w:val="28"/>
          <w:lang w:val="uk-UA"/>
        </w:rPr>
        <w:t xml:space="preserve"> проєкт постанови</w:t>
      </w:r>
      <w:r w:rsidR="009D656B">
        <w:rPr>
          <w:sz w:val="28"/>
          <w:szCs w:val="28"/>
          <w:lang w:val="uk-UA"/>
        </w:rPr>
        <w:t xml:space="preserve"> НКРЕКП</w:t>
      </w:r>
      <w:r w:rsidRPr="00C12CE8">
        <w:rPr>
          <w:sz w:val="28"/>
          <w:szCs w:val="28"/>
          <w:lang w:val="uk-UA"/>
        </w:rPr>
        <w:t xml:space="preserve"> </w:t>
      </w:r>
      <w:r w:rsidR="00C12CE8" w:rsidRPr="00C12CE8">
        <w:rPr>
          <w:sz w:val="28"/>
          <w:szCs w:val="28"/>
          <w:lang w:val="uk-UA"/>
        </w:rPr>
        <w:t xml:space="preserve">«Про </w:t>
      </w:r>
      <w:r w:rsidR="00D11122">
        <w:rPr>
          <w:sz w:val="28"/>
          <w:szCs w:val="28"/>
          <w:lang w:val="uk-UA"/>
        </w:rPr>
        <w:t>затвердження Змін до деяких постанов НКРЕКП»</w:t>
      </w:r>
      <w:r w:rsidR="009D656B">
        <w:rPr>
          <w:sz w:val="28"/>
          <w:szCs w:val="28"/>
          <w:lang w:val="uk-UA"/>
        </w:rPr>
        <w:t>,</w:t>
      </w:r>
      <w:r w:rsidRPr="00C12CE8">
        <w:rPr>
          <w:color w:val="000000"/>
          <w:sz w:val="28"/>
          <w:szCs w:val="28"/>
          <w:lang w:val="uk-UA"/>
        </w:rPr>
        <w:t xml:space="preserve"> </w:t>
      </w:r>
      <w:r w:rsidRPr="00C12CE8">
        <w:rPr>
          <w:sz w:val="28"/>
          <w:szCs w:val="28"/>
          <w:lang w:val="uk-UA"/>
        </w:rPr>
        <w:t xml:space="preserve">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 w:rsidRPr="00C12CE8">
        <w:rPr>
          <w:sz w:val="28"/>
          <w:szCs w:val="28"/>
          <w:lang w:val="uk-UA"/>
        </w:rPr>
        <w:t>вебсайті</w:t>
      </w:r>
      <w:proofErr w:type="spellEnd"/>
      <w:r w:rsidRPr="00C12CE8">
        <w:rPr>
          <w:sz w:val="28"/>
          <w:szCs w:val="28"/>
          <w:lang w:val="uk-UA"/>
        </w:rPr>
        <w:t xml:space="preserve"> НКРЕКП </w:t>
      </w:r>
      <w:r w:rsidR="00B34AD5">
        <w:rPr>
          <w:sz w:val="28"/>
          <w:szCs w:val="28"/>
          <w:lang w:val="uk-UA"/>
        </w:rPr>
        <w:t>у</w:t>
      </w:r>
      <w:r w:rsidRPr="00C12CE8">
        <w:rPr>
          <w:sz w:val="28"/>
          <w:szCs w:val="28"/>
          <w:lang w:val="uk-UA"/>
        </w:rPr>
        <w:t xml:space="preserve"> мережі Інтернет: </w:t>
      </w:r>
      <w:hyperlink r:id="rId6" w:history="1">
        <w:r w:rsidRPr="00C12CE8">
          <w:rPr>
            <w:rStyle w:val="a5"/>
            <w:color w:val="000000"/>
            <w:sz w:val="28"/>
            <w:szCs w:val="28"/>
            <w:lang w:val="uk-UA"/>
          </w:rPr>
          <w:t>http://nerc.gov.ua</w:t>
        </w:r>
      </w:hyperlink>
      <w:r w:rsidRPr="00C12CE8">
        <w:rPr>
          <w:sz w:val="28"/>
          <w:szCs w:val="28"/>
          <w:lang w:val="uk-UA"/>
        </w:rPr>
        <w:t xml:space="preserve">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</w:p>
    <w:p w:rsidR="00B3339F" w:rsidRPr="00C12CE8" w:rsidRDefault="00B3339F" w:rsidP="00B3339F">
      <w:pPr>
        <w:ind w:firstLine="540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>НКРЕКП у межах компетенції надаватиме необхідні роз’яснення щодо норм проєкту регуляторного акта після його прийняття.</w:t>
      </w:r>
    </w:p>
    <w:p w:rsidR="009D656B" w:rsidRDefault="009D656B" w:rsidP="00B3339F">
      <w:pPr>
        <w:ind w:firstLine="540"/>
        <w:jc w:val="both"/>
        <w:rPr>
          <w:b/>
          <w:sz w:val="28"/>
          <w:szCs w:val="28"/>
          <w:lang w:val="uk-UA"/>
        </w:rPr>
      </w:pPr>
    </w:p>
    <w:p w:rsidR="00B3339F" w:rsidRPr="00C12CE8" w:rsidRDefault="00B3339F" w:rsidP="00B3339F">
      <w:pPr>
        <w:ind w:firstLine="540"/>
        <w:jc w:val="both"/>
        <w:rPr>
          <w:b/>
          <w:sz w:val="28"/>
          <w:szCs w:val="28"/>
          <w:lang w:val="uk-UA"/>
        </w:rPr>
      </w:pPr>
      <w:r w:rsidRPr="00C12CE8">
        <w:rPr>
          <w:b/>
          <w:sz w:val="28"/>
          <w:szCs w:val="28"/>
          <w:lang w:val="uk-UA"/>
        </w:rPr>
        <w:t>VIII. Очікувані результати прийняття регуляторного акта</w:t>
      </w:r>
    </w:p>
    <w:p w:rsidR="00B3339F" w:rsidRPr="00C12CE8" w:rsidRDefault="00B3339F" w:rsidP="00B3339F">
      <w:pPr>
        <w:ind w:firstLine="540"/>
        <w:jc w:val="both"/>
        <w:rPr>
          <w:b/>
          <w:sz w:val="28"/>
          <w:szCs w:val="28"/>
          <w:lang w:val="uk-UA"/>
        </w:rPr>
      </w:pPr>
    </w:p>
    <w:p w:rsidR="00BB7661" w:rsidRDefault="00AD6426" w:rsidP="00BB7661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Прийняття п</w:t>
      </w:r>
      <w:r w:rsidRPr="00752BF1">
        <w:rPr>
          <w:sz w:val="28"/>
          <w:szCs w:val="28"/>
          <w:lang w:val="uk-UA"/>
        </w:rPr>
        <w:t>останови НКРЕКП</w:t>
      </w:r>
      <w:r>
        <w:rPr>
          <w:sz w:val="28"/>
          <w:szCs w:val="28"/>
          <w:lang w:val="uk-UA"/>
        </w:rPr>
        <w:t xml:space="preserve"> </w:t>
      </w:r>
      <w:r w:rsidRPr="00C12CE8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>затвердження Змін до деяких постанов НКРЕКП</w:t>
      </w:r>
      <w:r w:rsidRPr="00C12CE8">
        <w:rPr>
          <w:sz w:val="28"/>
          <w:szCs w:val="28"/>
          <w:lang w:val="uk-UA"/>
        </w:rPr>
        <w:t>»</w:t>
      </w:r>
      <w:r w:rsidRPr="00752B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забезпечить </w:t>
      </w:r>
      <w:r w:rsidRPr="00372E37">
        <w:rPr>
          <w:sz w:val="28"/>
          <w:szCs w:val="28"/>
          <w:lang w:val="uk-UA"/>
        </w:rPr>
        <w:t xml:space="preserve">створення необхідних передумов для успішної реалізації </w:t>
      </w:r>
      <w:proofErr w:type="spellStart"/>
      <w:r w:rsidRPr="00372E37">
        <w:rPr>
          <w:sz w:val="28"/>
          <w:szCs w:val="28"/>
          <w:lang w:val="uk-UA"/>
        </w:rPr>
        <w:t>проєкт</w:t>
      </w:r>
      <w:r w:rsidR="00725AE6">
        <w:rPr>
          <w:sz w:val="28"/>
          <w:szCs w:val="28"/>
          <w:lang w:val="uk-UA"/>
        </w:rPr>
        <w:t>ів</w:t>
      </w:r>
      <w:proofErr w:type="spellEnd"/>
      <w:r w:rsidRPr="00372E37">
        <w:rPr>
          <w:sz w:val="28"/>
          <w:szCs w:val="28"/>
          <w:lang w:val="uk-UA"/>
        </w:rPr>
        <w:t xml:space="preserve"> нової (збільшеної) потужності</w:t>
      </w:r>
      <w:r w:rsidR="00725AE6">
        <w:rPr>
          <w:sz w:val="28"/>
          <w:szCs w:val="28"/>
          <w:lang w:val="uk-UA"/>
        </w:rPr>
        <w:t>, у тому числі у точці входу на міждержавному з’єднанні з Польщею,</w:t>
      </w:r>
      <w:bookmarkStart w:id="4" w:name="_GoBack"/>
      <w:bookmarkEnd w:id="4"/>
      <w:r w:rsidR="00725AE6">
        <w:rPr>
          <w:sz w:val="28"/>
          <w:szCs w:val="28"/>
          <w:lang w:val="uk-UA"/>
        </w:rPr>
        <w:t xml:space="preserve"> </w:t>
      </w:r>
      <w:r w:rsidRPr="00372E37">
        <w:rPr>
          <w:sz w:val="28"/>
          <w:szCs w:val="28"/>
          <w:lang w:val="uk-UA"/>
        </w:rPr>
        <w:t xml:space="preserve"> та </w:t>
      </w:r>
      <w:r w:rsidRPr="00372E37">
        <w:rPr>
          <w:rFonts w:eastAsia="Calibri"/>
          <w:sz w:val="28"/>
          <w:szCs w:val="28"/>
          <w:lang w:val="uk-UA" w:eastAsia="en-US"/>
        </w:rPr>
        <w:t>вдосконалення положень Кодексу та Типового договору, які регулюють питання взаємовідносин замовників послуг транспортування та Оператора ГТС</w:t>
      </w:r>
      <w:r w:rsidR="00BB7661">
        <w:rPr>
          <w:sz w:val="28"/>
          <w:szCs w:val="28"/>
          <w:lang w:val="uk-UA"/>
        </w:rPr>
        <w:t>.</w:t>
      </w:r>
    </w:p>
    <w:p w:rsidR="00B3339F" w:rsidRPr="009D656B" w:rsidRDefault="00B3339F" w:rsidP="00B3339F">
      <w:pPr>
        <w:pStyle w:val="a3"/>
        <w:widowControl w:val="0"/>
        <w:spacing w:before="0" w:beforeAutospacing="0" w:after="0" w:afterAutospacing="0"/>
        <w:rPr>
          <w:rStyle w:val="spelle"/>
          <w:sz w:val="28"/>
          <w:szCs w:val="28"/>
          <w:lang w:val="uk-UA"/>
        </w:rPr>
      </w:pPr>
    </w:p>
    <w:p w:rsidR="00B3339F" w:rsidRPr="009D656B" w:rsidRDefault="00B3339F" w:rsidP="00B3339F">
      <w:pPr>
        <w:pStyle w:val="a3"/>
        <w:widowControl w:val="0"/>
        <w:spacing w:before="0" w:beforeAutospacing="0" w:after="0" w:afterAutospacing="0"/>
        <w:rPr>
          <w:rStyle w:val="spelle"/>
          <w:sz w:val="28"/>
          <w:szCs w:val="28"/>
          <w:lang w:val="uk-UA"/>
        </w:rPr>
      </w:pPr>
    </w:p>
    <w:p w:rsidR="00B3339F" w:rsidRPr="00C12CE8" w:rsidRDefault="00B3339F" w:rsidP="00B3339F">
      <w:pPr>
        <w:rPr>
          <w:sz w:val="28"/>
          <w:szCs w:val="28"/>
          <w:lang w:val="uk-UA"/>
        </w:rPr>
      </w:pPr>
      <w:r w:rsidRPr="00C12CE8">
        <w:rPr>
          <w:rStyle w:val="spelle"/>
          <w:b/>
          <w:sz w:val="28"/>
          <w:szCs w:val="28"/>
          <w:lang w:val="uk-UA"/>
        </w:rPr>
        <w:t>Голова НКРЕКП</w:t>
      </w:r>
      <w:r w:rsidRPr="00C12CE8">
        <w:rPr>
          <w:rStyle w:val="spelle"/>
          <w:b/>
          <w:sz w:val="28"/>
          <w:szCs w:val="28"/>
          <w:lang w:val="uk-UA"/>
        </w:rPr>
        <w:tab/>
      </w:r>
      <w:r w:rsidRPr="00C12CE8">
        <w:rPr>
          <w:rStyle w:val="spelle"/>
          <w:b/>
          <w:sz w:val="28"/>
          <w:szCs w:val="28"/>
          <w:lang w:val="uk-UA"/>
        </w:rPr>
        <w:tab/>
      </w:r>
      <w:r w:rsidRPr="00C12CE8">
        <w:rPr>
          <w:rStyle w:val="spelle"/>
          <w:b/>
          <w:sz w:val="28"/>
          <w:szCs w:val="28"/>
          <w:lang w:val="uk-UA"/>
        </w:rPr>
        <w:tab/>
      </w:r>
      <w:r w:rsidRPr="00C12CE8">
        <w:rPr>
          <w:rStyle w:val="spelle"/>
          <w:b/>
          <w:sz w:val="28"/>
          <w:szCs w:val="28"/>
          <w:lang w:val="uk-UA"/>
        </w:rPr>
        <w:tab/>
      </w:r>
      <w:r w:rsidR="00C12CE8" w:rsidRPr="00C12CE8">
        <w:rPr>
          <w:rStyle w:val="spelle"/>
          <w:b/>
          <w:sz w:val="28"/>
          <w:szCs w:val="28"/>
          <w:lang w:val="uk-UA"/>
        </w:rPr>
        <w:tab/>
      </w:r>
      <w:r w:rsidR="009D656B">
        <w:rPr>
          <w:rStyle w:val="spelle"/>
          <w:b/>
          <w:sz w:val="28"/>
          <w:szCs w:val="28"/>
          <w:lang w:val="uk-UA"/>
        </w:rPr>
        <w:t>Костянтин</w:t>
      </w:r>
      <w:r w:rsidRPr="00C12CE8">
        <w:rPr>
          <w:rStyle w:val="spelle"/>
          <w:b/>
          <w:sz w:val="28"/>
          <w:szCs w:val="28"/>
          <w:lang w:val="uk-UA"/>
        </w:rPr>
        <w:t xml:space="preserve"> У</w:t>
      </w:r>
      <w:r w:rsidR="009D656B">
        <w:rPr>
          <w:rStyle w:val="spelle"/>
          <w:b/>
          <w:sz w:val="28"/>
          <w:szCs w:val="28"/>
          <w:lang w:val="uk-UA"/>
        </w:rPr>
        <w:t>ЩАПОВСЬКИЙ</w:t>
      </w:r>
    </w:p>
    <w:sectPr w:rsidR="00B3339F" w:rsidRPr="00C12CE8" w:rsidSect="00B333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A64A7"/>
    <w:multiLevelType w:val="hybridMultilevel"/>
    <w:tmpl w:val="2E5CDD16"/>
    <w:lvl w:ilvl="0" w:tplc="B9685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8692E"/>
    <w:multiLevelType w:val="hybridMultilevel"/>
    <w:tmpl w:val="A58A1D28"/>
    <w:lvl w:ilvl="0" w:tplc="5E3A477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2D517F1"/>
    <w:multiLevelType w:val="hybridMultilevel"/>
    <w:tmpl w:val="9AFE84DA"/>
    <w:lvl w:ilvl="0" w:tplc="40289F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39F"/>
    <w:rsid w:val="00060B86"/>
    <w:rsid w:val="000E590D"/>
    <w:rsid w:val="001509ED"/>
    <w:rsid w:val="001A3201"/>
    <w:rsid w:val="001F4110"/>
    <w:rsid w:val="0027091D"/>
    <w:rsid w:val="002C6CFB"/>
    <w:rsid w:val="002D71F0"/>
    <w:rsid w:val="003E2DC2"/>
    <w:rsid w:val="0047304F"/>
    <w:rsid w:val="004F0E6D"/>
    <w:rsid w:val="00543DF0"/>
    <w:rsid w:val="005F7378"/>
    <w:rsid w:val="0060411F"/>
    <w:rsid w:val="00725AE6"/>
    <w:rsid w:val="00730C78"/>
    <w:rsid w:val="00734C8B"/>
    <w:rsid w:val="00752BF1"/>
    <w:rsid w:val="007C2099"/>
    <w:rsid w:val="007E4486"/>
    <w:rsid w:val="009B2D1B"/>
    <w:rsid w:val="009D656B"/>
    <w:rsid w:val="00A51FCB"/>
    <w:rsid w:val="00AB41E1"/>
    <w:rsid w:val="00AD6426"/>
    <w:rsid w:val="00B3339F"/>
    <w:rsid w:val="00B34AD5"/>
    <w:rsid w:val="00B56236"/>
    <w:rsid w:val="00B95F66"/>
    <w:rsid w:val="00BB638A"/>
    <w:rsid w:val="00BB7661"/>
    <w:rsid w:val="00C12CE8"/>
    <w:rsid w:val="00C370B6"/>
    <w:rsid w:val="00C578EE"/>
    <w:rsid w:val="00C91D20"/>
    <w:rsid w:val="00C95F4C"/>
    <w:rsid w:val="00D11122"/>
    <w:rsid w:val="00D2518C"/>
    <w:rsid w:val="00D37D2A"/>
    <w:rsid w:val="00D97DC9"/>
    <w:rsid w:val="00DC4731"/>
    <w:rsid w:val="00E973D3"/>
    <w:rsid w:val="00EB1792"/>
    <w:rsid w:val="00EF3AB5"/>
    <w:rsid w:val="00F46DAA"/>
    <w:rsid w:val="00F87290"/>
    <w:rsid w:val="00FF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57E8"/>
  <w15:chartTrackingRefBased/>
  <w15:docId w15:val="{CB484145-D71F-4C6F-94E0-7A6EB9FF9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3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B3339F"/>
  </w:style>
  <w:style w:type="paragraph" w:styleId="a3">
    <w:name w:val="Body Text"/>
    <w:basedOn w:val="a"/>
    <w:link w:val="a4"/>
    <w:rsid w:val="00B3339F"/>
    <w:pPr>
      <w:spacing w:before="100" w:beforeAutospacing="1" w:after="100" w:afterAutospacing="1"/>
    </w:pPr>
  </w:style>
  <w:style w:type="character" w:customStyle="1" w:styleId="a4">
    <w:name w:val="Основний текст Знак"/>
    <w:basedOn w:val="a0"/>
    <w:link w:val="a3"/>
    <w:rsid w:val="00B3339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rsid w:val="00B3339F"/>
    <w:rPr>
      <w:color w:val="0000FF"/>
      <w:u w:val="single"/>
    </w:rPr>
  </w:style>
  <w:style w:type="paragraph" w:styleId="a6">
    <w:name w:val="Normal (Web)"/>
    <w:basedOn w:val="a"/>
    <w:uiPriority w:val="99"/>
    <w:rsid w:val="00B3339F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B3339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B33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erc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F583-403E-4CAD-BC0B-D09ACBBD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6021</Words>
  <Characters>3432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Марина Різанова</cp:lastModifiedBy>
  <cp:revision>2</cp:revision>
  <dcterms:created xsi:type="dcterms:W3CDTF">2023-04-25T11:07:00Z</dcterms:created>
  <dcterms:modified xsi:type="dcterms:W3CDTF">2023-04-25T11:07:00Z</dcterms:modified>
</cp:coreProperties>
</file>