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8C6" w:rsidRPr="00EA28C6" w:rsidRDefault="00D37CA9" w:rsidP="007D1D26">
      <w:pPr>
        <w:spacing w:after="0" w:line="240" w:lineRule="auto"/>
        <w:jc w:val="center"/>
        <w:rPr>
          <w:rFonts w:ascii="Times New Roman" w:hAnsi="Times New Roman" w:cs="Times New Roman"/>
          <w:b/>
          <w:sz w:val="28"/>
          <w:szCs w:val="28"/>
        </w:rPr>
      </w:pPr>
      <w:r w:rsidRPr="00EA28C6">
        <w:rPr>
          <w:rFonts w:ascii="Times New Roman" w:hAnsi="Times New Roman" w:cs="Times New Roman"/>
          <w:b/>
          <w:sz w:val="28"/>
          <w:szCs w:val="28"/>
        </w:rPr>
        <w:t xml:space="preserve">Порівняльна таблиця до </w:t>
      </w:r>
      <w:proofErr w:type="spellStart"/>
      <w:r w:rsidRPr="00EA28C6">
        <w:rPr>
          <w:rFonts w:ascii="Times New Roman" w:hAnsi="Times New Roman" w:cs="Times New Roman"/>
          <w:b/>
          <w:sz w:val="28"/>
          <w:szCs w:val="28"/>
        </w:rPr>
        <w:t>проєкту</w:t>
      </w:r>
      <w:proofErr w:type="spellEnd"/>
      <w:r w:rsidRPr="00EA28C6">
        <w:rPr>
          <w:rFonts w:ascii="Times New Roman" w:hAnsi="Times New Roman" w:cs="Times New Roman"/>
          <w:b/>
          <w:sz w:val="28"/>
          <w:szCs w:val="28"/>
        </w:rPr>
        <w:t xml:space="preserve"> постанови НКРЕКП </w:t>
      </w:r>
      <w:r w:rsidR="00EA28C6" w:rsidRPr="00EA28C6">
        <w:rPr>
          <w:rFonts w:ascii="Times New Roman" w:hAnsi="Times New Roman" w:cs="Times New Roman"/>
          <w:b/>
          <w:sz w:val="28"/>
          <w:szCs w:val="28"/>
        </w:rPr>
        <w:t xml:space="preserve">«Про затвердження Змін до деяких постанов НКРЕКП», </w:t>
      </w:r>
    </w:p>
    <w:p w:rsidR="00EA28C6" w:rsidRPr="00EA28C6" w:rsidRDefault="00EA28C6" w:rsidP="00EA28C6">
      <w:pPr>
        <w:spacing w:after="0"/>
        <w:jc w:val="center"/>
        <w:rPr>
          <w:rFonts w:ascii="Times New Roman" w:hAnsi="Times New Roman" w:cs="Times New Roman"/>
          <w:b/>
          <w:sz w:val="28"/>
          <w:szCs w:val="28"/>
        </w:rPr>
      </w:pPr>
      <w:r w:rsidRPr="00EA28C6">
        <w:rPr>
          <w:rFonts w:ascii="Times New Roman" w:hAnsi="Times New Roman" w:cs="Times New Roman"/>
          <w:b/>
          <w:sz w:val="28"/>
          <w:szCs w:val="28"/>
        </w:rPr>
        <w:t xml:space="preserve">що має ознаки регуляторного </w:t>
      </w:r>
      <w:proofErr w:type="spellStart"/>
      <w:r w:rsidRPr="00EA28C6">
        <w:rPr>
          <w:rFonts w:ascii="Times New Roman" w:hAnsi="Times New Roman" w:cs="Times New Roman"/>
          <w:b/>
          <w:sz w:val="28"/>
          <w:szCs w:val="28"/>
        </w:rPr>
        <w:t>акта</w:t>
      </w:r>
      <w:proofErr w:type="spellEnd"/>
    </w:p>
    <w:p w:rsidR="0056765F" w:rsidRDefault="0056765F"/>
    <w:tbl>
      <w:tblPr>
        <w:tblStyle w:val="a3"/>
        <w:tblW w:w="15026" w:type="dxa"/>
        <w:tblInd w:w="-147" w:type="dxa"/>
        <w:tblLook w:val="04A0" w:firstRow="1" w:lastRow="0" w:firstColumn="1" w:lastColumn="0" w:noHBand="0" w:noVBand="1"/>
      </w:tblPr>
      <w:tblGrid>
        <w:gridCol w:w="7508"/>
        <w:gridCol w:w="7518"/>
      </w:tblGrid>
      <w:tr w:rsidR="00150AAF" w:rsidTr="00E03B4F">
        <w:tc>
          <w:tcPr>
            <w:tcW w:w="7508" w:type="dxa"/>
          </w:tcPr>
          <w:p w:rsidR="00150AAF" w:rsidRPr="00C169D5" w:rsidRDefault="00C31F33" w:rsidP="00150AAF">
            <w:pPr>
              <w:spacing w:line="20" w:lineRule="atLeast"/>
              <w:jc w:val="center"/>
              <w:rPr>
                <w:rFonts w:ascii="Times New Roman" w:hAnsi="Times New Roman" w:cs="Times New Roman"/>
                <w:b/>
                <w:sz w:val="24"/>
                <w:szCs w:val="24"/>
              </w:rPr>
            </w:pPr>
            <w:hyperlink r:id="rId7" w:anchor="n18" w:history="1">
              <w:r w:rsidR="00150AAF" w:rsidRPr="00C169D5">
                <w:rPr>
                  <w:rFonts w:ascii="Times New Roman" w:hAnsi="Times New Roman" w:cs="Times New Roman"/>
                  <w:b/>
                  <w:sz w:val="24"/>
                  <w:szCs w:val="24"/>
                </w:rPr>
                <w:t>КОДЕКС ГАЗОТРАНСПОРТНОЇ СИСТЕМИ</w:t>
              </w:r>
            </w:hyperlink>
          </w:p>
          <w:p w:rsidR="00150AAF" w:rsidRPr="00C169D5" w:rsidRDefault="00150AAF" w:rsidP="00DA7DD0">
            <w:pPr>
              <w:rPr>
                <w:rFonts w:ascii="Times New Roman" w:hAnsi="Times New Roman" w:cs="Times New Roman"/>
                <w:b/>
                <w:i/>
                <w:sz w:val="24"/>
                <w:szCs w:val="24"/>
              </w:rPr>
            </w:pPr>
          </w:p>
        </w:tc>
        <w:tc>
          <w:tcPr>
            <w:tcW w:w="7518" w:type="dxa"/>
          </w:tcPr>
          <w:p w:rsidR="00150AAF" w:rsidRPr="00C169D5" w:rsidRDefault="00150AAF" w:rsidP="00150AAF">
            <w:pPr>
              <w:spacing w:line="20" w:lineRule="atLeast"/>
              <w:jc w:val="center"/>
              <w:rPr>
                <w:rFonts w:ascii="Times New Roman" w:hAnsi="Times New Roman" w:cs="Times New Roman"/>
                <w:b/>
                <w:sz w:val="24"/>
                <w:szCs w:val="24"/>
              </w:rPr>
            </w:pPr>
            <w:r>
              <w:rPr>
                <w:rFonts w:ascii="Times New Roman" w:hAnsi="Times New Roman" w:cs="Times New Roman"/>
                <w:b/>
                <w:sz w:val="24"/>
                <w:szCs w:val="24"/>
              </w:rPr>
              <w:t xml:space="preserve">ЗМІНИ ДО </w:t>
            </w:r>
            <w:hyperlink r:id="rId8" w:anchor="n18" w:history="1">
              <w:r w:rsidRPr="00C169D5">
                <w:rPr>
                  <w:rFonts w:ascii="Times New Roman" w:hAnsi="Times New Roman" w:cs="Times New Roman"/>
                  <w:b/>
                  <w:sz w:val="24"/>
                  <w:szCs w:val="24"/>
                </w:rPr>
                <w:t>КОДЕКС</w:t>
              </w:r>
              <w:r>
                <w:rPr>
                  <w:rFonts w:ascii="Times New Roman" w:hAnsi="Times New Roman" w:cs="Times New Roman"/>
                  <w:b/>
                  <w:sz w:val="24"/>
                  <w:szCs w:val="24"/>
                </w:rPr>
                <w:t>У</w:t>
              </w:r>
              <w:r w:rsidRPr="00C169D5">
                <w:rPr>
                  <w:rFonts w:ascii="Times New Roman" w:hAnsi="Times New Roman" w:cs="Times New Roman"/>
                  <w:b/>
                  <w:sz w:val="24"/>
                  <w:szCs w:val="24"/>
                </w:rPr>
                <w:t xml:space="preserve"> ГАЗОТРАНСПОРТНОЇ СИСТЕМИ</w:t>
              </w:r>
            </w:hyperlink>
          </w:p>
          <w:p w:rsidR="00150AAF" w:rsidRPr="00C169D5" w:rsidRDefault="00150AAF" w:rsidP="00DA7DD0">
            <w:pPr>
              <w:rPr>
                <w:rFonts w:ascii="Times New Roman" w:eastAsia="Times New Roman" w:hAnsi="Times New Roman" w:cs="Times New Roman"/>
                <w:b/>
                <w:i/>
                <w:sz w:val="24"/>
                <w:szCs w:val="24"/>
                <w:lang w:eastAsia="uk-UA"/>
              </w:rPr>
            </w:pPr>
          </w:p>
        </w:tc>
      </w:tr>
      <w:tr w:rsidR="00150AAF" w:rsidTr="00E03B4F">
        <w:tc>
          <w:tcPr>
            <w:tcW w:w="7508" w:type="dxa"/>
          </w:tcPr>
          <w:p w:rsidR="00150AAF" w:rsidRPr="00C169D5" w:rsidRDefault="007807B3" w:rsidP="00150AAF">
            <w:pPr>
              <w:jc w:val="center"/>
              <w:rPr>
                <w:rFonts w:ascii="Times New Roman" w:hAnsi="Times New Roman" w:cs="Times New Roman"/>
                <w:b/>
                <w:i/>
                <w:sz w:val="24"/>
                <w:szCs w:val="24"/>
              </w:rPr>
            </w:pPr>
            <w:r>
              <w:rPr>
                <w:rFonts w:ascii="Times New Roman" w:eastAsia="Calibri" w:hAnsi="Times New Roman" w:cs="Times New Roman"/>
                <w:b/>
                <w:color w:val="000000"/>
                <w:sz w:val="24"/>
                <w:szCs w:val="24"/>
              </w:rPr>
              <w:t>XX. Процедура нової (збільшеної) потужності на міждержавних з’єднаннях</w:t>
            </w:r>
          </w:p>
        </w:tc>
        <w:tc>
          <w:tcPr>
            <w:tcW w:w="7518" w:type="dxa"/>
          </w:tcPr>
          <w:p w:rsidR="00150AAF" w:rsidRPr="00C169D5" w:rsidRDefault="007807B3" w:rsidP="00150AAF">
            <w:pPr>
              <w:jc w:val="center"/>
              <w:rPr>
                <w:rFonts w:ascii="Times New Roman" w:eastAsia="Times New Roman" w:hAnsi="Times New Roman" w:cs="Times New Roman"/>
                <w:b/>
                <w:i/>
                <w:sz w:val="24"/>
                <w:szCs w:val="24"/>
                <w:lang w:eastAsia="uk-UA"/>
              </w:rPr>
            </w:pPr>
            <w:r>
              <w:rPr>
                <w:rFonts w:ascii="Times New Roman" w:eastAsia="Calibri" w:hAnsi="Times New Roman" w:cs="Times New Roman"/>
                <w:b/>
                <w:color w:val="000000"/>
                <w:sz w:val="24"/>
                <w:szCs w:val="24"/>
              </w:rPr>
              <w:t>XX. Процедура нової (збільшеної) потужності на міждержавних з’єднаннях</w:t>
            </w:r>
          </w:p>
        </w:tc>
      </w:tr>
      <w:tr w:rsidR="00150AAF" w:rsidTr="00E03B4F">
        <w:tc>
          <w:tcPr>
            <w:tcW w:w="7508" w:type="dxa"/>
          </w:tcPr>
          <w:p w:rsidR="007807B3" w:rsidRDefault="007807B3" w:rsidP="007807B3">
            <w:pPr>
              <w:spacing w:line="20" w:lineRule="atLeast"/>
              <w:jc w:val="center"/>
              <w:rPr>
                <w:rFonts w:ascii="Times New Roman" w:eastAsia="Calibri" w:hAnsi="Times New Roman" w:cs="Times New Roman"/>
                <w:b/>
                <w:color w:val="000000"/>
                <w:sz w:val="24"/>
                <w:szCs w:val="24"/>
              </w:rPr>
            </w:pPr>
            <w:r>
              <w:rPr>
                <w:rFonts w:ascii="Times New Roman" w:eastAsia="Calibri" w:hAnsi="Times New Roman" w:cs="Times New Roman"/>
                <w:b/>
                <w:bCs/>
                <w:color w:val="000000"/>
                <w:sz w:val="24"/>
                <w:szCs w:val="24"/>
              </w:rPr>
              <w:t>3. Погодження та оприлюднення інформації щодо процедури нової (збільшеної) потужності</w:t>
            </w:r>
          </w:p>
          <w:p w:rsidR="00150AAF" w:rsidRPr="00C169D5" w:rsidRDefault="00150AAF" w:rsidP="00150AAF">
            <w:pPr>
              <w:ind w:firstLine="709"/>
              <w:jc w:val="center"/>
              <w:rPr>
                <w:rFonts w:ascii="Times New Roman" w:hAnsi="Times New Roman" w:cs="Times New Roman"/>
                <w:b/>
                <w:sz w:val="24"/>
                <w:szCs w:val="24"/>
              </w:rPr>
            </w:pPr>
          </w:p>
        </w:tc>
        <w:tc>
          <w:tcPr>
            <w:tcW w:w="7518" w:type="dxa"/>
          </w:tcPr>
          <w:p w:rsidR="007807B3" w:rsidRDefault="007807B3" w:rsidP="007807B3">
            <w:pPr>
              <w:spacing w:line="20" w:lineRule="atLeast"/>
              <w:jc w:val="center"/>
              <w:rPr>
                <w:rFonts w:ascii="Times New Roman" w:eastAsia="Calibri" w:hAnsi="Times New Roman" w:cs="Times New Roman"/>
                <w:b/>
                <w:color w:val="000000"/>
                <w:sz w:val="24"/>
                <w:szCs w:val="24"/>
              </w:rPr>
            </w:pPr>
            <w:r>
              <w:rPr>
                <w:rFonts w:ascii="Times New Roman" w:eastAsia="Calibri" w:hAnsi="Times New Roman" w:cs="Times New Roman"/>
                <w:b/>
                <w:bCs/>
                <w:color w:val="000000"/>
                <w:sz w:val="24"/>
                <w:szCs w:val="24"/>
              </w:rPr>
              <w:t>3. Погодження та оприлюднення інформації щодо процедури нової (збільшеної) потужності</w:t>
            </w:r>
          </w:p>
          <w:p w:rsidR="00150AAF" w:rsidRPr="00C169D5" w:rsidRDefault="00150AAF" w:rsidP="00150AAF">
            <w:pPr>
              <w:ind w:firstLine="709"/>
              <w:jc w:val="center"/>
              <w:rPr>
                <w:rFonts w:ascii="Times New Roman" w:hAnsi="Times New Roman" w:cs="Times New Roman"/>
                <w:b/>
                <w:sz w:val="24"/>
                <w:szCs w:val="24"/>
              </w:rPr>
            </w:pPr>
          </w:p>
        </w:tc>
      </w:tr>
      <w:tr w:rsidR="00150AAF" w:rsidTr="00E03B4F">
        <w:trPr>
          <w:trHeight w:val="50"/>
        </w:trPr>
        <w:tc>
          <w:tcPr>
            <w:tcW w:w="7508" w:type="dxa"/>
          </w:tcPr>
          <w:p w:rsidR="00BB2B9B" w:rsidRPr="00BB2B9B" w:rsidRDefault="00BB2B9B" w:rsidP="00BB2B9B">
            <w:pPr>
              <w:pStyle w:val="tj"/>
              <w:spacing w:before="0" w:beforeAutospacing="0" w:after="165" w:afterAutospacing="0"/>
              <w:jc w:val="both"/>
              <w:rPr>
                <w:color w:val="000000" w:themeColor="text1"/>
              </w:rPr>
            </w:pPr>
            <w:r w:rsidRPr="00BB2B9B">
              <w:rPr>
                <w:color w:val="000000" w:themeColor="text1"/>
              </w:rPr>
              <w:t>1. Після консультацій та завершення етапу </w:t>
            </w:r>
            <w:proofErr w:type="spellStart"/>
            <w:r w:rsidRPr="00BB2B9B">
              <w:rPr>
                <w:color w:val="000000" w:themeColor="text1"/>
              </w:rPr>
              <w:t>проєктування</w:t>
            </w:r>
            <w:proofErr w:type="spellEnd"/>
            <w:r w:rsidRPr="00BB2B9B">
              <w:rPr>
                <w:color w:val="000000" w:themeColor="text1"/>
              </w:rPr>
              <w:t> нової (збільшеної) потужності відповідно до глави 2 цього розділу оператор газотранспортної системи подає Регулятору на погодження </w:t>
            </w:r>
            <w:proofErr w:type="spellStart"/>
            <w:r w:rsidRPr="00BB2B9B">
              <w:rPr>
                <w:color w:val="000000" w:themeColor="text1"/>
              </w:rPr>
              <w:t>проєкт</w:t>
            </w:r>
            <w:proofErr w:type="spellEnd"/>
            <w:r w:rsidRPr="00BB2B9B">
              <w:rPr>
                <w:color w:val="000000" w:themeColor="text1"/>
              </w:rPr>
              <w:t> пропозицій зі збільшення потужності. </w:t>
            </w:r>
            <w:proofErr w:type="spellStart"/>
            <w:r w:rsidRPr="00BB2B9B">
              <w:rPr>
                <w:color w:val="000000" w:themeColor="text1"/>
              </w:rPr>
              <w:t>Проєкт</w:t>
            </w:r>
            <w:proofErr w:type="spellEnd"/>
            <w:r w:rsidRPr="00BB2B9B">
              <w:rPr>
                <w:color w:val="000000" w:themeColor="text1"/>
              </w:rPr>
              <w:t> пропозицій зі збільшення потужності оприлюднюється оператором газотранспортної системи та включає таку інформацію:</w:t>
            </w:r>
          </w:p>
          <w:p w:rsidR="00BB2B9B" w:rsidRPr="00BB2B9B" w:rsidRDefault="00BB2B9B" w:rsidP="00BB2B9B">
            <w:pPr>
              <w:pStyle w:val="tj"/>
              <w:spacing w:before="0" w:beforeAutospacing="0" w:after="165" w:afterAutospacing="0"/>
              <w:jc w:val="both"/>
              <w:rPr>
                <w:color w:val="000000" w:themeColor="text1"/>
              </w:rPr>
            </w:pPr>
            <w:r w:rsidRPr="00BB2B9B">
              <w:rPr>
                <w:color w:val="000000" w:themeColor="text1"/>
              </w:rPr>
              <w:t>…</w:t>
            </w:r>
          </w:p>
          <w:p w:rsidR="00BB2B9B" w:rsidRPr="00BB2B9B" w:rsidRDefault="00BB2B9B" w:rsidP="00BB2B9B">
            <w:pPr>
              <w:pStyle w:val="tj"/>
              <w:spacing w:before="0" w:beforeAutospacing="0" w:after="165" w:afterAutospacing="0"/>
              <w:jc w:val="both"/>
              <w:rPr>
                <w:color w:val="000000" w:themeColor="text1"/>
              </w:rPr>
            </w:pPr>
            <w:r w:rsidRPr="00BB2B9B">
              <w:rPr>
                <w:color w:val="000000" w:themeColor="text1"/>
              </w:rPr>
              <w:t>2) загальні правила та умови, на які замовники послуг транспортування повинні погодитись для того, щоб отримати доступ до потужності на обов'язковому етапі розподілу потужності процедури нової (збільшеної) потужності, включаючи внесення будь-якої застави замовниками послуг транспортування, та положення відповідних умов договорів, згідно з якими вирішується проблема можливих затримок у наданні доступу потужності чи у випадку зриву </w:t>
            </w:r>
            <w:proofErr w:type="spellStart"/>
            <w:r w:rsidRPr="00BB2B9B">
              <w:rPr>
                <w:color w:val="000000" w:themeColor="text1"/>
              </w:rPr>
              <w:t>проєкту</w:t>
            </w:r>
            <w:proofErr w:type="spellEnd"/>
            <w:r w:rsidRPr="00BB2B9B">
              <w:rPr>
                <w:color w:val="000000" w:themeColor="text1"/>
              </w:rPr>
              <w:t>;</w:t>
            </w:r>
          </w:p>
          <w:p w:rsidR="00BB2B9B" w:rsidRDefault="00BB2B9B" w:rsidP="00BB2B9B">
            <w:pPr>
              <w:pStyle w:val="tj"/>
              <w:spacing w:before="0" w:beforeAutospacing="0" w:after="0" w:afterAutospacing="0"/>
              <w:jc w:val="both"/>
              <w:rPr>
                <w:color w:val="000000" w:themeColor="text1"/>
              </w:rPr>
            </w:pPr>
            <w:r w:rsidRPr="00BB2B9B">
              <w:rPr>
                <w:color w:val="000000" w:themeColor="text1"/>
              </w:rPr>
              <w:t>…</w:t>
            </w:r>
          </w:p>
          <w:p w:rsidR="00BB2B9B" w:rsidRPr="00BB2B9B" w:rsidRDefault="00BB2B9B" w:rsidP="00BB2B9B">
            <w:pPr>
              <w:pStyle w:val="tj"/>
              <w:spacing w:before="0" w:beforeAutospacing="0" w:after="0" w:afterAutospacing="0"/>
              <w:jc w:val="both"/>
              <w:rPr>
                <w:color w:val="000000" w:themeColor="text1"/>
              </w:rPr>
            </w:pPr>
          </w:p>
          <w:p w:rsidR="00BB2B9B" w:rsidRPr="00BB2B9B" w:rsidRDefault="00BB2B9B" w:rsidP="00BB2B9B">
            <w:pPr>
              <w:pStyle w:val="tj"/>
              <w:spacing w:before="0" w:beforeAutospacing="0" w:after="165" w:afterAutospacing="0"/>
              <w:jc w:val="both"/>
              <w:rPr>
                <w:color w:val="000000" w:themeColor="text1"/>
              </w:rPr>
            </w:pPr>
            <w:r w:rsidRPr="00BB2B9B">
              <w:rPr>
                <w:color w:val="000000" w:themeColor="text1"/>
              </w:rPr>
              <w:t>4) параметри, визначені у пункті 1 глави 6 цього розділу;</w:t>
            </w:r>
          </w:p>
          <w:p w:rsidR="00BB2B9B" w:rsidRPr="00BB2B9B" w:rsidRDefault="00BB2B9B" w:rsidP="00BB2B9B">
            <w:pPr>
              <w:pStyle w:val="tj"/>
              <w:spacing w:before="0" w:beforeAutospacing="0" w:after="165" w:afterAutospacing="0"/>
              <w:jc w:val="both"/>
              <w:rPr>
                <w:color w:val="000000" w:themeColor="text1"/>
              </w:rPr>
            </w:pPr>
            <w:r w:rsidRPr="00BB2B9B">
              <w:rPr>
                <w:color w:val="000000" w:themeColor="text1"/>
              </w:rPr>
              <w:t>…</w:t>
            </w:r>
          </w:p>
          <w:p w:rsidR="00150AAF" w:rsidRPr="00BB2B9B" w:rsidRDefault="00150AAF" w:rsidP="00BB2B9B">
            <w:pPr>
              <w:pStyle w:val="tj"/>
              <w:spacing w:before="0" w:beforeAutospacing="0" w:after="165" w:afterAutospacing="0"/>
              <w:jc w:val="both"/>
              <w:rPr>
                <w:b/>
                <w:i/>
                <w:color w:val="000000" w:themeColor="text1"/>
              </w:rPr>
            </w:pPr>
          </w:p>
        </w:tc>
        <w:tc>
          <w:tcPr>
            <w:tcW w:w="7518" w:type="dxa"/>
          </w:tcPr>
          <w:p w:rsidR="00BB2B9B" w:rsidRPr="00BB2B9B" w:rsidRDefault="00BB2B9B" w:rsidP="00BB2B9B">
            <w:pPr>
              <w:pStyle w:val="tj"/>
              <w:spacing w:before="0" w:beforeAutospacing="0" w:after="165" w:afterAutospacing="0"/>
              <w:jc w:val="both"/>
              <w:rPr>
                <w:color w:val="000000" w:themeColor="text1"/>
              </w:rPr>
            </w:pPr>
            <w:r w:rsidRPr="00BB2B9B">
              <w:rPr>
                <w:color w:val="000000" w:themeColor="text1"/>
              </w:rPr>
              <w:t>1. Після консультацій та завершення етапу </w:t>
            </w:r>
            <w:proofErr w:type="spellStart"/>
            <w:r w:rsidRPr="00BB2B9B">
              <w:rPr>
                <w:color w:val="000000" w:themeColor="text1"/>
              </w:rPr>
              <w:t>проєктування</w:t>
            </w:r>
            <w:proofErr w:type="spellEnd"/>
            <w:r w:rsidRPr="00BB2B9B">
              <w:rPr>
                <w:color w:val="000000" w:themeColor="text1"/>
              </w:rPr>
              <w:t> нової (збільшеної) потужності відповідно до глави 2 цього розділу оператор газотранспортної системи подає Регулятору на погодження </w:t>
            </w:r>
            <w:proofErr w:type="spellStart"/>
            <w:r w:rsidRPr="00BB2B9B">
              <w:rPr>
                <w:color w:val="000000" w:themeColor="text1"/>
              </w:rPr>
              <w:t>проєкт</w:t>
            </w:r>
            <w:proofErr w:type="spellEnd"/>
            <w:r w:rsidRPr="00BB2B9B">
              <w:rPr>
                <w:color w:val="000000" w:themeColor="text1"/>
              </w:rPr>
              <w:t> пропозицій зі збільшення потужності. </w:t>
            </w:r>
            <w:proofErr w:type="spellStart"/>
            <w:r w:rsidRPr="00BB2B9B">
              <w:rPr>
                <w:color w:val="000000" w:themeColor="text1"/>
              </w:rPr>
              <w:t>Проєкт</w:t>
            </w:r>
            <w:proofErr w:type="spellEnd"/>
            <w:r w:rsidRPr="00BB2B9B">
              <w:rPr>
                <w:color w:val="000000" w:themeColor="text1"/>
              </w:rPr>
              <w:t> пропозицій зі збільшення потужності оприлюднюється оператором газотранспортної системи та включає таку інформацію:</w:t>
            </w:r>
          </w:p>
          <w:p w:rsidR="00BB2B9B" w:rsidRPr="00BB2B9B" w:rsidRDefault="00BB2B9B" w:rsidP="00BB2B9B">
            <w:pPr>
              <w:pStyle w:val="tj"/>
              <w:spacing w:before="0" w:beforeAutospacing="0" w:after="165" w:afterAutospacing="0"/>
              <w:jc w:val="both"/>
              <w:rPr>
                <w:color w:val="000000" w:themeColor="text1"/>
              </w:rPr>
            </w:pPr>
            <w:r w:rsidRPr="00BB2B9B">
              <w:rPr>
                <w:color w:val="000000" w:themeColor="text1"/>
              </w:rPr>
              <w:t>…</w:t>
            </w:r>
          </w:p>
          <w:p w:rsidR="00BB2B9B" w:rsidRDefault="00BB2B9B" w:rsidP="00BB2B9B">
            <w:pPr>
              <w:pStyle w:val="rvps2"/>
              <w:shd w:val="clear" w:color="auto" w:fill="FFFFFF"/>
              <w:spacing w:before="0" w:beforeAutospacing="0" w:after="150" w:afterAutospacing="0"/>
              <w:jc w:val="both"/>
              <w:rPr>
                <w:color w:val="333333"/>
                <w:lang w:eastAsia="en-US"/>
              </w:rPr>
            </w:pPr>
            <w:r>
              <w:rPr>
                <w:color w:val="333333"/>
                <w:lang w:eastAsia="en-US"/>
              </w:rPr>
              <w:t xml:space="preserve">2) загальні правила та умови, на які замовники послуг транспортування повинні погодитись для того, щоб отримати доступ до потужності на обов’язковому етапі розподілу потужності процедури нової (збільшеної) потужності, включаючи </w:t>
            </w:r>
            <w:r>
              <w:rPr>
                <w:b/>
                <w:strike/>
                <w:color w:val="333333"/>
                <w:lang w:eastAsia="en-US"/>
              </w:rPr>
              <w:t>внесення будь-якої застави</w:t>
            </w:r>
            <w:r>
              <w:rPr>
                <w:b/>
                <w:color w:val="333333"/>
                <w:lang w:eastAsia="en-US"/>
              </w:rPr>
              <w:t xml:space="preserve"> надання будь-яких гарантій </w:t>
            </w:r>
            <w:r>
              <w:rPr>
                <w:color w:val="333333"/>
                <w:lang w:eastAsia="en-US"/>
              </w:rPr>
              <w:t xml:space="preserve">замовниками послуг транспортування, </w:t>
            </w:r>
            <w:r>
              <w:rPr>
                <w:b/>
                <w:strike/>
                <w:color w:val="333333"/>
                <w:lang w:eastAsia="en-US"/>
              </w:rPr>
              <w:t>та положення відповідних умов договорів, згідно з якими вирішується проблема,</w:t>
            </w:r>
            <w:r>
              <w:rPr>
                <w:b/>
                <w:color w:val="333333"/>
                <w:lang w:eastAsia="en-US"/>
              </w:rPr>
              <w:t xml:space="preserve"> та врегулювання питання можливих затримок у наданні доступу потужності чи у випадку зриву </w:t>
            </w:r>
            <w:proofErr w:type="spellStart"/>
            <w:r>
              <w:rPr>
                <w:b/>
                <w:color w:val="333333"/>
                <w:lang w:eastAsia="en-US"/>
              </w:rPr>
              <w:t>проєкту</w:t>
            </w:r>
            <w:proofErr w:type="spellEnd"/>
            <w:r>
              <w:rPr>
                <w:color w:val="333333"/>
                <w:lang w:eastAsia="en-US"/>
              </w:rPr>
              <w:t>;</w:t>
            </w:r>
          </w:p>
          <w:p w:rsidR="00150AAF" w:rsidRDefault="00BB2B9B" w:rsidP="00150AAF">
            <w:pPr>
              <w:jc w:val="both"/>
              <w:rPr>
                <w:rFonts w:ascii="Times New Roman" w:hAnsi="Times New Roman" w:cs="Times New Roman"/>
                <w:sz w:val="24"/>
                <w:szCs w:val="24"/>
              </w:rPr>
            </w:pPr>
            <w:r>
              <w:rPr>
                <w:rFonts w:ascii="Times New Roman" w:hAnsi="Times New Roman" w:cs="Times New Roman"/>
                <w:sz w:val="24"/>
                <w:szCs w:val="24"/>
              </w:rPr>
              <w:t>…</w:t>
            </w:r>
          </w:p>
          <w:p w:rsidR="00BB2B9B" w:rsidRDefault="00BB2B9B" w:rsidP="00BB2B9B">
            <w:pPr>
              <w:pStyle w:val="rvps2"/>
              <w:shd w:val="clear" w:color="auto" w:fill="FFFFFF"/>
              <w:spacing w:before="0" w:beforeAutospacing="0" w:after="150" w:afterAutospacing="0"/>
              <w:ind w:firstLine="450"/>
              <w:jc w:val="both"/>
              <w:rPr>
                <w:color w:val="333333"/>
                <w:lang w:eastAsia="en-US"/>
              </w:rPr>
            </w:pPr>
            <w:r>
              <w:rPr>
                <w:color w:val="333333"/>
                <w:lang w:eastAsia="en-US"/>
              </w:rPr>
              <w:t xml:space="preserve">4) параметри, визначені </w:t>
            </w:r>
            <w:r w:rsidRPr="001E40F4">
              <w:rPr>
                <w:color w:val="000000" w:themeColor="text1"/>
                <w:lang w:eastAsia="en-US"/>
              </w:rPr>
              <w:t>у</w:t>
            </w:r>
            <w:r w:rsidR="00F702CD">
              <w:rPr>
                <w:color w:val="000000" w:themeColor="text1"/>
                <w:lang w:eastAsia="en-US"/>
              </w:rPr>
              <w:t xml:space="preserve"> </w:t>
            </w:r>
            <w:hyperlink r:id="rId9" w:anchor="n2936" w:history="1">
              <w:r w:rsidRPr="001E40F4">
                <w:rPr>
                  <w:rStyle w:val="a9"/>
                  <w:color w:val="000000" w:themeColor="text1"/>
                  <w:u w:val="none"/>
                  <w:lang w:eastAsia="en-US"/>
                </w:rPr>
                <w:t xml:space="preserve">пункті </w:t>
              </w:r>
            </w:hyperlink>
            <w:r w:rsidRPr="001E40F4">
              <w:rPr>
                <w:b/>
                <w:color w:val="000000" w:themeColor="text1"/>
                <w:lang w:eastAsia="en-US"/>
              </w:rPr>
              <w:t>2</w:t>
            </w:r>
            <w:r w:rsidR="00F702CD">
              <w:rPr>
                <w:b/>
                <w:color w:val="000000" w:themeColor="text1"/>
                <w:lang w:eastAsia="en-US"/>
              </w:rPr>
              <w:t xml:space="preserve"> </w:t>
            </w:r>
            <w:r>
              <w:rPr>
                <w:color w:val="333333"/>
                <w:lang w:eastAsia="en-US"/>
              </w:rPr>
              <w:t>глави 6 цього розділу;</w:t>
            </w:r>
          </w:p>
          <w:p w:rsidR="00BB2B9B" w:rsidRPr="00BB2B9B" w:rsidRDefault="00BB2B9B" w:rsidP="00150AAF">
            <w:pPr>
              <w:jc w:val="both"/>
              <w:rPr>
                <w:rFonts w:ascii="Times New Roman" w:hAnsi="Times New Roman" w:cs="Times New Roman"/>
                <w:sz w:val="24"/>
                <w:szCs w:val="24"/>
              </w:rPr>
            </w:pPr>
            <w:r>
              <w:rPr>
                <w:rFonts w:ascii="Times New Roman" w:hAnsi="Times New Roman" w:cs="Times New Roman"/>
                <w:sz w:val="24"/>
                <w:szCs w:val="24"/>
              </w:rPr>
              <w:t>…</w:t>
            </w:r>
          </w:p>
        </w:tc>
      </w:tr>
      <w:tr w:rsidR="00BB2B9B" w:rsidTr="00E03B4F">
        <w:trPr>
          <w:trHeight w:val="50"/>
        </w:trPr>
        <w:tc>
          <w:tcPr>
            <w:tcW w:w="7508" w:type="dxa"/>
          </w:tcPr>
          <w:p w:rsidR="00BB2B9B" w:rsidRPr="00BB2B9B" w:rsidRDefault="00BB2B9B" w:rsidP="00BB2B9B">
            <w:pPr>
              <w:pStyle w:val="tj"/>
              <w:spacing w:before="0" w:beforeAutospacing="0" w:after="165" w:afterAutospacing="0"/>
              <w:jc w:val="both"/>
              <w:rPr>
                <w:color w:val="000000" w:themeColor="text1"/>
              </w:rPr>
            </w:pPr>
            <w:r w:rsidRPr="00BB2B9B">
              <w:rPr>
                <w:color w:val="000000" w:themeColor="text1"/>
              </w:rPr>
              <w:t xml:space="preserve">2. Не пізніше ніж за 2 місяці до розподілу нової (збільшеної) потужності на аукціоні розподілу річної потужності оператор газотранспортної </w:t>
            </w:r>
            <w:r w:rsidRPr="00BB2B9B">
              <w:rPr>
                <w:color w:val="000000" w:themeColor="text1"/>
              </w:rPr>
              <w:lastRenderedPageBreak/>
              <w:t>системи публікує спільне повідомлення із суміжним оператором газотранспортної системи, що включає як мінімум таку інформацію:</w:t>
            </w:r>
          </w:p>
          <w:p w:rsidR="00BB2B9B" w:rsidRPr="00BB2B9B" w:rsidRDefault="00BB2B9B" w:rsidP="00BB2B9B">
            <w:pPr>
              <w:pStyle w:val="tj"/>
              <w:spacing w:before="0" w:beforeAutospacing="0" w:after="165" w:afterAutospacing="0"/>
              <w:jc w:val="both"/>
              <w:rPr>
                <w:color w:val="000000" w:themeColor="text1"/>
              </w:rPr>
            </w:pPr>
            <w:r w:rsidRPr="00BB2B9B">
              <w:rPr>
                <w:color w:val="000000" w:themeColor="text1"/>
              </w:rPr>
              <w:t>1) інформація, визначена у пункті 1 цієї глави та погоджена Регулятором;</w:t>
            </w:r>
          </w:p>
          <w:p w:rsidR="00BB2B9B" w:rsidRPr="00BB2B9B" w:rsidRDefault="00BB2B9B" w:rsidP="00BB2B9B">
            <w:pPr>
              <w:pStyle w:val="tj"/>
              <w:spacing w:before="0" w:beforeAutospacing="0" w:after="165" w:afterAutospacing="0"/>
              <w:jc w:val="both"/>
              <w:rPr>
                <w:color w:val="000000" w:themeColor="text1"/>
              </w:rPr>
            </w:pPr>
            <w:r w:rsidRPr="00BB2B9B">
              <w:rPr>
                <w:color w:val="000000" w:themeColor="text1"/>
              </w:rPr>
              <w:t>2) примірний договір розподілу потужності, яка пропонується.</w:t>
            </w:r>
          </w:p>
          <w:p w:rsidR="00BB2B9B" w:rsidRPr="00BB2B9B" w:rsidRDefault="00BB2B9B" w:rsidP="00BB2B9B">
            <w:pPr>
              <w:pStyle w:val="tj"/>
              <w:spacing w:before="0" w:beforeAutospacing="0" w:after="165" w:afterAutospacing="0"/>
              <w:jc w:val="both"/>
              <w:rPr>
                <w:color w:val="000000" w:themeColor="text1"/>
              </w:rPr>
            </w:pPr>
          </w:p>
        </w:tc>
        <w:tc>
          <w:tcPr>
            <w:tcW w:w="7518" w:type="dxa"/>
          </w:tcPr>
          <w:p w:rsidR="003C4907" w:rsidRPr="00BB2B9B" w:rsidRDefault="003C4907" w:rsidP="003C4907">
            <w:pPr>
              <w:pStyle w:val="tj"/>
              <w:spacing w:before="0" w:beforeAutospacing="0" w:after="165" w:afterAutospacing="0"/>
              <w:jc w:val="both"/>
              <w:rPr>
                <w:color w:val="000000" w:themeColor="text1"/>
              </w:rPr>
            </w:pPr>
            <w:r w:rsidRPr="00BB2B9B">
              <w:rPr>
                <w:color w:val="000000" w:themeColor="text1"/>
              </w:rPr>
              <w:lastRenderedPageBreak/>
              <w:t xml:space="preserve">2. Не пізніше ніж за 2 місяці до розподілу нової (збільшеної) потужності на аукціоні розподілу річної потужності оператор газотранспортної </w:t>
            </w:r>
            <w:r w:rsidRPr="00BB2B9B">
              <w:rPr>
                <w:color w:val="000000" w:themeColor="text1"/>
              </w:rPr>
              <w:lastRenderedPageBreak/>
              <w:t>системи публікує спільне повідомлення із суміжним оператором газотранспортної системи, що включає як мінімум таку інформацію:</w:t>
            </w:r>
          </w:p>
          <w:p w:rsidR="003C4907" w:rsidRPr="00BB2B9B" w:rsidRDefault="003C4907" w:rsidP="003C4907">
            <w:pPr>
              <w:pStyle w:val="tj"/>
              <w:spacing w:before="0" w:beforeAutospacing="0" w:after="165" w:afterAutospacing="0"/>
              <w:jc w:val="both"/>
              <w:rPr>
                <w:color w:val="000000" w:themeColor="text1"/>
              </w:rPr>
            </w:pPr>
            <w:r w:rsidRPr="00BB2B9B">
              <w:rPr>
                <w:color w:val="000000" w:themeColor="text1"/>
              </w:rPr>
              <w:t>1) інформація, визначена у пункті 1 цієї глави та погоджена Регулятором;</w:t>
            </w:r>
          </w:p>
          <w:p w:rsidR="003C4907" w:rsidRDefault="003C4907" w:rsidP="003C4907">
            <w:pPr>
              <w:pStyle w:val="rvps2"/>
              <w:shd w:val="clear" w:color="auto" w:fill="FFFFFF"/>
              <w:spacing w:before="0" w:beforeAutospacing="0" w:after="150" w:afterAutospacing="0"/>
              <w:ind w:firstLine="450"/>
              <w:jc w:val="both"/>
              <w:rPr>
                <w:color w:val="333333"/>
              </w:rPr>
            </w:pPr>
            <w:r>
              <w:rPr>
                <w:b/>
                <w:color w:val="333333"/>
              </w:rPr>
              <w:t>2) загальні правила та умови, на які замовники послуг транспортування повинні погодитись для того, щоб отримати доступ до потужності на обов’язковому етапі розподілу потужності процедури нової (збільшеної) потужності.</w:t>
            </w:r>
          </w:p>
          <w:p w:rsidR="00BB2B9B" w:rsidRPr="00C169D5" w:rsidRDefault="00BB2B9B" w:rsidP="00150AAF">
            <w:pPr>
              <w:jc w:val="both"/>
              <w:rPr>
                <w:rFonts w:ascii="Times New Roman" w:hAnsi="Times New Roman" w:cs="Times New Roman"/>
                <w:b/>
                <w:i/>
                <w:sz w:val="24"/>
                <w:szCs w:val="24"/>
              </w:rPr>
            </w:pPr>
          </w:p>
        </w:tc>
      </w:tr>
      <w:tr w:rsidR="00150AAF" w:rsidTr="00E03B4F">
        <w:tc>
          <w:tcPr>
            <w:tcW w:w="7508" w:type="dxa"/>
          </w:tcPr>
          <w:p w:rsidR="00150AAF" w:rsidRPr="00911CD0" w:rsidRDefault="00911CD0" w:rsidP="00150AAF">
            <w:pPr>
              <w:tabs>
                <w:tab w:val="left" w:pos="646"/>
              </w:tabs>
              <w:jc w:val="center"/>
              <w:rPr>
                <w:rFonts w:ascii="Times New Roman" w:hAnsi="Times New Roman" w:cs="Times New Roman"/>
                <w:b/>
                <w:color w:val="000000" w:themeColor="text1"/>
                <w:sz w:val="24"/>
                <w:szCs w:val="24"/>
                <w:highlight w:val="yellow"/>
              </w:rPr>
            </w:pPr>
            <w:r w:rsidRPr="00911CD0">
              <w:rPr>
                <w:rFonts w:ascii="Times New Roman" w:hAnsi="Times New Roman" w:cs="Times New Roman"/>
                <w:b/>
                <w:bCs/>
                <w:sz w:val="24"/>
                <w:szCs w:val="24"/>
              </w:rPr>
              <w:lastRenderedPageBreak/>
              <w:t>4. Аукціон нової (збільшеної) потужності</w:t>
            </w:r>
            <w:r w:rsidRPr="00911CD0">
              <w:rPr>
                <w:rFonts w:ascii="Times New Roman" w:hAnsi="Times New Roman" w:cs="Times New Roman"/>
                <w:b/>
                <w:color w:val="000000" w:themeColor="text1"/>
                <w:sz w:val="24"/>
                <w:szCs w:val="24"/>
                <w:highlight w:val="yellow"/>
              </w:rPr>
              <w:t xml:space="preserve"> </w:t>
            </w:r>
          </w:p>
        </w:tc>
        <w:tc>
          <w:tcPr>
            <w:tcW w:w="7518" w:type="dxa"/>
          </w:tcPr>
          <w:p w:rsidR="00150AAF" w:rsidRPr="00911CD0" w:rsidRDefault="00911CD0" w:rsidP="00150AAF">
            <w:pPr>
              <w:tabs>
                <w:tab w:val="left" w:pos="646"/>
              </w:tabs>
              <w:jc w:val="center"/>
              <w:rPr>
                <w:rFonts w:ascii="Times New Roman" w:hAnsi="Times New Roman" w:cs="Times New Roman"/>
                <w:b/>
                <w:color w:val="000000" w:themeColor="text1"/>
                <w:sz w:val="24"/>
                <w:szCs w:val="24"/>
                <w:highlight w:val="yellow"/>
              </w:rPr>
            </w:pPr>
            <w:r w:rsidRPr="00911CD0">
              <w:rPr>
                <w:rFonts w:ascii="Times New Roman" w:hAnsi="Times New Roman" w:cs="Times New Roman"/>
                <w:b/>
                <w:bCs/>
                <w:sz w:val="24"/>
                <w:szCs w:val="24"/>
              </w:rPr>
              <w:t>4. Аукціон нової (збільшеної) потужності</w:t>
            </w:r>
          </w:p>
        </w:tc>
      </w:tr>
      <w:tr w:rsidR="00150AAF" w:rsidTr="00E03B4F">
        <w:tc>
          <w:tcPr>
            <w:tcW w:w="7508" w:type="dxa"/>
          </w:tcPr>
          <w:p w:rsidR="00150AAF" w:rsidRPr="008F27AB" w:rsidRDefault="008F27AB" w:rsidP="00150AAF">
            <w:pPr>
              <w:ind w:firstLine="709"/>
              <w:jc w:val="both"/>
              <w:rPr>
                <w:rFonts w:ascii="Times New Roman" w:hAnsi="Times New Roman" w:cs="Times New Roman"/>
                <w:color w:val="000000" w:themeColor="text1"/>
                <w:sz w:val="24"/>
                <w:szCs w:val="24"/>
                <w:highlight w:val="yellow"/>
              </w:rPr>
            </w:pPr>
            <w:r w:rsidRPr="008F27AB">
              <w:rPr>
                <w:rFonts w:ascii="Times New Roman" w:hAnsi="Times New Roman" w:cs="Times New Roman"/>
                <w:color w:val="000000" w:themeColor="text1"/>
                <w:sz w:val="24"/>
                <w:szCs w:val="24"/>
                <w:shd w:val="clear" w:color="auto" w:fill="FFFFFF"/>
              </w:rPr>
              <w:t xml:space="preserve">1. За умови виконання етапу попереднього </w:t>
            </w:r>
            <w:proofErr w:type="spellStart"/>
            <w:r w:rsidRPr="008F27AB">
              <w:rPr>
                <w:rFonts w:ascii="Times New Roman" w:hAnsi="Times New Roman" w:cs="Times New Roman"/>
                <w:color w:val="000000" w:themeColor="text1"/>
                <w:sz w:val="24"/>
                <w:szCs w:val="24"/>
                <w:shd w:val="clear" w:color="auto" w:fill="FFFFFF"/>
              </w:rPr>
              <w:t>проєктування</w:t>
            </w:r>
            <w:proofErr w:type="spellEnd"/>
            <w:r w:rsidRPr="008F27AB">
              <w:rPr>
                <w:rFonts w:ascii="Times New Roman" w:hAnsi="Times New Roman" w:cs="Times New Roman"/>
                <w:color w:val="000000" w:themeColor="text1"/>
                <w:sz w:val="24"/>
                <w:szCs w:val="24"/>
                <w:shd w:val="clear" w:color="auto" w:fill="FFFFFF"/>
              </w:rPr>
              <w:t xml:space="preserve"> оператор газотранспортної системи пропонує нову (збільшену) потужність разом із відповідною вільною потужністю на щорічному аукціоні з розподілу річної потужності.</w:t>
            </w:r>
          </w:p>
        </w:tc>
        <w:tc>
          <w:tcPr>
            <w:tcW w:w="7518" w:type="dxa"/>
          </w:tcPr>
          <w:p w:rsidR="00150AAF" w:rsidRPr="008F27AB" w:rsidRDefault="008F27AB" w:rsidP="004C127B">
            <w:pPr>
              <w:shd w:val="clear" w:color="auto" w:fill="FFFFFF"/>
              <w:ind w:firstLine="709"/>
              <w:jc w:val="both"/>
              <w:textAlignment w:val="baseline"/>
              <w:rPr>
                <w:rFonts w:ascii="Times New Roman" w:hAnsi="Times New Roman" w:cs="Times New Roman"/>
                <w:color w:val="000000" w:themeColor="text1"/>
                <w:sz w:val="24"/>
                <w:szCs w:val="24"/>
                <w:highlight w:val="yellow"/>
              </w:rPr>
            </w:pPr>
            <w:r w:rsidRPr="008F27AB">
              <w:rPr>
                <w:rFonts w:ascii="Times New Roman" w:hAnsi="Times New Roman" w:cs="Times New Roman"/>
                <w:color w:val="000000" w:themeColor="text1"/>
                <w:sz w:val="24"/>
                <w:szCs w:val="24"/>
                <w:shd w:val="clear" w:color="auto" w:fill="FFFFFF"/>
              </w:rPr>
              <w:t xml:space="preserve">1. За умови виконання етапу попереднього </w:t>
            </w:r>
            <w:proofErr w:type="spellStart"/>
            <w:r w:rsidRPr="008F27AB">
              <w:rPr>
                <w:rFonts w:ascii="Times New Roman" w:hAnsi="Times New Roman" w:cs="Times New Roman"/>
                <w:color w:val="000000" w:themeColor="text1"/>
                <w:sz w:val="24"/>
                <w:szCs w:val="24"/>
                <w:shd w:val="clear" w:color="auto" w:fill="FFFFFF"/>
              </w:rPr>
              <w:t>проєктування</w:t>
            </w:r>
            <w:proofErr w:type="spellEnd"/>
            <w:r w:rsidRPr="008F27AB">
              <w:rPr>
                <w:rFonts w:ascii="Times New Roman" w:hAnsi="Times New Roman" w:cs="Times New Roman"/>
                <w:color w:val="000000" w:themeColor="text1"/>
                <w:sz w:val="24"/>
                <w:szCs w:val="24"/>
                <w:shd w:val="clear" w:color="auto" w:fill="FFFFFF"/>
              </w:rPr>
              <w:t xml:space="preserve"> оператор газотранспортної системи пропонує нову (збільшену) потужність разом із відповідною вільною потужністю на щорічному аукціоні з розподілу річної потужності. </w:t>
            </w:r>
            <w:r w:rsidRPr="008F27AB">
              <w:rPr>
                <w:rFonts w:ascii="Times New Roman" w:hAnsi="Times New Roman" w:cs="Times New Roman"/>
                <w:b/>
                <w:color w:val="000000" w:themeColor="text1"/>
                <w:sz w:val="24"/>
                <w:szCs w:val="24"/>
                <w:shd w:val="clear" w:color="auto" w:fill="FFFFFF"/>
              </w:rPr>
              <w:t xml:space="preserve">Замовник допускається до участі в аукціоні </w:t>
            </w:r>
            <w:r w:rsidRPr="008F27AB">
              <w:rPr>
                <w:rFonts w:ascii="Times New Roman" w:hAnsi="Times New Roman" w:cs="Times New Roman"/>
                <w:b/>
                <w:color w:val="000000" w:themeColor="text1"/>
                <w:sz w:val="24"/>
                <w:szCs w:val="24"/>
              </w:rPr>
              <w:t>розподілу потужності процедури нової (збільшеної) потужності</w:t>
            </w:r>
            <w:r w:rsidRPr="008F27AB" w:rsidDel="00522DEB">
              <w:rPr>
                <w:rFonts w:ascii="Times New Roman" w:hAnsi="Times New Roman" w:cs="Times New Roman"/>
                <w:b/>
                <w:color w:val="000000" w:themeColor="text1"/>
                <w:sz w:val="24"/>
                <w:szCs w:val="24"/>
                <w:shd w:val="clear" w:color="auto" w:fill="FFFFFF"/>
              </w:rPr>
              <w:t xml:space="preserve"> </w:t>
            </w:r>
            <w:r w:rsidRPr="008F27AB">
              <w:rPr>
                <w:rFonts w:ascii="Times New Roman" w:hAnsi="Times New Roman" w:cs="Times New Roman"/>
                <w:b/>
                <w:color w:val="000000" w:themeColor="text1"/>
                <w:sz w:val="24"/>
                <w:szCs w:val="24"/>
                <w:shd w:val="clear" w:color="auto" w:fill="FFFFFF"/>
              </w:rPr>
              <w:t xml:space="preserve">після підписання заяви </w:t>
            </w:r>
            <w:r w:rsidRPr="008F27AB">
              <w:rPr>
                <w:rFonts w:ascii="Times New Roman" w:hAnsi="Times New Roman" w:cs="Times New Roman"/>
                <w:b/>
                <w:color w:val="000000" w:themeColor="text1"/>
                <w:sz w:val="24"/>
                <w:szCs w:val="24"/>
              </w:rPr>
              <w:t>про приєднання до загальних правил та умов, на які замовники послуг транспортування повинні погодитись для того, щоб отримати доступ до потужності на обов’язковому етапі розподілу потужності процедури нової (збільшеної) потужності.</w:t>
            </w:r>
          </w:p>
        </w:tc>
      </w:tr>
      <w:tr w:rsidR="00150AAF" w:rsidRPr="009D6AB1" w:rsidTr="00E03B4F">
        <w:tc>
          <w:tcPr>
            <w:tcW w:w="7508" w:type="dxa"/>
          </w:tcPr>
          <w:p w:rsidR="00150AAF" w:rsidRPr="008F27AB" w:rsidRDefault="008F27AB" w:rsidP="00150AAF">
            <w:pPr>
              <w:tabs>
                <w:tab w:val="left" w:pos="646"/>
              </w:tabs>
              <w:jc w:val="center"/>
              <w:rPr>
                <w:rFonts w:ascii="Times New Roman" w:hAnsi="Times New Roman" w:cs="Times New Roman"/>
                <w:b/>
                <w:color w:val="000000" w:themeColor="text1"/>
                <w:sz w:val="24"/>
                <w:szCs w:val="24"/>
                <w:highlight w:val="yellow"/>
              </w:rPr>
            </w:pPr>
            <w:r w:rsidRPr="008F27AB">
              <w:rPr>
                <w:rFonts w:ascii="Times New Roman" w:eastAsia="Calibri" w:hAnsi="Times New Roman" w:cs="Times New Roman"/>
                <w:b/>
                <w:color w:val="000000" w:themeColor="text1"/>
                <w:sz w:val="24"/>
                <w:szCs w:val="24"/>
              </w:rPr>
              <w:t>6. Економічний тест та ф-фактор</w:t>
            </w:r>
          </w:p>
        </w:tc>
        <w:tc>
          <w:tcPr>
            <w:tcW w:w="7518" w:type="dxa"/>
          </w:tcPr>
          <w:p w:rsidR="00150AAF" w:rsidRPr="008F27AB" w:rsidRDefault="008F27AB" w:rsidP="00150AAF">
            <w:pPr>
              <w:tabs>
                <w:tab w:val="left" w:pos="646"/>
              </w:tabs>
              <w:jc w:val="center"/>
              <w:rPr>
                <w:rFonts w:ascii="Times New Roman" w:hAnsi="Times New Roman" w:cs="Times New Roman"/>
                <w:b/>
                <w:color w:val="000000" w:themeColor="text1"/>
                <w:sz w:val="24"/>
                <w:szCs w:val="24"/>
                <w:highlight w:val="yellow"/>
              </w:rPr>
            </w:pPr>
            <w:r w:rsidRPr="008F27AB">
              <w:rPr>
                <w:rFonts w:ascii="Times New Roman" w:eastAsia="Calibri" w:hAnsi="Times New Roman" w:cs="Times New Roman"/>
                <w:b/>
                <w:color w:val="000000" w:themeColor="text1"/>
                <w:sz w:val="24"/>
                <w:szCs w:val="24"/>
              </w:rPr>
              <w:t>6. Економічний тест та ф-фактор</w:t>
            </w:r>
          </w:p>
        </w:tc>
      </w:tr>
      <w:tr w:rsidR="00150AAF" w:rsidTr="00E03B4F">
        <w:tc>
          <w:tcPr>
            <w:tcW w:w="7508" w:type="dxa"/>
          </w:tcPr>
          <w:p w:rsidR="00150AAF" w:rsidRPr="008F27AB" w:rsidRDefault="008F27AB" w:rsidP="00150AAF">
            <w:pPr>
              <w:pStyle w:val="rvps2"/>
              <w:shd w:val="clear" w:color="auto" w:fill="FFFFFF"/>
              <w:spacing w:before="0" w:beforeAutospacing="0" w:after="150" w:afterAutospacing="0"/>
              <w:ind w:firstLine="450"/>
              <w:jc w:val="both"/>
              <w:rPr>
                <w:color w:val="000000" w:themeColor="text1"/>
              </w:rPr>
            </w:pPr>
            <w:r w:rsidRPr="008F27AB">
              <w:rPr>
                <w:color w:val="000000" w:themeColor="text1"/>
                <w:lang w:eastAsia="ru-RU"/>
              </w:rPr>
              <w:t xml:space="preserve">1. Оператор газотранспортної системи проводить економічний тест для кожного рівня пропозиції </w:t>
            </w:r>
            <w:proofErr w:type="spellStart"/>
            <w:r w:rsidRPr="008F27AB">
              <w:rPr>
                <w:color w:val="000000" w:themeColor="text1"/>
                <w:lang w:eastAsia="ru-RU"/>
              </w:rPr>
              <w:t>проєкту</w:t>
            </w:r>
            <w:proofErr w:type="spellEnd"/>
            <w:r w:rsidRPr="008F27AB">
              <w:rPr>
                <w:color w:val="000000" w:themeColor="text1"/>
                <w:lang w:eastAsia="ru-RU"/>
              </w:rPr>
              <w:t xml:space="preserve"> нової (збільшеної) потужності після укладення з замовниками послуг транспортування договорів, у яких передбачено обов’язок замовників послуг транспортування забронювати потужність. Якщо договори не були укладені, то економічний тест не проводиться.</w:t>
            </w:r>
          </w:p>
        </w:tc>
        <w:tc>
          <w:tcPr>
            <w:tcW w:w="7518" w:type="dxa"/>
          </w:tcPr>
          <w:p w:rsidR="00150AAF" w:rsidRPr="008F27AB" w:rsidRDefault="008F27AB" w:rsidP="00150AAF">
            <w:pPr>
              <w:shd w:val="clear" w:color="auto" w:fill="FFFFFF"/>
              <w:spacing w:after="150"/>
              <w:ind w:firstLine="450"/>
              <w:jc w:val="both"/>
              <w:rPr>
                <w:rFonts w:ascii="Times New Roman" w:hAnsi="Times New Roman" w:cs="Times New Roman"/>
                <w:color w:val="000000" w:themeColor="text1"/>
                <w:sz w:val="24"/>
                <w:szCs w:val="24"/>
                <w:shd w:val="clear" w:color="auto" w:fill="FFFFFF"/>
              </w:rPr>
            </w:pPr>
            <w:r w:rsidRPr="008F27AB">
              <w:rPr>
                <w:rFonts w:ascii="Times New Roman" w:eastAsia="Times New Roman" w:hAnsi="Times New Roman" w:cs="Times New Roman"/>
                <w:color w:val="000000" w:themeColor="text1"/>
                <w:sz w:val="24"/>
                <w:szCs w:val="24"/>
                <w:lang w:eastAsia="ru-RU"/>
              </w:rPr>
              <w:t xml:space="preserve">1. Оператор газотранспортної системи проводить економічний тест для кожного рівня пропозиції </w:t>
            </w:r>
            <w:proofErr w:type="spellStart"/>
            <w:r w:rsidRPr="008F27AB">
              <w:rPr>
                <w:rFonts w:ascii="Times New Roman" w:eastAsia="Times New Roman" w:hAnsi="Times New Roman" w:cs="Times New Roman"/>
                <w:color w:val="000000" w:themeColor="text1"/>
                <w:sz w:val="24"/>
                <w:szCs w:val="24"/>
                <w:lang w:eastAsia="ru-RU"/>
              </w:rPr>
              <w:t>проєкту</w:t>
            </w:r>
            <w:proofErr w:type="spellEnd"/>
            <w:r w:rsidRPr="008F27AB">
              <w:rPr>
                <w:rFonts w:ascii="Times New Roman" w:eastAsia="Times New Roman" w:hAnsi="Times New Roman" w:cs="Times New Roman"/>
                <w:color w:val="000000" w:themeColor="text1"/>
                <w:sz w:val="24"/>
                <w:szCs w:val="24"/>
                <w:lang w:eastAsia="ru-RU"/>
              </w:rPr>
              <w:t xml:space="preserve"> нової (збільшеної) потужності після </w:t>
            </w:r>
            <w:r w:rsidRPr="008F27AB">
              <w:rPr>
                <w:rFonts w:ascii="Times New Roman" w:eastAsia="Times New Roman" w:hAnsi="Times New Roman" w:cs="Times New Roman"/>
                <w:b/>
                <w:strike/>
                <w:color w:val="000000" w:themeColor="text1"/>
                <w:sz w:val="24"/>
                <w:szCs w:val="24"/>
                <w:lang w:eastAsia="ru-RU"/>
              </w:rPr>
              <w:t>укладення з замовниками послуг транспортування договорів, у яких передбачено обов’язок замовників послуг транспортування забронювати потужність. Якщо договори не були укладені, то економічний тест не проводиться</w:t>
            </w:r>
            <w:r w:rsidRPr="008F27AB">
              <w:rPr>
                <w:rFonts w:ascii="Times New Roman" w:eastAsia="Times New Roman" w:hAnsi="Times New Roman" w:cs="Times New Roman"/>
                <w:color w:val="000000" w:themeColor="text1"/>
                <w:sz w:val="24"/>
                <w:szCs w:val="24"/>
                <w:lang w:eastAsia="ru-RU"/>
              </w:rPr>
              <w:t xml:space="preserve"> </w:t>
            </w:r>
            <w:r w:rsidRPr="008F27AB">
              <w:rPr>
                <w:rFonts w:ascii="Times New Roman" w:eastAsia="Times New Roman" w:hAnsi="Times New Roman" w:cs="Times New Roman"/>
                <w:b/>
                <w:color w:val="000000" w:themeColor="text1"/>
                <w:sz w:val="24"/>
                <w:szCs w:val="24"/>
                <w:lang w:eastAsia="ru-RU"/>
              </w:rPr>
              <w:t>завершення відповідного аукціону з розподілу нової (збільшеної) потужності, якщо за результатами такого аукціону виникли зобов’язання замовників послуг транспортування щодо розподіленої нової (збільшеної) потужності.</w:t>
            </w:r>
          </w:p>
        </w:tc>
      </w:tr>
      <w:tr w:rsidR="00150AAF" w:rsidTr="00E03B4F">
        <w:tc>
          <w:tcPr>
            <w:tcW w:w="7508" w:type="dxa"/>
          </w:tcPr>
          <w:p w:rsidR="00150AAF" w:rsidRPr="00C169D5" w:rsidRDefault="008F27AB" w:rsidP="00150AAF">
            <w:pPr>
              <w:jc w:val="center"/>
              <w:rPr>
                <w:rFonts w:ascii="Times New Roman" w:hAnsi="Times New Roman" w:cs="Times New Roman"/>
                <w:b/>
                <w:i/>
                <w:sz w:val="24"/>
                <w:szCs w:val="24"/>
              </w:rPr>
            </w:pPr>
            <w:r w:rsidRPr="006E24E0">
              <w:rPr>
                <w:rFonts w:ascii="Times New Roman" w:eastAsia="Calibri" w:hAnsi="Times New Roman" w:cs="Times New Roman"/>
                <w:b/>
                <w:color w:val="000000"/>
                <w:sz w:val="24"/>
                <w:szCs w:val="24"/>
              </w:rPr>
              <w:t>7. Об’єднаний економічний тест</w:t>
            </w:r>
          </w:p>
        </w:tc>
        <w:tc>
          <w:tcPr>
            <w:tcW w:w="7518" w:type="dxa"/>
          </w:tcPr>
          <w:p w:rsidR="00150AAF" w:rsidRPr="00C169D5" w:rsidRDefault="008F27AB" w:rsidP="00150AAF">
            <w:pPr>
              <w:ind w:firstLine="709"/>
              <w:jc w:val="both"/>
              <w:rPr>
                <w:rFonts w:ascii="Times New Roman" w:hAnsi="Times New Roman" w:cs="Times New Roman"/>
                <w:b/>
                <w:i/>
                <w:sz w:val="24"/>
                <w:szCs w:val="24"/>
              </w:rPr>
            </w:pPr>
            <w:r w:rsidRPr="006E24E0">
              <w:rPr>
                <w:rFonts w:ascii="Times New Roman" w:eastAsia="Calibri" w:hAnsi="Times New Roman" w:cs="Times New Roman"/>
                <w:b/>
                <w:color w:val="000000"/>
                <w:sz w:val="24"/>
                <w:szCs w:val="24"/>
              </w:rPr>
              <w:t>7. Об’єднаний економічний тест</w:t>
            </w:r>
          </w:p>
        </w:tc>
      </w:tr>
      <w:tr w:rsidR="00150AAF" w:rsidTr="00E03B4F">
        <w:tc>
          <w:tcPr>
            <w:tcW w:w="7508" w:type="dxa"/>
          </w:tcPr>
          <w:p w:rsidR="00150AAF" w:rsidRPr="000615CC" w:rsidRDefault="000615CC" w:rsidP="000615CC">
            <w:pPr>
              <w:ind w:firstLine="709"/>
              <w:jc w:val="both"/>
              <w:rPr>
                <w:rFonts w:ascii="Times New Roman" w:hAnsi="Times New Roman" w:cs="Times New Roman"/>
                <w:b/>
                <w:i/>
                <w:sz w:val="24"/>
                <w:szCs w:val="24"/>
                <w:highlight w:val="yellow"/>
              </w:rPr>
            </w:pPr>
            <w:r w:rsidRPr="000615CC">
              <w:rPr>
                <w:rFonts w:ascii="Times New Roman" w:hAnsi="Times New Roman" w:cs="Times New Roman"/>
                <w:b/>
                <w:bCs/>
                <w:color w:val="000000"/>
                <w:shd w:val="clear" w:color="auto" w:fill="FFFFFF"/>
              </w:rPr>
              <w:t>Норми відсутні</w:t>
            </w:r>
          </w:p>
        </w:tc>
        <w:tc>
          <w:tcPr>
            <w:tcW w:w="7518" w:type="dxa"/>
          </w:tcPr>
          <w:p w:rsidR="00150AAF" w:rsidRPr="00014384" w:rsidRDefault="008F27AB" w:rsidP="008F27AB">
            <w:pPr>
              <w:ind w:firstLine="709"/>
              <w:jc w:val="both"/>
              <w:rPr>
                <w:rFonts w:ascii="Times New Roman" w:hAnsi="Times New Roman" w:cs="Times New Roman"/>
                <w:b/>
                <w:i/>
                <w:sz w:val="24"/>
                <w:szCs w:val="24"/>
                <w:highlight w:val="yellow"/>
              </w:rPr>
            </w:pPr>
            <w:r w:rsidRPr="00472799">
              <w:rPr>
                <w:rFonts w:ascii="Times New Roman" w:eastAsia="Calibri" w:hAnsi="Times New Roman" w:cs="Times New Roman"/>
                <w:b/>
                <w:color w:val="000000"/>
                <w:sz w:val="24"/>
                <w:szCs w:val="24"/>
              </w:rPr>
              <w:t xml:space="preserve">4. Якщо </w:t>
            </w:r>
            <w:r w:rsidRPr="00472799">
              <w:rPr>
                <w:rFonts w:ascii="Times New Roman" w:hAnsi="Times New Roman" w:cs="Times New Roman"/>
                <w:b/>
                <w:color w:val="333333"/>
                <w:sz w:val="24"/>
                <w:szCs w:val="24"/>
                <w:shd w:val="clear" w:color="auto" w:fill="FFFFFF"/>
              </w:rPr>
              <w:t xml:space="preserve">результат об’єднаного економічного тесту є позитивним, </w:t>
            </w:r>
            <w:r w:rsidRPr="00472799">
              <w:rPr>
                <w:rFonts w:ascii="Times New Roman" w:hAnsi="Times New Roman" w:cs="Times New Roman"/>
                <w:b/>
                <w:sz w:val="24"/>
                <w:szCs w:val="24"/>
              </w:rPr>
              <w:t xml:space="preserve">оператор газотранспортної системи разом з  </w:t>
            </w:r>
            <w:r w:rsidRPr="00472799">
              <w:rPr>
                <w:rFonts w:ascii="Times New Roman" w:hAnsi="Times New Roman" w:cs="Times New Roman"/>
                <w:b/>
                <w:sz w:val="24"/>
                <w:szCs w:val="24"/>
              </w:rPr>
              <w:lastRenderedPageBreak/>
              <w:t xml:space="preserve">оператором суміжної газотранспортної системи укладає угоду щодо реалізації </w:t>
            </w:r>
            <w:proofErr w:type="spellStart"/>
            <w:r w:rsidRPr="00472799">
              <w:rPr>
                <w:rFonts w:ascii="Times New Roman" w:hAnsi="Times New Roman" w:cs="Times New Roman"/>
                <w:b/>
                <w:sz w:val="24"/>
                <w:szCs w:val="24"/>
              </w:rPr>
              <w:t>проєкту</w:t>
            </w:r>
            <w:proofErr w:type="spellEnd"/>
            <w:r w:rsidRPr="00472799">
              <w:rPr>
                <w:rFonts w:ascii="Times New Roman" w:hAnsi="Times New Roman" w:cs="Times New Roman"/>
                <w:b/>
                <w:sz w:val="24"/>
                <w:szCs w:val="24"/>
              </w:rPr>
              <w:t xml:space="preserve"> нової (збільшеної) потужності на міждержавних з’єднаннях.</w:t>
            </w:r>
          </w:p>
        </w:tc>
      </w:tr>
      <w:tr w:rsidR="00150AAF" w:rsidTr="00E03B4F">
        <w:tc>
          <w:tcPr>
            <w:tcW w:w="7508" w:type="dxa"/>
          </w:tcPr>
          <w:p w:rsidR="00150AAF" w:rsidRPr="000615CC" w:rsidRDefault="000615CC" w:rsidP="00150AAF">
            <w:pPr>
              <w:tabs>
                <w:tab w:val="left" w:pos="2985"/>
              </w:tabs>
              <w:ind w:firstLine="709"/>
              <w:jc w:val="both"/>
              <w:rPr>
                <w:rFonts w:ascii="Times New Roman" w:hAnsi="Times New Roman" w:cs="Times New Roman"/>
                <w:sz w:val="24"/>
                <w:szCs w:val="24"/>
                <w:lang w:val="ru-RU"/>
              </w:rPr>
            </w:pPr>
            <w:r w:rsidRPr="000615CC">
              <w:rPr>
                <w:rFonts w:ascii="Times New Roman" w:hAnsi="Times New Roman" w:cs="Times New Roman"/>
                <w:b/>
                <w:bCs/>
                <w:color w:val="000000"/>
                <w:shd w:val="clear" w:color="auto" w:fill="FFFFFF"/>
              </w:rPr>
              <w:lastRenderedPageBreak/>
              <w:t>Норми відсутні</w:t>
            </w:r>
          </w:p>
        </w:tc>
        <w:tc>
          <w:tcPr>
            <w:tcW w:w="7518" w:type="dxa"/>
          </w:tcPr>
          <w:p w:rsidR="00150AAF" w:rsidRPr="00C169D5" w:rsidRDefault="008F27AB" w:rsidP="00150AAF">
            <w:pPr>
              <w:ind w:firstLine="709"/>
              <w:jc w:val="both"/>
              <w:rPr>
                <w:rFonts w:ascii="Times New Roman" w:hAnsi="Times New Roman" w:cs="Times New Roman"/>
                <w:sz w:val="24"/>
                <w:szCs w:val="24"/>
              </w:rPr>
            </w:pPr>
            <w:r w:rsidRPr="00472799">
              <w:rPr>
                <w:rFonts w:ascii="Times New Roman" w:eastAsia="Calibri" w:hAnsi="Times New Roman" w:cs="Times New Roman"/>
                <w:b/>
                <w:color w:val="000000"/>
                <w:sz w:val="24"/>
                <w:szCs w:val="24"/>
              </w:rPr>
              <w:t xml:space="preserve">5. Якщо </w:t>
            </w:r>
            <w:r w:rsidRPr="00ED3FDA">
              <w:rPr>
                <w:rFonts w:ascii="Times New Roman" w:eastAsia="Calibri" w:hAnsi="Times New Roman" w:cs="Times New Roman"/>
                <w:b/>
                <w:color w:val="000000"/>
                <w:sz w:val="24"/>
                <w:szCs w:val="24"/>
              </w:rPr>
              <w:t>результат об’єднаного економічного тесту є негативним, оператор газотранспортної системи не здійснює розподілу нової (збільшеної) потужності. Така інформація надається одночасно всім учасникам аукціону.</w:t>
            </w:r>
          </w:p>
        </w:tc>
      </w:tr>
      <w:tr w:rsidR="00014384" w:rsidTr="00E03B4F">
        <w:trPr>
          <w:trHeight w:val="320"/>
        </w:trPr>
        <w:tc>
          <w:tcPr>
            <w:tcW w:w="7508" w:type="dxa"/>
          </w:tcPr>
          <w:p w:rsidR="00014384" w:rsidRPr="00014384" w:rsidRDefault="00172147" w:rsidP="00014384">
            <w:pPr>
              <w:jc w:val="center"/>
              <w:rPr>
                <w:rFonts w:ascii="Times New Roman" w:hAnsi="Times New Roman" w:cs="Times New Roman"/>
                <w:b/>
                <w:sz w:val="24"/>
                <w:szCs w:val="24"/>
              </w:rPr>
            </w:pPr>
            <w:r w:rsidRPr="00014384">
              <w:rPr>
                <w:rFonts w:ascii="Times New Roman" w:hAnsi="Times New Roman" w:cs="Times New Roman"/>
                <w:b/>
                <w:sz w:val="24"/>
                <w:szCs w:val="24"/>
              </w:rPr>
              <w:t>ТИПОВИЙ ДОГОВІР ТРАНСПОРТУВАННЯ ПРИРОДНОГО ГАЗУ</w:t>
            </w:r>
          </w:p>
        </w:tc>
        <w:tc>
          <w:tcPr>
            <w:tcW w:w="7518" w:type="dxa"/>
          </w:tcPr>
          <w:p w:rsidR="00014384" w:rsidRPr="00172147" w:rsidRDefault="00172147" w:rsidP="00014384">
            <w:pPr>
              <w:jc w:val="center"/>
              <w:rPr>
                <w:rFonts w:ascii="Times New Roman" w:hAnsi="Times New Roman" w:cs="Times New Roman"/>
                <w:b/>
                <w:sz w:val="24"/>
                <w:szCs w:val="24"/>
              </w:rPr>
            </w:pPr>
            <w:r w:rsidRPr="00172147">
              <w:rPr>
                <w:rFonts w:ascii="Times New Roman" w:hAnsi="Times New Roman" w:cs="Times New Roman"/>
                <w:b/>
                <w:sz w:val="24"/>
                <w:szCs w:val="24"/>
              </w:rPr>
              <w:t>ЗМІНИ ДО ТИПОВИЙ ДОГОВІР ТРАНСПОРТУВАННЯ ПРИРОДНОГО ГАЗУ</w:t>
            </w:r>
          </w:p>
        </w:tc>
      </w:tr>
      <w:tr w:rsidR="00014384" w:rsidTr="00E03B4F">
        <w:trPr>
          <w:trHeight w:val="508"/>
        </w:trPr>
        <w:tc>
          <w:tcPr>
            <w:tcW w:w="7508" w:type="dxa"/>
          </w:tcPr>
          <w:p w:rsidR="00014384" w:rsidRPr="00317D92" w:rsidRDefault="00BA6F8C" w:rsidP="00014384">
            <w:pPr>
              <w:shd w:val="clear" w:color="auto" w:fill="FFFFFF"/>
              <w:tabs>
                <w:tab w:val="left" w:pos="646"/>
              </w:tabs>
              <w:jc w:val="center"/>
              <w:textAlignment w:val="baseline"/>
              <w:rPr>
                <w:rFonts w:ascii="Times New Roman" w:hAnsi="Times New Roman" w:cs="Times New Roman"/>
                <w:b/>
                <w:color w:val="000000"/>
                <w:sz w:val="24"/>
                <w:szCs w:val="24"/>
                <w:shd w:val="clear" w:color="auto" w:fill="FFFFFF"/>
              </w:rPr>
            </w:pPr>
            <w:r w:rsidRPr="006E24E0">
              <w:rPr>
                <w:rFonts w:ascii="Times New Roman" w:hAnsi="Times New Roman"/>
                <w:b/>
                <w:sz w:val="24"/>
                <w:szCs w:val="24"/>
              </w:rPr>
              <w:t>II. Предмет договору</w:t>
            </w:r>
          </w:p>
        </w:tc>
        <w:tc>
          <w:tcPr>
            <w:tcW w:w="7518" w:type="dxa"/>
          </w:tcPr>
          <w:p w:rsidR="00014384" w:rsidRPr="00317D92" w:rsidRDefault="00BA6F8C" w:rsidP="00014384">
            <w:pPr>
              <w:shd w:val="clear" w:color="auto" w:fill="FFFFFF"/>
              <w:tabs>
                <w:tab w:val="left" w:pos="646"/>
              </w:tabs>
              <w:jc w:val="center"/>
              <w:textAlignment w:val="baseline"/>
              <w:rPr>
                <w:rFonts w:ascii="Times New Roman" w:hAnsi="Times New Roman" w:cs="Times New Roman"/>
                <w:b/>
                <w:color w:val="000000"/>
                <w:sz w:val="24"/>
                <w:szCs w:val="24"/>
                <w:shd w:val="clear" w:color="auto" w:fill="FFFFFF"/>
              </w:rPr>
            </w:pPr>
            <w:r w:rsidRPr="006E24E0">
              <w:rPr>
                <w:rFonts w:ascii="Times New Roman" w:hAnsi="Times New Roman"/>
                <w:b/>
                <w:sz w:val="24"/>
                <w:szCs w:val="24"/>
              </w:rPr>
              <w:t>II. Предмет договору</w:t>
            </w:r>
          </w:p>
        </w:tc>
      </w:tr>
      <w:tr w:rsidR="00014384" w:rsidTr="00E03B4F">
        <w:trPr>
          <w:trHeight w:val="508"/>
        </w:trPr>
        <w:tc>
          <w:tcPr>
            <w:tcW w:w="7508" w:type="dxa"/>
          </w:tcPr>
          <w:p w:rsidR="00BA6F8C" w:rsidRPr="00A27CA8" w:rsidRDefault="00BA6F8C" w:rsidP="00BA6F8C">
            <w:pPr>
              <w:pStyle w:val="1"/>
              <w:adjustRightInd w:val="0"/>
              <w:spacing w:after="0" w:line="240" w:lineRule="auto"/>
              <w:ind w:left="0" w:firstLine="284"/>
              <w:rPr>
                <w:rFonts w:ascii="Times New Roman" w:hAnsi="Times New Roman"/>
                <w:sz w:val="24"/>
                <w:szCs w:val="24"/>
                <w:lang w:val="uk-UA"/>
              </w:rPr>
            </w:pPr>
            <w:r w:rsidRPr="006E24E0">
              <w:rPr>
                <w:rFonts w:ascii="Times New Roman" w:hAnsi="Times New Roman"/>
                <w:sz w:val="24"/>
                <w:szCs w:val="24"/>
                <w:lang w:val="uk-UA"/>
              </w:rPr>
              <w:t xml:space="preserve">2.2. Замовник погоджується з тим, що обов’язковою умовою розподілу потужності у точках міждержавного з’єднання є доступ Замовника до аукціонної платформи згідно з інструкцією з порядку доступу та роботи аукціонної платформи, розміщеною на веб-сайті Оператора. Підписанням цього Договору Замовник підтверджує, що він ознайомлений з інструкцією з порядку доступу та роботи аукціонної платформи, розміщеною на веб-сайті Оператора, та надає згоду на її застосування та дотримання. </w:t>
            </w:r>
            <w:r w:rsidRPr="00A27CA8">
              <w:rPr>
                <w:rFonts w:ascii="Times New Roman" w:hAnsi="Times New Roman"/>
                <w:sz w:val="24"/>
                <w:szCs w:val="24"/>
                <w:lang w:val="uk-UA"/>
              </w:rPr>
              <w:t>Замовник визнає, що потужність у точках міждержавного з’єднання, розподілена йому за результатами проведених аукціонів на аукціонних платформах, є його договірною потужністю і буде ним оплачена на умовах цього Договору.</w:t>
            </w:r>
          </w:p>
          <w:p w:rsidR="00014384" w:rsidRPr="00F51FBD" w:rsidRDefault="00014384" w:rsidP="00014384">
            <w:pPr>
              <w:ind w:firstLine="709"/>
              <w:jc w:val="both"/>
              <w:rPr>
                <w:rFonts w:ascii="Times New Roman" w:hAnsi="Times New Roman" w:cs="Times New Roman"/>
                <w:i/>
                <w:color w:val="000000" w:themeColor="text1"/>
                <w:sz w:val="24"/>
                <w:szCs w:val="24"/>
              </w:rPr>
            </w:pPr>
          </w:p>
        </w:tc>
        <w:tc>
          <w:tcPr>
            <w:tcW w:w="7518" w:type="dxa"/>
          </w:tcPr>
          <w:p w:rsidR="00BA6F8C" w:rsidRDefault="00BA6F8C" w:rsidP="00BA6F8C">
            <w:pPr>
              <w:pStyle w:val="1"/>
              <w:adjustRightInd w:val="0"/>
              <w:spacing w:after="0" w:line="240" w:lineRule="auto"/>
              <w:ind w:left="0" w:firstLine="284"/>
              <w:rPr>
                <w:rFonts w:ascii="Times New Roman" w:hAnsi="Times New Roman"/>
                <w:sz w:val="24"/>
                <w:szCs w:val="24"/>
                <w:lang w:val="uk-UA"/>
              </w:rPr>
            </w:pPr>
            <w:r w:rsidRPr="006E24E0">
              <w:rPr>
                <w:rFonts w:ascii="Times New Roman" w:hAnsi="Times New Roman"/>
                <w:sz w:val="24"/>
                <w:szCs w:val="24"/>
                <w:lang w:val="uk-UA"/>
              </w:rPr>
              <w:t xml:space="preserve">2.2. Замовник погоджується з тим, що обов’язковою умовою розподілу потужності у точках міждержавного з’єднання є доступ Замовника до аукціонної платформи згідно з інструкцією з порядку доступу та роботи аукціонної платформи, розміщеною на веб-сайті Оператора. Підписанням цього Договору Замовник підтверджує, що він ознайомлений з інструкцією з порядку доступу та роботи аукціонної платформи, розміщеною на веб-сайті Оператора, та надає згоду на її застосування та дотримання. Замовник визнає, що потужність у точках міждержавного з’єднання, розподілена йому за результатами проведених аукціонів, </w:t>
            </w:r>
            <w:r w:rsidR="00FA1BBD" w:rsidRPr="00FA1BBD">
              <w:rPr>
                <w:rFonts w:ascii="Times New Roman" w:hAnsi="Times New Roman"/>
                <w:b/>
                <w:sz w:val="24"/>
                <w:szCs w:val="24"/>
                <w:lang w:val="uk-UA"/>
              </w:rPr>
              <w:t>у</w:t>
            </w:r>
            <w:r w:rsidRPr="004E4E45">
              <w:rPr>
                <w:rFonts w:ascii="Times New Roman" w:hAnsi="Times New Roman"/>
                <w:b/>
                <w:color w:val="000000" w:themeColor="text1"/>
                <w:sz w:val="24"/>
                <w:szCs w:val="24"/>
                <w:lang w:val="uk-UA"/>
              </w:rPr>
              <w:t xml:space="preserve"> тому числі на </w:t>
            </w:r>
            <w:r>
              <w:rPr>
                <w:rFonts w:ascii="Times New Roman" w:hAnsi="Times New Roman"/>
                <w:b/>
                <w:color w:val="000000" w:themeColor="text1"/>
                <w:sz w:val="24"/>
                <w:szCs w:val="24"/>
                <w:lang w:val="uk-UA"/>
              </w:rPr>
              <w:t>аукціоні</w:t>
            </w:r>
            <w:r w:rsidRPr="004E4E45">
              <w:rPr>
                <w:rFonts w:ascii="Times New Roman" w:hAnsi="Times New Roman"/>
                <w:b/>
                <w:color w:val="000000" w:themeColor="text1"/>
                <w:sz w:val="24"/>
                <w:szCs w:val="24"/>
                <w:lang w:val="uk-UA"/>
              </w:rPr>
              <w:t xml:space="preserve"> розподілу нової (збільшеної) потужності,</w:t>
            </w:r>
            <w:r w:rsidRPr="006E24E0">
              <w:rPr>
                <w:rFonts w:ascii="Times New Roman" w:hAnsi="Times New Roman"/>
                <w:sz w:val="24"/>
                <w:szCs w:val="24"/>
                <w:lang w:val="uk-UA"/>
              </w:rPr>
              <w:t xml:space="preserve"> на аукціонних платформах, є його договірною потужністю і буде ним оплачена на умовах цього Договору.</w:t>
            </w:r>
          </w:p>
          <w:p w:rsidR="00014384" w:rsidRPr="00207046" w:rsidRDefault="00BA6F8C" w:rsidP="00BA6F8C">
            <w:pPr>
              <w:ind w:firstLine="709"/>
              <w:jc w:val="both"/>
              <w:rPr>
                <w:rFonts w:ascii="Times New Roman" w:hAnsi="Times New Roman" w:cs="Times New Roman"/>
                <w:b/>
                <w:color w:val="000000"/>
                <w:sz w:val="24"/>
                <w:szCs w:val="24"/>
                <w:shd w:val="clear" w:color="auto" w:fill="FFFFFF"/>
              </w:rPr>
            </w:pPr>
            <w:r w:rsidRPr="00ED3FDA">
              <w:rPr>
                <w:rFonts w:ascii="Times New Roman" w:hAnsi="Times New Roman"/>
                <w:b/>
                <w:sz w:val="24"/>
                <w:szCs w:val="24"/>
              </w:rPr>
              <w:t>Замовник погоджується з тим, що доступ до потужності</w:t>
            </w:r>
            <w:r>
              <w:rPr>
                <w:rFonts w:ascii="Times New Roman" w:hAnsi="Times New Roman"/>
                <w:b/>
                <w:sz w:val="24"/>
                <w:szCs w:val="24"/>
              </w:rPr>
              <w:t>,</w:t>
            </w:r>
            <w:r w:rsidRPr="00432874">
              <w:t xml:space="preserve"> </w:t>
            </w:r>
            <w:r w:rsidRPr="005B7309">
              <w:rPr>
                <w:rFonts w:ascii="Times New Roman" w:hAnsi="Times New Roman"/>
                <w:b/>
                <w:sz w:val="24"/>
                <w:szCs w:val="24"/>
              </w:rPr>
              <w:t>яка р</w:t>
            </w:r>
            <w:r>
              <w:rPr>
                <w:rFonts w:ascii="Times New Roman" w:hAnsi="Times New Roman"/>
                <w:b/>
                <w:sz w:val="24"/>
                <w:szCs w:val="24"/>
              </w:rPr>
              <w:t xml:space="preserve">озподіляється на аукціоні </w:t>
            </w:r>
            <w:r w:rsidRPr="005B7309">
              <w:rPr>
                <w:rFonts w:ascii="Times New Roman" w:hAnsi="Times New Roman"/>
                <w:b/>
                <w:sz w:val="24"/>
                <w:szCs w:val="24"/>
              </w:rPr>
              <w:t>розподілу нової (збільшеної) потужності</w:t>
            </w:r>
            <w:r>
              <w:rPr>
                <w:rFonts w:ascii="Times New Roman" w:hAnsi="Times New Roman"/>
                <w:b/>
                <w:sz w:val="24"/>
                <w:szCs w:val="24"/>
              </w:rPr>
              <w:t xml:space="preserve">, </w:t>
            </w:r>
            <w:r w:rsidRPr="00ED3FDA">
              <w:rPr>
                <w:rFonts w:ascii="Times New Roman" w:hAnsi="Times New Roman"/>
                <w:b/>
                <w:sz w:val="24"/>
                <w:szCs w:val="24"/>
              </w:rPr>
              <w:t xml:space="preserve">надається </w:t>
            </w:r>
            <w:r>
              <w:rPr>
                <w:rFonts w:ascii="Times New Roman" w:hAnsi="Times New Roman"/>
                <w:b/>
                <w:sz w:val="24"/>
                <w:szCs w:val="24"/>
              </w:rPr>
              <w:t>відповідно до</w:t>
            </w:r>
            <w:r w:rsidRPr="00ED3FDA">
              <w:rPr>
                <w:rFonts w:ascii="Times New Roman" w:hAnsi="Times New Roman"/>
                <w:b/>
                <w:sz w:val="24"/>
                <w:szCs w:val="24"/>
              </w:rPr>
              <w:t xml:space="preserve"> загальних правил та умов, що є </w:t>
            </w:r>
            <w:r>
              <w:rPr>
                <w:rFonts w:ascii="Times New Roman" w:hAnsi="Times New Roman"/>
                <w:b/>
                <w:sz w:val="24"/>
                <w:szCs w:val="24"/>
              </w:rPr>
              <w:t xml:space="preserve">невід’ємною частиною </w:t>
            </w:r>
            <w:proofErr w:type="spellStart"/>
            <w:r>
              <w:rPr>
                <w:rFonts w:ascii="Times New Roman" w:hAnsi="Times New Roman"/>
                <w:b/>
                <w:sz w:val="24"/>
                <w:szCs w:val="24"/>
              </w:rPr>
              <w:t>проєкту</w:t>
            </w:r>
            <w:proofErr w:type="spellEnd"/>
            <w:r>
              <w:rPr>
                <w:rFonts w:ascii="Times New Roman" w:hAnsi="Times New Roman"/>
                <w:b/>
                <w:sz w:val="24"/>
                <w:szCs w:val="24"/>
              </w:rPr>
              <w:t xml:space="preserve"> пропозиції зі створення нової (збільшеної) потужності, погодженого </w:t>
            </w:r>
            <w:r w:rsidRPr="00ED3FDA">
              <w:rPr>
                <w:rFonts w:ascii="Times New Roman" w:hAnsi="Times New Roman"/>
                <w:b/>
                <w:sz w:val="24"/>
                <w:szCs w:val="24"/>
              </w:rPr>
              <w:t>Регулятором та оприлюдненого Оператором відповідно до розділу XX Кодексу ГТС.</w:t>
            </w:r>
          </w:p>
        </w:tc>
      </w:tr>
      <w:tr w:rsidR="00014384" w:rsidTr="00E03B4F">
        <w:trPr>
          <w:trHeight w:val="508"/>
        </w:trPr>
        <w:tc>
          <w:tcPr>
            <w:tcW w:w="7508" w:type="dxa"/>
          </w:tcPr>
          <w:p w:rsidR="00014384" w:rsidRPr="00C169D5" w:rsidRDefault="00BA6F8C" w:rsidP="00014384">
            <w:pPr>
              <w:shd w:val="clear" w:color="auto" w:fill="FFFFFF"/>
              <w:jc w:val="center"/>
              <w:textAlignment w:val="baseline"/>
              <w:rPr>
                <w:rFonts w:ascii="Times New Roman" w:hAnsi="Times New Roman" w:cs="Times New Roman"/>
                <w:color w:val="000000" w:themeColor="text1"/>
                <w:sz w:val="24"/>
                <w:szCs w:val="24"/>
                <w:shd w:val="clear" w:color="auto" w:fill="FFFFFF"/>
              </w:rPr>
            </w:pPr>
            <w:r w:rsidRPr="006E24E0">
              <w:rPr>
                <w:rFonts w:ascii="Times New Roman" w:hAnsi="Times New Roman"/>
                <w:b/>
                <w:sz w:val="24"/>
                <w:szCs w:val="24"/>
              </w:rPr>
              <w:t xml:space="preserve">III. </w:t>
            </w:r>
            <w:r w:rsidR="009808C9" w:rsidRPr="006E24E0">
              <w:rPr>
                <w:rFonts w:ascii="Times New Roman" w:hAnsi="Times New Roman"/>
                <w:b/>
                <w:sz w:val="24"/>
                <w:szCs w:val="24"/>
              </w:rPr>
              <w:t>Права і обов’язки оператора</w:t>
            </w:r>
          </w:p>
        </w:tc>
        <w:tc>
          <w:tcPr>
            <w:tcW w:w="7518" w:type="dxa"/>
          </w:tcPr>
          <w:p w:rsidR="00014384" w:rsidRPr="00C169D5" w:rsidRDefault="00BA6F8C" w:rsidP="009808C9">
            <w:pPr>
              <w:shd w:val="clear" w:color="auto" w:fill="FFFFFF"/>
              <w:jc w:val="center"/>
              <w:textAlignment w:val="baseline"/>
              <w:rPr>
                <w:rFonts w:ascii="Times New Roman" w:hAnsi="Times New Roman" w:cs="Times New Roman"/>
                <w:color w:val="000000" w:themeColor="text1"/>
                <w:sz w:val="24"/>
                <w:szCs w:val="24"/>
                <w:shd w:val="clear" w:color="auto" w:fill="FFFFFF"/>
              </w:rPr>
            </w:pPr>
            <w:r w:rsidRPr="006E24E0">
              <w:rPr>
                <w:rFonts w:ascii="Times New Roman" w:hAnsi="Times New Roman"/>
                <w:b/>
                <w:sz w:val="24"/>
                <w:szCs w:val="24"/>
              </w:rPr>
              <w:t xml:space="preserve">III. </w:t>
            </w:r>
            <w:r w:rsidR="009808C9" w:rsidRPr="006E24E0">
              <w:rPr>
                <w:rFonts w:ascii="Times New Roman" w:hAnsi="Times New Roman"/>
                <w:b/>
                <w:sz w:val="24"/>
                <w:szCs w:val="24"/>
              </w:rPr>
              <w:t>Права і обов’язки оператора</w:t>
            </w:r>
          </w:p>
        </w:tc>
      </w:tr>
      <w:tr w:rsidR="00014384" w:rsidTr="00E03B4F">
        <w:trPr>
          <w:trHeight w:val="508"/>
        </w:trPr>
        <w:tc>
          <w:tcPr>
            <w:tcW w:w="7508" w:type="dxa"/>
          </w:tcPr>
          <w:p w:rsidR="00014384" w:rsidRPr="00A305E3" w:rsidRDefault="009808C9" w:rsidP="00014384">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A305E3">
              <w:rPr>
                <w:rFonts w:ascii="Times New Roman" w:hAnsi="Times New Roman" w:cs="Times New Roman"/>
                <w:color w:val="000000" w:themeColor="text1"/>
                <w:sz w:val="24"/>
                <w:szCs w:val="24"/>
                <w:shd w:val="clear" w:color="auto" w:fill="FFFFFF"/>
              </w:rPr>
              <w:t>3.1. Оператор зобов'язаний:</w:t>
            </w:r>
          </w:p>
          <w:p w:rsidR="00A305E3" w:rsidRPr="00A305E3" w:rsidRDefault="00A305E3" w:rsidP="00014384">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A305E3">
              <w:rPr>
                <w:rFonts w:ascii="Times New Roman" w:hAnsi="Times New Roman" w:cs="Times New Roman"/>
                <w:color w:val="000000" w:themeColor="text1"/>
                <w:sz w:val="24"/>
                <w:szCs w:val="24"/>
                <w:shd w:val="clear" w:color="auto" w:fill="FFFFFF"/>
              </w:rPr>
              <w:t>…</w:t>
            </w:r>
          </w:p>
          <w:p w:rsidR="00A305E3" w:rsidRPr="00A305E3" w:rsidRDefault="00A305E3" w:rsidP="00014384">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A305E3">
              <w:rPr>
                <w:rFonts w:ascii="Times New Roman" w:hAnsi="Times New Roman" w:cs="Times New Roman"/>
                <w:color w:val="000000" w:themeColor="text1"/>
                <w:sz w:val="24"/>
                <w:szCs w:val="24"/>
                <w:shd w:val="clear" w:color="auto" w:fill="FFFFFF"/>
              </w:rPr>
              <w:t>повідомляти Замовника про зміну умов, які стали підставою для укладення цього Договору;</w:t>
            </w:r>
          </w:p>
          <w:p w:rsidR="00A305E3" w:rsidRPr="00A305E3" w:rsidRDefault="00A305E3" w:rsidP="00014384">
            <w:pPr>
              <w:shd w:val="clear" w:color="auto" w:fill="FFFFFF"/>
              <w:ind w:firstLine="709"/>
              <w:jc w:val="both"/>
              <w:textAlignment w:val="baseline"/>
              <w:rPr>
                <w:rFonts w:ascii="Times New Roman" w:hAnsi="Times New Roman" w:cs="Times New Roman"/>
                <w:color w:val="000000" w:themeColor="text1"/>
                <w:sz w:val="24"/>
                <w:szCs w:val="24"/>
              </w:rPr>
            </w:pPr>
            <w:r w:rsidRPr="00A305E3">
              <w:rPr>
                <w:rFonts w:ascii="Times New Roman" w:hAnsi="Times New Roman" w:cs="Times New Roman"/>
                <w:color w:val="000000" w:themeColor="text1"/>
                <w:sz w:val="24"/>
                <w:szCs w:val="24"/>
                <w:shd w:val="clear" w:color="auto" w:fill="FFFFFF"/>
              </w:rPr>
              <w:lastRenderedPageBreak/>
              <w:t>здійснити додаткову оплату Замовнику у разі недотримання параметрів якості природного газу, який передається ним в точках виходу з газотранспортної системи, в порядку, визначеному цим Договором</w:t>
            </w:r>
            <w:r w:rsidRPr="00A305E3">
              <w:rPr>
                <w:rFonts w:ascii="Times New Roman" w:hAnsi="Times New Roman" w:cs="Times New Roman"/>
                <w:color w:val="000000" w:themeColor="text1"/>
                <w:sz w:val="24"/>
                <w:szCs w:val="24"/>
              </w:rPr>
              <w:t>;</w:t>
            </w:r>
          </w:p>
          <w:p w:rsidR="00A305E3" w:rsidRPr="00A305E3" w:rsidRDefault="00A305E3" w:rsidP="00014384">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w:t>
            </w:r>
          </w:p>
        </w:tc>
        <w:tc>
          <w:tcPr>
            <w:tcW w:w="7518" w:type="dxa"/>
          </w:tcPr>
          <w:p w:rsidR="00A305E3" w:rsidRPr="00A305E3" w:rsidRDefault="00A305E3" w:rsidP="00A305E3">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A305E3">
              <w:rPr>
                <w:rFonts w:ascii="Times New Roman" w:hAnsi="Times New Roman" w:cs="Times New Roman"/>
                <w:color w:val="000000" w:themeColor="text1"/>
                <w:sz w:val="24"/>
                <w:szCs w:val="24"/>
                <w:shd w:val="clear" w:color="auto" w:fill="FFFFFF"/>
              </w:rPr>
              <w:lastRenderedPageBreak/>
              <w:t>3.1. Оператор зобов'язаний:</w:t>
            </w:r>
          </w:p>
          <w:p w:rsidR="00A305E3" w:rsidRPr="00A305E3" w:rsidRDefault="00A305E3" w:rsidP="00A305E3">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A305E3">
              <w:rPr>
                <w:rFonts w:ascii="Times New Roman" w:hAnsi="Times New Roman" w:cs="Times New Roman"/>
                <w:color w:val="000000" w:themeColor="text1"/>
                <w:sz w:val="24"/>
                <w:szCs w:val="24"/>
                <w:shd w:val="clear" w:color="auto" w:fill="FFFFFF"/>
              </w:rPr>
              <w:t>…</w:t>
            </w:r>
          </w:p>
          <w:p w:rsidR="00A305E3" w:rsidRDefault="00A305E3" w:rsidP="00A305E3">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A305E3">
              <w:rPr>
                <w:rFonts w:ascii="Times New Roman" w:hAnsi="Times New Roman" w:cs="Times New Roman"/>
                <w:color w:val="000000" w:themeColor="text1"/>
                <w:sz w:val="24"/>
                <w:szCs w:val="24"/>
                <w:shd w:val="clear" w:color="auto" w:fill="FFFFFF"/>
              </w:rPr>
              <w:t>повідомляти Замовника про зміну умов, які стали підставою для укладення цього Договору;</w:t>
            </w:r>
          </w:p>
          <w:p w:rsidR="00A305E3" w:rsidRPr="00A305E3" w:rsidRDefault="00A305E3" w:rsidP="00A305E3">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817846">
              <w:rPr>
                <w:rFonts w:ascii="Times New Roman" w:eastAsia="Times New Roman" w:hAnsi="Times New Roman" w:cs="Times New Roman"/>
                <w:b/>
                <w:color w:val="000000" w:themeColor="text1"/>
                <w:sz w:val="24"/>
                <w:szCs w:val="24"/>
              </w:rPr>
              <w:lastRenderedPageBreak/>
              <w:t xml:space="preserve">завчасно повідомляти Замовників, яким </w:t>
            </w:r>
            <w:proofErr w:type="spellStart"/>
            <w:r w:rsidRPr="00817846">
              <w:rPr>
                <w:rFonts w:ascii="Times New Roman" w:eastAsia="Times New Roman" w:hAnsi="Times New Roman" w:cs="Times New Roman"/>
                <w:b/>
                <w:color w:val="000000" w:themeColor="text1"/>
                <w:sz w:val="24"/>
                <w:szCs w:val="24"/>
              </w:rPr>
              <w:t>розпо</w:t>
            </w:r>
            <w:r>
              <w:rPr>
                <w:rFonts w:ascii="Times New Roman" w:eastAsia="Times New Roman" w:hAnsi="Times New Roman" w:cs="Times New Roman"/>
                <w:b/>
                <w:color w:val="000000" w:themeColor="text1"/>
                <w:sz w:val="24"/>
                <w:szCs w:val="24"/>
              </w:rPr>
              <w:t>ділено</w:t>
            </w:r>
            <w:proofErr w:type="spellEnd"/>
            <w:r>
              <w:rPr>
                <w:rFonts w:ascii="Times New Roman" w:eastAsia="Times New Roman" w:hAnsi="Times New Roman" w:cs="Times New Roman"/>
                <w:b/>
                <w:color w:val="000000" w:themeColor="text1"/>
                <w:sz w:val="24"/>
                <w:szCs w:val="24"/>
              </w:rPr>
              <w:t xml:space="preserve">  нову (збільшену) потужні</w:t>
            </w:r>
            <w:r w:rsidRPr="00817846">
              <w:rPr>
                <w:rFonts w:ascii="Times New Roman" w:eastAsia="Times New Roman" w:hAnsi="Times New Roman" w:cs="Times New Roman"/>
                <w:b/>
                <w:color w:val="000000" w:themeColor="text1"/>
                <w:sz w:val="24"/>
                <w:szCs w:val="24"/>
              </w:rPr>
              <w:t>ст</w:t>
            </w:r>
            <w:r>
              <w:rPr>
                <w:rFonts w:ascii="Times New Roman" w:eastAsia="Times New Roman" w:hAnsi="Times New Roman" w:cs="Times New Roman"/>
                <w:b/>
                <w:color w:val="000000" w:themeColor="text1"/>
                <w:sz w:val="24"/>
                <w:szCs w:val="24"/>
              </w:rPr>
              <w:t>ь</w:t>
            </w:r>
            <w:r w:rsidRPr="00817846">
              <w:rPr>
                <w:rFonts w:ascii="Times New Roman" w:eastAsia="Times New Roman" w:hAnsi="Times New Roman" w:cs="Times New Roman"/>
                <w:b/>
                <w:color w:val="000000" w:themeColor="text1"/>
                <w:sz w:val="24"/>
                <w:szCs w:val="24"/>
              </w:rPr>
              <w:t xml:space="preserve">, про будь-які затримки зі створення нової (збільшеної) потужності та/або будь-які інші зміни в реалізації </w:t>
            </w:r>
            <w:proofErr w:type="spellStart"/>
            <w:r w:rsidRPr="00817846">
              <w:rPr>
                <w:rFonts w:ascii="Times New Roman" w:eastAsia="Times New Roman" w:hAnsi="Times New Roman" w:cs="Times New Roman"/>
                <w:b/>
                <w:color w:val="000000" w:themeColor="text1"/>
                <w:sz w:val="24"/>
                <w:szCs w:val="24"/>
              </w:rPr>
              <w:t>проєкту</w:t>
            </w:r>
            <w:proofErr w:type="spellEnd"/>
            <w:r w:rsidRPr="00817846">
              <w:rPr>
                <w:rFonts w:ascii="Times New Roman" w:eastAsia="Times New Roman" w:hAnsi="Times New Roman" w:cs="Times New Roman"/>
                <w:b/>
                <w:color w:val="000000" w:themeColor="text1"/>
                <w:sz w:val="24"/>
                <w:szCs w:val="24"/>
              </w:rPr>
              <w:t xml:space="preserve"> нової (збільшеної) потужності;</w:t>
            </w:r>
          </w:p>
          <w:p w:rsidR="00A305E3" w:rsidRPr="00A305E3" w:rsidRDefault="00A305E3" w:rsidP="00A305E3">
            <w:pPr>
              <w:shd w:val="clear" w:color="auto" w:fill="FFFFFF"/>
              <w:ind w:firstLine="709"/>
              <w:jc w:val="both"/>
              <w:textAlignment w:val="baseline"/>
              <w:rPr>
                <w:rFonts w:ascii="Times New Roman" w:hAnsi="Times New Roman" w:cs="Times New Roman"/>
                <w:color w:val="000000" w:themeColor="text1"/>
                <w:sz w:val="24"/>
                <w:szCs w:val="24"/>
              </w:rPr>
            </w:pPr>
            <w:r w:rsidRPr="00A305E3">
              <w:rPr>
                <w:rFonts w:ascii="Times New Roman" w:hAnsi="Times New Roman" w:cs="Times New Roman"/>
                <w:color w:val="000000" w:themeColor="text1"/>
                <w:sz w:val="24"/>
                <w:szCs w:val="24"/>
                <w:shd w:val="clear" w:color="auto" w:fill="FFFFFF"/>
              </w:rPr>
              <w:t>здійснити додаткову оплату Замовнику у разі недотримання параметрів якості природного газу, який передається ним в точках виходу з газотранспортної системи, в порядку, визначеному цим Договором</w:t>
            </w:r>
            <w:r w:rsidRPr="00A305E3">
              <w:rPr>
                <w:rFonts w:ascii="Times New Roman" w:hAnsi="Times New Roman" w:cs="Times New Roman"/>
                <w:color w:val="000000" w:themeColor="text1"/>
                <w:sz w:val="24"/>
                <w:szCs w:val="24"/>
              </w:rPr>
              <w:t>;</w:t>
            </w:r>
          </w:p>
          <w:p w:rsidR="00014384" w:rsidRPr="00A305E3" w:rsidRDefault="00A305E3" w:rsidP="00A305E3">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w:t>
            </w:r>
          </w:p>
        </w:tc>
      </w:tr>
      <w:tr w:rsidR="00014384" w:rsidTr="00E03B4F">
        <w:trPr>
          <w:trHeight w:val="508"/>
        </w:trPr>
        <w:tc>
          <w:tcPr>
            <w:tcW w:w="7508" w:type="dxa"/>
          </w:tcPr>
          <w:p w:rsidR="00A305E3" w:rsidRPr="00A305E3" w:rsidRDefault="00A305E3" w:rsidP="00A305E3">
            <w:pPr>
              <w:pStyle w:val="1"/>
              <w:adjustRightInd w:val="0"/>
              <w:spacing w:after="0" w:line="240" w:lineRule="auto"/>
              <w:ind w:left="0" w:firstLine="284"/>
              <w:jc w:val="center"/>
              <w:rPr>
                <w:rFonts w:ascii="Times New Roman" w:hAnsi="Times New Roman"/>
                <w:b/>
                <w:bCs/>
                <w:sz w:val="24"/>
                <w:szCs w:val="24"/>
                <w:lang w:val="uk-UA"/>
              </w:rPr>
            </w:pPr>
            <w:r w:rsidRPr="00A305E3">
              <w:rPr>
                <w:rFonts w:ascii="Times New Roman" w:hAnsi="Times New Roman"/>
                <w:b/>
                <w:bCs/>
                <w:sz w:val="24"/>
                <w:szCs w:val="24"/>
                <w:lang w:val="uk-UA"/>
              </w:rPr>
              <w:lastRenderedPageBreak/>
              <w:t>VI. Потужності і номінації</w:t>
            </w:r>
          </w:p>
          <w:p w:rsidR="00014384" w:rsidRPr="00A305E3" w:rsidRDefault="00014384" w:rsidP="00014384">
            <w:pPr>
              <w:spacing w:line="20" w:lineRule="atLeast"/>
              <w:ind w:firstLine="709"/>
              <w:jc w:val="both"/>
              <w:rPr>
                <w:rFonts w:ascii="Times New Roman" w:hAnsi="Times New Roman" w:cs="Times New Roman"/>
                <w:b/>
                <w:sz w:val="24"/>
                <w:szCs w:val="24"/>
              </w:rPr>
            </w:pPr>
          </w:p>
        </w:tc>
        <w:tc>
          <w:tcPr>
            <w:tcW w:w="7518" w:type="dxa"/>
          </w:tcPr>
          <w:p w:rsidR="00A305E3" w:rsidRPr="00A305E3" w:rsidRDefault="00A305E3" w:rsidP="00A305E3">
            <w:pPr>
              <w:pStyle w:val="1"/>
              <w:adjustRightInd w:val="0"/>
              <w:spacing w:after="0" w:line="240" w:lineRule="auto"/>
              <w:ind w:left="0" w:firstLine="284"/>
              <w:jc w:val="center"/>
              <w:rPr>
                <w:rFonts w:ascii="Times New Roman" w:hAnsi="Times New Roman"/>
                <w:b/>
                <w:bCs/>
                <w:sz w:val="24"/>
                <w:szCs w:val="24"/>
                <w:lang w:val="uk-UA"/>
              </w:rPr>
            </w:pPr>
            <w:r w:rsidRPr="00A305E3">
              <w:rPr>
                <w:rFonts w:ascii="Times New Roman" w:hAnsi="Times New Roman"/>
                <w:b/>
                <w:bCs/>
                <w:sz w:val="24"/>
                <w:szCs w:val="24"/>
                <w:lang w:val="uk-UA"/>
              </w:rPr>
              <w:t>VI. Потужності і номінації</w:t>
            </w:r>
          </w:p>
          <w:p w:rsidR="00014384" w:rsidRPr="00A305E3" w:rsidRDefault="00014384" w:rsidP="00014384">
            <w:pPr>
              <w:spacing w:line="20" w:lineRule="atLeast"/>
              <w:ind w:firstLine="709"/>
              <w:jc w:val="both"/>
              <w:rPr>
                <w:rFonts w:ascii="Times New Roman" w:hAnsi="Times New Roman" w:cs="Times New Roman"/>
                <w:b/>
                <w:sz w:val="24"/>
                <w:szCs w:val="24"/>
              </w:rPr>
            </w:pPr>
          </w:p>
        </w:tc>
      </w:tr>
      <w:tr w:rsidR="00014384" w:rsidTr="00E03B4F">
        <w:trPr>
          <w:trHeight w:val="508"/>
        </w:trPr>
        <w:tc>
          <w:tcPr>
            <w:tcW w:w="7508" w:type="dxa"/>
          </w:tcPr>
          <w:p w:rsidR="00C00B86" w:rsidRPr="00C00B86" w:rsidRDefault="00C00B86" w:rsidP="00C00B86">
            <w:pPr>
              <w:spacing w:after="165"/>
              <w:ind w:firstLine="709"/>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w:t>
            </w:r>
          </w:p>
          <w:p w:rsidR="009472B8" w:rsidRPr="009472B8" w:rsidRDefault="009472B8" w:rsidP="00C00B86">
            <w:pPr>
              <w:spacing w:after="165"/>
              <w:ind w:firstLine="709"/>
              <w:rPr>
                <w:rFonts w:ascii="Times New Roman" w:eastAsia="Times New Roman" w:hAnsi="Times New Roman" w:cs="Times New Roman"/>
                <w:color w:val="000000" w:themeColor="text1"/>
                <w:sz w:val="24"/>
                <w:szCs w:val="24"/>
                <w:lang w:eastAsia="uk-UA"/>
              </w:rPr>
            </w:pPr>
            <w:r w:rsidRPr="009472B8">
              <w:rPr>
                <w:rFonts w:ascii="Times New Roman" w:eastAsia="Times New Roman" w:hAnsi="Times New Roman" w:cs="Times New Roman"/>
                <w:color w:val="000000" w:themeColor="text1"/>
                <w:sz w:val="24"/>
                <w:szCs w:val="24"/>
                <w:lang w:eastAsia="uk-UA"/>
              </w:rPr>
              <w:t>6.3. Надання номінацій (</w:t>
            </w:r>
            <w:proofErr w:type="spellStart"/>
            <w:r w:rsidRPr="009472B8">
              <w:rPr>
                <w:rFonts w:ascii="Times New Roman" w:eastAsia="Times New Roman" w:hAnsi="Times New Roman" w:cs="Times New Roman"/>
                <w:color w:val="000000" w:themeColor="text1"/>
                <w:sz w:val="24"/>
                <w:szCs w:val="24"/>
                <w:lang w:eastAsia="uk-UA"/>
              </w:rPr>
              <w:t>реномінацій</w:t>
            </w:r>
            <w:proofErr w:type="spellEnd"/>
            <w:r w:rsidRPr="009472B8">
              <w:rPr>
                <w:rFonts w:ascii="Times New Roman" w:eastAsia="Times New Roman" w:hAnsi="Times New Roman" w:cs="Times New Roman"/>
                <w:color w:val="000000" w:themeColor="text1"/>
                <w:sz w:val="24"/>
                <w:szCs w:val="24"/>
                <w:lang w:eastAsia="uk-UA"/>
              </w:rPr>
              <w:t xml:space="preserve">) для отримання транспортування здійснюється у порядку, встановленому Кодексом. Форми номінацій і </w:t>
            </w:r>
            <w:proofErr w:type="spellStart"/>
            <w:r w:rsidRPr="009472B8">
              <w:rPr>
                <w:rFonts w:ascii="Times New Roman" w:eastAsia="Times New Roman" w:hAnsi="Times New Roman" w:cs="Times New Roman"/>
                <w:color w:val="000000" w:themeColor="text1"/>
                <w:sz w:val="24"/>
                <w:szCs w:val="24"/>
                <w:lang w:eastAsia="uk-UA"/>
              </w:rPr>
              <w:t>реномінацій</w:t>
            </w:r>
            <w:proofErr w:type="spellEnd"/>
            <w:r w:rsidRPr="009472B8">
              <w:rPr>
                <w:rFonts w:ascii="Times New Roman" w:eastAsia="Times New Roman" w:hAnsi="Times New Roman" w:cs="Times New Roman"/>
                <w:color w:val="000000" w:themeColor="text1"/>
                <w:sz w:val="24"/>
                <w:szCs w:val="24"/>
                <w:lang w:eastAsia="uk-UA"/>
              </w:rPr>
              <w:t xml:space="preserve"> оприлюднюються Оператором на його офіційному веб-сайті.</w:t>
            </w:r>
          </w:p>
          <w:p w:rsidR="00014384" w:rsidRPr="000073A8" w:rsidRDefault="00014384" w:rsidP="009472B8">
            <w:pPr>
              <w:shd w:val="clear" w:color="auto" w:fill="FFFFFF"/>
              <w:tabs>
                <w:tab w:val="left" w:pos="646"/>
              </w:tabs>
              <w:jc w:val="both"/>
              <w:textAlignment w:val="baseline"/>
              <w:rPr>
                <w:b/>
                <w:color w:val="000000"/>
                <w:sz w:val="20"/>
                <w:szCs w:val="20"/>
                <w:shd w:val="clear" w:color="auto" w:fill="FFFFFF"/>
                <w:lang w:val="en-US"/>
              </w:rPr>
            </w:pPr>
          </w:p>
        </w:tc>
        <w:tc>
          <w:tcPr>
            <w:tcW w:w="7518" w:type="dxa"/>
          </w:tcPr>
          <w:p w:rsidR="00C00B86" w:rsidRPr="00C00B86" w:rsidRDefault="00C00B86" w:rsidP="00665035">
            <w:pPr>
              <w:pStyle w:val="1"/>
              <w:adjustRightInd w:val="0"/>
              <w:spacing w:after="0" w:line="240" w:lineRule="auto"/>
              <w:ind w:left="0" w:firstLine="709"/>
              <w:rPr>
                <w:rFonts w:ascii="Times New Roman" w:hAnsi="Times New Roman"/>
                <w:sz w:val="24"/>
                <w:szCs w:val="24"/>
                <w:lang w:val="uk-UA"/>
              </w:rPr>
            </w:pPr>
            <w:r>
              <w:rPr>
                <w:rFonts w:ascii="Times New Roman" w:hAnsi="Times New Roman"/>
                <w:sz w:val="24"/>
                <w:szCs w:val="24"/>
                <w:lang w:val="uk-UA"/>
              </w:rPr>
              <w:t>…</w:t>
            </w:r>
          </w:p>
          <w:p w:rsidR="000073A8" w:rsidRPr="009B2A86" w:rsidRDefault="000073A8" w:rsidP="00665035">
            <w:pPr>
              <w:pStyle w:val="1"/>
              <w:adjustRightInd w:val="0"/>
              <w:spacing w:after="0" w:line="240" w:lineRule="auto"/>
              <w:ind w:left="0" w:firstLine="709"/>
              <w:rPr>
                <w:rFonts w:ascii="Times New Roman" w:hAnsi="Times New Roman"/>
                <w:b/>
                <w:sz w:val="24"/>
                <w:szCs w:val="24"/>
                <w:lang w:val="uk-UA"/>
              </w:rPr>
            </w:pPr>
            <w:r w:rsidRPr="009B2A86">
              <w:rPr>
                <w:rFonts w:ascii="Times New Roman" w:hAnsi="Times New Roman"/>
                <w:b/>
                <w:sz w:val="24"/>
                <w:szCs w:val="24"/>
                <w:lang w:val="uk-UA"/>
              </w:rPr>
              <w:t xml:space="preserve">6.3. Надання доступу до потужності, що була розподілена Замовнику  </w:t>
            </w:r>
            <w:r w:rsidRPr="007935DC">
              <w:rPr>
                <w:rFonts w:ascii="Times New Roman" w:hAnsi="Times New Roman"/>
                <w:b/>
                <w:sz w:val="24"/>
                <w:szCs w:val="24"/>
                <w:lang w:val="uk-UA"/>
              </w:rPr>
              <w:t>відповідно до</w:t>
            </w:r>
            <w:r w:rsidRPr="009B2A86">
              <w:rPr>
                <w:rFonts w:ascii="Times New Roman" w:hAnsi="Times New Roman"/>
                <w:b/>
                <w:sz w:val="24"/>
                <w:szCs w:val="24"/>
                <w:lang w:val="uk-UA"/>
              </w:rPr>
              <w:t xml:space="preserve"> процедури розподілу нової (збільшеної) потужності, надається Замовнику на підставі цього Договору з врахуванням особливостей, визначених</w:t>
            </w:r>
            <w:r>
              <w:rPr>
                <w:rFonts w:ascii="Times New Roman" w:hAnsi="Times New Roman"/>
                <w:b/>
                <w:sz w:val="24"/>
                <w:szCs w:val="24"/>
                <w:lang w:val="uk-UA"/>
              </w:rPr>
              <w:t xml:space="preserve"> загальними</w:t>
            </w:r>
            <w:r w:rsidRPr="000D4C23">
              <w:rPr>
                <w:rFonts w:ascii="Times New Roman" w:hAnsi="Times New Roman"/>
                <w:b/>
                <w:sz w:val="24"/>
                <w:szCs w:val="24"/>
                <w:lang w:val="uk-UA"/>
              </w:rPr>
              <w:t xml:space="preserve"> правила</w:t>
            </w:r>
            <w:r>
              <w:rPr>
                <w:rFonts w:ascii="Times New Roman" w:hAnsi="Times New Roman"/>
                <w:b/>
                <w:sz w:val="24"/>
                <w:szCs w:val="24"/>
                <w:lang w:val="uk-UA"/>
              </w:rPr>
              <w:t>ми та умовами</w:t>
            </w:r>
            <w:r w:rsidRPr="000D4C23">
              <w:rPr>
                <w:rFonts w:ascii="Times New Roman" w:hAnsi="Times New Roman"/>
                <w:b/>
                <w:sz w:val="24"/>
                <w:szCs w:val="24"/>
                <w:lang w:val="uk-UA"/>
              </w:rPr>
              <w:t>, на які замовники послуг транспортування повинні погодитись для того, щоб отримати доступ до потужності на обов’язковому етапі розподілу потужності процедури нової (збільшеної) потужності</w:t>
            </w:r>
            <w:r w:rsidRPr="009B2A86">
              <w:rPr>
                <w:rFonts w:ascii="Times New Roman" w:hAnsi="Times New Roman"/>
                <w:b/>
                <w:sz w:val="24"/>
                <w:szCs w:val="24"/>
                <w:lang w:val="uk-UA"/>
              </w:rPr>
              <w:t xml:space="preserve">, </w:t>
            </w:r>
            <w:r w:rsidRPr="008C47EA">
              <w:rPr>
                <w:rFonts w:ascii="Times New Roman" w:hAnsi="Times New Roman"/>
                <w:b/>
                <w:sz w:val="24"/>
                <w:szCs w:val="24"/>
                <w:lang w:val="uk-UA"/>
              </w:rPr>
              <w:t>погодженої</w:t>
            </w:r>
            <w:r>
              <w:rPr>
                <w:rFonts w:ascii="Times New Roman" w:hAnsi="Times New Roman"/>
                <w:b/>
                <w:sz w:val="24"/>
                <w:szCs w:val="24"/>
                <w:lang w:val="uk-UA"/>
              </w:rPr>
              <w:t xml:space="preserve"> </w:t>
            </w:r>
            <w:r w:rsidRPr="009B2A86">
              <w:rPr>
                <w:rFonts w:ascii="Times New Roman" w:hAnsi="Times New Roman"/>
                <w:b/>
                <w:sz w:val="24"/>
                <w:szCs w:val="24"/>
                <w:lang w:val="uk-UA"/>
              </w:rPr>
              <w:t xml:space="preserve">Регулятором. </w:t>
            </w:r>
          </w:p>
          <w:p w:rsidR="00014384" w:rsidRDefault="000073A8" w:rsidP="00665035">
            <w:pPr>
              <w:spacing w:line="20" w:lineRule="atLeast"/>
              <w:ind w:firstLine="709"/>
              <w:jc w:val="both"/>
              <w:rPr>
                <w:rFonts w:ascii="Times New Roman" w:hAnsi="Times New Roman"/>
                <w:b/>
                <w:sz w:val="24"/>
                <w:szCs w:val="24"/>
              </w:rPr>
            </w:pPr>
            <w:r w:rsidRPr="009B2A86">
              <w:rPr>
                <w:rFonts w:ascii="Times New Roman" w:hAnsi="Times New Roman"/>
                <w:b/>
                <w:sz w:val="24"/>
                <w:szCs w:val="24"/>
              </w:rPr>
              <w:t xml:space="preserve">Заява про приєднання до </w:t>
            </w:r>
            <w:r>
              <w:rPr>
                <w:rFonts w:ascii="Times New Roman" w:hAnsi="Times New Roman"/>
                <w:b/>
                <w:sz w:val="24"/>
                <w:szCs w:val="24"/>
              </w:rPr>
              <w:t>загальних правил та умов</w:t>
            </w:r>
            <w:r w:rsidRPr="000D4C23">
              <w:rPr>
                <w:rFonts w:ascii="Times New Roman" w:hAnsi="Times New Roman"/>
                <w:b/>
                <w:sz w:val="24"/>
                <w:szCs w:val="24"/>
              </w:rPr>
              <w:t>, на які замовники послуг транспортування повинні погодитись для того, щоб отримати доступ до потужності на обов’язковому етапі розподілу потужності процедури нової (збільшеної) потужності</w:t>
            </w:r>
            <w:r w:rsidRPr="009B2A86">
              <w:rPr>
                <w:rFonts w:ascii="Times New Roman" w:hAnsi="Times New Roman"/>
                <w:b/>
                <w:sz w:val="24"/>
                <w:szCs w:val="24"/>
              </w:rPr>
              <w:t xml:space="preserve">, після </w:t>
            </w:r>
            <w:r>
              <w:rPr>
                <w:rFonts w:ascii="Times New Roman" w:hAnsi="Times New Roman"/>
                <w:b/>
                <w:sz w:val="24"/>
                <w:szCs w:val="24"/>
              </w:rPr>
              <w:t>її</w:t>
            </w:r>
            <w:r w:rsidRPr="009B2A86">
              <w:rPr>
                <w:rFonts w:ascii="Times New Roman" w:hAnsi="Times New Roman"/>
                <w:b/>
                <w:sz w:val="24"/>
                <w:szCs w:val="24"/>
              </w:rPr>
              <w:t xml:space="preserve"> підписання Замовником є невід’ємним додатком </w:t>
            </w:r>
            <w:r w:rsidR="00F31551">
              <w:rPr>
                <w:rFonts w:ascii="Times New Roman" w:hAnsi="Times New Roman"/>
                <w:b/>
                <w:sz w:val="24"/>
                <w:szCs w:val="24"/>
                <w:lang w:val="en-US"/>
              </w:rPr>
              <w:t xml:space="preserve">3 </w:t>
            </w:r>
            <w:r w:rsidRPr="009B2A86">
              <w:rPr>
                <w:rFonts w:ascii="Times New Roman" w:hAnsi="Times New Roman"/>
                <w:b/>
                <w:sz w:val="24"/>
                <w:szCs w:val="24"/>
              </w:rPr>
              <w:t>до цього Договору.</w:t>
            </w:r>
          </w:p>
          <w:p w:rsidR="00C00B86" w:rsidRPr="009472B8" w:rsidRDefault="00C00B86" w:rsidP="00C00B86">
            <w:pPr>
              <w:spacing w:after="165"/>
              <w:ind w:firstLine="709"/>
              <w:rPr>
                <w:rFonts w:ascii="Times New Roman" w:eastAsia="Times New Roman" w:hAnsi="Times New Roman" w:cs="Times New Roman"/>
                <w:color w:val="000000" w:themeColor="text1"/>
                <w:sz w:val="24"/>
                <w:szCs w:val="24"/>
                <w:lang w:eastAsia="uk-UA"/>
              </w:rPr>
            </w:pPr>
            <w:r w:rsidRPr="009472B8">
              <w:rPr>
                <w:rFonts w:ascii="Times New Roman" w:eastAsia="Times New Roman" w:hAnsi="Times New Roman" w:cs="Times New Roman"/>
                <w:b/>
                <w:color w:val="000000" w:themeColor="text1"/>
                <w:sz w:val="24"/>
                <w:szCs w:val="24"/>
                <w:lang w:eastAsia="uk-UA"/>
              </w:rPr>
              <w:t>6.</w:t>
            </w:r>
            <w:r w:rsidRPr="00C00B86">
              <w:rPr>
                <w:rFonts w:ascii="Times New Roman" w:eastAsia="Times New Roman" w:hAnsi="Times New Roman" w:cs="Times New Roman"/>
                <w:b/>
                <w:color w:val="000000" w:themeColor="text1"/>
                <w:sz w:val="24"/>
                <w:szCs w:val="24"/>
                <w:lang w:val="en-US" w:eastAsia="uk-UA"/>
              </w:rPr>
              <w:t>4</w:t>
            </w:r>
            <w:r w:rsidRPr="009472B8">
              <w:rPr>
                <w:rFonts w:ascii="Times New Roman" w:eastAsia="Times New Roman" w:hAnsi="Times New Roman" w:cs="Times New Roman"/>
                <w:color w:val="000000" w:themeColor="text1"/>
                <w:sz w:val="24"/>
                <w:szCs w:val="24"/>
                <w:lang w:eastAsia="uk-UA"/>
              </w:rPr>
              <w:t>. Надання номінацій (</w:t>
            </w:r>
            <w:proofErr w:type="spellStart"/>
            <w:r w:rsidRPr="009472B8">
              <w:rPr>
                <w:rFonts w:ascii="Times New Roman" w:eastAsia="Times New Roman" w:hAnsi="Times New Roman" w:cs="Times New Roman"/>
                <w:color w:val="000000" w:themeColor="text1"/>
                <w:sz w:val="24"/>
                <w:szCs w:val="24"/>
                <w:lang w:eastAsia="uk-UA"/>
              </w:rPr>
              <w:t>реномінацій</w:t>
            </w:r>
            <w:proofErr w:type="spellEnd"/>
            <w:r w:rsidRPr="009472B8">
              <w:rPr>
                <w:rFonts w:ascii="Times New Roman" w:eastAsia="Times New Roman" w:hAnsi="Times New Roman" w:cs="Times New Roman"/>
                <w:color w:val="000000" w:themeColor="text1"/>
                <w:sz w:val="24"/>
                <w:szCs w:val="24"/>
                <w:lang w:eastAsia="uk-UA"/>
              </w:rPr>
              <w:t xml:space="preserve">) для отримання транспортування здійснюється у порядку, встановленому Кодексом. Форми номінацій і </w:t>
            </w:r>
            <w:proofErr w:type="spellStart"/>
            <w:r w:rsidRPr="009472B8">
              <w:rPr>
                <w:rFonts w:ascii="Times New Roman" w:eastAsia="Times New Roman" w:hAnsi="Times New Roman" w:cs="Times New Roman"/>
                <w:color w:val="000000" w:themeColor="text1"/>
                <w:sz w:val="24"/>
                <w:szCs w:val="24"/>
                <w:lang w:eastAsia="uk-UA"/>
              </w:rPr>
              <w:t>реномінацій</w:t>
            </w:r>
            <w:proofErr w:type="spellEnd"/>
            <w:r w:rsidRPr="009472B8">
              <w:rPr>
                <w:rFonts w:ascii="Times New Roman" w:eastAsia="Times New Roman" w:hAnsi="Times New Roman" w:cs="Times New Roman"/>
                <w:color w:val="000000" w:themeColor="text1"/>
                <w:sz w:val="24"/>
                <w:szCs w:val="24"/>
                <w:lang w:eastAsia="uk-UA"/>
              </w:rPr>
              <w:t xml:space="preserve"> оприлюднюються Оператором на його офіційному веб-сайті.</w:t>
            </w:r>
          </w:p>
          <w:p w:rsidR="00C00B86" w:rsidRDefault="00C00B86" w:rsidP="00665035">
            <w:pPr>
              <w:spacing w:line="20" w:lineRule="atLeast"/>
              <w:ind w:firstLine="709"/>
              <w:jc w:val="both"/>
              <w:rPr>
                <w:rFonts w:ascii="Times New Roman" w:hAnsi="Times New Roman" w:cs="Times New Roman"/>
                <w:b/>
                <w:sz w:val="24"/>
                <w:szCs w:val="24"/>
              </w:rPr>
            </w:pPr>
          </w:p>
        </w:tc>
      </w:tr>
      <w:tr w:rsidR="00014384" w:rsidTr="00E03B4F">
        <w:trPr>
          <w:trHeight w:val="508"/>
        </w:trPr>
        <w:tc>
          <w:tcPr>
            <w:tcW w:w="7508" w:type="dxa"/>
          </w:tcPr>
          <w:p w:rsidR="00014384" w:rsidRPr="000615CC" w:rsidRDefault="000615CC" w:rsidP="00014384">
            <w:pPr>
              <w:shd w:val="clear" w:color="auto" w:fill="FFFFFF"/>
              <w:ind w:firstLine="709"/>
              <w:jc w:val="both"/>
              <w:textAlignment w:val="baseline"/>
              <w:rPr>
                <w:rFonts w:ascii="Times New Roman" w:hAnsi="Times New Roman" w:cs="Times New Roman"/>
                <w:b/>
                <w:color w:val="000000"/>
                <w:sz w:val="24"/>
                <w:szCs w:val="20"/>
                <w:shd w:val="clear" w:color="auto" w:fill="FFFFFF"/>
              </w:rPr>
            </w:pPr>
            <w:r w:rsidRPr="000615CC">
              <w:rPr>
                <w:rFonts w:ascii="Times New Roman" w:hAnsi="Times New Roman" w:cs="Times New Roman"/>
                <w:b/>
                <w:bCs/>
                <w:color w:val="000000"/>
                <w:shd w:val="clear" w:color="auto" w:fill="FFFFFF"/>
              </w:rPr>
              <w:t>Норми відсутні</w:t>
            </w:r>
          </w:p>
        </w:tc>
        <w:tc>
          <w:tcPr>
            <w:tcW w:w="7518" w:type="dxa"/>
          </w:tcPr>
          <w:p w:rsidR="00EA61A2" w:rsidRPr="00EA61A2" w:rsidRDefault="00EA61A2" w:rsidP="00EA61A2">
            <w:pPr>
              <w:pStyle w:val="1"/>
              <w:adjustRightInd w:val="0"/>
              <w:spacing w:after="0" w:line="240" w:lineRule="auto"/>
              <w:rPr>
                <w:rFonts w:ascii="Times New Roman" w:hAnsi="Times New Roman"/>
                <w:color w:val="000000"/>
                <w:sz w:val="24"/>
                <w:szCs w:val="24"/>
                <w:lang w:val="uk-UA"/>
              </w:rPr>
            </w:pPr>
            <w:r w:rsidRPr="00EA61A2">
              <w:rPr>
                <w:rFonts w:ascii="Times New Roman" w:hAnsi="Times New Roman"/>
                <w:color w:val="000000"/>
                <w:sz w:val="24"/>
                <w:szCs w:val="24"/>
                <w:lang w:val="uk-UA"/>
              </w:rPr>
              <w:t xml:space="preserve">                                                            Додаток 3 </w:t>
            </w:r>
          </w:p>
          <w:p w:rsidR="00EA61A2" w:rsidRPr="00EA61A2" w:rsidRDefault="00EA61A2" w:rsidP="00EA61A2">
            <w:pPr>
              <w:pStyle w:val="1"/>
              <w:adjustRightInd w:val="0"/>
              <w:spacing w:after="0" w:line="240" w:lineRule="auto"/>
              <w:rPr>
                <w:rFonts w:ascii="Times New Roman" w:hAnsi="Times New Roman"/>
                <w:color w:val="000000"/>
                <w:sz w:val="24"/>
                <w:szCs w:val="24"/>
                <w:lang w:val="uk-UA"/>
              </w:rPr>
            </w:pPr>
            <w:r w:rsidRPr="00EA61A2">
              <w:rPr>
                <w:rFonts w:ascii="Times New Roman" w:hAnsi="Times New Roman"/>
                <w:color w:val="000000"/>
                <w:sz w:val="24"/>
                <w:szCs w:val="24"/>
                <w:lang w:val="uk-UA"/>
              </w:rPr>
              <w:t xml:space="preserve">                                                   до Типового договору</w:t>
            </w:r>
          </w:p>
          <w:p w:rsidR="00EA61A2" w:rsidRPr="00EA61A2" w:rsidRDefault="00EA61A2" w:rsidP="00EA61A2">
            <w:pPr>
              <w:pStyle w:val="1"/>
              <w:adjustRightInd w:val="0"/>
              <w:spacing w:after="0" w:line="240" w:lineRule="auto"/>
              <w:rPr>
                <w:rFonts w:ascii="Times New Roman" w:hAnsi="Times New Roman"/>
                <w:color w:val="000000"/>
                <w:sz w:val="24"/>
                <w:szCs w:val="24"/>
                <w:lang w:val="uk-UA"/>
              </w:rPr>
            </w:pPr>
            <w:r w:rsidRPr="00EA61A2">
              <w:rPr>
                <w:rFonts w:ascii="Times New Roman" w:hAnsi="Times New Roman"/>
                <w:color w:val="000000"/>
                <w:sz w:val="24"/>
                <w:szCs w:val="24"/>
                <w:lang w:val="uk-UA"/>
              </w:rPr>
              <w:t xml:space="preserve">                                                   транспортування природного</w:t>
            </w:r>
          </w:p>
          <w:p w:rsidR="00EA61A2" w:rsidRPr="00EA61A2" w:rsidRDefault="00EA61A2" w:rsidP="00EA61A2">
            <w:pPr>
              <w:pStyle w:val="1"/>
              <w:adjustRightInd w:val="0"/>
              <w:spacing w:after="0" w:line="240" w:lineRule="auto"/>
              <w:rPr>
                <w:rFonts w:ascii="Times New Roman" w:hAnsi="Times New Roman"/>
                <w:color w:val="000000"/>
                <w:sz w:val="24"/>
                <w:szCs w:val="24"/>
                <w:lang w:val="uk-UA"/>
              </w:rPr>
            </w:pPr>
            <w:r w:rsidRPr="00EA61A2">
              <w:rPr>
                <w:rFonts w:ascii="Times New Roman" w:hAnsi="Times New Roman"/>
                <w:color w:val="000000"/>
                <w:sz w:val="24"/>
                <w:szCs w:val="24"/>
                <w:lang w:val="uk-UA"/>
              </w:rPr>
              <w:t xml:space="preserve">                                                   газу</w:t>
            </w:r>
          </w:p>
          <w:p w:rsidR="00EA61A2" w:rsidRPr="00EA61A2" w:rsidRDefault="00EA61A2" w:rsidP="00EA61A2">
            <w:pPr>
              <w:pStyle w:val="1"/>
              <w:adjustRightInd w:val="0"/>
              <w:spacing w:after="0" w:line="240" w:lineRule="auto"/>
              <w:rPr>
                <w:rFonts w:ascii="Times New Roman" w:hAnsi="Times New Roman"/>
                <w:color w:val="000000"/>
                <w:sz w:val="24"/>
                <w:szCs w:val="24"/>
                <w:lang w:val="uk-UA"/>
              </w:rPr>
            </w:pPr>
            <w:r w:rsidRPr="00EA61A2">
              <w:rPr>
                <w:rFonts w:ascii="Times New Roman" w:hAnsi="Times New Roman"/>
                <w:color w:val="000000"/>
                <w:sz w:val="24"/>
                <w:szCs w:val="24"/>
                <w:lang w:val="uk-UA"/>
              </w:rPr>
              <w:t xml:space="preserve">                                                   (пункт 6.3 розділу </w:t>
            </w:r>
            <w:r w:rsidRPr="00EA61A2">
              <w:rPr>
                <w:rFonts w:ascii="Times New Roman" w:hAnsi="Times New Roman"/>
                <w:color w:val="000000"/>
                <w:sz w:val="24"/>
                <w:szCs w:val="24"/>
              </w:rPr>
              <w:t>V</w:t>
            </w:r>
            <w:r w:rsidRPr="00EA61A2">
              <w:rPr>
                <w:rFonts w:ascii="Times New Roman" w:hAnsi="Times New Roman"/>
                <w:color w:val="000000"/>
                <w:sz w:val="24"/>
                <w:szCs w:val="24"/>
                <w:lang w:val="uk-UA"/>
              </w:rPr>
              <w:t>І)</w:t>
            </w:r>
          </w:p>
          <w:p w:rsidR="00EA61A2" w:rsidRPr="00EA61A2" w:rsidRDefault="00EA61A2" w:rsidP="00EA61A2">
            <w:pPr>
              <w:pStyle w:val="1"/>
              <w:adjustRightInd w:val="0"/>
              <w:spacing w:after="0" w:line="240" w:lineRule="auto"/>
              <w:ind w:left="0"/>
              <w:rPr>
                <w:rFonts w:ascii="Times New Roman" w:hAnsi="Times New Roman"/>
                <w:b/>
                <w:color w:val="000000"/>
                <w:sz w:val="24"/>
                <w:szCs w:val="24"/>
                <w:lang w:val="uk-UA"/>
              </w:rPr>
            </w:pPr>
          </w:p>
          <w:p w:rsidR="00EA61A2" w:rsidRPr="00EA61A2" w:rsidRDefault="00EA61A2" w:rsidP="00EA61A2">
            <w:pPr>
              <w:jc w:val="center"/>
              <w:rPr>
                <w:rFonts w:ascii="Times New Roman" w:hAnsi="Times New Roman"/>
                <w:b/>
                <w:sz w:val="24"/>
                <w:szCs w:val="24"/>
                <w:lang w:val="ru-RU"/>
              </w:rPr>
            </w:pPr>
            <w:r w:rsidRPr="00EA61A2">
              <w:rPr>
                <w:rFonts w:ascii="Times New Roman" w:hAnsi="Times New Roman"/>
                <w:b/>
                <w:sz w:val="24"/>
                <w:szCs w:val="24"/>
              </w:rPr>
              <w:t xml:space="preserve">Заява про приєднання </w:t>
            </w:r>
          </w:p>
          <w:p w:rsidR="00EA61A2" w:rsidRPr="00EA61A2" w:rsidRDefault="00EA61A2" w:rsidP="00EA61A2">
            <w:pPr>
              <w:jc w:val="center"/>
              <w:rPr>
                <w:rFonts w:ascii="Times New Roman" w:hAnsi="Times New Roman"/>
                <w:b/>
                <w:sz w:val="24"/>
                <w:szCs w:val="24"/>
              </w:rPr>
            </w:pPr>
            <w:r w:rsidRPr="00EA61A2">
              <w:rPr>
                <w:rFonts w:ascii="Times New Roman" w:hAnsi="Times New Roman"/>
                <w:b/>
                <w:sz w:val="24"/>
                <w:szCs w:val="24"/>
              </w:rPr>
              <w:t>до загальних правил та умов, на які замовники послуг транспортування повинні погодитись для того, щоб отримати доступ до потужності на обов’язковому етапі розподілу потужності процедури нової (збільшеної) потужності (далі – Заява)</w:t>
            </w:r>
          </w:p>
          <w:p w:rsidR="00EA61A2" w:rsidRPr="00EA61A2" w:rsidRDefault="00EA61A2" w:rsidP="00EA61A2">
            <w:pPr>
              <w:jc w:val="center"/>
              <w:rPr>
                <w:rFonts w:ascii="Times New Roman" w:hAnsi="Times New Roman"/>
                <w:b/>
                <w:sz w:val="24"/>
                <w:szCs w:val="24"/>
              </w:rPr>
            </w:pPr>
          </w:p>
          <w:p w:rsidR="00EA61A2" w:rsidRPr="00EA61A2" w:rsidRDefault="00EA61A2" w:rsidP="00EA61A2">
            <w:pPr>
              <w:spacing w:after="120"/>
              <w:jc w:val="center"/>
              <w:rPr>
                <w:rFonts w:ascii="Times New Roman" w:hAnsi="Times New Roman"/>
                <w:b/>
                <w:sz w:val="24"/>
                <w:szCs w:val="24"/>
              </w:rPr>
            </w:pPr>
          </w:p>
          <w:p w:rsidR="00EA61A2" w:rsidRPr="00EA61A2" w:rsidRDefault="00EA61A2" w:rsidP="00EA61A2">
            <w:pPr>
              <w:ind w:firstLine="709"/>
              <w:jc w:val="both"/>
              <w:rPr>
                <w:rFonts w:ascii="Times New Roman" w:hAnsi="Times New Roman"/>
                <w:sz w:val="24"/>
                <w:szCs w:val="24"/>
              </w:rPr>
            </w:pPr>
            <w:r w:rsidRPr="00EA61A2">
              <w:rPr>
                <w:rFonts w:ascii="Times New Roman" w:hAnsi="Times New Roman"/>
                <w:sz w:val="24"/>
                <w:szCs w:val="24"/>
              </w:rPr>
              <w:t xml:space="preserve">«__________________________________» EIC-код __________________,             </w:t>
            </w:r>
            <w:r w:rsidRPr="00EA61A2">
              <w:rPr>
                <w:rFonts w:ascii="Times New Roman" w:hAnsi="Times New Roman"/>
                <w:color w:val="FFFFFF" w:themeColor="background1"/>
                <w:sz w:val="24"/>
                <w:szCs w:val="24"/>
              </w:rPr>
              <w:t>___________________</w:t>
            </w:r>
            <w:r w:rsidRPr="00EA61A2">
              <w:rPr>
                <w:rFonts w:ascii="Times New Roman" w:hAnsi="Times New Roman"/>
                <w:sz w:val="24"/>
                <w:szCs w:val="24"/>
              </w:rPr>
              <w:t>(Замовник)</w:t>
            </w:r>
          </w:p>
          <w:p w:rsidR="00EA61A2" w:rsidRPr="00EA61A2" w:rsidRDefault="00EA61A2" w:rsidP="00EA61A2">
            <w:pPr>
              <w:jc w:val="both"/>
              <w:rPr>
                <w:rFonts w:ascii="Times New Roman" w:hAnsi="Times New Roman"/>
                <w:sz w:val="24"/>
                <w:szCs w:val="24"/>
              </w:rPr>
            </w:pPr>
            <w:r w:rsidRPr="00EA61A2">
              <w:rPr>
                <w:rFonts w:ascii="Times New Roman" w:hAnsi="Times New Roman"/>
                <w:sz w:val="24"/>
                <w:szCs w:val="24"/>
              </w:rPr>
              <w:t>ознайомився з особливостями процедури розподілу та надання доступу до нової (збільшеної) потужності та приймає без виключення всі правила та умови доступу до потужності, що розподіляється на аукціоні розподілу нової (збільшеної) потужності, які погоджені рішенням Регулятора від __ ___ _____  № ____.</w:t>
            </w:r>
          </w:p>
          <w:p w:rsidR="00EA61A2" w:rsidRPr="00EA61A2" w:rsidRDefault="00EA61A2" w:rsidP="00EA61A2">
            <w:pPr>
              <w:ind w:firstLine="709"/>
              <w:jc w:val="both"/>
              <w:rPr>
                <w:rFonts w:ascii="Times New Roman" w:hAnsi="Times New Roman"/>
                <w:sz w:val="24"/>
                <w:szCs w:val="24"/>
              </w:rPr>
            </w:pPr>
            <w:r w:rsidRPr="00EA61A2">
              <w:rPr>
                <w:rFonts w:ascii="Times New Roman" w:hAnsi="Times New Roman"/>
                <w:sz w:val="24"/>
                <w:szCs w:val="24"/>
              </w:rPr>
              <w:t>Підписанням цієї Заяви, Замовник погоджується на відповідні умови надання доступу до потужності, що була розподілена Замовнику відповідно до процедури розподілу нової (збільшеної) потужності.</w:t>
            </w:r>
          </w:p>
          <w:p w:rsidR="00EA61A2" w:rsidRPr="00EA61A2" w:rsidRDefault="00EA61A2" w:rsidP="00EA61A2">
            <w:pPr>
              <w:ind w:firstLine="709"/>
              <w:jc w:val="both"/>
              <w:rPr>
                <w:rFonts w:ascii="Times New Roman" w:hAnsi="Times New Roman"/>
                <w:sz w:val="24"/>
                <w:szCs w:val="24"/>
              </w:rPr>
            </w:pPr>
            <w:r w:rsidRPr="00EA61A2">
              <w:rPr>
                <w:rFonts w:ascii="Times New Roman" w:hAnsi="Times New Roman"/>
                <w:sz w:val="24"/>
                <w:szCs w:val="24"/>
              </w:rPr>
              <w:t>Ця Заява, є невід’ємною частиною Договору транспортування природного газу від __ ___ _____ № ____.</w:t>
            </w:r>
          </w:p>
          <w:p w:rsidR="00EA61A2" w:rsidRPr="00EA61A2" w:rsidRDefault="00EA61A2" w:rsidP="00EA61A2">
            <w:pPr>
              <w:spacing w:after="120"/>
              <w:ind w:firstLine="708"/>
              <w:jc w:val="both"/>
              <w:rPr>
                <w:rFonts w:ascii="Times New Roman" w:hAnsi="Times New Roman"/>
                <w:sz w:val="24"/>
                <w:szCs w:val="24"/>
              </w:rPr>
            </w:pPr>
          </w:p>
          <w:p w:rsidR="00EA61A2" w:rsidRPr="00EA61A2" w:rsidRDefault="00EA61A2" w:rsidP="00EA61A2">
            <w:pPr>
              <w:spacing w:after="120"/>
              <w:ind w:firstLine="708"/>
              <w:jc w:val="both"/>
              <w:rPr>
                <w:rFonts w:ascii="Times New Roman" w:hAnsi="Times New Roman"/>
                <w:sz w:val="24"/>
                <w:szCs w:val="24"/>
              </w:rPr>
            </w:pPr>
          </w:p>
          <w:p w:rsidR="00EA61A2" w:rsidRPr="00EA61A2" w:rsidRDefault="00EA61A2" w:rsidP="00EA61A2">
            <w:pPr>
              <w:spacing w:after="120"/>
              <w:ind w:firstLine="708"/>
              <w:jc w:val="both"/>
              <w:rPr>
                <w:rFonts w:ascii="Times New Roman" w:hAnsi="Times New Roman"/>
                <w:sz w:val="24"/>
                <w:szCs w:val="24"/>
              </w:rPr>
            </w:pPr>
            <w:r w:rsidRPr="00EA61A2">
              <w:rPr>
                <w:rFonts w:ascii="Times New Roman" w:hAnsi="Times New Roman"/>
                <w:sz w:val="24"/>
                <w:szCs w:val="24"/>
              </w:rPr>
              <w:t xml:space="preserve">Замовник   </w:t>
            </w:r>
            <w:r w:rsidRPr="00EA61A2">
              <w:rPr>
                <w:rFonts w:ascii="Times New Roman" w:hAnsi="Times New Roman"/>
                <w:sz w:val="24"/>
                <w:szCs w:val="24"/>
                <w:lang w:val="ru-RU"/>
              </w:rPr>
              <w:t xml:space="preserve">                                          </w:t>
            </w:r>
            <w:r w:rsidRPr="00EA61A2">
              <w:rPr>
                <w:rFonts w:ascii="Times New Roman" w:hAnsi="Times New Roman"/>
                <w:sz w:val="24"/>
                <w:szCs w:val="24"/>
              </w:rPr>
              <w:t>___________________</w:t>
            </w:r>
            <w:r w:rsidRPr="00EA61A2">
              <w:rPr>
                <w:rFonts w:ascii="Times New Roman" w:hAnsi="Times New Roman"/>
                <w:color w:val="000000"/>
                <w:sz w:val="24"/>
                <w:szCs w:val="24"/>
              </w:rPr>
              <w:t xml:space="preserve">       </w:t>
            </w:r>
          </w:p>
          <w:p w:rsidR="00EA61A2" w:rsidRDefault="00EA61A2" w:rsidP="00EA61A2">
            <w:pPr>
              <w:spacing w:after="120"/>
              <w:ind w:firstLine="708"/>
              <w:jc w:val="both"/>
              <w:rPr>
                <w:rFonts w:ascii="Times New Roman" w:hAnsi="Times New Roman"/>
                <w:sz w:val="24"/>
                <w:szCs w:val="24"/>
                <w:lang w:val="ru-RU"/>
              </w:rPr>
            </w:pPr>
            <w:r>
              <w:rPr>
                <w:rFonts w:ascii="Times New Roman" w:hAnsi="Times New Roman"/>
                <w:sz w:val="28"/>
                <w:szCs w:val="28"/>
              </w:rPr>
              <w:t xml:space="preserve">             </w:t>
            </w:r>
            <w:r>
              <w:rPr>
                <w:rFonts w:ascii="Times New Roman" w:hAnsi="Times New Roman"/>
                <w:sz w:val="28"/>
                <w:szCs w:val="28"/>
                <w:lang w:val="ru-RU"/>
              </w:rPr>
              <w:t xml:space="preserve">                                               </w:t>
            </w:r>
            <w:r>
              <w:rPr>
                <w:rFonts w:ascii="Times New Roman" w:hAnsi="Times New Roman"/>
                <w:color w:val="000000"/>
                <w:sz w:val="24"/>
                <w:szCs w:val="24"/>
              </w:rPr>
              <w:t>(посада, П.І.Б., підпис)</w:t>
            </w:r>
          </w:p>
          <w:p w:rsidR="00014384" w:rsidRPr="003F175A" w:rsidRDefault="00014384" w:rsidP="00014384">
            <w:pPr>
              <w:shd w:val="clear" w:color="auto" w:fill="FFFFFF"/>
              <w:ind w:firstLine="709"/>
              <w:jc w:val="both"/>
              <w:textAlignment w:val="baseline"/>
              <w:rPr>
                <w:rFonts w:ascii="Times New Roman" w:hAnsi="Times New Roman" w:cs="Times New Roman"/>
                <w:b/>
                <w:color w:val="000000"/>
                <w:sz w:val="24"/>
                <w:szCs w:val="20"/>
                <w:shd w:val="clear" w:color="auto" w:fill="FFFFFF"/>
              </w:rPr>
            </w:pPr>
          </w:p>
        </w:tc>
      </w:tr>
    </w:tbl>
    <w:p w:rsidR="003231B3" w:rsidRDefault="003231B3" w:rsidP="003231B3">
      <w:pPr>
        <w:spacing w:line="216" w:lineRule="auto"/>
        <w:jc w:val="both"/>
        <w:rPr>
          <w:b/>
          <w:sz w:val="28"/>
        </w:rPr>
      </w:pPr>
    </w:p>
    <w:p w:rsidR="003231B3" w:rsidRPr="003231B3" w:rsidRDefault="003231B3" w:rsidP="003231B3">
      <w:pPr>
        <w:spacing w:after="0" w:line="216" w:lineRule="auto"/>
        <w:jc w:val="both"/>
        <w:rPr>
          <w:rFonts w:ascii="Times New Roman" w:hAnsi="Times New Roman" w:cs="Times New Roman"/>
          <w:b/>
          <w:sz w:val="28"/>
          <w:szCs w:val="28"/>
        </w:rPr>
      </w:pPr>
      <w:r w:rsidRPr="003231B3">
        <w:rPr>
          <w:rFonts w:ascii="Times New Roman" w:hAnsi="Times New Roman" w:cs="Times New Roman"/>
          <w:b/>
          <w:sz w:val="28"/>
          <w:szCs w:val="28"/>
        </w:rPr>
        <w:t xml:space="preserve">Заступник директора </w:t>
      </w:r>
    </w:p>
    <w:p w:rsidR="003231B3" w:rsidRPr="003231B3" w:rsidRDefault="003231B3" w:rsidP="003231B3">
      <w:pPr>
        <w:spacing w:after="0" w:line="216" w:lineRule="auto"/>
        <w:jc w:val="both"/>
        <w:rPr>
          <w:rFonts w:ascii="Times New Roman" w:hAnsi="Times New Roman" w:cs="Times New Roman"/>
          <w:b/>
          <w:sz w:val="28"/>
          <w:szCs w:val="28"/>
        </w:rPr>
      </w:pPr>
      <w:r w:rsidRPr="003231B3">
        <w:rPr>
          <w:rFonts w:ascii="Times New Roman" w:hAnsi="Times New Roman" w:cs="Times New Roman"/>
          <w:b/>
          <w:sz w:val="28"/>
          <w:szCs w:val="28"/>
        </w:rPr>
        <w:t xml:space="preserve">Департаменту із регулювання </w:t>
      </w:r>
      <w:r>
        <w:rPr>
          <w:rFonts w:ascii="Times New Roman" w:hAnsi="Times New Roman" w:cs="Times New Roman"/>
          <w:b/>
          <w:sz w:val="28"/>
          <w:szCs w:val="28"/>
        </w:rPr>
        <w:tab/>
      </w:r>
    </w:p>
    <w:p w:rsidR="003231B3" w:rsidRPr="003231B3" w:rsidRDefault="003231B3" w:rsidP="003231B3">
      <w:pPr>
        <w:spacing w:after="0" w:line="216" w:lineRule="auto"/>
        <w:jc w:val="both"/>
        <w:rPr>
          <w:rFonts w:ascii="Times New Roman" w:hAnsi="Times New Roman" w:cs="Times New Roman"/>
          <w:b/>
          <w:sz w:val="28"/>
          <w:szCs w:val="28"/>
        </w:rPr>
      </w:pPr>
      <w:r w:rsidRPr="003231B3">
        <w:rPr>
          <w:rFonts w:ascii="Times New Roman" w:hAnsi="Times New Roman" w:cs="Times New Roman"/>
          <w:b/>
          <w:sz w:val="28"/>
          <w:szCs w:val="28"/>
        </w:rPr>
        <w:t xml:space="preserve">відносин у нафтогазовій сфері                   </w:t>
      </w:r>
      <w:r w:rsidRPr="003231B3">
        <w:rPr>
          <w:rFonts w:ascii="Times New Roman" w:hAnsi="Times New Roman" w:cs="Times New Roman"/>
          <w:b/>
          <w:sz w:val="28"/>
          <w:szCs w:val="28"/>
        </w:rPr>
        <w:tab/>
      </w:r>
      <w:r w:rsidRPr="003231B3">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3231B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3231B3">
        <w:rPr>
          <w:rFonts w:ascii="Times New Roman" w:hAnsi="Times New Roman" w:cs="Times New Roman"/>
          <w:b/>
          <w:sz w:val="28"/>
          <w:szCs w:val="28"/>
        </w:rPr>
        <w:t xml:space="preserve">       </w:t>
      </w:r>
      <w:r w:rsidRPr="003231B3">
        <w:rPr>
          <w:rFonts w:ascii="Times New Roman" w:hAnsi="Times New Roman" w:cs="Times New Roman"/>
          <w:b/>
          <w:sz w:val="28"/>
          <w:szCs w:val="28"/>
          <w:lang w:val="ru-RU"/>
        </w:rPr>
        <w:t>О</w:t>
      </w:r>
      <w:r>
        <w:rPr>
          <w:rFonts w:ascii="Times New Roman" w:hAnsi="Times New Roman" w:cs="Times New Roman"/>
          <w:b/>
          <w:sz w:val="28"/>
          <w:szCs w:val="28"/>
          <w:lang w:val="ru-RU"/>
        </w:rPr>
        <w:t>лександр</w:t>
      </w:r>
      <w:r w:rsidRPr="003231B3">
        <w:rPr>
          <w:rFonts w:ascii="Times New Roman" w:hAnsi="Times New Roman" w:cs="Times New Roman"/>
          <w:b/>
          <w:sz w:val="28"/>
          <w:szCs w:val="28"/>
          <w:lang w:val="ru-RU"/>
        </w:rPr>
        <w:t xml:space="preserve"> </w:t>
      </w:r>
      <w:r w:rsidRPr="003231B3">
        <w:rPr>
          <w:rFonts w:ascii="Times New Roman" w:hAnsi="Times New Roman" w:cs="Times New Roman"/>
          <w:b/>
          <w:sz w:val="28"/>
          <w:szCs w:val="28"/>
          <w:lang w:val="ru-RU"/>
        </w:rPr>
        <w:t>КОСЯНЧУК</w:t>
      </w:r>
    </w:p>
    <w:p w:rsidR="003231B3" w:rsidRPr="003231B3" w:rsidRDefault="003231B3" w:rsidP="003231B3">
      <w:pPr>
        <w:spacing w:after="0" w:line="216" w:lineRule="auto"/>
        <w:jc w:val="both"/>
        <w:rPr>
          <w:rFonts w:ascii="Times New Roman" w:hAnsi="Times New Roman" w:cs="Times New Roman"/>
          <w:b/>
          <w:sz w:val="28"/>
          <w:szCs w:val="28"/>
        </w:rPr>
      </w:pPr>
    </w:p>
    <w:p w:rsidR="003231B3" w:rsidRPr="003231B3" w:rsidRDefault="003231B3" w:rsidP="003231B3">
      <w:pPr>
        <w:spacing w:after="0" w:line="216" w:lineRule="auto"/>
        <w:jc w:val="both"/>
        <w:rPr>
          <w:rFonts w:ascii="Times New Roman" w:hAnsi="Times New Roman" w:cs="Times New Roman"/>
          <w:b/>
          <w:sz w:val="28"/>
          <w:szCs w:val="28"/>
        </w:rPr>
      </w:pPr>
    </w:p>
    <w:p w:rsidR="00E96215" w:rsidRPr="00E96215" w:rsidRDefault="00E96215" w:rsidP="003231B3">
      <w:pPr>
        <w:rPr>
          <w:rFonts w:ascii="Times New Roman" w:hAnsi="Times New Roman" w:cs="Times New Roman"/>
          <w:b/>
          <w:sz w:val="28"/>
          <w:szCs w:val="28"/>
        </w:rPr>
      </w:pPr>
      <w:bookmarkStart w:id="0" w:name="_GoBack"/>
      <w:bookmarkEnd w:id="0"/>
    </w:p>
    <w:sectPr w:rsidR="00E96215" w:rsidRPr="00E96215" w:rsidSect="0048617C">
      <w:footerReference w:type="default" r:id="rId10"/>
      <w:pgSz w:w="16838" w:h="11906" w:orient="landscape"/>
      <w:pgMar w:top="568" w:right="1134" w:bottom="993" w:left="1134" w:header="708" w:footer="4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1F33" w:rsidRDefault="00C31F33" w:rsidP="001F0204">
      <w:pPr>
        <w:spacing w:after="0" w:line="240" w:lineRule="auto"/>
      </w:pPr>
      <w:r>
        <w:separator/>
      </w:r>
    </w:p>
  </w:endnote>
  <w:endnote w:type="continuationSeparator" w:id="0">
    <w:p w:rsidR="00C31F33" w:rsidRDefault="00C31F33" w:rsidP="001F0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695678"/>
      <w:docPartObj>
        <w:docPartGallery w:val="Page Numbers (Bottom of Page)"/>
        <w:docPartUnique/>
      </w:docPartObj>
    </w:sdtPr>
    <w:sdtEndPr/>
    <w:sdtContent>
      <w:p w:rsidR="001F0204" w:rsidRDefault="001F0204">
        <w:pPr>
          <w:pStyle w:val="ac"/>
          <w:jc w:val="right"/>
        </w:pPr>
        <w:r>
          <w:fldChar w:fldCharType="begin"/>
        </w:r>
        <w:r>
          <w:instrText>PAGE   \* MERGEFORMAT</w:instrText>
        </w:r>
        <w:r>
          <w:fldChar w:fldCharType="separate"/>
        </w:r>
        <w:r w:rsidR="007E5E6E">
          <w:rPr>
            <w:noProof/>
          </w:rPr>
          <w:t>13</w:t>
        </w:r>
        <w:r>
          <w:fldChar w:fldCharType="end"/>
        </w:r>
      </w:p>
    </w:sdtContent>
  </w:sdt>
  <w:p w:rsidR="001F0204" w:rsidRDefault="001F020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1F33" w:rsidRDefault="00C31F33" w:rsidP="001F0204">
      <w:pPr>
        <w:spacing w:after="0" w:line="240" w:lineRule="auto"/>
      </w:pPr>
      <w:r>
        <w:separator/>
      </w:r>
    </w:p>
  </w:footnote>
  <w:footnote w:type="continuationSeparator" w:id="0">
    <w:p w:rsidR="00C31F33" w:rsidRDefault="00C31F33" w:rsidP="001F02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5F"/>
    <w:rsid w:val="00000CB1"/>
    <w:rsid w:val="000073A8"/>
    <w:rsid w:val="00014384"/>
    <w:rsid w:val="000145C3"/>
    <w:rsid w:val="00021509"/>
    <w:rsid w:val="00036A59"/>
    <w:rsid w:val="00044C67"/>
    <w:rsid w:val="0005567B"/>
    <w:rsid w:val="000615CC"/>
    <w:rsid w:val="0007404C"/>
    <w:rsid w:val="00082644"/>
    <w:rsid w:val="000846EC"/>
    <w:rsid w:val="000C71C4"/>
    <w:rsid w:val="000F35B9"/>
    <w:rsid w:val="000F45D2"/>
    <w:rsid w:val="00102B22"/>
    <w:rsid w:val="001275E9"/>
    <w:rsid w:val="00146E32"/>
    <w:rsid w:val="00150AAF"/>
    <w:rsid w:val="0015538B"/>
    <w:rsid w:val="00172147"/>
    <w:rsid w:val="001835C3"/>
    <w:rsid w:val="001A274C"/>
    <w:rsid w:val="001B282C"/>
    <w:rsid w:val="001B3541"/>
    <w:rsid w:val="001E40F4"/>
    <w:rsid w:val="001F0204"/>
    <w:rsid w:val="00207046"/>
    <w:rsid w:val="002300DC"/>
    <w:rsid w:val="00243194"/>
    <w:rsid w:val="0024392F"/>
    <w:rsid w:val="00270880"/>
    <w:rsid w:val="00283DFB"/>
    <w:rsid w:val="00290FCC"/>
    <w:rsid w:val="002B082A"/>
    <w:rsid w:val="002C37D4"/>
    <w:rsid w:val="002C7879"/>
    <w:rsid w:val="002E35D2"/>
    <w:rsid w:val="00310369"/>
    <w:rsid w:val="003118D9"/>
    <w:rsid w:val="003133D8"/>
    <w:rsid w:val="00317D92"/>
    <w:rsid w:val="003231B3"/>
    <w:rsid w:val="00330110"/>
    <w:rsid w:val="00330D46"/>
    <w:rsid w:val="0035366F"/>
    <w:rsid w:val="003C4907"/>
    <w:rsid w:val="003F175A"/>
    <w:rsid w:val="003F6491"/>
    <w:rsid w:val="00400D82"/>
    <w:rsid w:val="00402C9E"/>
    <w:rsid w:val="00407E90"/>
    <w:rsid w:val="0041734A"/>
    <w:rsid w:val="00473E43"/>
    <w:rsid w:val="0048011C"/>
    <w:rsid w:val="0048617C"/>
    <w:rsid w:val="00490E3E"/>
    <w:rsid w:val="004916EC"/>
    <w:rsid w:val="004A3FEC"/>
    <w:rsid w:val="004C127B"/>
    <w:rsid w:val="004D727C"/>
    <w:rsid w:val="004F0E6D"/>
    <w:rsid w:val="00545BB3"/>
    <w:rsid w:val="0056765F"/>
    <w:rsid w:val="005861DE"/>
    <w:rsid w:val="00596159"/>
    <w:rsid w:val="005B5822"/>
    <w:rsid w:val="005C010D"/>
    <w:rsid w:val="005C2743"/>
    <w:rsid w:val="005D1FFC"/>
    <w:rsid w:val="005F3453"/>
    <w:rsid w:val="00623E8C"/>
    <w:rsid w:val="006340CC"/>
    <w:rsid w:val="00665035"/>
    <w:rsid w:val="00694B43"/>
    <w:rsid w:val="006B1804"/>
    <w:rsid w:val="006B2D1A"/>
    <w:rsid w:val="006D1659"/>
    <w:rsid w:val="006E78FB"/>
    <w:rsid w:val="006F1F5F"/>
    <w:rsid w:val="006F1F96"/>
    <w:rsid w:val="006F4A49"/>
    <w:rsid w:val="0070429F"/>
    <w:rsid w:val="00711681"/>
    <w:rsid w:val="007216D1"/>
    <w:rsid w:val="00735055"/>
    <w:rsid w:val="007749E9"/>
    <w:rsid w:val="007807B3"/>
    <w:rsid w:val="007935DC"/>
    <w:rsid w:val="00796FB4"/>
    <w:rsid w:val="007C0298"/>
    <w:rsid w:val="007C6E00"/>
    <w:rsid w:val="007D1D26"/>
    <w:rsid w:val="007E0490"/>
    <w:rsid w:val="007E1248"/>
    <w:rsid w:val="007E5E6E"/>
    <w:rsid w:val="007F30A2"/>
    <w:rsid w:val="00802558"/>
    <w:rsid w:val="00813FE9"/>
    <w:rsid w:val="00826D60"/>
    <w:rsid w:val="00833E2E"/>
    <w:rsid w:val="00846099"/>
    <w:rsid w:val="00856FCC"/>
    <w:rsid w:val="008B453E"/>
    <w:rsid w:val="008B7818"/>
    <w:rsid w:val="008E181A"/>
    <w:rsid w:val="008F27AB"/>
    <w:rsid w:val="008F2CEA"/>
    <w:rsid w:val="00911CD0"/>
    <w:rsid w:val="0091514E"/>
    <w:rsid w:val="00923932"/>
    <w:rsid w:val="00925976"/>
    <w:rsid w:val="009273E2"/>
    <w:rsid w:val="00934102"/>
    <w:rsid w:val="009472B8"/>
    <w:rsid w:val="0095062D"/>
    <w:rsid w:val="00952E89"/>
    <w:rsid w:val="00976BC0"/>
    <w:rsid w:val="009808C9"/>
    <w:rsid w:val="00993627"/>
    <w:rsid w:val="009A4A26"/>
    <w:rsid w:val="009B35BD"/>
    <w:rsid w:val="009C29F6"/>
    <w:rsid w:val="009C7F2C"/>
    <w:rsid w:val="009D6AB1"/>
    <w:rsid w:val="009F32BA"/>
    <w:rsid w:val="00A1705D"/>
    <w:rsid w:val="00A27CA8"/>
    <w:rsid w:val="00A27FCC"/>
    <w:rsid w:val="00A305E3"/>
    <w:rsid w:val="00A37B9D"/>
    <w:rsid w:val="00A567A6"/>
    <w:rsid w:val="00A6352B"/>
    <w:rsid w:val="00A7349A"/>
    <w:rsid w:val="00AD0EE8"/>
    <w:rsid w:val="00AD2696"/>
    <w:rsid w:val="00AF7F91"/>
    <w:rsid w:val="00B00EE6"/>
    <w:rsid w:val="00B03136"/>
    <w:rsid w:val="00B256C4"/>
    <w:rsid w:val="00B267BE"/>
    <w:rsid w:val="00B32CBD"/>
    <w:rsid w:val="00B57AE1"/>
    <w:rsid w:val="00B91338"/>
    <w:rsid w:val="00B950D7"/>
    <w:rsid w:val="00BA020A"/>
    <w:rsid w:val="00BA6F8C"/>
    <w:rsid w:val="00BB2B9B"/>
    <w:rsid w:val="00BB3EAC"/>
    <w:rsid w:val="00BF0B70"/>
    <w:rsid w:val="00C00B86"/>
    <w:rsid w:val="00C15363"/>
    <w:rsid w:val="00C169D5"/>
    <w:rsid w:val="00C31F33"/>
    <w:rsid w:val="00C54BED"/>
    <w:rsid w:val="00C56807"/>
    <w:rsid w:val="00C63292"/>
    <w:rsid w:val="00C73E33"/>
    <w:rsid w:val="00C940B9"/>
    <w:rsid w:val="00C95F4C"/>
    <w:rsid w:val="00CA1423"/>
    <w:rsid w:val="00CF3B01"/>
    <w:rsid w:val="00CF79E1"/>
    <w:rsid w:val="00D01AB1"/>
    <w:rsid w:val="00D37CA9"/>
    <w:rsid w:val="00D51FF6"/>
    <w:rsid w:val="00D710EB"/>
    <w:rsid w:val="00D74C0B"/>
    <w:rsid w:val="00D87C05"/>
    <w:rsid w:val="00D95D30"/>
    <w:rsid w:val="00DA7DD0"/>
    <w:rsid w:val="00DB585C"/>
    <w:rsid w:val="00DD0261"/>
    <w:rsid w:val="00DD52C0"/>
    <w:rsid w:val="00DE6B11"/>
    <w:rsid w:val="00DE7049"/>
    <w:rsid w:val="00DE7F64"/>
    <w:rsid w:val="00E03B4F"/>
    <w:rsid w:val="00E11F3E"/>
    <w:rsid w:val="00E12C12"/>
    <w:rsid w:val="00E15A07"/>
    <w:rsid w:val="00E42569"/>
    <w:rsid w:val="00E72645"/>
    <w:rsid w:val="00E82450"/>
    <w:rsid w:val="00E96215"/>
    <w:rsid w:val="00EA28C6"/>
    <w:rsid w:val="00EA61A2"/>
    <w:rsid w:val="00ED69B4"/>
    <w:rsid w:val="00F1615A"/>
    <w:rsid w:val="00F31551"/>
    <w:rsid w:val="00F43FC6"/>
    <w:rsid w:val="00F51FBD"/>
    <w:rsid w:val="00F702CD"/>
    <w:rsid w:val="00F800DA"/>
    <w:rsid w:val="00F93112"/>
    <w:rsid w:val="00FA1BBD"/>
    <w:rsid w:val="00FA6408"/>
    <w:rsid w:val="00FD6013"/>
    <w:rsid w:val="00FE401E"/>
    <w:rsid w:val="00FE42E2"/>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B6B3C"/>
  <w15:chartTrackingRefBased/>
  <w15:docId w15:val="{ED94528B-5633-4CCE-9A4B-3D7F213E2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35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6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6F4A49"/>
    <w:rPr>
      <w:rFonts w:ascii="TimesNewRomanPSMT" w:hAnsi="TimesNewRomanPSMT" w:hint="default"/>
      <w:b w:val="0"/>
      <w:bCs w:val="0"/>
      <w:i w:val="0"/>
      <w:iCs w:val="0"/>
      <w:color w:val="000000"/>
      <w:sz w:val="24"/>
      <w:szCs w:val="24"/>
    </w:rPr>
  </w:style>
  <w:style w:type="character" w:styleId="a4">
    <w:name w:val="annotation reference"/>
    <w:basedOn w:val="a0"/>
    <w:uiPriority w:val="99"/>
    <w:semiHidden/>
    <w:unhideWhenUsed/>
    <w:rsid w:val="00EA28C6"/>
    <w:rPr>
      <w:sz w:val="16"/>
      <w:szCs w:val="16"/>
    </w:rPr>
  </w:style>
  <w:style w:type="paragraph" w:styleId="a5">
    <w:name w:val="annotation text"/>
    <w:basedOn w:val="a"/>
    <w:link w:val="a6"/>
    <w:uiPriority w:val="99"/>
    <w:unhideWhenUsed/>
    <w:rsid w:val="00EA28C6"/>
    <w:pPr>
      <w:spacing w:after="0" w:line="240" w:lineRule="auto"/>
    </w:pPr>
    <w:rPr>
      <w:rFonts w:ascii="Times New Roman" w:eastAsia="Times New Roman" w:hAnsi="Times New Roman" w:cs="Times New Roman"/>
      <w:sz w:val="20"/>
      <w:szCs w:val="20"/>
      <w:lang w:val="ru-RU" w:eastAsia="ru-RU"/>
    </w:rPr>
  </w:style>
  <w:style w:type="character" w:customStyle="1" w:styleId="a6">
    <w:name w:val="Текст примітки Знак"/>
    <w:basedOn w:val="a0"/>
    <w:link w:val="a5"/>
    <w:uiPriority w:val="99"/>
    <w:rsid w:val="00EA28C6"/>
    <w:rPr>
      <w:rFonts w:ascii="Times New Roman" w:eastAsia="Times New Roman" w:hAnsi="Times New Roman" w:cs="Times New Roman"/>
      <w:sz w:val="20"/>
      <w:szCs w:val="20"/>
      <w:lang w:val="ru-RU" w:eastAsia="ru-RU"/>
    </w:rPr>
  </w:style>
  <w:style w:type="paragraph" w:styleId="a7">
    <w:name w:val="Balloon Text"/>
    <w:basedOn w:val="a"/>
    <w:link w:val="a8"/>
    <w:uiPriority w:val="99"/>
    <w:semiHidden/>
    <w:unhideWhenUsed/>
    <w:rsid w:val="00EA28C6"/>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EA28C6"/>
    <w:rPr>
      <w:rFonts w:ascii="Segoe UI" w:hAnsi="Segoe UI" w:cs="Segoe UI"/>
      <w:sz w:val="18"/>
      <w:szCs w:val="18"/>
    </w:rPr>
  </w:style>
  <w:style w:type="paragraph" w:customStyle="1" w:styleId="rvps2">
    <w:name w:val="rvps2"/>
    <w:basedOn w:val="a"/>
    <w:rsid w:val="00DE7F6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A020A"/>
    <w:rPr>
      <w:color w:val="0000FF"/>
      <w:u w:val="single"/>
    </w:rPr>
  </w:style>
  <w:style w:type="character" w:customStyle="1" w:styleId="rvts80">
    <w:name w:val="rvts80"/>
    <w:basedOn w:val="a0"/>
    <w:rsid w:val="00DB585C"/>
  </w:style>
  <w:style w:type="paragraph" w:customStyle="1" w:styleId="rvps12">
    <w:name w:val="rvps12"/>
    <w:basedOn w:val="a"/>
    <w:rsid w:val="00DB58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0">
    <w:name w:val="rvts40"/>
    <w:basedOn w:val="a0"/>
    <w:rsid w:val="00DB585C"/>
  </w:style>
  <w:style w:type="paragraph" w:customStyle="1" w:styleId="rvps11">
    <w:name w:val="rvps11"/>
    <w:basedOn w:val="a"/>
    <w:rsid w:val="00DB585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DB585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header"/>
    <w:basedOn w:val="a"/>
    <w:link w:val="ab"/>
    <w:uiPriority w:val="99"/>
    <w:unhideWhenUsed/>
    <w:rsid w:val="001F0204"/>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1F0204"/>
  </w:style>
  <w:style w:type="paragraph" w:styleId="ac">
    <w:name w:val="footer"/>
    <w:basedOn w:val="a"/>
    <w:link w:val="ad"/>
    <w:uiPriority w:val="99"/>
    <w:unhideWhenUsed/>
    <w:rsid w:val="001F0204"/>
    <w:pPr>
      <w:tabs>
        <w:tab w:val="center" w:pos="4819"/>
        <w:tab w:val="right" w:pos="9639"/>
      </w:tabs>
      <w:spacing w:after="0" w:line="240" w:lineRule="auto"/>
    </w:pPr>
  </w:style>
  <w:style w:type="character" w:customStyle="1" w:styleId="ad">
    <w:name w:val="Нижній колонтитул Знак"/>
    <w:basedOn w:val="a0"/>
    <w:link w:val="ac"/>
    <w:uiPriority w:val="99"/>
    <w:rsid w:val="001F0204"/>
  </w:style>
  <w:style w:type="paragraph" w:customStyle="1" w:styleId="tj">
    <w:name w:val="tj"/>
    <w:basedOn w:val="a"/>
    <w:rsid w:val="00BB2B9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
    <w:name w:val="Абзац списка1"/>
    <w:basedOn w:val="a"/>
    <w:rsid w:val="00BA6F8C"/>
    <w:pPr>
      <w:spacing w:after="200" w:line="276" w:lineRule="auto"/>
      <w:ind w:left="720"/>
      <w:contextualSpacing/>
      <w:jc w:val="both"/>
    </w:pPr>
    <w:rPr>
      <w:rFonts w:ascii="Arial" w:eastAsia="Times New Roman" w:hAnsi="Arial"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494135">
      <w:bodyDiv w:val="1"/>
      <w:marLeft w:val="0"/>
      <w:marRight w:val="0"/>
      <w:marTop w:val="0"/>
      <w:marBottom w:val="0"/>
      <w:divBdr>
        <w:top w:val="none" w:sz="0" w:space="0" w:color="auto"/>
        <w:left w:val="none" w:sz="0" w:space="0" w:color="auto"/>
        <w:bottom w:val="none" w:sz="0" w:space="0" w:color="auto"/>
        <w:right w:val="none" w:sz="0" w:space="0" w:color="auto"/>
      </w:divBdr>
      <w:divsChild>
        <w:div w:id="302782253">
          <w:marLeft w:val="0"/>
          <w:marRight w:val="0"/>
          <w:marTop w:val="0"/>
          <w:marBottom w:val="0"/>
          <w:divBdr>
            <w:top w:val="none" w:sz="0" w:space="0" w:color="auto"/>
            <w:left w:val="none" w:sz="0" w:space="0" w:color="auto"/>
            <w:bottom w:val="none" w:sz="0" w:space="0" w:color="auto"/>
            <w:right w:val="none" w:sz="0" w:space="0" w:color="auto"/>
          </w:divBdr>
        </w:div>
        <w:div w:id="803235456">
          <w:marLeft w:val="0"/>
          <w:marRight w:val="0"/>
          <w:marTop w:val="0"/>
          <w:marBottom w:val="0"/>
          <w:divBdr>
            <w:top w:val="none" w:sz="0" w:space="0" w:color="auto"/>
            <w:left w:val="none" w:sz="0" w:space="0" w:color="auto"/>
            <w:bottom w:val="none" w:sz="0" w:space="0" w:color="auto"/>
            <w:right w:val="none" w:sz="0" w:space="0" w:color="auto"/>
          </w:divBdr>
        </w:div>
        <w:div w:id="1344934078">
          <w:marLeft w:val="0"/>
          <w:marRight w:val="0"/>
          <w:marTop w:val="0"/>
          <w:marBottom w:val="0"/>
          <w:divBdr>
            <w:top w:val="none" w:sz="0" w:space="0" w:color="auto"/>
            <w:left w:val="none" w:sz="0" w:space="0" w:color="auto"/>
            <w:bottom w:val="none" w:sz="0" w:space="0" w:color="auto"/>
            <w:right w:val="none" w:sz="0" w:space="0" w:color="auto"/>
          </w:divBdr>
        </w:div>
        <w:div w:id="1216115137">
          <w:marLeft w:val="0"/>
          <w:marRight w:val="0"/>
          <w:marTop w:val="0"/>
          <w:marBottom w:val="0"/>
          <w:divBdr>
            <w:top w:val="none" w:sz="0" w:space="0" w:color="auto"/>
            <w:left w:val="none" w:sz="0" w:space="0" w:color="auto"/>
            <w:bottom w:val="none" w:sz="0" w:space="0" w:color="auto"/>
            <w:right w:val="none" w:sz="0" w:space="0" w:color="auto"/>
          </w:divBdr>
        </w:div>
        <w:div w:id="282617909">
          <w:marLeft w:val="0"/>
          <w:marRight w:val="0"/>
          <w:marTop w:val="0"/>
          <w:marBottom w:val="0"/>
          <w:divBdr>
            <w:top w:val="none" w:sz="0" w:space="0" w:color="auto"/>
            <w:left w:val="none" w:sz="0" w:space="0" w:color="auto"/>
            <w:bottom w:val="none" w:sz="0" w:space="0" w:color="auto"/>
            <w:right w:val="none" w:sz="0" w:space="0" w:color="auto"/>
          </w:divBdr>
        </w:div>
        <w:div w:id="1303971431">
          <w:marLeft w:val="0"/>
          <w:marRight w:val="0"/>
          <w:marTop w:val="0"/>
          <w:marBottom w:val="0"/>
          <w:divBdr>
            <w:top w:val="none" w:sz="0" w:space="0" w:color="auto"/>
            <w:left w:val="none" w:sz="0" w:space="0" w:color="auto"/>
            <w:bottom w:val="none" w:sz="0" w:space="0" w:color="auto"/>
            <w:right w:val="none" w:sz="0" w:space="0" w:color="auto"/>
          </w:divBdr>
        </w:div>
        <w:div w:id="927422904">
          <w:marLeft w:val="0"/>
          <w:marRight w:val="0"/>
          <w:marTop w:val="0"/>
          <w:marBottom w:val="0"/>
          <w:divBdr>
            <w:top w:val="none" w:sz="0" w:space="0" w:color="auto"/>
            <w:left w:val="none" w:sz="0" w:space="0" w:color="auto"/>
            <w:bottom w:val="none" w:sz="0" w:space="0" w:color="auto"/>
            <w:right w:val="none" w:sz="0" w:space="0" w:color="auto"/>
          </w:divBdr>
        </w:div>
        <w:div w:id="37239352">
          <w:marLeft w:val="0"/>
          <w:marRight w:val="0"/>
          <w:marTop w:val="0"/>
          <w:marBottom w:val="0"/>
          <w:divBdr>
            <w:top w:val="none" w:sz="0" w:space="0" w:color="auto"/>
            <w:left w:val="none" w:sz="0" w:space="0" w:color="auto"/>
            <w:bottom w:val="none" w:sz="0" w:space="0" w:color="auto"/>
            <w:right w:val="none" w:sz="0" w:space="0" w:color="auto"/>
          </w:divBdr>
        </w:div>
        <w:div w:id="483552251">
          <w:marLeft w:val="0"/>
          <w:marRight w:val="0"/>
          <w:marTop w:val="0"/>
          <w:marBottom w:val="0"/>
          <w:divBdr>
            <w:top w:val="none" w:sz="0" w:space="0" w:color="auto"/>
            <w:left w:val="none" w:sz="0" w:space="0" w:color="auto"/>
            <w:bottom w:val="none" w:sz="0" w:space="0" w:color="auto"/>
            <w:right w:val="none" w:sz="0" w:space="0" w:color="auto"/>
          </w:divBdr>
        </w:div>
        <w:div w:id="411047163">
          <w:marLeft w:val="0"/>
          <w:marRight w:val="0"/>
          <w:marTop w:val="0"/>
          <w:marBottom w:val="0"/>
          <w:divBdr>
            <w:top w:val="none" w:sz="0" w:space="0" w:color="auto"/>
            <w:left w:val="none" w:sz="0" w:space="0" w:color="auto"/>
            <w:bottom w:val="none" w:sz="0" w:space="0" w:color="auto"/>
            <w:right w:val="none" w:sz="0" w:space="0" w:color="auto"/>
          </w:divBdr>
        </w:div>
        <w:div w:id="1612276113">
          <w:marLeft w:val="0"/>
          <w:marRight w:val="0"/>
          <w:marTop w:val="0"/>
          <w:marBottom w:val="0"/>
          <w:divBdr>
            <w:top w:val="none" w:sz="0" w:space="0" w:color="auto"/>
            <w:left w:val="none" w:sz="0" w:space="0" w:color="auto"/>
            <w:bottom w:val="none" w:sz="0" w:space="0" w:color="auto"/>
            <w:right w:val="none" w:sz="0" w:space="0" w:color="auto"/>
          </w:divBdr>
        </w:div>
      </w:divsChild>
    </w:div>
    <w:div w:id="589049628">
      <w:bodyDiv w:val="1"/>
      <w:marLeft w:val="0"/>
      <w:marRight w:val="0"/>
      <w:marTop w:val="0"/>
      <w:marBottom w:val="0"/>
      <w:divBdr>
        <w:top w:val="none" w:sz="0" w:space="0" w:color="auto"/>
        <w:left w:val="none" w:sz="0" w:space="0" w:color="auto"/>
        <w:bottom w:val="none" w:sz="0" w:space="0" w:color="auto"/>
        <w:right w:val="none" w:sz="0" w:space="0" w:color="auto"/>
      </w:divBdr>
    </w:div>
    <w:div w:id="893393944">
      <w:bodyDiv w:val="1"/>
      <w:marLeft w:val="0"/>
      <w:marRight w:val="0"/>
      <w:marTop w:val="0"/>
      <w:marBottom w:val="0"/>
      <w:divBdr>
        <w:top w:val="none" w:sz="0" w:space="0" w:color="auto"/>
        <w:left w:val="none" w:sz="0" w:space="0" w:color="auto"/>
        <w:bottom w:val="none" w:sz="0" w:space="0" w:color="auto"/>
        <w:right w:val="none" w:sz="0" w:space="0" w:color="auto"/>
      </w:divBdr>
    </w:div>
    <w:div w:id="1257637186">
      <w:bodyDiv w:val="1"/>
      <w:marLeft w:val="0"/>
      <w:marRight w:val="0"/>
      <w:marTop w:val="0"/>
      <w:marBottom w:val="0"/>
      <w:divBdr>
        <w:top w:val="none" w:sz="0" w:space="0" w:color="auto"/>
        <w:left w:val="none" w:sz="0" w:space="0" w:color="auto"/>
        <w:bottom w:val="none" w:sz="0" w:space="0" w:color="auto"/>
        <w:right w:val="none" w:sz="0" w:space="0" w:color="auto"/>
      </w:divBdr>
      <w:divsChild>
        <w:div w:id="1698312421">
          <w:marLeft w:val="0"/>
          <w:marRight w:val="0"/>
          <w:marTop w:val="0"/>
          <w:marBottom w:val="0"/>
          <w:divBdr>
            <w:top w:val="none" w:sz="0" w:space="0" w:color="auto"/>
            <w:left w:val="none" w:sz="0" w:space="0" w:color="auto"/>
            <w:bottom w:val="none" w:sz="0" w:space="0" w:color="auto"/>
            <w:right w:val="none" w:sz="0" w:space="0" w:color="auto"/>
          </w:divBdr>
        </w:div>
        <w:div w:id="1179734814">
          <w:marLeft w:val="0"/>
          <w:marRight w:val="0"/>
          <w:marTop w:val="0"/>
          <w:marBottom w:val="0"/>
          <w:divBdr>
            <w:top w:val="none" w:sz="0" w:space="0" w:color="auto"/>
            <w:left w:val="none" w:sz="0" w:space="0" w:color="auto"/>
            <w:bottom w:val="none" w:sz="0" w:space="0" w:color="auto"/>
            <w:right w:val="none" w:sz="0" w:space="0" w:color="auto"/>
          </w:divBdr>
        </w:div>
      </w:divsChild>
    </w:div>
    <w:div w:id="1285310493">
      <w:bodyDiv w:val="1"/>
      <w:marLeft w:val="0"/>
      <w:marRight w:val="0"/>
      <w:marTop w:val="0"/>
      <w:marBottom w:val="0"/>
      <w:divBdr>
        <w:top w:val="none" w:sz="0" w:space="0" w:color="auto"/>
        <w:left w:val="none" w:sz="0" w:space="0" w:color="auto"/>
        <w:bottom w:val="none" w:sz="0" w:space="0" w:color="auto"/>
        <w:right w:val="none" w:sz="0" w:space="0" w:color="auto"/>
      </w:divBdr>
    </w:div>
    <w:div w:id="1467163233">
      <w:bodyDiv w:val="1"/>
      <w:marLeft w:val="0"/>
      <w:marRight w:val="0"/>
      <w:marTop w:val="0"/>
      <w:marBottom w:val="0"/>
      <w:divBdr>
        <w:top w:val="none" w:sz="0" w:space="0" w:color="auto"/>
        <w:left w:val="none" w:sz="0" w:space="0" w:color="auto"/>
        <w:bottom w:val="none" w:sz="0" w:space="0" w:color="auto"/>
        <w:right w:val="none" w:sz="0" w:space="0" w:color="auto"/>
      </w:divBdr>
    </w:div>
    <w:div w:id="1654140121">
      <w:bodyDiv w:val="1"/>
      <w:marLeft w:val="0"/>
      <w:marRight w:val="0"/>
      <w:marTop w:val="0"/>
      <w:marBottom w:val="0"/>
      <w:divBdr>
        <w:top w:val="none" w:sz="0" w:space="0" w:color="auto"/>
        <w:left w:val="none" w:sz="0" w:space="0" w:color="auto"/>
        <w:bottom w:val="none" w:sz="0" w:space="0" w:color="auto"/>
        <w:right w:val="none" w:sz="0" w:space="0" w:color="auto"/>
      </w:divBdr>
    </w:div>
    <w:div w:id="1853686758">
      <w:bodyDiv w:val="1"/>
      <w:marLeft w:val="0"/>
      <w:marRight w:val="0"/>
      <w:marTop w:val="0"/>
      <w:marBottom w:val="0"/>
      <w:divBdr>
        <w:top w:val="none" w:sz="0" w:space="0" w:color="auto"/>
        <w:left w:val="none" w:sz="0" w:space="0" w:color="auto"/>
        <w:bottom w:val="none" w:sz="0" w:space="0" w:color="auto"/>
        <w:right w:val="none" w:sz="0" w:space="0" w:color="auto"/>
      </w:divBdr>
    </w:div>
    <w:div w:id="1865900818">
      <w:bodyDiv w:val="1"/>
      <w:marLeft w:val="0"/>
      <w:marRight w:val="0"/>
      <w:marTop w:val="0"/>
      <w:marBottom w:val="0"/>
      <w:divBdr>
        <w:top w:val="none" w:sz="0" w:space="0" w:color="auto"/>
        <w:left w:val="none" w:sz="0" w:space="0" w:color="auto"/>
        <w:bottom w:val="none" w:sz="0" w:space="0" w:color="auto"/>
        <w:right w:val="none" w:sz="0" w:space="0" w:color="auto"/>
      </w:divBdr>
    </w:div>
    <w:div w:id="20176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file/z1378-15" TargetMode="External"/><Relationship Id="rId3" Type="http://schemas.openxmlformats.org/officeDocument/2006/relationships/settings" Target="settings.xml"/><Relationship Id="rId7" Type="http://schemas.openxmlformats.org/officeDocument/2006/relationships/hyperlink" Target="http://zakon.rada.gov.ua/laws/file/z1378-1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zakon.rada.gov.ua/laws/show/z1378-15"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BDACE-4575-408D-9858-95A64AEF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5</Pages>
  <Words>7432</Words>
  <Characters>4237</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Людмила Кулаковська</cp:lastModifiedBy>
  <cp:revision>47</cp:revision>
  <cp:lastPrinted>2022-11-23T17:16:00Z</cp:lastPrinted>
  <dcterms:created xsi:type="dcterms:W3CDTF">2022-11-23T14:48:00Z</dcterms:created>
  <dcterms:modified xsi:type="dcterms:W3CDTF">2023-04-25T10:51:00Z</dcterms:modified>
</cp:coreProperties>
</file>