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733EC" w14:textId="77777777" w:rsidR="00211161" w:rsidRPr="003A60C0" w:rsidRDefault="00343122" w:rsidP="00211161">
      <w:pPr>
        <w:spacing w:after="0"/>
        <w:jc w:val="center"/>
        <w:rPr>
          <w:rFonts w:ascii="Times New Roman" w:hAnsi="Times New Roman" w:cs="Times New Roman"/>
          <w:b/>
          <w:bCs/>
          <w:sz w:val="26"/>
          <w:szCs w:val="26"/>
          <w:lang w:val="uk"/>
        </w:rPr>
      </w:pPr>
      <w:bookmarkStart w:id="0" w:name="_Hlk128477235"/>
      <w:bookmarkStart w:id="1" w:name="_GoBack"/>
      <w:bookmarkEnd w:id="1"/>
      <w:r w:rsidRPr="003A60C0">
        <w:rPr>
          <w:rFonts w:ascii="Times New Roman" w:hAnsi="Times New Roman" w:cs="Times New Roman"/>
          <w:b/>
          <w:bCs/>
          <w:sz w:val="26"/>
          <w:szCs w:val="26"/>
          <w:lang w:val="uk"/>
        </w:rPr>
        <w:t xml:space="preserve">Порівняльна таблиця до </w:t>
      </w:r>
      <w:proofErr w:type="spellStart"/>
      <w:r w:rsidR="00170E50" w:rsidRPr="003A60C0">
        <w:rPr>
          <w:rFonts w:ascii="Times New Roman" w:hAnsi="Times New Roman" w:cs="Times New Roman"/>
          <w:b/>
          <w:bCs/>
          <w:sz w:val="26"/>
          <w:szCs w:val="26"/>
          <w:lang w:val="uk"/>
        </w:rPr>
        <w:t>проєкту</w:t>
      </w:r>
      <w:proofErr w:type="spellEnd"/>
      <w:r w:rsidR="00170E50" w:rsidRPr="003A60C0">
        <w:rPr>
          <w:rFonts w:ascii="Times New Roman" w:hAnsi="Times New Roman" w:cs="Times New Roman"/>
          <w:b/>
          <w:bCs/>
          <w:sz w:val="26"/>
          <w:szCs w:val="26"/>
          <w:lang w:val="uk"/>
        </w:rPr>
        <w:t xml:space="preserve"> Закону України </w:t>
      </w:r>
    </w:p>
    <w:p w14:paraId="1061EABE" w14:textId="317D6A8B" w:rsidR="00343122" w:rsidRPr="003A60C0" w:rsidRDefault="00170E50" w:rsidP="00211161">
      <w:pPr>
        <w:spacing w:after="0"/>
        <w:jc w:val="center"/>
        <w:rPr>
          <w:rFonts w:ascii="Times New Roman" w:hAnsi="Times New Roman" w:cs="Times New Roman"/>
          <w:b/>
          <w:bCs/>
          <w:sz w:val="26"/>
          <w:szCs w:val="26"/>
          <w:lang w:val="uk"/>
        </w:rPr>
      </w:pPr>
      <w:r w:rsidRPr="003A60C0">
        <w:rPr>
          <w:rFonts w:ascii="Times New Roman" w:hAnsi="Times New Roman" w:cs="Times New Roman"/>
          <w:b/>
          <w:bCs/>
          <w:sz w:val="26"/>
          <w:szCs w:val="26"/>
          <w:lang w:val="uk"/>
        </w:rPr>
        <w:t>«Про внесення змін до Закону України «Про ринок електричної енергії» в частині врегулювання окремих питань проведення спільних аукціонів з розподілу пропускної спроможності міждержавних перетинів»</w:t>
      </w:r>
    </w:p>
    <w:p w14:paraId="336D282B" w14:textId="77777777" w:rsidR="00211161" w:rsidRPr="001349FA" w:rsidRDefault="00211161" w:rsidP="003A60C0">
      <w:pPr>
        <w:spacing w:before="120" w:after="0"/>
        <w:jc w:val="center"/>
        <w:rPr>
          <w:rFonts w:ascii="Times New Roman" w:hAnsi="Times New Roman" w:cs="Times New Roman"/>
          <w:b/>
          <w:bCs/>
          <w:sz w:val="24"/>
          <w:szCs w:val="24"/>
        </w:rPr>
      </w:pPr>
    </w:p>
    <w:tbl>
      <w:tblPr>
        <w:tblStyle w:val="a3"/>
        <w:tblpPr w:leftFromText="180" w:rightFromText="180" w:vertAnchor="text" w:tblpY="1"/>
        <w:tblOverlap w:val="never"/>
        <w:tblW w:w="15304" w:type="dxa"/>
        <w:tblLook w:val="04A0" w:firstRow="1" w:lastRow="0" w:firstColumn="1" w:lastColumn="0" w:noHBand="0" w:noVBand="1"/>
      </w:tblPr>
      <w:tblGrid>
        <w:gridCol w:w="7652"/>
        <w:gridCol w:w="7652"/>
      </w:tblGrid>
      <w:tr w:rsidR="00254925" w:rsidRPr="00211161" w14:paraId="677BE0D7" w14:textId="77777777" w:rsidTr="003A60C0">
        <w:tc>
          <w:tcPr>
            <w:tcW w:w="7652" w:type="dxa"/>
          </w:tcPr>
          <w:bookmarkEnd w:id="0"/>
          <w:p w14:paraId="17772AC1" w14:textId="3BE17CC2" w:rsidR="00254925" w:rsidRPr="00211161" w:rsidRDefault="003A60C0" w:rsidP="003A60C0">
            <w:pPr>
              <w:spacing w:before="120"/>
              <w:ind w:firstLine="313"/>
              <w:jc w:val="center"/>
              <w:rPr>
                <w:rFonts w:ascii="Times New Roman" w:hAnsi="Times New Roman" w:cs="Times New Roman"/>
                <w:b/>
                <w:bCs/>
                <w:sz w:val="24"/>
                <w:szCs w:val="24"/>
              </w:rPr>
            </w:pPr>
            <w:r w:rsidRPr="003A60C0">
              <w:rPr>
                <w:rFonts w:ascii="Times New Roman" w:hAnsi="Times New Roman" w:cs="Times New Roman"/>
                <w:b/>
                <w:bCs/>
                <w:sz w:val="24"/>
                <w:szCs w:val="24"/>
                <w:lang w:val="uk"/>
              </w:rPr>
              <w:t>Зміст положення акта законодавства</w:t>
            </w:r>
          </w:p>
        </w:tc>
        <w:tc>
          <w:tcPr>
            <w:tcW w:w="7652" w:type="dxa"/>
          </w:tcPr>
          <w:p w14:paraId="51AFFCA3" w14:textId="2E8E8F1A" w:rsidR="00254925" w:rsidRPr="00211161" w:rsidRDefault="003A60C0" w:rsidP="003A60C0">
            <w:pPr>
              <w:spacing w:before="120"/>
              <w:ind w:firstLine="315"/>
              <w:jc w:val="center"/>
              <w:rPr>
                <w:rFonts w:ascii="Times New Roman" w:hAnsi="Times New Roman" w:cs="Times New Roman"/>
                <w:b/>
                <w:bCs/>
                <w:sz w:val="24"/>
                <w:szCs w:val="24"/>
              </w:rPr>
            </w:pPr>
            <w:r w:rsidRPr="003A60C0">
              <w:rPr>
                <w:rFonts w:ascii="Times New Roman" w:hAnsi="Times New Roman" w:cs="Times New Roman"/>
                <w:b/>
                <w:bCs/>
                <w:sz w:val="24"/>
                <w:szCs w:val="24"/>
                <w:lang w:val="uk"/>
              </w:rPr>
              <w:t>Зміст відповідного положення проекту акта</w:t>
            </w:r>
          </w:p>
        </w:tc>
      </w:tr>
      <w:tr w:rsidR="004852B5" w:rsidRPr="00211161" w14:paraId="00ECB4C1" w14:textId="77777777" w:rsidTr="003A60C0">
        <w:tc>
          <w:tcPr>
            <w:tcW w:w="15304" w:type="dxa"/>
            <w:gridSpan w:val="2"/>
          </w:tcPr>
          <w:p w14:paraId="166D79F7" w14:textId="77777777" w:rsidR="004852B5" w:rsidRPr="00211161" w:rsidRDefault="004852B5" w:rsidP="003A60C0">
            <w:pPr>
              <w:ind w:firstLine="313"/>
              <w:jc w:val="center"/>
              <w:rPr>
                <w:rFonts w:ascii="Times New Roman" w:hAnsi="Times New Roman" w:cs="Times New Roman"/>
                <w:b/>
                <w:bCs/>
                <w:sz w:val="24"/>
                <w:szCs w:val="24"/>
              </w:rPr>
            </w:pPr>
            <w:r w:rsidRPr="00211161">
              <w:rPr>
                <w:rFonts w:ascii="Times New Roman" w:hAnsi="Times New Roman" w:cs="Times New Roman"/>
                <w:b/>
                <w:bCs/>
                <w:sz w:val="24"/>
                <w:szCs w:val="24"/>
                <w:lang w:val="uk"/>
              </w:rPr>
              <w:t>Стаття 1.</w:t>
            </w:r>
            <w:r w:rsidRPr="00211161">
              <w:rPr>
                <w:rFonts w:ascii="Times New Roman" w:hAnsi="Times New Roman" w:cs="Times New Roman"/>
                <w:sz w:val="24"/>
                <w:szCs w:val="24"/>
                <w:lang w:val="uk"/>
              </w:rPr>
              <w:t xml:space="preserve"> Визначення термінів</w:t>
            </w:r>
          </w:p>
        </w:tc>
      </w:tr>
      <w:tr w:rsidR="00254925" w:rsidRPr="00211161" w14:paraId="64B527AF" w14:textId="77777777" w:rsidTr="003A60C0">
        <w:tc>
          <w:tcPr>
            <w:tcW w:w="7652" w:type="dxa"/>
          </w:tcPr>
          <w:p w14:paraId="311EAD25" w14:textId="0A864C1C" w:rsidR="00BC2336" w:rsidRDefault="00BC2336" w:rsidP="003A60C0">
            <w:pPr>
              <w:spacing w:before="120"/>
              <w:ind w:firstLine="313"/>
              <w:jc w:val="both"/>
              <w:rPr>
                <w:rFonts w:ascii="Times New Roman" w:hAnsi="Times New Roman" w:cs="Times New Roman"/>
                <w:sz w:val="24"/>
                <w:szCs w:val="24"/>
                <w:shd w:val="clear" w:color="auto" w:fill="FFFFFF"/>
                <w:lang w:val="uk"/>
              </w:rPr>
            </w:pPr>
            <w:r w:rsidRPr="00BC2336">
              <w:rPr>
                <w:rFonts w:ascii="Times New Roman" w:hAnsi="Times New Roman" w:cs="Times New Roman"/>
                <w:sz w:val="24"/>
                <w:szCs w:val="24"/>
                <w:shd w:val="clear" w:color="auto" w:fill="FFFFFF"/>
                <w:lang w:val="uk"/>
              </w:rPr>
              <w:t>1. У цьому Законі наведені нижче терміни вживаються в такому значенні:</w:t>
            </w:r>
          </w:p>
          <w:p w14:paraId="5F737EE2" w14:textId="77777777" w:rsidR="00BC2336" w:rsidRPr="00211161" w:rsidRDefault="00BC2336"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w:t>
            </w:r>
          </w:p>
          <w:p w14:paraId="13DEF030" w14:textId="28BABD2A" w:rsidR="00BC2336" w:rsidRPr="00211161" w:rsidRDefault="00254925" w:rsidP="003A60C0">
            <w:pPr>
              <w:spacing w:before="120"/>
              <w:ind w:firstLine="313"/>
              <w:jc w:val="both"/>
              <w:rPr>
                <w:rFonts w:ascii="Times New Roman" w:hAnsi="Times New Roman" w:cs="Times New Roman"/>
                <w:strike/>
                <w:sz w:val="24"/>
                <w:szCs w:val="24"/>
              </w:rPr>
            </w:pPr>
            <w:r w:rsidRPr="00211161">
              <w:rPr>
                <w:rFonts w:ascii="Times New Roman" w:hAnsi="Times New Roman" w:cs="Times New Roman"/>
                <w:strike/>
                <w:sz w:val="24"/>
                <w:szCs w:val="24"/>
                <w:shd w:val="clear" w:color="auto" w:fill="FFFFFF"/>
                <w:lang w:val="uk"/>
              </w:rPr>
              <w:t>13) вільна пропускна спроможність міждержавного перетину (далі - вільна пропускна спроможність) - доступна пропускна спроможність міждержавного перетину за вирахуванням розподіленої на аукціонах величини пропускної спроможності та пропускної спроможності, на яку не поширюється дія вимог </w:t>
            </w:r>
            <w:hyperlink r:id="rId8" w:anchor="n819" w:history="1">
              <w:r w:rsidRPr="00211161">
                <w:rPr>
                  <w:rStyle w:val="a4"/>
                  <w:rFonts w:ascii="Times New Roman" w:hAnsi="Times New Roman" w:cs="Times New Roman"/>
                  <w:strike/>
                  <w:color w:val="auto"/>
                  <w:sz w:val="24"/>
                  <w:szCs w:val="24"/>
                  <w:shd w:val="clear" w:color="auto" w:fill="FFFFFF"/>
                  <w:lang w:val="uk"/>
                </w:rPr>
                <w:t>статей 38</w:t>
              </w:r>
            </w:hyperlink>
            <w:r w:rsidRPr="00211161">
              <w:rPr>
                <w:rFonts w:ascii="Times New Roman" w:hAnsi="Times New Roman" w:cs="Times New Roman"/>
                <w:strike/>
                <w:sz w:val="24"/>
                <w:szCs w:val="24"/>
                <w:shd w:val="clear" w:color="auto" w:fill="FFFFFF"/>
                <w:lang w:val="uk"/>
              </w:rPr>
              <w:t>, </w:t>
            </w:r>
            <w:hyperlink r:id="rId9" w:anchor="n836" w:history="1">
              <w:r w:rsidRPr="00211161">
                <w:rPr>
                  <w:rStyle w:val="a4"/>
                  <w:rFonts w:ascii="Times New Roman" w:hAnsi="Times New Roman" w:cs="Times New Roman"/>
                  <w:strike/>
                  <w:color w:val="auto"/>
                  <w:sz w:val="24"/>
                  <w:szCs w:val="24"/>
                  <w:shd w:val="clear" w:color="auto" w:fill="FFFFFF"/>
                  <w:lang w:val="uk"/>
                </w:rPr>
                <w:t>39</w:t>
              </w:r>
            </w:hyperlink>
            <w:r w:rsidRPr="00211161">
              <w:rPr>
                <w:rFonts w:ascii="Times New Roman" w:hAnsi="Times New Roman" w:cs="Times New Roman"/>
                <w:strike/>
                <w:sz w:val="24"/>
                <w:szCs w:val="24"/>
                <w:shd w:val="clear" w:color="auto" w:fill="FFFFFF"/>
                <w:lang w:val="uk"/>
              </w:rPr>
              <w:t> цього Закону. У розрахунку добової вільної пропускної спроможності враховується невикористана величина пропускної спроможності, розподіленої на попередніх аукціонах;</w:t>
            </w:r>
          </w:p>
        </w:tc>
        <w:tc>
          <w:tcPr>
            <w:tcW w:w="7652" w:type="dxa"/>
          </w:tcPr>
          <w:p w14:paraId="3F0666ED" w14:textId="77777777" w:rsidR="001043F0" w:rsidRDefault="001043F0" w:rsidP="003A60C0">
            <w:pPr>
              <w:spacing w:before="120"/>
              <w:ind w:firstLine="313"/>
              <w:jc w:val="both"/>
              <w:rPr>
                <w:rFonts w:ascii="Times New Roman" w:hAnsi="Times New Roman" w:cs="Times New Roman"/>
                <w:sz w:val="24"/>
                <w:szCs w:val="24"/>
                <w:shd w:val="clear" w:color="auto" w:fill="FFFFFF"/>
                <w:lang w:val="uk"/>
              </w:rPr>
            </w:pPr>
            <w:r w:rsidRPr="00BC2336">
              <w:rPr>
                <w:rFonts w:ascii="Times New Roman" w:hAnsi="Times New Roman" w:cs="Times New Roman"/>
                <w:sz w:val="24"/>
                <w:szCs w:val="24"/>
                <w:shd w:val="clear" w:color="auto" w:fill="FFFFFF"/>
                <w:lang w:val="uk"/>
              </w:rPr>
              <w:t>1. У цьому Законі наведені нижче терміни вживаються в такому значенні:</w:t>
            </w:r>
          </w:p>
          <w:p w14:paraId="1B173BC8" w14:textId="77777777" w:rsidR="00BC2336" w:rsidRDefault="00BC2336" w:rsidP="003A60C0">
            <w:pPr>
              <w:spacing w:before="120"/>
              <w:ind w:firstLine="315"/>
              <w:jc w:val="both"/>
              <w:rPr>
                <w:rFonts w:ascii="Times New Roman" w:hAnsi="Times New Roman" w:cs="Times New Roman"/>
                <w:b/>
                <w:sz w:val="24"/>
                <w:szCs w:val="24"/>
              </w:rPr>
            </w:pPr>
          </w:p>
          <w:p w14:paraId="294F5D25" w14:textId="4992AD82" w:rsidR="00254925" w:rsidRPr="00211161" w:rsidRDefault="005058EF" w:rsidP="003A60C0">
            <w:pPr>
              <w:spacing w:before="120"/>
              <w:ind w:firstLine="315"/>
              <w:jc w:val="both"/>
              <w:rPr>
                <w:rFonts w:ascii="Times New Roman" w:hAnsi="Times New Roman" w:cs="Times New Roman"/>
                <w:b/>
                <w:sz w:val="24"/>
                <w:szCs w:val="24"/>
              </w:rPr>
            </w:pPr>
            <w:proofErr w:type="spellStart"/>
            <w:r w:rsidRPr="00211161">
              <w:rPr>
                <w:rFonts w:ascii="Times New Roman" w:hAnsi="Times New Roman" w:cs="Times New Roman"/>
                <w:b/>
                <w:sz w:val="24"/>
                <w:szCs w:val="24"/>
              </w:rPr>
              <w:t>Виключити</w:t>
            </w:r>
            <w:proofErr w:type="spellEnd"/>
            <w:r w:rsidRPr="00211161">
              <w:rPr>
                <w:rFonts w:ascii="Times New Roman" w:hAnsi="Times New Roman" w:cs="Times New Roman"/>
                <w:b/>
                <w:sz w:val="24"/>
                <w:szCs w:val="24"/>
              </w:rPr>
              <w:t xml:space="preserve"> </w:t>
            </w:r>
          </w:p>
        </w:tc>
      </w:tr>
      <w:tr w:rsidR="00254925" w:rsidRPr="00211161" w14:paraId="3CFBD12A" w14:textId="77777777" w:rsidTr="003A60C0">
        <w:tc>
          <w:tcPr>
            <w:tcW w:w="7652" w:type="dxa"/>
          </w:tcPr>
          <w:p w14:paraId="14C05D36" w14:textId="127B00C9" w:rsidR="00254925" w:rsidRPr="00211161" w:rsidRDefault="00254925"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16</w:t>
            </w:r>
            <w:r w:rsidRPr="00211161">
              <w:rPr>
                <w:rFonts w:ascii="Times New Roman" w:hAnsi="Times New Roman" w:cs="Times New Roman"/>
                <w:sz w:val="24"/>
                <w:szCs w:val="24"/>
                <w:vertAlign w:val="superscript"/>
                <w:lang w:val="uk"/>
              </w:rPr>
              <w:t>1</w:t>
            </w:r>
            <w:r w:rsidRPr="00211161">
              <w:rPr>
                <w:rFonts w:ascii="Times New Roman" w:hAnsi="Times New Roman" w:cs="Times New Roman"/>
                <w:sz w:val="24"/>
                <w:szCs w:val="24"/>
                <w:lang w:val="uk"/>
              </w:rPr>
              <w:t xml:space="preserve">) гарантованість </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гарантія того, що надане фізичне право на використання міждержавного перетину залишиться доступним для використання і що відшкодування буде </w:t>
            </w:r>
            <w:proofErr w:type="spellStart"/>
            <w:r w:rsidRPr="00211161">
              <w:rPr>
                <w:rFonts w:ascii="Times New Roman" w:hAnsi="Times New Roman" w:cs="Times New Roman"/>
                <w:sz w:val="24"/>
                <w:szCs w:val="24"/>
                <w:lang w:val="uk"/>
              </w:rPr>
              <w:t>виплачено</w:t>
            </w:r>
            <w:proofErr w:type="spellEnd"/>
            <w:r w:rsidRPr="00211161">
              <w:rPr>
                <w:rFonts w:ascii="Times New Roman" w:hAnsi="Times New Roman" w:cs="Times New Roman"/>
                <w:sz w:val="24"/>
                <w:szCs w:val="24"/>
                <w:lang w:val="uk"/>
              </w:rPr>
              <w:t xml:space="preserve"> відповідно до </w:t>
            </w:r>
            <w:r w:rsidRPr="00211161">
              <w:rPr>
                <w:rFonts w:ascii="Times New Roman" w:hAnsi="Times New Roman" w:cs="Times New Roman"/>
                <w:b/>
                <w:bCs/>
                <w:sz w:val="24"/>
                <w:szCs w:val="24"/>
                <w:lang w:val="uk"/>
              </w:rPr>
              <w:t>порядку</w:t>
            </w:r>
            <w:r w:rsidRPr="00211161">
              <w:rPr>
                <w:rFonts w:ascii="Times New Roman" w:hAnsi="Times New Roman" w:cs="Times New Roman"/>
                <w:sz w:val="24"/>
                <w:szCs w:val="24"/>
                <w:lang w:val="uk"/>
              </w:rPr>
              <w:t xml:space="preserve"> розподілу пропускної спроможності міждержавних перетинів, якщо таке право буде зменшено;</w:t>
            </w:r>
          </w:p>
        </w:tc>
        <w:tc>
          <w:tcPr>
            <w:tcW w:w="7652" w:type="dxa"/>
          </w:tcPr>
          <w:p w14:paraId="32C4A507" w14:textId="13D9DBB7" w:rsidR="00BC2336"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t>1</w:t>
            </w:r>
            <w:r w:rsidR="00D95EBD" w:rsidRPr="00211161">
              <w:rPr>
                <w:rFonts w:ascii="Times New Roman" w:hAnsi="Times New Roman" w:cs="Times New Roman"/>
                <w:sz w:val="24"/>
                <w:szCs w:val="24"/>
                <w:lang w:val="uk"/>
              </w:rPr>
              <w:t>5</w:t>
            </w:r>
            <w:r w:rsidRPr="00211161">
              <w:rPr>
                <w:rFonts w:ascii="Times New Roman" w:hAnsi="Times New Roman" w:cs="Times New Roman"/>
                <w:sz w:val="24"/>
                <w:szCs w:val="24"/>
                <w:vertAlign w:val="superscript"/>
                <w:lang w:val="uk"/>
              </w:rPr>
              <w:t>1</w:t>
            </w:r>
            <w:r w:rsidRPr="00211161">
              <w:rPr>
                <w:rFonts w:ascii="Times New Roman" w:hAnsi="Times New Roman" w:cs="Times New Roman"/>
                <w:sz w:val="24"/>
                <w:szCs w:val="24"/>
                <w:lang w:val="uk"/>
              </w:rPr>
              <w:t xml:space="preserve">) гарантованість </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гарантія того, що надане фізичне право на використання міждержавного перетину залишиться доступним для використання і що відшкодування буде </w:t>
            </w:r>
            <w:proofErr w:type="spellStart"/>
            <w:r w:rsidRPr="00211161">
              <w:rPr>
                <w:rFonts w:ascii="Times New Roman" w:hAnsi="Times New Roman" w:cs="Times New Roman"/>
                <w:sz w:val="24"/>
                <w:szCs w:val="24"/>
                <w:lang w:val="uk"/>
              </w:rPr>
              <w:t>виплачено</w:t>
            </w:r>
            <w:proofErr w:type="spellEnd"/>
            <w:r w:rsidRPr="00211161">
              <w:rPr>
                <w:rFonts w:ascii="Times New Roman" w:hAnsi="Times New Roman" w:cs="Times New Roman"/>
                <w:sz w:val="24"/>
                <w:szCs w:val="24"/>
                <w:lang w:val="uk"/>
              </w:rPr>
              <w:t xml:space="preserve"> відповідно до </w:t>
            </w:r>
            <w:r w:rsidRPr="00211161">
              <w:rPr>
                <w:rFonts w:ascii="Times New Roman" w:hAnsi="Times New Roman" w:cs="Times New Roman"/>
                <w:b/>
                <w:bCs/>
                <w:sz w:val="24"/>
                <w:szCs w:val="24"/>
                <w:lang w:val="uk"/>
              </w:rPr>
              <w:t>правил</w:t>
            </w:r>
            <w:r w:rsidRPr="00211161">
              <w:rPr>
                <w:rFonts w:ascii="Times New Roman" w:hAnsi="Times New Roman" w:cs="Times New Roman"/>
                <w:sz w:val="24"/>
                <w:szCs w:val="24"/>
                <w:lang w:val="uk"/>
              </w:rPr>
              <w:t xml:space="preserve"> розподілу пропускної спроможності міждержавних перетинів, якщо таке право буде зменшено;</w:t>
            </w:r>
          </w:p>
        </w:tc>
      </w:tr>
      <w:tr w:rsidR="00D95EBD" w:rsidRPr="00211161" w14:paraId="73CA8875" w14:textId="77777777" w:rsidTr="003A60C0">
        <w:tc>
          <w:tcPr>
            <w:tcW w:w="7652" w:type="dxa"/>
          </w:tcPr>
          <w:p w14:paraId="595F4348" w14:textId="4B0CA1B8" w:rsidR="00D95EBD" w:rsidRPr="00211161" w:rsidRDefault="00D95EBD" w:rsidP="003A60C0">
            <w:pPr>
              <w:spacing w:before="120"/>
              <w:ind w:firstLine="313"/>
              <w:jc w:val="both"/>
              <w:rPr>
                <w:rFonts w:ascii="Times New Roman" w:hAnsi="Times New Roman" w:cs="Times New Roman"/>
                <w:b/>
                <w:sz w:val="24"/>
                <w:szCs w:val="24"/>
                <w:lang w:val="uk"/>
              </w:rPr>
            </w:pPr>
            <w:r w:rsidRPr="00211161">
              <w:rPr>
                <w:rFonts w:ascii="Times New Roman" w:hAnsi="Times New Roman" w:cs="Times New Roman"/>
                <w:b/>
                <w:sz w:val="24"/>
                <w:szCs w:val="24"/>
                <w:lang w:val="uk"/>
              </w:rPr>
              <w:t>Положення відсутнє</w:t>
            </w:r>
          </w:p>
        </w:tc>
        <w:tc>
          <w:tcPr>
            <w:tcW w:w="7652" w:type="dxa"/>
          </w:tcPr>
          <w:p w14:paraId="36A50556" w14:textId="27CEB3E7" w:rsidR="00BC2336" w:rsidRPr="00211161" w:rsidRDefault="00A7533C" w:rsidP="003A60C0">
            <w:pPr>
              <w:spacing w:before="120"/>
              <w:ind w:firstLine="315"/>
              <w:jc w:val="both"/>
              <w:rPr>
                <w:rFonts w:ascii="Times New Roman" w:hAnsi="Times New Roman" w:cs="Times New Roman"/>
                <w:b/>
                <w:bCs/>
                <w:sz w:val="24"/>
                <w:szCs w:val="24"/>
                <w:shd w:val="clear" w:color="auto" w:fill="FFFFFF"/>
              </w:rPr>
            </w:pPr>
            <w:r w:rsidRPr="00211161">
              <w:rPr>
                <w:rFonts w:ascii="Times New Roman" w:hAnsi="Times New Roman" w:cs="Times New Roman"/>
                <w:b/>
                <w:sz w:val="24"/>
                <w:szCs w:val="24"/>
                <w:shd w:val="clear" w:color="auto" w:fill="FFFFFF"/>
              </w:rPr>
              <w:t>70</w:t>
            </w:r>
            <w:r w:rsidR="00D95EBD" w:rsidRPr="00211161">
              <w:rPr>
                <w:rFonts w:ascii="Times New Roman" w:hAnsi="Times New Roman" w:cs="Times New Roman"/>
                <w:b/>
                <w:sz w:val="24"/>
                <w:szCs w:val="24"/>
                <w:shd w:val="clear" w:color="auto" w:fill="FFFFFF"/>
                <w:lang w:val="uk"/>
              </w:rPr>
              <w:t xml:space="preserve">) </w:t>
            </w:r>
            <w:r w:rsidR="005C060A" w:rsidRPr="005C060A">
              <w:rPr>
                <w:rFonts w:ascii="Times New Roman" w:hAnsi="Times New Roman" w:cs="Times New Roman"/>
                <w:b/>
                <w:bCs/>
                <w:sz w:val="24"/>
                <w:szCs w:val="24"/>
                <w:shd w:val="clear" w:color="auto" w:fill="FFFFFF"/>
                <w:lang w:val="uk"/>
              </w:rPr>
              <w:t xml:space="preserve">пропонована пропускна спроможність міждержавного перетину (далі </w:t>
            </w:r>
            <w:r w:rsidR="007E7E03">
              <w:rPr>
                <w:rFonts w:ascii="Times New Roman" w:hAnsi="Times New Roman" w:cs="Times New Roman"/>
                <w:b/>
                <w:bCs/>
                <w:sz w:val="24"/>
                <w:szCs w:val="24"/>
                <w:shd w:val="clear" w:color="auto" w:fill="FFFFFF"/>
                <w:lang w:val="uk"/>
              </w:rPr>
              <w:t>–</w:t>
            </w:r>
            <w:r w:rsidR="007E7E03" w:rsidRPr="005C060A">
              <w:rPr>
                <w:rFonts w:ascii="Times New Roman" w:hAnsi="Times New Roman" w:cs="Times New Roman"/>
                <w:b/>
                <w:bCs/>
                <w:sz w:val="24"/>
                <w:szCs w:val="24"/>
                <w:shd w:val="clear" w:color="auto" w:fill="FFFFFF"/>
                <w:lang w:val="uk"/>
              </w:rPr>
              <w:t xml:space="preserve"> </w:t>
            </w:r>
            <w:r w:rsidR="005C060A" w:rsidRPr="005C060A">
              <w:rPr>
                <w:rFonts w:ascii="Times New Roman" w:hAnsi="Times New Roman" w:cs="Times New Roman"/>
                <w:b/>
                <w:bCs/>
                <w:sz w:val="24"/>
                <w:szCs w:val="24"/>
                <w:shd w:val="clear" w:color="auto" w:fill="FFFFFF"/>
                <w:lang w:val="uk"/>
              </w:rPr>
              <w:t>пропонована пропускна спроможність) – величина пропускної спроможності міждержавного перетину, що пропонується для розподілу на відповідному аукціоні</w:t>
            </w:r>
            <w:r w:rsidR="00D95EBD" w:rsidRPr="00211161">
              <w:rPr>
                <w:rFonts w:ascii="Times New Roman" w:hAnsi="Times New Roman" w:cs="Times New Roman"/>
                <w:b/>
                <w:bCs/>
                <w:sz w:val="24"/>
                <w:szCs w:val="24"/>
                <w:shd w:val="clear" w:color="auto" w:fill="FFFFFF"/>
                <w:lang w:val="uk"/>
              </w:rPr>
              <w:t>;</w:t>
            </w:r>
          </w:p>
        </w:tc>
      </w:tr>
      <w:tr w:rsidR="00254925" w:rsidRPr="00211161" w14:paraId="64B1C014" w14:textId="77777777" w:rsidTr="003A60C0">
        <w:tc>
          <w:tcPr>
            <w:tcW w:w="7652" w:type="dxa"/>
          </w:tcPr>
          <w:p w14:paraId="23940702" w14:textId="6E391905" w:rsidR="00254925" w:rsidRPr="00211161" w:rsidRDefault="00254925" w:rsidP="003A60C0">
            <w:pPr>
              <w:spacing w:before="120"/>
              <w:ind w:firstLine="313"/>
              <w:jc w:val="both"/>
              <w:rPr>
                <w:rFonts w:ascii="Times New Roman" w:hAnsi="Times New Roman" w:cs="Times New Roman"/>
                <w:sz w:val="24"/>
                <w:szCs w:val="24"/>
                <w:lang w:val="uk-UA"/>
              </w:rPr>
            </w:pPr>
            <w:r w:rsidRPr="00211161">
              <w:rPr>
                <w:rFonts w:ascii="Times New Roman" w:hAnsi="Times New Roman" w:cs="Times New Roman"/>
                <w:sz w:val="24"/>
                <w:szCs w:val="24"/>
                <w:lang w:val="uk"/>
              </w:rPr>
              <w:t>96</w:t>
            </w:r>
            <w:r w:rsidRPr="00211161">
              <w:rPr>
                <w:rFonts w:ascii="Times New Roman" w:hAnsi="Times New Roman" w:cs="Times New Roman"/>
                <w:sz w:val="24"/>
                <w:szCs w:val="24"/>
                <w:vertAlign w:val="superscript"/>
                <w:lang w:val="uk"/>
              </w:rPr>
              <w:t>2</w:t>
            </w:r>
            <w:r w:rsidRPr="00211161">
              <w:rPr>
                <w:rFonts w:ascii="Times New Roman" w:hAnsi="Times New Roman" w:cs="Times New Roman"/>
                <w:sz w:val="24"/>
                <w:szCs w:val="24"/>
                <w:lang w:val="uk"/>
              </w:rPr>
              <w:t xml:space="preserve">) зареєстрований учасник </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суб’єкт господарювання, </w:t>
            </w:r>
            <w:r w:rsidR="007E7E03">
              <w:rPr>
                <w:rFonts w:ascii="Times New Roman" w:hAnsi="Times New Roman" w:cs="Times New Roman"/>
                <w:sz w:val="24"/>
                <w:szCs w:val="24"/>
                <w:lang w:val="uk"/>
              </w:rPr>
              <w:t>у</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тому числі нерезидент, який відповідає вимогам, визначеним </w:t>
            </w:r>
            <w:r w:rsidRPr="00211161">
              <w:rPr>
                <w:rFonts w:ascii="Times New Roman" w:hAnsi="Times New Roman" w:cs="Times New Roman"/>
                <w:b/>
                <w:bCs/>
                <w:sz w:val="24"/>
                <w:szCs w:val="24"/>
                <w:lang w:val="uk"/>
              </w:rPr>
              <w:t>порядком</w:t>
            </w:r>
            <w:r w:rsidRPr="00211161">
              <w:rPr>
                <w:rFonts w:ascii="Times New Roman" w:hAnsi="Times New Roman" w:cs="Times New Roman"/>
                <w:sz w:val="24"/>
                <w:szCs w:val="24"/>
                <w:lang w:val="uk"/>
              </w:rPr>
              <w:t xml:space="preserve"> розподілу пропускної спроможності міждержавних перетинів, та уклав договір про участь у розподілі пропускної спроможності з аукціонним офісом;</w:t>
            </w:r>
          </w:p>
        </w:tc>
        <w:tc>
          <w:tcPr>
            <w:tcW w:w="7652" w:type="dxa"/>
          </w:tcPr>
          <w:p w14:paraId="5364FFAF" w14:textId="4F0D3E38" w:rsidR="001043F0" w:rsidRPr="00211161" w:rsidRDefault="00254925" w:rsidP="003A60C0">
            <w:pPr>
              <w:spacing w:before="120"/>
              <w:ind w:firstLine="315"/>
              <w:jc w:val="both"/>
              <w:rPr>
                <w:rFonts w:ascii="Times New Roman" w:hAnsi="Times New Roman" w:cs="Times New Roman"/>
                <w:sz w:val="24"/>
                <w:szCs w:val="24"/>
                <w:lang w:val="uk-UA"/>
              </w:rPr>
            </w:pPr>
            <w:r w:rsidRPr="00211161">
              <w:rPr>
                <w:rFonts w:ascii="Times New Roman" w:hAnsi="Times New Roman" w:cs="Times New Roman"/>
                <w:sz w:val="24"/>
                <w:szCs w:val="24"/>
                <w:lang w:val="uk"/>
              </w:rPr>
              <w:t>96</w:t>
            </w:r>
            <w:r w:rsidR="00D95EBD" w:rsidRPr="00211161">
              <w:rPr>
                <w:rFonts w:ascii="Times New Roman" w:hAnsi="Times New Roman" w:cs="Times New Roman"/>
                <w:sz w:val="24"/>
                <w:szCs w:val="24"/>
                <w:vertAlign w:val="superscript"/>
                <w:lang w:val="uk"/>
              </w:rPr>
              <w:t>2</w:t>
            </w:r>
            <w:r w:rsidRPr="00211161">
              <w:rPr>
                <w:rFonts w:ascii="Times New Roman" w:hAnsi="Times New Roman" w:cs="Times New Roman"/>
                <w:sz w:val="24"/>
                <w:szCs w:val="24"/>
                <w:lang w:val="uk"/>
              </w:rPr>
              <w:t xml:space="preserve">) зареєстрований учасник </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суб’єкт господарювання, </w:t>
            </w:r>
            <w:r w:rsidR="007E7E03">
              <w:rPr>
                <w:rFonts w:ascii="Times New Roman" w:hAnsi="Times New Roman" w:cs="Times New Roman"/>
                <w:sz w:val="24"/>
                <w:szCs w:val="24"/>
                <w:lang w:val="uk"/>
              </w:rPr>
              <w:t>у</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тому числі нерезидент, який відповідає вимогам, визначеним </w:t>
            </w:r>
            <w:r w:rsidRPr="00211161">
              <w:rPr>
                <w:rFonts w:ascii="Times New Roman" w:hAnsi="Times New Roman" w:cs="Times New Roman"/>
                <w:b/>
                <w:bCs/>
                <w:sz w:val="24"/>
                <w:szCs w:val="24"/>
                <w:lang w:val="uk"/>
              </w:rPr>
              <w:t>правилами</w:t>
            </w:r>
            <w:r w:rsidRPr="00211161">
              <w:rPr>
                <w:rFonts w:ascii="Times New Roman" w:hAnsi="Times New Roman" w:cs="Times New Roman"/>
                <w:sz w:val="24"/>
                <w:szCs w:val="24"/>
                <w:lang w:val="uk"/>
              </w:rPr>
              <w:t xml:space="preserve"> розподілу пропускної спроможності міждержавних перетинів, та уклав договір про участь у розподілі пропускної спроможності з аукціонним офісом;</w:t>
            </w:r>
          </w:p>
        </w:tc>
      </w:tr>
      <w:tr w:rsidR="005058EF" w:rsidRPr="00211161" w14:paraId="07104F1A" w14:textId="77777777" w:rsidTr="003A60C0">
        <w:tc>
          <w:tcPr>
            <w:tcW w:w="15304" w:type="dxa"/>
            <w:gridSpan w:val="2"/>
          </w:tcPr>
          <w:p w14:paraId="57523035" w14:textId="183AD948" w:rsidR="005058EF" w:rsidRPr="00211161" w:rsidRDefault="005058EF" w:rsidP="003A60C0">
            <w:pPr>
              <w:spacing w:before="120"/>
              <w:ind w:firstLine="313"/>
              <w:jc w:val="center"/>
              <w:rPr>
                <w:rStyle w:val="rvts9"/>
                <w:rFonts w:ascii="Times New Roman" w:hAnsi="Times New Roman" w:cs="Times New Roman"/>
                <w:b/>
                <w:bCs/>
                <w:sz w:val="24"/>
                <w:szCs w:val="24"/>
                <w:shd w:val="clear" w:color="auto" w:fill="FFFFFF"/>
              </w:rPr>
            </w:pPr>
            <w:bookmarkStart w:id="2" w:name="n134"/>
            <w:bookmarkEnd w:id="2"/>
            <w:r w:rsidRPr="00211161">
              <w:rPr>
                <w:rStyle w:val="rvts9"/>
                <w:rFonts w:ascii="Times New Roman" w:hAnsi="Times New Roman" w:cs="Times New Roman"/>
                <w:b/>
                <w:bCs/>
                <w:iCs/>
                <w:sz w:val="24"/>
                <w:szCs w:val="24"/>
                <w:shd w:val="clear" w:color="auto" w:fill="FFFFFF"/>
                <w:lang w:val="uk"/>
              </w:rPr>
              <w:t>Стаття 6.</w:t>
            </w:r>
            <w:r w:rsidRPr="00211161">
              <w:rPr>
                <w:rFonts w:ascii="Times New Roman" w:hAnsi="Times New Roman" w:cs="Times New Roman"/>
                <w:iCs/>
                <w:sz w:val="24"/>
                <w:szCs w:val="24"/>
                <w:shd w:val="clear" w:color="auto" w:fill="FFFFFF"/>
                <w:lang w:val="uk"/>
              </w:rPr>
              <w:t> Державне регулювання ринку електричної енергії</w:t>
            </w:r>
          </w:p>
        </w:tc>
      </w:tr>
      <w:tr w:rsidR="00254925" w:rsidRPr="00211161" w14:paraId="65E488ED" w14:textId="77777777" w:rsidTr="003A60C0">
        <w:tc>
          <w:tcPr>
            <w:tcW w:w="7652" w:type="dxa"/>
          </w:tcPr>
          <w:p w14:paraId="17B756DD" w14:textId="77777777" w:rsidR="00254925" w:rsidRPr="00211161" w:rsidRDefault="00254925"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3. До повноважень Регулятора на ринку електричної енергії належать:</w:t>
            </w:r>
          </w:p>
          <w:p w14:paraId="7F1467B8" w14:textId="12D821BC" w:rsidR="00C21BE9" w:rsidRDefault="00254925"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sz w:val="24"/>
                <w:szCs w:val="24"/>
                <w:lang w:val="uk"/>
              </w:rPr>
              <w:lastRenderedPageBreak/>
              <w:t>(…)</w:t>
            </w:r>
          </w:p>
          <w:p w14:paraId="0F6D82F1" w14:textId="36588C26" w:rsidR="00254925" w:rsidRPr="00593941" w:rsidRDefault="00254925"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sz w:val="24"/>
                <w:szCs w:val="24"/>
                <w:lang w:val="uk"/>
              </w:rPr>
              <w:t xml:space="preserve">4) затвердження правил ринку, правил ринку </w:t>
            </w:r>
            <w:r w:rsidR="007E7E03">
              <w:rPr>
                <w:rFonts w:ascii="Times New Roman" w:hAnsi="Times New Roman" w:cs="Times New Roman"/>
                <w:sz w:val="24"/>
                <w:szCs w:val="24"/>
                <w:lang w:val="uk"/>
              </w:rPr>
              <w:t>«</w:t>
            </w:r>
            <w:r w:rsidRPr="00211161">
              <w:rPr>
                <w:rFonts w:ascii="Times New Roman" w:hAnsi="Times New Roman" w:cs="Times New Roman"/>
                <w:sz w:val="24"/>
                <w:szCs w:val="24"/>
                <w:lang w:val="uk"/>
              </w:rPr>
              <w:t>на добу наперед</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та внутрішньодобового ринку, кодексу системи передачі, кодексу систем розподілу, кодексу комерційного обліку, правил роздрібного ринку, </w:t>
            </w:r>
            <w:r w:rsidRPr="00211161">
              <w:rPr>
                <w:rFonts w:ascii="Times New Roman" w:hAnsi="Times New Roman" w:cs="Times New Roman"/>
                <w:b/>
                <w:bCs/>
                <w:strike/>
                <w:sz w:val="24"/>
                <w:szCs w:val="24"/>
                <w:lang w:val="uk"/>
              </w:rPr>
              <w:t xml:space="preserve">порядку </w:t>
            </w:r>
            <w:r w:rsidRPr="00DD1EDC">
              <w:rPr>
                <w:rFonts w:ascii="Times New Roman" w:hAnsi="Times New Roman" w:cs="Times New Roman"/>
                <w:b/>
                <w:bCs/>
                <w:strike/>
                <w:sz w:val="24"/>
                <w:szCs w:val="24"/>
                <w:lang w:val="uk"/>
              </w:rPr>
              <w:t>розподілу пропускної спроможності міждержавних перетинів,</w:t>
            </w:r>
            <w:r w:rsidRPr="00DD1EDC">
              <w:rPr>
                <w:rFonts w:ascii="Times New Roman" w:hAnsi="Times New Roman" w:cs="Times New Roman"/>
                <w:b/>
                <w:bCs/>
                <w:sz w:val="24"/>
                <w:szCs w:val="24"/>
                <w:lang w:val="uk"/>
              </w:rPr>
              <w:t xml:space="preserve"> </w:t>
            </w:r>
            <w:r w:rsidRPr="00DD1EDC">
              <w:rPr>
                <w:rFonts w:ascii="Times New Roman" w:hAnsi="Times New Roman" w:cs="Times New Roman"/>
                <w:b/>
                <w:bCs/>
                <w:strike/>
                <w:sz w:val="24"/>
                <w:szCs w:val="24"/>
                <w:lang w:val="uk"/>
              </w:rPr>
              <w:t>який включає в тому числі положення щодо особливостей розподілу пропускної спроможності</w:t>
            </w:r>
            <w:r w:rsidRPr="00211161">
              <w:rPr>
                <w:rFonts w:ascii="Times New Roman" w:hAnsi="Times New Roman" w:cs="Times New Roman"/>
                <w:b/>
                <w:bCs/>
                <w:strike/>
                <w:sz w:val="24"/>
                <w:szCs w:val="24"/>
                <w:lang w:val="uk"/>
              </w:rPr>
              <w:t xml:space="preserve"> міждержавних перетинів з третіми державами, </w:t>
            </w:r>
            <w:r w:rsidRPr="00211161">
              <w:rPr>
                <w:rFonts w:ascii="Times New Roman" w:hAnsi="Times New Roman" w:cs="Times New Roman"/>
                <w:sz w:val="24"/>
                <w:szCs w:val="24"/>
                <w:lang w:val="uk"/>
              </w:rPr>
              <w:t>інших нормативно-правових актів та нормативних документів, що регулюють функціонування ринку електричної енергії;</w:t>
            </w:r>
          </w:p>
        </w:tc>
        <w:tc>
          <w:tcPr>
            <w:tcW w:w="7652" w:type="dxa"/>
          </w:tcPr>
          <w:p w14:paraId="7745021B" w14:textId="77777777" w:rsidR="00254925"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lastRenderedPageBreak/>
              <w:t>3. До повноважень Регулятора на ринку електричної енергії належать:</w:t>
            </w:r>
          </w:p>
          <w:p w14:paraId="0EAC2776" w14:textId="3DA23500" w:rsidR="00254925"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lastRenderedPageBreak/>
              <w:t>(…)</w:t>
            </w:r>
          </w:p>
          <w:p w14:paraId="7D72827A" w14:textId="2E0771E7" w:rsidR="00254925"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4) затвердження правил ринку, правил ринку </w:t>
            </w:r>
            <w:r w:rsidR="007E7E03">
              <w:rPr>
                <w:rFonts w:ascii="Times New Roman" w:hAnsi="Times New Roman" w:cs="Times New Roman"/>
                <w:sz w:val="24"/>
                <w:szCs w:val="24"/>
                <w:lang w:val="uk"/>
              </w:rPr>
              <w:t>«</w:t>
            </w:r>
            <w:r w:rsidRPr="00211161">
              <w:rPr>
                <w:rFonts w:ascii="Times New Roman" w:hAnsi="Times New Roman" w:cs="Times New Roman"/>
                <w:sz w:val="24"/>
                <w:szCs w:val="24"/>
                <w:lang w:val="uk"/>
              </w:rPr>
              <w:t>на добу наперед</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та внутрішньодобового ринку, кодексу системи передачі, кодексу систем розподілу, кодексу комерційного обліку, правил роздрібного ринку,  інших нормативно-правових актів та нормативних документів, що регулюють функціонування ринку електричної енергії;</w:t>
            </w:r>
          </w:p>
          <w:p w14:paraId="2D046D65" w14:textId="77777777" w:rsidR="00254925" w:rsidRPr="00211161" w:rsidRDefault="00254925" w:rsidP="003A60C0">
            <w:pPr>
              <w:spacing w:before="120"/>
              <w:ind w:firstLine="315"/>
              <w:jc w:val="both"/>
              <w:rPr>
                <w:rFonts w:ascii="Times New Roman" w:hAnsi="Times New Roman" w:cs="Times New Roman"/>
                <w:sz w:val="24"/>
                <w:szCs w:val="24"/>
              </w:rPr>
            </w:pPr>
          </w:p>
          <w:p w14:paraId="1DE584E6" w14:textId="24AE69B6" w:rsidR="00254925" w:rsidRPr="00211161" w:rsidRDefault="00254925" w:rsidP="003A60C0">
            <w:pPr>
              <w:spacing w:before="120"/>
              <w:ind w:firstLine="315"/>
              <w:jc w:val="both"/>
              <w:rPr>
                <w:rFonts w:ascii="Times New Roman" w:hAnsi="Times New Roman" w:cs="Times New Roman"/>
                <w:b/>
                <w:bCs/>
                <w:sz w:val="24"/>
                <w:szCs w:val="24"/>
                <w:lang w:val="uk"/>
              </w:rPr>
            </w:pPr>
          </w:p>
          <w:p w14:paraId="092830CB" w14:textId="1D3CC079" w:rsidR="00254925" w:rsidRPr="00211161" w:rsidRDefault="00254925" w:rsidP="003A60C0">
            <w:pPr>
              <w:spacing w:before="120"/>
              <w:ind w:firstLine="315"/>
              <w:jc w:val="both"/>
              <w:rPr>
                <w:rFonts w:ascii="Times New Roman" w:hAnsi="Times New Roman" w:cs="Times New Roman"/>
                <w:b/>
                <w:sz w:val="24"/>
                <w:szCs w:val="24"/>
              </w:rPr>
            </w:pPr>
          </w:p>
        </w:tc>
      </w:tr>
      <w:tr w:rsidR="001043F0" w:rsidRPr="00211161" w14:paraId="5D04BD83" w14:textId="77777777" w:rsidTr="003A60C0">
        <w:tc>
          <w:tcPr>
            <w:tcW w:w="7652" w:type="dxa"/>
          </w:tcPr>
          <w:p w14:paraId="6BFF8C74" w14:textId="082C24AF" w:rsidR="001043F0" w:rsidRPr="00211161" w:rsidRDefault="001043F0"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b/>
                <w:bCs/>
                <w:sz w:val="24"/>
                <w:szCs w:val="24"/>
                <w:lang w:val="uk"/>
              </w:rPr>
              <w:lastRenderedPageBreak/>
              <w:t>Положення відсутнє</w:t>
            </w:r>
            <w:r w:rsidRPr="00211161">
              <w:rPr>
                <w:rFonts w:ascii="Times New Roman" w:hAnsi="Times New Roman" w:cs="Times New Roman"/>
                <w:sz w:val="24"/>
                <w:szCs w:val="24"/>
                <w:lang w:val="uk"/>
              </w:rPr>
              <w:t xml:space="preserve"> </w:t>
            </w:r>
          </w:p>
        </w:tc>
        <w:tc>
          <w:tcPr>
            <w:tcW w:w="7652" w:type="dxa"/>
          </w:tcPr>
          <w:p w14:paraId="45BC1F2C" w14:textId="103CD10A" w:rsidR="001043F0" w:rsidRPr="00211161" w:rsidRDefault="001043F0" w:rsidP="003A60C0">
            <w:pPr>
              <w:spacing w:before="120"/>
              <w:ind w:firstLine="315"/>
              <w:jc w:val="both"/>
              <w:rPr>
                <w:rFonts w:ascii="Times New Roman" w:hAnsi="Times New Roman" w:cs="Times New Roman"/>
                <w:sz w:val="24"/>
                <w:szCs w:val="24"/>
                <w:lang w:val="uk"/>
              </w:rPr>
            </w:pPr>
            <w:bookmarkStart w:id="3" w:name="_Hlk129870694"/>
            <w:r w:rsidRPr="00211161">
              <w:rPr>
                <w:rFonts w:ascii="Times New Roman" w:hAnsi="Times New Roman" w:cs="Times New Roman"/>
                <w:b/>
                <w:sz w:val="24"/>
                <w:szCs w:val="24"/>
                <w:lang w:val="uk-UA"/>
              </w:rPr>
              <w:t>4</w:t>
            </w:r>
            <w:r w:rsidRPr="00211161">
              <w:rPr>
                <w:rFonts w:ascii="Times New Roman" w:hAnsi="Times New Roman" w:cs="Times New Roman"/>
                <w:b/>
                <w:sz w:val="24"/>
                <w:szCs w:val="24"/>
                <w:vertAlign w:val="superscript"/>
              </w:rPr>
              <w:t>1</w:t>
            </w:r>
            <w:r w:rsidRPr="00211161">
              <w:rPr>
                <w:rFonts w:ascii="Times New Roman" w:hAnsi="Times New Roman" w:cs="Times New Roman"/>
                <w:b/>
                <w:sz w:val="24"/>
                <w:szCs w:val="24"/>
                <w:lang w:val="uk-UA"/>
              </w:rPr>
              <w:t>) прийняття рішення щодо погодження правил</w:t>
            </w:r>
            <w:r w:rsidRPr="00211161">
              <w:rPr>
                <w:rFonts w:ascii="Times New Roman" w:hAnsi="Times New Roman" w:cs="Times New Roman"/>
                <w:sz w:val="24"/>
                <w:szCs w:val="24"/>
                <w:lang w:val="uk-UA"/>
              </w:rPr>
              <w:t xml:space="preserve"> </w:t>
            </w:r>
            <w:r w:rsidRPr="00211161">
              <w:rPr>
                <w:rFonts w:ascii="Times New Roman" w:hAnsi="Times New Roman" w:cs="Times New Roman"/>
                <w:b/>
                <w:sz w:val="24"/>
                <w:szCs w:val="24"/>
                <w:lang w:val="uk-UA"/>
              </w:rPr>
              <w:t>розподілу пропускної спроможності міждержавних перетинів</w:t>
            </w:r>
            <w:r w:rsidRPr="00211161">
              <w:rPr>
                <w:rFonts w:ascii="Times New Roman" w:hAnsi="Times New Roman" w:cs="Times New Roman"/>
                <w:b/>
                <w:sz w:val="24"/>
                <w:szCs w:val="24"/>
              </w:rPr>
              <w:t>;</w:t>
            </w:r>
            <w:bookmarkEnd w:id="3"/>
          </w:p>
        </w:tc>
      </w:tr>
      <w:tr w:rsidR="00254925" w:rsidRPr="00211161" w14:paraId="5C189453" w14:textId="77777777" w:rsidTr="003A60C0">
        <w:tc>
          <w:tcPr>
            <w:tcW w:w="7652" w:type="dxa"/>
          </w:tcPr>
          <w:p w14:paraId="0B65DA3F" w14:textId="77777777" w:rsidR="00254925" w:rsidRPr="00211161" w:rsidRDefault="00254925" w:rsidP="003A60C0">
            <w:pPr>
              <w:spacing w:before="120"/>
              <w:ind w:firstLine="313"/>
              <w:jc w:val="both"/>
              <w:rPr>
                <w:rFonts w:ascii="Times New Roman" w:hAnsi="Times New Roman" w:cs="Times New Roman"/>
                <w:sz w:val="24"/>
                <w:szCs w:val="24"/>
                <w:lang w:val="uk-UA"/>
              </w:rPr>
            </w:pPr>
            <w:r w:rsidRPr="00211161">
              <w:rPr>
                <w:rFonts w:ascii="Times New Roman" w:hAnsi="Times New Roman" w:cs="Times New Roman"/>
                <w:sz w:val="24"/>
                <w:szCs w:val="24"/>
                <w:lang w:val="uk"/>
              </w:rPr>
              <w:t>4. Регулятор має право:</w:t>
            </w:r>
          </w:p>
          <w:p w14:paraId="5D7256D0" w14:textId="0E929473" w:rsidR="00254925" w:rsidRDefault="00254925"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sz w:val="24"/>
                <w:szCs w:val="24"/>
                <w:lang w:val="uk"/>
              </w:rPr>
              <w:t>(….)</w:t>
            </w:r>
          </w:p>
          <w:p w14:paraId="1B5274A3" w14:textId="765CEEE8" w:rsidR="00254925" w:rsidRPr="001043F0" w:rsidRDefault="00254925" w:rsidP="003A60C0">
            <w:pPr>
              <w:spacing w:before="120"/>
              <w:ind w:firstLine="313"/>
              <w:jc w:val="both"/>
              <w:rPr>
                <w:rFonts w:ascii="Times New Roman" w:hAnsi="Times New Roman" w:cs="Times New Roman"/>
                <w:sz w:val="24"/>
                <w:szCs w:val="24"/>
                <w:lang w:val="uk-UA"/>
              </w:rPr>
            </w:pPr>
            <w:r w:rsidRPr="00211161">
              <w:rPr>
                <w:rFonts w:ascii="Times New Roman" w:hAnsi="Times New Roman" w:cs="Times New Roman"/>
                <w:sz w:val="24"/>
                <w:szCs w:val="24"/>
                <w:lang w:val="uk"/>
              </w:rPr>
              <w:t xml:space="preserve">7) вимагати від відповідних операторів підготовки змін до правил ринку, правил ринку </w:t>
            </w:r>
            <w:r w:rsidR="007E7E03">
              <w:rPr>
                <w:rFonts w:ascii="Times New Roman" w:hAnsi="Times New Roman" w:cs="Times New Roman"/>
                <w:sz w:val="24"/>
                <w:szCs w:val="24"/>
                <w:lang w:val="uk"/>
              </w:rPr>
              <w:t>«</w:t>
            </w:r>
            <w:r w:rsidRPr="00211161">
              <w:rPr>
                <w:rFonts w:ascii="Times New Roman" w:hAnsi="Times New Roman" w:cs="Times New Roman"/>
                <w:sz w:val="24"/>
                <w:szCs w:val="24"/>
                <w:lang w:val="uk"/>
              </w:rPr>
              <w:t>на добу наперед</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та внутрішньодобового ринку, кодексу системи передачі, кодексу комерційного обліку</w:t>
            </w:r>
            <w:r w:rsidRPr="00211161">
              <w:rPr>
                <w:rFonts w:ascii="Times New Roman" w:hAnsi="Times New Roman" w:cs="Times New Roman"/>
                <w:b/>
                <w:bCs/>
                <w:sz w:val="24"/>
                <w:szCs w:val="24"/>
                <w:lang w:val="uk"/>
              </w:rPr>
              <w:t xml:space="preserve">, порядку </w:t>
            </w:r>
            <w:r w:rsidRPr="00211161">
              <w:rPr>
                <w:rFonts w:ascii="Times New Roman" w:hAnsi="Times New Roman" w:cs="Times New Roman"/>
                <w:bCs/>
                <w:sz w:val="24"/>
                <w:szCs w:val="24"/>
                <w:lang w:val="uk"/>
              </w:rPr>
              <w:t>розподілу пропускної спроможності міждержавних перетинів</w:t>
            </w:r>
            <w:r w:rsidRPr="00211161">
              <w:rPr>
                <w:rFonts w:ascii="Times New Roman" w:hAnsi="Times New Roman" w:cs="Times New Roman"/>
                <w:sz w:val="24"/>
                <w:szCs w:val="24"/>
                <w:lang w:val="uk"/>
              </w:rPr>
              <w:t xml:space="preserve"> з метою дотримання принципу пропорційності і </w:t>
            </w:r>
            <w:proofErr w:type="spellStart"/>
            <w:r w:rsidRPr="00211161">
              <w:rPr>
                <w:rFonts w:ascii="Times New Roman" w:hAnsi="Times New Roman" w:cs="Times New Roman"/>
                <w:sz w:val="24"/>
                <w:szCs w:val="24"/>
                <w:lang w:val="uk"/>
              </w:rPr>
              <w:t>недискримінаційності</w:t>
            </w:r>
            <w:proofErr w:type="spellEnd"/>
            <w:r w:rsidRPr="00211161">
              <w:rPr>
                <w:rFonts w:ascii="Times New Roman" w:hAnsi="Times New Roman" w:cs="Times New Roman"/>
                <w:sz w:val="24"/>
                <w:szCs w:val="24"/>
                <w:lang w:val="uk"/>
              </w:rPr>
              <w:t>;</w:t>
            </w:r>
          </w:p>
        </w:tc>
        <w:tc>
          <w:tcPr>
            <w:tcW w:w="7652" w:type="dxa"/>
          </w:tcPr>
          <w:p w14:paraId="455147FD" w14:textId="77777777" w:rsidR="00254925" w:rsidRPr="003A60C0" w:rsidRDefault="00254925" w:rsidP="003A60C0">
            <w:pPr>
              <w:spacing w:before="120"/>
              <w:ind w:firstLine="315"/>
              <w:jc w:val="both"/>
              <w:rPr>
                <w:rFonts w:ascii="Times New Roman" w:hAnsi="Times New Roman" w:cs="Times New Roman"/>
                <w:sz w:val="24"/>
                <w:szCs w:val="24"/>
                <w:lang w:val="uk-UA"/>
              </w:rPr>
            </w:pPr>
            <w:r w:rsidRPr="00211161">
              <w:rPr>
                <w:rFonts w:ascii="Times New Roman" w:hAnsi="Times New Roman" w:cs="Times New Roman"/>
                <w:sz w:val="24"/>
                <w:szCs w:val="24"/>
                <w:lang w:val="uk"/>
              </w:rPr>
              <w:t>4. Регулятор має право:</w:t>
            </w:r>
          </w:p>
          <w:p w14:paraId="5A438648" w14:textId="77777777" w:rsidR="00254925" w:rsidRPr="003A60C0" w:rsidRDefault="00254925" w:rsidP="003A60C0">
            <w:pPr>
              <w:spacing w:before="120"/>
              <w:ind w:firstLine="315"/>
              <w:jc w:val="both"/>
              <w:rPr>
                <w:rFonts w:ascii="Times New Roman" w:hAnsi="Times New Roman" w:cs="Times New Roman"/>
                <w:sz w:val="24"/>
                <w:szCs w:val="24"/>
                <w:lang w:val="uk-UA"/>
              </w:rPr>
            </w:pPr>
            <w:r w:rsidRPr="00211161">
              <w:rPr>
                <w:rFonts w:ascii="Times New Roman" w:hAnsi="Times New Roman" w:cs="Times New Roman"/>
                <w:sz w:val="24"/>
                <w:szCs w:val="24"/>
                <w:lang w:val="uk"/>
              </w:rPr>
              <w:t>(….)</w:t>
            </w:r>
          </w:p>
          <w:p w14:paraId="4AEC08C0" w14:textId="2EA8FF85" w:rsidR="001043F0" w:rsidRPr="003A60C0" w:rsidRDefault="00254925" w:rsidP="003A60C0">
            <w:pPr>
              <w:spacing w:before="120"/>
              <w:ind w:firstLine="315"/>
              <w:jc w:val="both"/>
              <w:rPr>
                <w:rFonts w:ascii="Times New Roman" w:hAnsi="Times New Roman" w:cs="Times New Roman"/>
                <w:sz w:val="24"/>
                <w:szCs w:val="24"/>
                <w:lang w:val="uk-UA"/>
              </w:rPr>
            </w:pPr>
            <w:r w:rsidRPr="00211161">
              <w:rPr>
                <w:rFonts w:ascii="Times New Roman" w:hAnsi="Times New Roman" w:cs="Times New Roman"/>
                <w:sz w:val="24"/>
                <w:szCs w:val="24"/>
                <w:lang w:val="uk"/>
              </w:rPr>
              <w:t xml:space="preserve">7) вимагати від відповідних операторів підготовки змін до правил ринку, правил ринку </w:t>
            </w:r>
            <w:r w:rsidR="007E7E03">
              <w:rPr>
                <w:rFonts w:ascii="Times New Roman" w:hAnsi="Times New Roman" w:cs="Times New Roman"/>
                <w:sz w:val="24"/>
                <w:szCs w:val="24"/>
                <w:lang w:val="uk"/>
              </w:rPr>
              <w:t>«</w:t>
            </w:r>
            <w:r w:rsidRPr="00211161">
              <w:rPr>
                <w:rFonts w:ascii="Times New Roman" w:hAnsi="Times New Roman" w:cs="Times New Roman"/>
                <w:sz w:val="24"/>
                <w:szCs w:val="24"/>
                <w:lang w:val="uk"/>
              </w:rPr>
              <w:t>на добу наперед</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sz w:val="24"/>
                <w:szCs w:val="24"/>
                <w:lang w:val="uk"/>
              </w:rPr>
              <w:t xml:space="preserve">та внутрішньодобового ринку, кодексу системи передачі, кодексу комерційного обліку, </w:t>
            </w:r>
            <w:r w:rsidRPr="00211161">
              <w:rPr>
                <w:rFonts w:ascii="Times New Roman" w:hAnsi="Times New Roman" w:cs="Times New Roman"/>
                <w:b/>
                <w:sz w:val="24"/>
                <w:szCs w:val="24"/>
                <w:lang w:val="uk-UA"/>
              </w:rPr>
              <w:t>правил</w:t>
            </w:r>
            <w:r w:rsidRPr="00211161">
              <w:rPr>
                <w:rFonts w:ascii="Times New Roman" w:hAnsi="Times New Roman" w:cs="Times New Roman"/>
                <w:sz w:val="24"/>
                <w:szCs w:val="24"/>
                <w:lang w:val="uk-UA"/>
              </w:rPr>
              <w:t xml:space="preserve"> розподілу пропускної спроможності міждержавних перетинів</w:t>
            </w:r>
            <w:r w:rsidRPr="00211161">
              <w:rPr>
                <w:rFonts w:ascii="Times New Roman" w:hAnsi="Times New Roman" w:cs="Times New Roman"/>
                <w:sz w:val="24"/>
                <w:szCs w:val="24"/>
                <w:lang w:val="uk"/>
              </w:rPr>
              <w:t xml:space="preserve"> з метою дотримання принципу пропорційності і </w:t>
            </w:r>
            <w:proofErr w:type="spellStart"/>
            <w:r w:rsidRPr="00211161">
              <w:rPr>
                <w:rFonts w:ascii="Times New Roman" w:hAnsi="Times New Roman" w:cs="Times New Roman"/>
                <w:sz w:val="24"/>
                <w:szCs w:val="24"/>
                <w:lang w:val="uk"/>
              </w:rPr>
              <w:t>недискримінаційності</w:t>
            </w:r>
            <w:proofErr w:type="spellEnd"/>
            <w:r w:rsidRPr="00211161">
              <w:rPr>
                <w:rFonts w:ascii="Times New Roman" w:hAnsi="Times New Roman" w:cs="Times New Roman"/>
                <w:sz w:val="24"/>
                <w:szCs w:val="24"/>
                <w:lang w:val="uk"/>
              </w:rPr>
              <w:t>;</w:t>
            </w:r>
          </w:p>
        </w:tc>
      </w:tr>
      <w:tr w:rsidR="004852B5" w:rsidRPr="00211161" w14:paraId="189CCED9" w14:textId="77777777" w:rsidTr="003A60C0">
        <w:tc>
          <w:tcPr>
            <w:tcW w:w="15304" w:type="dxa"/>
            <w:gridSpan w:val="2"/>
          </w:tcPr>
          <w:p w14:paraId="35FF278B" w14:textId="77777777" w:rsidR="004852B5" w:rsidRPr="00211161" w:rsidRDefault="004852B5" w:rsidP="003A60C0">
            <w:pPr>
              <w:spacing w:before="120"/>
              <w:ind w:firstLine="313"/>
              <w:jc w:val="center"/>
              <w:rPr>
                <w:rFonts w:ascii="Times New Roman" w:hAnsi="Times New Roman" w:cs="Times New Roman"/>
                <w:b/>
                <w:bCs/>
                <w:sz w:val="24"/>
                <w:szCs w:val="24"/>
              </w:rPr>
            </w:pPr>
            <w:r w:rsidRPr="00211161">
              <w:rPr>
                <w:rFonts w:ascii="Times New Roman" w:hAnsi="Times New Roman" w:cs="Times New Roman"/>
                <w:b/>
                <w:bCs/>
                <w:iCs/>
                <w:sz w:val="24"/>
                <w:szCs w:val="24"/>
                <w:lang w:val="uk"/>
              </w:rPr>
              <w:t>Стаття 33</w:t>
            </w:r>
            <w:r w:rsidRPr="00211161">
              <w:rPr>
                <w:rFonts w:ascii="Times New Roman" w:hAnsi="Times New Roman" w:cs="Times New Roman"/>
                <w:iCs/>
                <w:sz w:val="24"/>
                <w:szCs w:val="24"/>
                <w:lang w:val="uk"/>
              </w:rPr>
              <w:t>. Функції, права та обов’язки оператора системи передачі</w:t>
            </w:r>
          </w:p>
        </w:tc>
      </w:tr>
      <w:tr w:rsidR="00254925" w:rsidRPr="00211161" w14:paraId="334FCF68" w14:textId="77777777" w:rsidTr="003A60C0">
        <w:tc>
          <w:tcPr>
            <w:tcW w:w="7652" w:type="dxa"/>
          </w:tcPr>
          <w:p w14:paraId="515B192B" w14:textId="77777777" w:rsidR="00BC2336" w:rsidRDefault="00BC2336" w:rsidP="003A60C0">
            <w:pPr>
              <w:pStyle w:val="rvps2"/>
              <w:shd w:val="clear" w:color="auto" w:fill="FFFFFF"/>
              <w:spacing w:before="120" w:beforeAutospacing="0" w:after="0" w:afterAutospacing="0"/>
              <w:ind w:firstLine="313"/>
              <w:jc w:val="both"/>
              <w:rPr>
                <w:lang w:val="uk"/>
              </w:rPr>
            </w:pPr>
            <w:r w:rsidRPr="00BC2336">
              <w:rPr>
                <w:lang w:val="uk"/>
              </w:rPr>
              <w:t xml:space="preserve">1. Оператор системи передачі: </w:t>
            </w:r>
          </w:p>
          <w:p w14:paraId="52B81C05" w14:textId="3D0058CA" w:rsidR="00254925" w:rsidRPr="00211161" w:rsidRDefault="00254925" w:rsidP="003A60C0">
            <w:pPr>
              <w:pStyle w:val="rvps2"/>
              <w:shd w:val="clear" w:color="auto" w:fill="FFFFFF"/>
              <w:spacing w:before="120" w:beforeAutospacing="0" w:after="0" w:afterAutospacing="0"/>
              <w:ind w:firstLine="313"/>
              <w:jc w:val="both"/>
            </w:pPr>
            <w:r w:rsidRPr="00211161">
              <w:rPr>
                <w:lang w:val="uk"/>
              </w:rPr>
              <w:t>(…)</w:t>
            </w:r>
          </w:p>
          <w:p w14:paraId="3471A008" w14:textId="0862D885" w:rsidR="001043F0" w:rsidRPr="00211161" w:rsidRDefault="00254925" w:rsidP="003A60C0">
            <w:pPr>
              <w:pStyle w:val="rvps2"/>
              <w:shd w:val="clear" w:color="auto" w:fill="FFFFFF"/>
              <w:spacing w:before="120" w:beforeAutospacing="0" w:after="0" w:afterAutospacing="0"/>
              <w:ind w:firstLine="313"/>
              <w:jc w:val="both"/>
            </w:pPr>
            <w:r w:rsidRPr="00211161">
              <w:rPr>
                <w:lang w:val="uk"/>
              </w:rPr>
              <w:t xml:space="preserve">15) забезпечує розподіл пропускної спроможності міждержавних перетинів у порядку, визначеному цим Законом та </w:t>
            </w:r>
            <w:r w:rsidRPr="00211161">
              <w:rPr>
                <w:b/>
                <w:bCs/>
                <w:lang w:val="uk"/>
              </w:rPr>
              <w:t>порядком</w:t>
            </w:r>
            <w:r w:rsidRPr="00211161">
              <w:rPr>
                <w:lang w:val="uk"/>
              </w:rPr>
              <w:t xml:space="preserve"> розподілу пропускної спроможності міждержавних перетинів;</w:t>
            </w:r>
          </w:p>
          <w:p w14:paraId="298B2BD3" w14:textId="77777777" w:rsidR="00F25DDD" w:rsidRPr="00211161" w:rsidRDefault="00F25DDD" w:rsidP="003A60C0">
            <w:pPr>
              <w:pStyle w:val="rvps2"/>
              <w:shd w:val="clear" w:color="auto" w:fill="FFFFFF"/>
              <w:spacing w:before="120" w:beforeAutospacing="0" w:after="0" w:afterAutospacing="0"/>
              <w:ind w:firstLine="313"/>
              <w:jc w:val="both"/>
            </w:pPr>
            <w:r w:rsidRPr="00211161">
              <w:rPr>
                <w:lang w:val="uk"/>
              </w:rPr>
              <w:t>(…)</w:t>
            </w:r>
          </w:p>
          <w:p w14:paraId="199D9041" w14:textId="77777777" w:rsidR="00254925" w:rsidRPr="00211161" w:rsidRDefault="00254925" w:rsidP="003A60C0">
            <w:pPr>
              <w:pStyle w:val="rvps2"/>
              <w:shd w:val="clear" w:color="auto" w:fill="FFFFFF"/>
              <w:spacing w:before="120" w:beforeAutospacing="0" w:after="0" w:afterAutospacing="0"/>
              <w:ind w:firstLine="313"/>
              <w:jc w:val="both"/>
            </w:pPr>
            <w:r w:rsidRPr="00211161">
              <w:rPr>
                <w:lang w:val="uk"/>
              </w:rPr>
              <w:t xml:space="preserve">17) розробляє правила ринку, кодекс системи передачі, кодекс комерційного обліку, </w:t>
            </w:r>
            <w:r w:rsidRPr="00211161">
              <w:rPr>
                <w:b/>
                <w:bCs/>
                <w:strike/>
                <w:lang w:val="uk"/>
              </w:rPr>
              <w:t>порядок розподілу пропускної спроможності міждержавних перетинів</w:t>
            </w:r>
            <w:r w:rsidRPr="00211161">
              <w:rPr>
                <w:lang w:val="uk"/>
              </w:rPr>
              <w:t xml:space="preserve"> та подає їх на затвердження Регулятору;</w:t>
            </w:r>
          </w:p>
          <w:p w14:paraId="34BDB11D" w14:textId="0D7534A1" w:rsidR="00254925" w:rsidRPr="00211161" w:rsidRDefault="00254925" w:rsidP="003A60C0">
            <w:pPr>
              <w:spacing w:before="120"/>
              <w:ind w:firstLine="313"/>
              <w:jc w:val="both"/>
              <w:rPr>
                <w:rFonts w:ascii="Times New Roman" w:hAnsi="Times New Roman" w:cs="Times New Roman"/>
                <w:b/>
                <w:sz w:val="24"/>
                <w:szCs w:val="24"/>
              </w:rPr>
            </w:pPr>
            <w:r w:rsidRPr="00211161">
              <w:rPr>
                <w:rFonts w:ascii="Times New Roman" w:hAnsi="Times New Roman" w:cs="Times New Roman"/>
                <w:b/>
                <w:bCs/>
                <w:sz w:val="24"/>
                <w:szCs w:val="24"/>
                <w:lang w:val="uk"/>
              </w:rPr>
              <w:t>Положення відсутнє</w:t>
            </w:r>
            <w:r w:rsidRPr="00211161">
              <w:rPr>
                <w:rFonts w:ascii="Times New Roman" w:hAnsi="Times New Roman" w:cs="Times New Roman"/>
                <w:sz w:val="24"/>
                <w:szCs w:val="24"/>
                <w:lang w:val="uk"/>
              </w:rPr>
              <w:t xml:space="preserve"> </w:t>
            </w:r>
          </w:p>
        </w:tc>
        <w:tc>
          <w:tcPr>
            <w:tcW w:w="7652" w:type="dxa"/>
          </w:tcPr>
          <w:p w14:paraId="5992C3A7" w14:textId="2FAB2427" w:rsidR="00BC2336" w:rsidRPr="00BC2336" w:rsidRDefault="00BC2336" w:rsidP="003A60C0">
            <w:pPr>
              <w:pStyle w:val="rvps2"/>
              <w:numPr>
                <w:ilvl w:val="0"/>
                <w:numId w:val="5"/>
              </w:numPr>
              <w:shd w:val="clear" w:color="auto" w:fill="FFFFFF"/>
              <w:spacing w:before="120" w:beforeAutospacing="0" w:after="0" w:afterAutospacing="0"/>
              <w:jc w:val="both"/>
            </w:pPr>
            <w:r w:rsidRPr="00BC2336">
              <w:rPr>
                <w:lang w:val="uk"/>
              </w:rPr>
              <w:t xml:space="preserve">Оператор системи передачі: </w:t>
            </w:r>
          </w:p>
          <w:p w14:paraId="6C40643F" w14:textId="366B9DD5" w:rsidR="00254925" w:rsidRPr="00211161" w:rsidRDefault="00254925" w:rsidP="003A60C0">
            <w:pPr>
              <w:pStyle w:val="rvps2"/>
              <w:shd w:val="clear" w:color="auto" w:fill="FFFFFF"/>
              <w:spacing w:before="120" w:beforeAutospacing="0" w:after="0" w:afterAutospacing="0"/>
              <w:ind w:left="315"/>
              <w:jc w:val="both"/>
            </w:pPr>
            <w:r w:rsidRPr="00211161">
              <w:rPr>
                <w:lang w:val="uk"/>
              </w:rPr>
              <w:t>(…)</w:t>
            </w:r>
          </w:p>
          <w:p w14:paraId="6A7746DE" w14:textId="53191B11" w:rsidR="001043F0" w:rsidRPr="00211161" w:rsidRDefault="00254925" w:rsidP="003A60C0">
            <w:pPr>
              <w:pStyle w:val="rvps2"/>
              <w:shd w:val="clear" w:color="auto" w:fill="FFFFFF"/>
              <w:spacing w:before="120" w:beforeAutospacing="0" w:after="0" w:afterAutospacing="0"/>
              <w:ind w:firstLine="315"/>
              <w:jc w:val="both"/>
            </w:pPr>
            <w:r w:rsidRPr="00211161">
              <w:rPr>
                <w:lang w:val="uk"/>
              </w:rPr>
              <w:t xml:space="preserve">15) забезпечує розподіл пропускної спроможності міждержавних перетинів у порядку, визначеному цим Законом та </w:t>
            </w:r>
            <w:r w:rsidRPr="00211161">
              <w:rPr>
                <w:b/>
                <w:bCs/>
                <w:lang w:val="uk"/>
              </w:rPr>
              <w:t>правилами</w:t>
            </w:r>
            <w:r w:rsidRPr="00211161">
              <w:rPr>
                <w:lang w:val="uk"/>
              </w:rPr>
              <w:t xml:space="preserve"> розподілу пропускної спроможності міждержавних перетинів;</w:t>
            </w:r>
          </w:p>
          <w:p w14:paraId="5B1D1372" w14:textId="77777777" w:rsidR="00F25DDD" w:rsidRPr="00211161" w:rsidRDefault="00F25DDD" w:rsidP="003A60C0">
            <w:pPr>
              <w:pStyle w:val="rvps2"/>
              <w:shd w:val="clear" w:color="auto" w:fill="FFFFFF"/>
              <w:spacing w:before="120" w:beforeAutospacing="0" w:after="0" w:afterAutospacing="0"/>
              <w:ind w:firstLine="313"/>
              <w:jc w:val="both"/>
            </w:pPr>
            <w:r w:rsidRPr="00211161">
              <w:rPr>
                <w:lang w:val="uk"/>
              </w:rPr>
              <w:t>(…)</w:t>
            </w:r>
          </w:p>
          <w:p w14:paraId="30CE4071" w14:textId="6470AA7A" w:rsidR="00254925" w:rsidRDefault="00254925" w:rsidP="003A60C0">
            <w:pPr>
              <w:pStyle w:val="rvps2"/>
              <w:shd w:val="clear" w:color="auto" w:fill="FFFFFF"/>
              <w:spacing w:before="120" w:beforeAutospacing="0" w:after="0" w:afterAutospacing="0"/>
              <w:ind w:firstLine="315"/>
              <w:jc w:val="both"/>
              <w:rPr>
                <w:lang w:val="uk"/>
              </w:rPr>
            </w:pPr>
            <w:r w:rsidRPr="00211161">
              <w:rPr>
                <w:lang w:val="uk"/>
              </w:rPr>
              <w:t>17) розробляє правила ринку, кодекс системи передачі, кодекс комерційного обліку та подає їх на затвердження Регулятору;</w:t>
            </w:r>
          </w:p>
          <w:p w14:paraId="3220E722" w14:textId="05133FB3" w:rsidR="00254925" w:rsidRPr="00211161" w:rsidRDefault="00254925" w:rsidP="003A60C0">
            <w:pPr>
              <w:pStyle w:val="rvps2"/>
              <w:shd w:val="clear" w:color="auto" w:fill="FFFFFF"/>
              <w:spacing w:before="120" w:beforeAutospacing="0" w:after="0" w:afterAutospacing="0"/>
              <w:ind w:firstLine="315"/>
              <w:jc w:val="both"/>
              <w:rPr>
                <w:b/>
              </w:rPr>
            </w:pPr>
            <w:r w:rsidRPr="00211161">
              <w:rPr>
                <w:b/>
                <w:lang w:val="uk-UA"/>
              </w:rPr>
              <w:t>17</w:t>
            </w:r>
            <w:r w:rsidRPr="00211161">
              <w:rPr>
                <w:b/>
                <w:vertAlign w:val="superscript"/>
              </w:rPr>
              <w:t>1</w:t>
            </w:r>
            <w:r w:rsidRPr="00211161">
              <w:rPr>
                <w:b/>
                <w:lang w:val="uk-UA"/>
              </w:rPr>
              <w:t xml:space="preserve">) </w:t>
            </w:r>
            <w:r w:rsidR="005C060A" w:rsidRPr="005C060A">
              <w:rPr>
                <w:b/>
                <w:lang w:val="uk-UA"/>
              </w:rPr>
              <w:t xml:space="preserve">забезпечує розробку окремих правил розподілу пропускної спроможності міждержавних перетинів за одним та/або декількома </w:t>
            </w:r>
            <w:r w:rsidR="005C060A" w:rsidRPr="005C060A">
              <w:rPr>
                <w:b/>
                <w:lang w:val="uk-UA"/>
              </w:rPr>
              <w:lastRenderedPageBreak/>
              <w:t>міждержавними перетинами та подає їх на погодження Регулятору після проведення публічних консультацій</w:t>
            </w:r>
            <w:r w:rsidR="005058EF" w:rsidRPr="00211161">
              <w:rPr>
                <w:b/>
                <w:lang w:val="uk-UA"/>
              </w:rPr>
              <w:t>;</w:t>
            </w:r>
          </w:p>
        </w:tc>
      </w:tr>
      <w:tr w:rsidR="004852B5" w:rsidRPr="00211161" w14:paraId="4FC94977" w14:textId="77777777" w:rsidTr="003A60C0">
        <w:tc>
          <w:tcPr>
            <w:tcW w:w="15304" w:type="dxa"/>
            <w:gridSpan w:val="2"/>
          </w:tcPr>
          <w:p w14:paraId="17D48A45" w14:textId="77777777" w:rsidR="004852B5" w:rsidRPr="00211161" w:rsidRDefault="004852B5" w:rsidP="003A60C0">
            <w:pPr>
              <w:spacing w:before="120"/>
              <w:ind w:firstLine="313"/>
              <w:jc w:val="center"/>
              <w:rPr>
                <w:rStyle w:val="rvts9"/>
                <w:rFonts w:ascii="Times New Roman" w:hAnsi="Times New Roman" w:cs="Times New Roman"/>
                <w:b/>
                <w:bCs/>
                <w:sz w:val="24"/>
                <w:szCs w:val="24"/>
                <w:shd w:val="clear" w:color="auto" w:fill="FFFFFF"/>
              </w:rPr>
            </w:pPr>
            <w:r w:rsidRPr="00211161">
              <w:rPr>
                <w:rStyle w:val="rvts9"/>
                <w:rFonts w:ascii="Times New Roman" w:hAnsi="Times New Roman" w:cs="Times New Roman"/>
                <w:b/>
                <w:bCs/>
                <w:iCs/>
                <w:sz w:val="24"/>
                <w:szCs w:val="24"/>
                <w:shd w:val="clear" w:color="auto" w:fill="FFFFFF"/>
                <w:lang w:val="uk"/>
              </w:rPr>
              <w:lastRenderedPageBreak/>
              <w:t>Стаття 38.</w:t>
            </w:r>
            <w:r w:rsidRPr="00211161">
              <w:rPr>
                <w:rFonts w:ascii="Times New Roman" w:hAnsi="Times New Roman" w:cs="Times New Roman"/>
                <w:iCs/>
                <w:sz w:val="24"/>
                <w:szCs w:val="24"/>
                <w:shd w:val="clear" w:color="auto" w:fill="FFFFFF"/>
                <w:lang w:val="uk"/>
              </w:rPr>
              <w:t> Загальні принципи управління перевантаженнями</w:t>
            </w:r>
          </w:p>
        </w:tc>
      </w:tr>
      <w:tr w:rsidR="00254925" w:rsidRPr="00211161" w14:paraId="67868C14" w14:textId="77777777" w:rsidTr="003A60C0">
        <w:tc>
          <w:tcPr>
            <w:tcW w:w="7652" w:type="dxa"/>
          </w:tcPr>
          <w:p w14:paraId="7814303F" w14:textId="245F61CB" w:rsidR="00254925" w:rsidRPr="00211161" w:rsidRDefault="00254925"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sz w:val="24"/>
                <w:szCs w:val="24"/>
                <w:lang w:val="uk"/>
              </w:rPr>
              <w:t xml:space="preserve">5. Оператор системи передачі розробляє, погоджує із відповідним оператором системи передачі суміжної держави </w:t>
            </w:r>
            <w:r w:rsidR="007E7E03">
              <w:rPr>
                <w:rFonts w:ascii="Times New Roman" w:hAnsi="Times New Roman" w:cs="Times New Roman"/>
                <w:sz w:val="24"/>
                <w:szCs w:val="24"/>
                <w:lang w:val="uk"/>
              </w:rPr>
              <w:t>–</w:t>
            </w:r>
            <w:r w:rsidR="007E7E03" w:rsidRPr="00211161">
              <w:rPr>
                <w:rFonts w:ascii="Times New Roman" w:hAnsi="Times New Roman" w:cs="Times New Roman"/>
                <w:sz w:val="24"/>
                <w:szCs w:val="24"/>
                <w:lang w:val="uk"/>
              </w:rPr>
              <w:t xml:space="preserve"> </w:t>
            </w:r>
            <w:r w:rsidRPr="00211161">
              <w:rPr>
                <w:rFonts w:ascii="Times New Roman" w:hAnsi="Times New Roman" w:cs="Times New Roman"/>
                <w:b/>
                <w:bCs/>
                <w:sz w:val="24"/>
                <w:szCs w:val="24"/>
                <w:lang w:val="uk"/>
              </w:rPr>
              <w:t>сторони</w:t>
            </w:r>
            <w:r w:rsidRPr="00211161">
              <w:rPr>
                <w:rFonts w:ascii="Times New Roman" w:hAnsi="Times New Roman" w:cs="Times New Roman"/>
                <w:sz w:val="24"/>
                <w:szCs w:val="24"/>
                <w:lang w:val="uk"/>
              </w:rPr>
              <w:t xml:space="preserve"> Енергетичного Співтовариства та подає на </w:t>
            </w:r>
            <w:r w:rsidRPr="00211161">
              <w:rPr>
                <w:rFonts w:ascii="Times New Roman" w:hAnsi="Times New Roman" w:cs="Times New Roman"/>
                <w:b/>
                <w:bCs/>
                <w:sz w:val="24"/>
                <w:szCs w:val="24"/>
                <w:lang w:val="uk"/>
              </w:rPr>
              <w:t>затвердження</w:t>
            </w:r>
            <w:r w:rsidRPr="00211161">
              <w:rPr>
                <w:rFonts w:ascii="Times New Roman" w:hAnsi="Times New Roman" w:cs="Times New Roman"/>
                <w:sz w:val="24"/>
                <w:szCs w:val="24"/>
                <w:lang w:val="uk"/>
              </w:rPr>
              <w:t xml:space="preserve"> Регулятору </w:t>
            </w:r>
            <w:r w:rsidRPr="00211161">
              <w:rPr>
                <w:rFonts w:ascii="Times New Roman" w:hAnsi="Times New Roman" w:cs="Times New Roman"/>
                <w:b/>
                <w:bCs/>
                <w:sz w:val="24"/>
                <w:szCs w:val="24"/>
                <w:lang w:val="uk"/>
              </w:rPr>
              <w:t>порядок</w:t>
            </w:r>
            <w:r w:rsidRPr="00211161">
              <w:rPr>
                <w:rFonts w:ascii="Times New Roman" w:hAnsi="Times New Roman" w:cs="Times New Roman"/>
                <w:sz w:val="24"/>
                <w:szCs w:val="24"/>
                <w:lang w:val="uk"/>
              </w:rPr>
              <w:t xml:space="preserve"> розподілу пропускної спроможності міждержавних перетинів</w:t>
            </w:r>
            <w:r w:rsidRPr="00211161">
              <w:rPr>
                <w:rFonts w:ascii="Times New Roman" w:hAnsi="Times New Roman" w:cs="Times New Roman"/>
                <w:b/>
                <w:bCs/>
                <w:strike/>
                <w:sz w:val="24"/>
                <w:szCs w:val="24"/>
                <w:lang w:val="uk"/>
              </w:rPr>
              <w:t>, що може містити спеціальні регіональні умови.</w:t>
            </w:r>
            <w:r w:rsidRPr="00211161">
              <w:rPr>
                <w:rFonts w:ascii="Times New Roman" w:hAnsi="Times New Roman" w:cs="Times New Roman"/>
                <w:strike/>
                <w:sz w:val="24"/>
                <w:szCs w:val="24"/>
                <w:lang w:val="uk"/>
              </w:rPr>
              <w:t xml:space="preserve"> </w:t>
            </w:r>
            <w:r w:rsidRPr="00211161">
              <w:rPr>
                <w:rFonts w:ascii="Times New Roman" w:hAnsi="Times New Roman" w:cs="Times New Roman"/>
                <w:b/>
                <w:bCs/>
                <w:strike/>
                <w:sz w:val="24"/>
                <w:szCs w:val="24"/>
                <w:lang w:val="uk"/>
              </w:rPr>
              <w:t>Такі умови, що застосовуються у відповідному регіоні або на відповідному перетині, є невід’ємними додатками до порядку розподілу пропускної спроможності міждержавних перетинів.</w:t>
            </w:r>
          </w:p>
        </w:tc>
        <w:tc>
          <w:tcPr>
            <w:tcW w:w="7652" w:type="dxa"/>
          </w:tcPr>
          <w:p w14:paraId="36F34D7F" w14:textId="7A375F5E" w:rsidR="00254925" w:rsidRPr="00211161" w:rsidRDefault="00254925" w:rsidP="003A60C0">
            <w:pPr>
              <w:spacing w:before="120"/>
              <w:ind w:firstLine="315"/>
              <w:jc w:val="both"/>
              <w:rPr>
                <w:rFonts w:ascii="Times New Roman" w:hAnsi="Times New Roman" w:cs="Times New Roman"/>
                <w:b/>
                <w:bCs/>
                <w:sz w:val="24"/>
                <w:szCs w:val="24"/>
                <w:shd w:val="clear" w:color="auto" w:fill="FFFFFF"/>
                <w:lang w:val="uk-UA"/>
              </w:rPr>
            </w:pPr>
            <w:r w:rsidRPr="00211161">
              <w:rPr>
                <w:rFonts w:ascii="Times New Roman" w:hAnsi="Times New Roman" w:cs="Times New Roman"/>
                <w:sz w:val="24"/>
                <w:szCs w:val="24"/>
                <w:lang w:val="uk"/>
              </w:rPr>
              <w:t xml:space="preserve">5. Оператор системи передачі розробляє, погоджує із відповідним оператором системи </w:t>
            </w:r>
            <w:r w:rsidRPr="00B64C65">
              <w:rPr>
                <w:rFonts w:ascii="Times New Roman" w:hAnsi="Times New Roman" w:cs="Times New Roman"/>
                <w:sz w:val="24"/>
                <w:szCs w:val="24"/>
                <w:lang w:val="uk"/>
              </w:rPr>
              <w:t xml:space="preserve">передачі суміжної держави </w:t>
            </w:r>
            <w:r w:rsidR="007E7E03" w:rsidRPr="00B64C65">
              <w:rPr>
                <w:rFonts w:ascii="Times New Roman" w:hAnsi="Times New Roman" w:cs="Times New Roman"/>
                <w:sz w:val="24"/>
                <w:szCs w:val="24"/>
                <w:lang w:val="uk"/>
              </w:rPr>
              <w:t xml:space="preserve">– </w:t>
            </w:r>
            <w:r w:rsidRPr="00B64C65">
              <w:rPr>
                <w:rFonts w:ascii="Times New Roman" w:hAnsi="Times New Roman" w:cs="Times New Roman"/>
                <w:b/>
                <w:bCs/>
                <w:sz w:val="24"/>
                <w:szCs w:val="24"/>
                <w:shd w:val="clear" w:color="auto" w:fill="FFFFFF"/>
                <w:lang w:val="uk"/>
              </w:rPr>
              <w:t xml:space="preserve">члена </w:t>
            </w:r>
            <w:r w:rsidR="005058EF" w:rsidRPr="00B64C65">
              <w:rPr>
                <w:rFonts w:ascii="Times New Roman" w:hAnsi="Times New Roman" w:cs="Times New Roman"/>
                <w:b/>
                <w:bCs/>
                <w:sz w:val="24"/>
                <w:szCs w:val="24"/>
                <w:shd w:val="clear" w:color="auto" w:fill="FFFFFF"/>
                <w:lang w:val="uk"/>
              </w:rPr>
              <w:t xml:space="preserve">Європейського Союзу чи </w:t>
            </w:r>
            <w:r w:rsidRPr="00B64C65">
              <w:rPr>
                <w:rFonts w:ascii="Times New Roman" w:hAnsi="Times New Roman" w:cs="Times New Roman"/>
                <w:b/>
                <w:bCs/>
                <w:sz w:val="24"/>
                <w:szCs w:val="24"/>
                <w:shd w:val="clear" w:color="auto" w:fill="FFFFFF"/>
                <w:lang w:val="uk"/>
              </w:rPr>
              <w:t xml:space="preserve">сторони </w:t>
            </w:r>
            <w:r w:rsidRPr="00B64C65">
              <w:rPr>
                <w:rFonts w:ascii="Times New Roman" w:hAnsi="Times New Roman" w:cs="Times New Roman"/>
                <w:sz w:val="24"/>
                <w:szCs w:val="24"/>
                <w:shd w:val="clear" w:color="auto" w:fill="FFFFFF"/>
                <w:lang w:val="uk"/>
              </w:rPr>
              <w:t xml:space="preserve">Енергетичного Співтовариства </w:t>
            </w:r>
            <w:r w:rsidRPr="00B64C65">
              <w:rPr>
                <w:rFonts w:ascii="Times New Roman" w:hAnsi="Times New Roman" w:cs="Times New Roman"/>
                <w:sz w:val="24"/>
                <w:szCs w:val="24"/>
                <w:lang w:val="uk"/>
              </w:rPr>
              <w:t xml:space="preserve">та подає на </w:t>
            </w:r>
            <w:r w:rsidRPr="00B64C65">
              <w:rPr>
                <w:rFonts w:ascii="Times New Roman" w:hAnsi="Times New Roman" w:cs="Times New Roman"/>
                <w:b/>
                <w:bCs/>
                <w:sz w:val="24"/>
                <w:szCs w:val="24"/>
                <w:lang w:val="uk-UA"/>
              </w:rPr>
              <w:t>погодження</w:t>
            </w:r>
            <w:r w:rsidRPr="00B64C65">
              <w:rPr>
                <w:rFonts w:ascii="Times New Roman" w:hAnsi="Times New Roman" w:cs="Times New Roman"/>
                <w:sz w:val="24"/>
                <w:szCs w:val="24"/>
                <w:lang w:val="uk-UA"/>
              </w:rPr>
              <w:t xml:space="preserve"> Регулятору</w:t>
            </w:r>
            <w:r w:rsidRPr="00B64C65">
              <w:rPr>
                <w:rFonts w:ascii="Times New Roman" w:hAnsi="Times New Roman" w:cs="Times New Roman"/>
                <w:b/>
                <w:bCs/>
                <w:sz w:val="24"/>
                <w:szCs w:val="24"/>
                <w:shd w:val="clear" w:color="auto" w:fill="FFFFFF"/>
                <w:lang w:val="uk-UA"/>
              </w:rPr>
              <w:t xml:space="preserve"> </w:t>
            </w:r>
            <w:r w:rsidRPr="00B64C65">
              <w:rPr>
                <w:rFonts w:ascii="Times New Roman" w:hAnsi="Times New Roman" w:cs="Times New Roman"/>
                <w:b/>
                <w:bCs/>
                <w:sz w:val="24"/>
                <w:szCs w:val="24"/>
                <w:lang w:val="uk-UA"/>
              </w:rPr>
              <w:t>правила</w:t>
            </w:r>
            <w:r w:rsidRPr="00B64C65">
              <w:rPr>
                <w:rFonts w:ascii="Times New Roman" w:hAnsi="Times New Roman" w:cs="Times New Roman"/>
                <w:sz w:val="24"/>
                <w:szCs w:val="24"/>
                <w:lang w:val="uk-UA"/>
              </w:rPr>
              <w:t xml:space="preserve"> розподілу пропускної спроможності міждержавних перетинів </w:t>
            </w:r>
            <w:r w:rsidRPr="00B64C65">
              <w:rPr>
                <w:rFonts w:ascii="Times New Roman" w:hAnsi="Times New Roman" w:cs="Times New Roman"/>
                <w:b/>
                <w:sz w:val="24"/>
                <w:szCs w:val="24"/>
                <w:lang w:val="uk-UA"/>
              </w:rPr>
              <w:t>за одним або декількома міждержавними перетинами.</w:t>
            </w:r>
          </w:p>
          <w:p w14:paraId="2EF0D0C9" w14:textId="77777777" w:rsidR="00254925" w:rsidRPr="00211161" w:rsidRDefault="00254925" w:rsidP="003A60C0">
            <w:pPr>
              <w:spacing w:before="120"/>
              <w:ind w:firstLine="315"/>
              <w:jc w:val="both"/>
              <w:rPr>
                <w:rFonts w:ascii="Times New Roman" w:hAnsi="Times New Roman" w:cs="Times New Roman"/>
                <w:sz w:val="24"/>
                <w:szCs w:val="24"/>
              </w:rPr>
            </w:pPr>
          </w:p>
        </w:tc>
      </w:tr>
      <w:tr w:rsidR="00254925" w:rsidRPr="00211161" w14:paraId="0CBEBB2D" w14:textId="77777777" w:rsidTr="003A60C0">
        <w:tc>
          <w:tcPr>
            <w:tcW w:w="7652" w:type="dxa"/>
          </w:tcPr>
          <w:p w14:paraId="2FB8CC09" w14:textId="77777777" w:rsidR="00254925" w:rsidRPr="00211161" w:rsidRDefault="00254925"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10. Власники фізичного права на передачу отримують від оператора системи передачі відшкодування за </w:t>
            </w:r>
            <w:r w:rsidRPr="00211161">
              <w:rPr>
                <w:rFonts w:ascii="Times New Roman" w:hAnsi="Times New Roman" w:cs="Times New Roman"/>
                <w:b/>
                <w:bCs/>
                <w:strike/>
                <w:sz w:val="24"/>
                <w:szCs w:val="24"/>
                <w:lang w:val="uk"/>
              </w:rPr>
              <w:t>будь-які</w:t>
            </w:r>
            <w:r w:rsidRPr="00211161">
              <w:rPr>
                <w:rFonts w:ascii="Times New Roman" w:hAnsi="Times New Roman" w:cs="Times New Roman"/>
                <w:sz w:val="24"/>
                <w:szCs w:val="24"/>
                <w:lang w:val="uk"/>
              </w:rPr>
              <w:t xml:space="preserve"> зменшення фізичного права на передачу відповідно до </w:t>
            </w:r>
            <w:r w:rsidRPr="00211161">
              <w:rPr>
                <w:rFonts w:ascii="Times New Roman" w:hAnsi="Times New Roman" w:cs="Times New Roman"/>
                <w:b/>
                <w:bCs/>
                <w:sz w:val="24"/>
                <w:szCs w:val="24"/>
                <w:lang w:val="uk"/>
              </w:rPr>
              <w:t>порядку</w:t>
            </w:r>
            <w:r w:rsidRPr="00211161">
              <w:rPr>
                <w:rFonts w:ascii="Times New Roman" w:hAnsi="Times New Roman" w:cs="Times New Roman"/>
                <w:sz w:val="24"/>
                <w:szCs w:val="24"/>
                <w:lang w:val="uk"/>
              </w:rPr>
              <w:t xml:space="preserve"> розподілу пропускної спроможності міждержавних перетинів</w:t>
            </w:r>
            <w:r w:rsidRPr="00211161">
              <w:rPr>
                <w:rFonts w:ascii="Times New Roman" w:hAnsi="Times New Roman" w:cs="Times New Roman"/>
                <w:strike/>
                <w:sz w:val="24"/>
                <w:szCs w:val="24"/>
                <w:lang w:val="uk"/>
              </w:rPr>
              <w:t xml:space="preserve">, </w:t>
            </w:r>
            <w:r w:rsidRPr="00211161">
              <w:rPr>
                <w:rFonts w:ascii="Times New Roman" w:hAnsi="Times New Roman" w:cs="Times New Roman"/>
                <w:b/>
                <w:bCs/>
                <w:strike/>
                <w:sz w:val="24"/>
                <w:szCs w:val="24"/>
                <w:lang w:val="uk"/>
              </w:rPr>
              <w:t>крім зменшень, спричинених внаслідок дії обставин непереборної сили</w:t>
            </w:r>
            <w:r w:rsidRPr="00211161">
              <w:rPr>
                <w:rFonts w:ascii="Times New Roman" w:hAnsi="Times New Roman" w:cs="Times New Roman"/>
                <w:b/>
                <w:bCs/>
                <w:sz w:val="24"/>
                <w:szCs w:val="24"/>
                <w:lang w:val="uk"/>
              </w:rPr>
              <w:t>.</w:t>
            </w:r>
          </w:p>
        </w:tc>
        <w:tc>
          <w:tcPr>
            <w:tcW w:w="7652" w:type="dxa"/>
          </w:tcPr>
          <w:p w14:paraId="21DF409E" w14:textId="14CDF481" w:rsidR="00254925"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10. Власники фізичного права на передачу отримують від оператора системи передачі відшкодування за зменшення фізичного права на передачу відповідно до </w:t>
            </w:r>
            <w:r w:rsidRPr="00211161">
              <w:rPr>
                <w:rFonts w:ascii="Times New Roman" w:hAnsi="Times New Roman" w:cs="Times New Roman"/>
                <w:b/>
                <w:bCs/>
                <w:sz w:val="24"/>
                <w:szCs w:val="24"/>
                <w:lang w:val="uk"/>
              </w:rPr>
              <w:t>правил</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tc>
      </w:tr>
      <w:tr w:rsidR="00254925" w:rsidRPr="00211161" w14:paraId="3EEA0456" w14:textId="77777777" w:rsidTr="003A60C0">
        <w:tc>
          <w:tcPr>
            <w:tcW w:w="7652" w:type="dxa"/>
          </w:tcPr>
          <w:p w14:paraId="22FA3456" w14:textId="77777777" w:rsidR="00254925" w:rsidRPr="00211161" w:rsidRDefault="00254925" w:rsidP="003A60C0">
            <w:pPr>
              <w:spacing w:before="120"/>
              <w:ind w:firstLine="313"/>
              <w:jc w:val="both"/>
              <w:rPr>
                <w:rFonts w:ascii="Times New Roman" w:hAnsi="Times New Roman" w:cs="Times New Roman"/>
                <w:sz w:val="24"/>
                <w:szCs w:val="24"/>
                <w:lang w:val="uk"/>
              </w:rPr>
            </w:pPr>
            <w:r w:rsidRPr="00211161">
              <w:rPr>
                <w:rFonts w:ascii="Times New Roman" w:hAnsi="Times New Roman" w:cs="Times New Roman"/>
                <w:sz w:val="24"/>
                <w:szCs w:val="24"/>
                <w:lang w:val="uk"/>
              </w:rPr>
              <w:t xml:space="preserve">12. Оператор системи передачі не може здійснювати зменшення пропускної спроможності міждержавних перетинів з метою врегулювання перевантажень в ОЕС України, крім випадків порушення операційної безпеки. Оператор системи передачі повинен інформувати зареєстрованих учасників про зменшення пропускної спроможності міждержавних перетинів та про причини такого зменшення та здійснити відшкодування відповідно до </w:t>
            </w:r>
            <w:r w:rsidRPr="00211161">
              <w:rPr>
                <w:rFonts w:ascii="Times New Roman" w:hAnsi="Times New Roman" w:cs="Times New Roman"/>
                <w:b/>
                <w:bCs/>
                <w:sz w:val="24"/>
                <w:szCs w:val="24"/>
                <w:lang w:val="uk"/>
              </w:rPr>
              <w:t>порядку</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tc>
        <w:tc>
          <w:tcPr>
            <w:tcW w:w="7652" w:type="dxa"/>
          </w:tcPr>
          <w:p w14:paraId="73B697CA" w14:textId="77777777" w:rsidR="00254925" w:rsidRPr="00211161" w:rsidRDefault="00254925" w:rsidP="003A60C0">
            <w:pPr>
              <w:spacing w:before="120"/>
              <w:ind w:firstLine="315"/>
              <w:jc w:val="both"/>
              <w:rPr>
                <w:rFonts w:ascii="Times New Roman" w:hAnsi="Times New Roman" w:cs="Times New Roman"/>
                <w:sz w:val="24"/>
                <w:szCs w:val="24"/>
                <w:lang w:val="uk"/>
              </w:rPr>
            </w:pPr>
            <w:r w:rsidRPr="00211161">
              <w:rPr>
                <w:rFonts w:ascii="Times New Roman" w:hAnsi="Times New Roman" w:cs="Times New Roman"/>
                <w:sz w:val="24"/>
                <w:szCs w:val="24"/>
                <w:lang w:val="uk"/>
              </w:rPr>
              <w:t xml:space="preserve">12. Оператор системи передачі не може здійснювати зменшення пропускної спроможності міждержавних перетинів з метою врегулювання перевантажень в ОЕС України, крім випадків порушення операційної безпеки. Оператор системи передачі повинен інформувати зареєстрованих учасників про зменшення пропускної спроможності міждержавних перетинів та про причини такого зменшення та здійснити відшкодування відповідно до </w:t>
            </w:r>
            <w:r w:rsidRPr="00211161">
              <w:rPr>
                <w:rFonts w:ascii="Times New Roman" w:hAnsi="Times New Roman" w:cs="Times New Roman"/>
                <w:b/>
                <w:bCs/>
                <w:sz w:val="24"/>
                <w:szCs w:val="24"/>
                <w:lang w:val="uk"/>
              </w:rPr>
              <w:t>правил</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tc>
      </w:tr>
      <w:tr w:rsidR="00254925" w:rsidRPr="00211161" w14:paraId="5F01C5DE" w14:textId="77777777" w:rsidTr="003A60C0">
        <w:tc>
          <w:tcPr>
            <w:tcW w:w="7652" w:type="dxa"/>
          </w:tcPr>
          <w:p w14:paraId="32B53D12" w14:textId="77777777" w:rsidR="00254925" w:rsidRPr="00211161" w:rsidRDefault="00254925" w:rsidP="003A60C0">
            <w:pPr>
              <w:spacing w:before="120"/>
              <w:ind w:firstLine="313"/>
              <w:jc w:val="center"/>
              <w:rPr>
                <w:rFonts w:ascii="Times New Roman" w:hAnsi="Times New Roman" w:cs="Times New Roman"/>
                <w:sz w:val="24"/>
                <w:szCs w:val="24"/>
              </w:rPr>
            </w:pPr>
            <w:r w:rsidRPr="00211161">
              <w:rPr>
                <w:rStyle w:val="rvts9"/>
                <w:rFonts w:ascii="Times New Roman" w:hAnsi="Times New Roman" w:cs="Times New Roman"/>
                <w:b/>
                <w:bCs/>
                <w:sz w:val="24"/>
                <w:szCs w:val="24"/>
                <w:shd w:val="clear" w:color="auto" w:fill="FFFFFF"/>
                <w:lang w:val="uk"/>
              </w:rPr>
              <w:t>Стаття 39.</w:t>
            </w:r>
            <w:r w:rsidRPr="00211161">
              <w:rPr>
                <w:rFonts w:ascii="Times New Roman" w:hAnsi="Times New Roman" w:cs="Times New Roman"/>
                <w:sz w:val="24"/>
                <w:szCs w:val="24"/>
                <w:shd w:val="clear" w:color="auto" w:fill="FFFFFF"/>
                <w:lang w:val="uk"/>
              </w:rPr>
              <w:t xml:space="preserve"> Розподіл </w:t>
            </w:r>
            <w:r w:rsidRPr="00211161">
              <w:rPr>
                <w:rFonts w:ascii="Times New Roman" w:hAnsi="Times New Roman" w:cs="Times New Roman"/>
                <w:b/>
                <w:bCs/>
                <w:strike/>
                <w:sz w:val="24"/>
                <w:szCs w:val="24"/>
                <w:shd w:val="clear" w:color="auto" w:fill="FFFFFF"/>
                <w:lang w:val="uk"/>
              </w:rPr>
              <w:t>вільної</w:t>
            </w:r>
            <w:r w:rsidRPr="00211161">
              <w:rPr>
                <w:rFonts w:ascii="Times New Roman" w:hAnsi="Times New Roman" w:cs="Times New Roman"/>
                <w:sz w:val="24"/>
                <w:szCs w:val="24"/>
                <w:shd w:val="clear" w:color="auto" w:fill="FFFFFF"/>
                <w:lang w:val="uk"/>
              </w:rPr>
              <w:t xml:space="preserve"> пропускної спроможності міждержавних перетинів</w:t>
            </w:r>
          </w:p>
        </w:tc>
        <w:tc>
          <w:tcPr>
            <w:tcW w:w="7652" w:type="dxa"/>
          </w:tcPr>
          <w:p w14:paraId="6DF4AF9B" w14:textId="77777777" w:rsidR="00254925" w:rsidRPr="00211161" w:rsidRDefault="00254925" w:rsidP="003A60C0">
            <w:pPr>
              <w:spacing w:before="120"/>
              <w:ind w:firstLine="315"/>
              <w:jc w:val="center"/>
              <w:rPr>
                <w:rFonts w:ascii="Times New Roman" w:hAnsi="Times New Roman" w:cs="Times New Roman"/>
                <w:sz w:val="24"/>
                <w:szCs w:val="24"/>
              </w:rPr>
            </w:pPr>
            <w:r w:rsidRPr="00211161">
              <w:rPr>
                <w:rStyle w:val="rvts9"/>
                <w:rFonts w:ascii="Times New Roman" w:hAnsi="Times New Roman" w:cs="Times New Roman"/>
                <w:b/>
                <w:bCs/>
                <w:sz w:val="24"/>
                <w:szCs w:val="24"/>
                <w:shd w:val="clear" w:color="auto" w:fill="FFFFFF"/>
                <w:lang w:val="uk"/>
              </w:rPr>
              <w:t>Стаття 39.</w:t>
            </w:r>
            <w:r w:rsidRPr="00211161">
              <w:rPr>
                <w:rFonts w:ascii="Times New Roman" w:hAnsi="Times New Roman" w:cs="Times New Roman"/>
                <w:sz w:val="24"/>
                <w:szCs w:val="24"/>
                <w:shd w:val="clear" w:color="auto" w:fill="FFFFFF"/>
                <w:lang w:val="uk"/>
              </w:rPr>
              <w:t> Розподіл пропускної спроможності міждержавних перетинів</w:t>
            </w:r>
          </w:p>
        </w:tc>
      </w:tr>
      <w:tr w:rsidR="001043F0" w:rsidRPr="001043F0" w14:paraId="3E9C0C5E" w14:textId="77777777" w:rsidTr="003A60C0">
        <w:tc>
          <w:tcPr>
            <w:tcW w:w="7652" w:type="dxa"/>
          </w:tcPr>
          <w:p w14:paraId="6210B987" w14:textId="77777777" w:rsidR="00254925" w:rsidRPr="001043F0" w:rsidRDefault="00254925" w:rsidP="003A60C0">
            <w:pPr>
              <w:spacing w:before="120"/>
              <w:ind w:firstLine="313"/>
              <w:jc w:val="both"/>
              <w:rPr>
                <w:rStyle w:val="rvts9"/>
                <w:rFonts w:ascii="Times New Roman" w:hAnsi="Times New Roman" w:cs="Times New Roman"/>
                <w:b/>
                <w:bCs/>
                <w:sz w:val="24"/>
                <w:szCs w:val="24"/>
                <w:shd w:val="clear" w:color="auto" w:fill="FFFFFF"/>
              </w:rPr>
            </w:pPr>
            <w:r w:rsidRPr="001043F0">
              <w:rPr>
                <w:rFonts w:ascii="Times New Roman" w:hAnsi="Times New Roman" w:cs="Times New Roman"/>
                <w:sz w:val="24"/>
                <w:szCs w:val="24"/>
                <w:shd w:val="clear" w:color="auto" w:fill="FFFFFF"/>
                <w:lang w:val="uk"/>
              </w:rPr>
              <w:t xml:space="preserve">1. </w:t>
            </w:r>
            <w:r w:rsidRPr="001043F0">
              <w:rPr>
                <w:rFonts w:ascii="Times New Roman" w:hAnsi="Times New Roman" w:cs="Times New Roman"/>
                <w:b/>
                <w:bCs/>
                <w:sz w:val="24"/>
                <w:szCs w:val="24"/>
                <w:shd w:val="clear" w:color="auto" w:fill="FFFFFF"/>
                <w:lang w:val="uk"/>
              </w:rPr>
              <w:t xml:space="preserve">Вільна </w:t>
            </w:r>
            <w:r w:rsidRPr="001043F0">
              <w:rPr>
                <w:rFonts w:ascii="Times New Roman" w:hAnsi="Times New Roman" w:cs="Times New Roman"/>
                <w:sz w:val="24"/>
                <w:szCs w:val="24"/>
                <w:shd w:val="clear" w:color="auto" w:fill="FFFFFF"/>
                <w:lang w:val="uk"/>
              </w:rPr>
              <w:t xml:space="preserve">пропускна спроможність </w:t>
            </w:r>
            <w:r w:rsidRPr="001043F0">
              <w:rPr>
                <w:rFonts w:ascii="Times New Roman" w:hAnsi="Times New Roman" w:cs="Times New Roman"/>
                <w:b/>
                <w:sz w:val="24"/>
                <w:szCs w:val="24"/>
                <w:shd w:val="clear" w:color="auto" w:fill="FFFFFF"/>
                <w:lang w:val="uk"/>
              </w:rPr>
              <w:t>міждержавних перетинів</w:t>
            </w:r>
            <w:r w:rsidRPr="001043F0">
              <w:rPr>
                <w:rFonts w:ascii="Times New Roman" w:hAnsi="Times New Roman" w:cs="Times New Roman"/>
                <w:sz w:val="24"/>
                <w:szCs w:val="24"/>
                <w:shd w:val="clear" w:color="auto" w:fill="FFFFFF"/>
                <w:lang w:val="uk"/>
              </w:rPr>
              <w:t xml:space="preserve"> розподіляється на явному </w:t>
            </w:r>
            <w:r w:rsidRPr="001043F0">
              <w:rPr>
                <w:rFonts w:ascii="Times New Roman" w:hAnsi="Times New Roman" w:cs="Times New Roman"/>
                <w:b/>
                <w:bCs/>
                <w:strike/>
                <w:sz w:val="24"/>
                <w:szCs w:val="24"/>
                <w:shd w:val="clear" w:color="auto" w:fill="FFFFFF"/>
                <w:lang w:val="uk"/>
              </w:rPr>
              <w:t>та</w:t>
            </w:r>
            <w:r w:rsidRPr="001043F0">
              <w:rPr>
                <w:rFonts w:ascii="Times New Roman" w:hAnsi="Times New Roman" w:cs="Times New Roman"/>
                <w:sz w:val="24"/>
                <w:szCs w:val="24"/>
                <w:shd w:val="clear" w:color="auto" w:fill="FFFFFF"/>
                <w:lang w:val="uk"/>
              </w:rPr>
              <w:t>/або неявному аукціонах, які проводяться за процедурою електронного аукціону з використанням електронного документообігу та електронного цифрового підпису. Обидва аукціони можуть проводитися для одного і того самого міждержавного перетину.</w:t>
            </w:r>
          </w:p>
        </w:tc>
        <w:tc>
          <w:tcPr>
            <w:tcW w:w="7652" w:type="dxa"/>
          </w:tcPr>
          <w:p w14:paraId="36AA4EC1" w14:textId="337E9935" w:rsidR="00254925" w:rsidRPr="001043F0" w:rsidRDefault="00254925" w:rsidP="003A60C0">
            <w:pPr>
              <w:spacing w:before="120"/>
              <w:ind w:firstLine="315"/>
              <w:jc w:val="both"/>
              <w:rPr>
                <w:rStyle w:val="rvts9"/>
                <w:rFonts w:ascii="Times New Roman" w:hAnsi="Times New Roman" w:cs="Times New Roman"/>
                <w:b/>
                <w:bCs/>
                <w:sz w:val="24"/>
                <w:szCs w:val="24"/>
                <w:shd w:val="clear" w:color="auto" w:fill="FFFFFF"/>
              </w:rPr>
            </w:pPr>
            <w:r w:rsidRPr="001043F0">
              <w:rPr>
                <w:rFonts w:ascii="Times New Roman" w:hAnsi="Times New Roman" w:cs="Times New Roman"/>
                <w:sz w:val="24"/>
                <w:szCs w:val="24"/>
                <w:shd w:val="clear" w:color="auto" w:fill="FFFFFF"/>
                <w:lang w:val="uk"/>
              </w:rPr>
              <w:t xml:space="preserve">1. </w:t>
            </w:r>
            <w:r w:rsidRPr="001043F0">
              <w:rPr>
                <w:rFonts w:ascii="Times New Roman" w:hAnsi="Times New Roman" w:cs="Times New Roman"/>
                <w:b/>
                <w:bCs/>
                <w:sz w:val="24"/>
                <w:szCs w:val="24"/>
                <w:shd w:val="clear" w:color="auto" w:fill="FFFFFF"/>
                <w:lang w:val="uk"/>
              </w:rPr>
              <w:t xml:space="preserve">Пропонована </w:t>
            </w:r>
            <w:r w:rsidRPr="001043F0">
              <w:rPr>
                <w:rFonts w:ascii="Times New Roman" w:hAnsi="Times New Roman" w:cs="Times New Roman"/>
                <w:sz w:val="24"/>
                <w:szCs w:val="24"/>
                <w:shd w:val="clear" w:color="auto" w:fill="FFFFFF"/>
                <w:lang w:val="uk"/>
              </w:rPr>
              <w:t xml:space="preserve">пропускна спроможність </w:t>
            </w:r>
            <w:r w:rsidRPr="001043F0">
              <w:rPr>
                <w:rFonts w:ascii="Times New Roman" w:hAnsi="Times New Roman" w:cs="Times New Roman"/>
                <w:b/>
                <w:sz w:val="24"/>
                <w:szCs w:val="24"/>
                <w:shd w:val="clear" w:color="auto" w:fill="FFFFFF"/>
                <w:lang w:val="uk"/>
              </w:rPr>
              <w:t>міждержавн</w:t>
            </w:r>
            <w:r w:rsidR="008E2F17" w:rsidRPr="001043F0">
              <w:rPr>
                <w:rFonts w:ascii="Times New Roman" w:hAnsi="Times New Roman" w:cs="Times New Roman"/>
                <w:b/>
                <w:bCs/>
                <w:sz w:val="24"/>
                <w:szCs w:val="24"/>
                <w:shd w:val="clear" w:color="auto" w:fill="FFFFFF"/>
                <w:lang w:val="uk"/>
              </w:rPr>
              <w:t>ого</w:t>
            </w:r>
            <w:r w:rsidRPr="001043F0">
              <w:rPr>
                <w:rFonts w:ascii="Times New Roman" w:hAnsi="Times New Roman" w:cs="Times New Roman"/>
                <w:b/>
                <w:sz w:val="24"/>
                <w:szCs w:val="24"/>
                <w:shd w:val="clear" w:color="auto" w:fill="FFFFFF"/>
                <w:lang w:val="uk"/>
              </w:rPr>
              <w:t xml:space="preserve"> перетин</w:t>
            </w:r>
            <w:r w:rsidR="008E2F17" w:rsidRPr="001043F0">
              <w:rPr>
                <w:rFonts w:ascii="Times New Roman" w:hAnsi="Times New Roman" w:cs="Times New Roman"/>
                <w:b/>
                <w:bCs/>
                <w:sz w:val="24"/>
                <w:szCs w:val="24"/>
                <w:shd w:val="clear" w:color="auto" w:fill="FFFFFF"/>
                <w:lang w:val="uk"/>
              </w:rPr>
              <w:t>у</w:t>
            </w:r>
            <w:r w:rsidRPr="001043F0">
              <w:rPr>
                <w:rFonts w:ascii="Times New Roman" w:hAnsi="Times New Roman" w:cs="Times New Roman"/>
                <w:sz w:val="24"/>
                <w:szCs w:val="24"/>
                <w:shd w:val="clear" w:color="auto" w:fill="FFFFFF"/>
                <w:lang w:val="uk"/>
              </w:rPr>
              <w:t xml:space="preserve"> розподіляється на явному </w:t>
            </w:r>
            <w:r w:rsidRPr="001043F0">
              <w:rPr>
                <w:rFonts w:ascii="Times New Roman" w:hAnsi="Times New Roman" w:cs="Times New Roman"/>
                <w:b/>
                <w:sz w:val="24"/>
                <w:szCs w:val="24"/>
                <w:shd w:val="clear" w:color="auto" w:fill="FFFFFF"/>
                <w:lang w:val="uk"/>
              </w:rPr>
              <w:t>або</w:t>
            </w:r>
            <w:r w:rsidRPr="001043F0">
              <w:rPr>
                <w:rFonts w:ascii="Times New Roman" w:hAnsi="Times New Roman" w:cs="Times New Roman"/>
                <w:sz w:val="24"/>
                <w:szCs w:val="24"/>
                <w:shd w:val="clear" w:color="auto" w:fill="FFFFFF"/>
                <w:lang w:val="uk"/>
              </w:rPr>
              <w:t xml:space="preserve"> неявному аукціонах, які проводяться за процедурою електронного аукціону з використанням електронного документообігу та електронного цифрового підпису. Обидва аукціони можуть проводитися для одного і того самого міждержавного перетину.</w:t>
            </w:r>
          </w:p>
        </w:tc>
      </w:tr>
      <w:tr w:rsidR="00254925" w:rsidRPr="00211161" w14:paraId="512B3D31" w14:textId="77777777" w:rsidTr="003A60C0">
        <w:tc>
          <w:tcPr>
            <w:tcW w:w="7652" w:type="dxa"/>
          </w:tcPr>
          <w:p w14:paraId="03934C37" w14:textId="77777777" w:rsidR="00254925" w:rsidRPr="00211161" w:rsidRDefault="00254925" w:rsidP="003A60C0">
            <w:pPr>
              <w:spacing w:before="120"/>
              <w:ind w:firstLine="313"/>
              <w:jc w:val="both"/>
              <w:rPr>
                <w:rFonts w:ascii="Times New Roman" w:hAnsi="Times New Roman" w:cs="Times New Roman"/>
                <w:b/>
                <w:bCs/>
                <w:strike/>
                <w:sz w:val="24"/>
                <w:szCs w:val="24"/>
                <w:lang w:val="uk-UA"/>
              </w:rPr>
            </w:pPr>
            <w:r w:rsidRPr="00211161">
              <w:rPr>
                <w:rFonts w:ascii="Times New Roman" w:hAnsi="Times New Roman" w:cs="Times New Roman"/>
                <w:b/>
                <w:bCs/>
                <w:strike/>
                <w:sz w:val="24"/>
                <w:szCs w:val="24"/>
                <w:lang w:val="uk"/>
              </w:rPr>
              <w:t xml:space="preserve">5. На кожному аукціоні має розподілятися частина доступної пропускної спроможності, запланована для розподілу на цьому </w:t>
            </w:r>
            <w:r w:rsidRPr="00211161">
              <w:rPr>
                <w:rFonts w:ascii="Times New Roman" w:hAnsi="Times New Roman" w:cs="Times New Roman"/>
                <w:b/>
                <w:bCs/>
                <w:strike/>
                <w:sz w:val="24"/>
                <w:szCs w:val="24"/>
                <w:lang w:val="uk"/>
              </w:rPr>
              <w:lastRenderedPageBreak/>
              <w:t>аукціоні, а також пропускна спроможність, нерозподілена раніше, та невикористана величина пропускної спроможності, розподіленої на попередніх аукціонах.</w:t>
            </w:r>
          </w:p>
        </w:tc>
        <w:tc>
          <w:tcPr>
            <w:tcW w:w="7652" w:type="dxa"/>
          </w:tcPr>
          <w:p w14:paraId="44DF9A32" w14:textId="7299F587" w:rsidR="00254925" w:rsidRPr="00211161" w:rsidRDefault="0096128C" w:rsidP="003A60C0">
            <w:pPr>
              <w:spacing w:before="120"/>
              <w:ind w:firstLine="315"/>
              <w:rPr>
                <w:rFonts w:ascii="Times New Roman" w:hAnsi="Times New Roman" w:cs="Times New Roman"/>
                <w:b/>
                <w:bCs/>
                <w:sz w:val="24"/>
                <w:szCs w:val="24"/>
              </w:rPr>
            </w:pPr>
            <w:r w:rsidRPr="00211161">
              <w:rPr>
                <w:rFonts w:ascii="Times New Roman" w:hAnsi="Times New Roman" w:cs="Times New Roman"/>
                <w:b/>
                <w:bCs/>
                <w:sz w:val="24"/>
                <w:szCs w:val="24"/>
                <w:lang w:val="uk"/>
              </w:rPr>
              <w:lastRenderedPageBreak/>
              <w:t xml:space="preserve">Виключити </w:t>
            </w:r>
          </w:p>
        </w:tc>
      </w:tr>
      <w:tr w:rsidR="00254925" w:rsidRPr="00211161" w14:paraId="0199FB3B" w14:textId="77777777" w:rsidTr="003A60C0">
        <w:tc>
          <w:tcPr>
            <w:tcW w:w="7652" w:type="dxa"/>
          </w:tcPr>
          <w:p w14:paraId="02D75027" w14:textId="77777777" w:rsidR="00254925" w:rsidRPr="00211161" w:rsidRDefault="00254925" w:rsidP="003A60C0">
            <w:pPr>
              <w:spacing w:before="120"/>
              <w:ind w:firstLine="313"/>
              <w:jc w:val="both"/>
              <w:rPr>
                <w:rFonts w:ascii="Times New Roman" w:hAnsi="Times New Roman" w:cs="Times New Roman"/>
                <w:sz w:val="24"/>
                <w:szCs w:val="24"/>
                <w:lang w:val="uk-UA"/>
              </w:rPr>
            </w:pPr>
            <w:r w:rsidRPr="00211161">
              <w:rPr>
                <w:rFonts w:ascii="Times New Roman" w:hAnsi="Times New Roman" w:cs="Times New Roman"/>
                <w:sz w:val="24"/>
                <w:szCs w:val="24"/>
                <w:lang w:val="uk"/>
              </w:rPr>
              <w:t>6. Розподіл пропускної спроможності міждержавних перетинів здійснюється відповідно до </w:t>
            </w:r>
            <w:bookmarkStart w:id="4" w:name="w1_152"/>
            <w:r w:rsidRPr="00211161">
              <w:rPr>
                <w:rFonts w:ascii="Times New Roman" w:hAnsi="Times New Roman" w:cs="Times New Roman"/>
                <w:sz w:val="24"/>
                <w:szCs w:val="24"/>
                <w:lang w:val="uk"/>
              </w:rPr>
              <w:fldChar w:fldCharType="begin"/>
            </w:r>
            <w:r w:rsidRPr="00211161">
              <w:rPr>
                <w:rFonts w:ascii="Times New Roman" w:hAnsi="Times New Roman" w:cs="Times New Roman"/>
                <w:sz w:val="24"/>
                <w:szCs w:val="24"/>
                <w:lang w:val="uk"/>
              </w:rPr>
              <w:instrText xml:space="preserve"> HYPERLINK "https://zakon.rada.gov.ua/laws/show/2019-19?find=1&amp;text=%D0%BF%D0%BE%D1%80%D1%8F%D0%B4" \l "w1_153" </w:instrText>
            </w:r>
            <w:r w:rsidRPr="00211161">
              <w:rPr>
                <w:rFonts w:ascii="Times New Roman" w:hAnsi="Times New Roman" w:cs="Times New Roman"/>
                <w:sz w:val="24"/>
                <w:szCs w:val="24"/>
                <w:lang w:val="uk"/>
              </w:rPr>
              <w:fldChar w:fldCharType="separate"/>
            </w:r>
            <w:r w:rsidRPr="00211161">
              <w:rPr>
                <w:rFonts w:ascii="Times New Roman" w:hAnsi="Times New Roman" w:cs="Times New Roman"/>
                <w:b/>
                <w:bCs/>
                <w:sz w:val="24"/>
                <w:szCs w:val="24"/>
                <w:lang w:val="uk"/>
              </w:rPr>
              <w:t>поряд</w:t>
            </w:r>
            <w:r w:rsidRPr="00211161">
              <w:rPr>
                <w:rFonts w:ascii="Times New Roman" w:hAnsi="Times New Roman" w:cs="Times New Roman"/>
                <w:b/>
                <w:bCs/>
                <w:sz w:val="24"/>
                <w:szCs w:val="24"/>
                <w:lang w:val="uk"/>
              </w:rPr>
              <w:fldChar w:fldCharType="end"/>
            </w:r>
            <w:bookmarkEnd w:id="4"/>
            <w:r w:rsidRPr="00211161">
              <w:rPr>
                <w:rFonts w:ascii="Times New Roman" w:hAnsi="Times New Roman" w:cs="Times New Roman"/>
                <w:b/>
                <w:bCs/>
                <w:sz w:val="24"/>
                <w:szCs w:val="24"/>
                <w:lang w:val="uk"/>
              </w:rPr>
              <w:t>ку</w:t>
            </w:r>
            <w:r w:rsidRPr="00211161">
              <w:rPr>
                <w:rFonts w:ascii="Times New Roman" w:hAnsi="Times New Roman" w:cs="Times New Roman"/>
                <w:sz w:val="24"/>
                <w:szCs w:val="24"/>
                <w:lang w:val="uk"/>
              </w:rPr>
              <w:t xml:space="preserve"> розподілу пропускної спроможності міждержавних </w:t>
            </w:r>
            <w:proofErr w:type="spellStart"/>
            <w:r w:rsidRPr="00211161">
              <w:rPr>
                <w:rFonts w:ascii="Times New Roman" w:hAnsi="Times New Roman" w:cs="Times New Roman"/>
                <w:sz w:val="24"/>
                <w:szCs w:val="24"/>
                <w:lang w:val="uk"/>
              </w:rPr>
              <w:t>перетенів</w:t>
            </w:r>
            <w:proofErr w:type="spellEnd"/>
            <w:r w:rsidRPr="00211161">
              <w:rPr>
                <w:rFonts w:ascii="Times New Roman" w:hAnsi="Times New Roman" w:cs="Times New Roman"/>
                <w:sz w:val="24"/>
                <w:szCs w:val="24"/>
                <w:lang w:val="uk"/>
              </w:rPr>
              <w:t>.</w:t>
            </w:r>
          </w:p>
          <w:p w14:paraId="192AA95C" w14:textId="77777777" w:rsidR="00254925" w:rsidRPr="00211161" w:rsidRDefault="00254925" w:rsidP="003A60C0">
            <w:pPr>
              <w:ind w:firstLine="312"/>
              <w:jc w:val="both"/>
              <w:rPr>
                <w:rFonts w:ascii="Times New Roman" w:hAnsi="Times New Roman" w:cs="Times New Roman"/>
                <w:sz w:val="24"/>
                <w:szCs w:val="24"/>
              </w:rPr>
            </w:pPr>
            <w:bookmarkStart w:id="5" w:name="n843"/>
            <w:bookmarkEnd w:id="5"/>
            <w:r w:rsidRPr="00211161">
              <w:rPr>
                <w:rFonts w:ascii="Times New Roman" w:hAnsi="Times New Roman" w:cs="Times New Roman"/>
                <w:sz w:val="24"/>
                <w:szCs w:val="24"/>
                <w:lang w:val="uk"/>
              </w:rPr>
              <w:t>Пропускна спроможність міждержавних перетинів, що розподілена, є гарантованою.</w:t>
            </w:r>
          </w:p>
        </w:tc>
        <w:tc>
          <w:tcPr>
            <w:tcW w:w="7652" w:type="dxa"/>
          </w:tcPr>
          <w:p w14:paraId="14AFE2F4" w14:textId="1007C699" w:rsidR="00254925" w:rsidRPr="00211161" w:rsidRDefault="00D95EBD" w:rsidP="003A60C0">
            <w:pPr>
              <w:spacing w:before="120"/>
              <w:ind w:firstLine="315"/>
              <w:jc w:val="both"/>
              <w:rPr>
                <w:rFonts w:ascii="Times New Roman" w:hAnsi="Times New Roman" w:cs="Times New Roman"/>
                <w:sz w:val="24"/>
                <w:szCs w:val="24"/>
                <w:lang w:val="uk"/>
              </w:rPr>
            </w:pPr>
            <w:r w:rsidRPr="00211161">
              <w:rPr>
                <w:rFonts w:ascii="Times New Roman" w:hAnsi="Times New Roman" w:cs="Times New Roman"/>
                <w:sz w:val="24"/>
                <w:szCs w:val="24"/>
                <w:lang w:val="uk"/>
              </w:rPr>
              <w:t>5</w:t>
            </w:r>
            <w:r w:rsidR="00254925" w:rsidRPr="00211161">
              <w:rPr>
                <w:rFonts w:ascii="Times New Roman" w:hAnsi="Times New Roman" w:cs="Times New Roman"/>
                <w:sz w:val="24"/>
                <w:szCs w:val="24"/>
                <w:lang w:val="uk"/>
              </w:rPr>
              <w:t>. Розподіл пропускної спроможності міждержавних перетинів здійснюється відповідно до</w:t>
            </w:r>
            <w:r w:rsidR="00254925" w:rsidRPr="00211161">
              <w:rPr>
                <w:rFonts w:ascii="Times New Roman" w:hAnsi="Times New Roman" w:cs="Times New Roman"/>
                <w:b/>
                <w:bCs/>
                <w:sz w:val="24"/>
                <w:szCs w:val="24"/>
                <w:lang w:val="uk"/>
              </w:rPr>
              <w:t xml:space="preserve"> правил</w:t>
            </w:r>
            <w:r w:rsidR="00254925" w:rsidRPr="00211161">
              <w:rPr>
                <w:rFonts w:ascii="Times New Roman" w:hAnsi="Times New Roman" w:cs="Times New Roman"/>
                <w:sz w:val="24"/>
                <w:szCs w:val="24"/>
                <w:lang w:val="uk"/>
              </w:rPr>
              <w:t xml:space="preserve"> розподілу пропускної спроможності міждержавних перетинів.</w:t>
            </w:r>
          </w:p>
          <w:p w14:paraId="3AA25B6B" w14:textId="77777777" w:rsidR="00254925" w:rsidRPr="00211161" w:rsidRDefault="00254925" w:rsidP="003A60C0">
            <w:pPr>
              <w:ind w:firstLine="318"/>
              <w:jc w:val="both"/>
              <w:rPr>
                <w:rFonts w:ascii="Times New Roman" w:hAnsi="Times New Roman" w:cs="Times New Roman"/>
                <w:sz w:val="24"/>
                <w:szCs w:val="24"/>
              </w:rPr>
            </w:pPr>
            <w:r w:rsidRPr="00211161">
              <w:rPr>
                <w:rFonts w:ascii="Times New Roman" w:hAnsi="Times New Roman" w:cs="Times New Roman"/>
                <w:sz w:val="24"/>
                <w:szCs w:val="24"/>
                <w:lang w:val="uk"/>
              </w:rPr>
              <w:t>Пропускна спроможність міждержавних перетинів, що розподілена, є гарантованою.</w:t>
            </w:r>
          </w:p>
        </w:tc>
      </w:tr>
      <w:tr w:rsidR="00254925" w:rsidRPr="00211161" w14:paraId="3536A7C8" w14:textId="77777777" w:rsidTr="003A60C0">
        <w:tc>
          <w:tcPr>
            <w:tcW w:w="7652" w:type="dxa"/>
          </w:tcPr>
          <w:p w14:paraId="0B47B45E" w14:textId="77777777" w:rsidR="00254925" w:rsidRPr="00211161" w:rsidRDefault="00254925"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7. Пропускна спроможність міждержавних перетинів на короткостроковий період, що пропонується у процесі розподілу на аукціоні, може визначатися як негарантована, про що має бути повідомлено до проведення аукціону.</w:t>
            </w:r>
          </w:p>
          <w:p w14:paraId="58DF3AE3" w14:textId="77777777" w:rsidR="00254925" w:rsidRPr="00211161" w:rsidRDefault="00254925" w:rsidP="003A60C0">
            <w:pPr>
              <w:ind w:firstLine="312"/>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Власники фізичного права на передачу на довгостроковий або середньостроковий період мають право передати або продати іншим зареєстрованим учасникам таке фізичне право на передачу, повідомивши про це аукціонний офіс у встановленому порядку. У разі відмови у передачі або у продажу фізичного права на передачу аукціонний офіс повинен пояснити причини такої відмови відповідним власникам фізичного права на передачу та Регулятору. Перелік підстав, з яких аукціонний офіс може відмовити у передачі або у продажу фізичного права на передачу, визначається </w:t>
            </w:r>
            <w:r w:rsidRPr="00211161">
              <w:rPr>
                <w:rFonts w:ascii="Times New Roman" w:hAnsi="Times New Roman" w:cs="Times New Roman"/>
                <w:b/>
                <w:bCs/>
                <w:sz w:val="24"/>
                <w:szCs w:val="24"/>
                <w:lang w:val="uk"/>
              </w:rPr>
              <w:t>порядком</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p w14:paraId="06E2F969" w14:textId="77777777" w:rsidR="00254925" w:rsidRPr="00211161" w:rsidRDefault="00254925" w:rsidP="003A60C0">
            <w:pPr>
              <w:ind w:firstLine="313"/>
              <w:jc w:val="both"/>
              <w:rPr>
                <w:rFonts w:ascii="Times New Roman" w:hAnsi="Times New Roman" w:cs="Times New Roman"/>
                <w:sz w:val="24"/>
                <w:szCs w:val="24"/>
              </w:rPr>
            </w:pPr>
          </w:p>
          <w:p w14:paraId="4C86F255" w14:textId="77777777" w:rsidR="00254925" w:rsidRPr="00211161" w:rsidRDefault="00254925" w:rsidP="003A60C0">
            <w:pPr>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На фізичне право на передачу на довгостроковий або середньостроковий період поширюється принцип "використовуй або продай", що застосовується з урахуванням вимог </w:t>
            </w:r>
            <w:r w:rsidRPr="00211161">
              <w:rPr>
                <w:rFonts w:ascii="Times New Roman" w:hAnsi="Times New Roman" w:cs="Times New Roman"/>
                <w:b/>
                <w:bCs/>
                <w:sz w:val="24"/>
                <w:szCs w:val="24"/>
                <w:lang w:val="uk"/>
              </w:rPr>
              <w:t>порядку</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p w14:paraId="700B81C4" w14:textId="77777777" w:rsidR="00254925" w:rsidRPr="00211161" w:rsidRDefault="00254925" w:rsidP="003A60C0">
            <w:pPr>
              <w:ind w:firstLine="313"/>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Перед кожним розподілом фізичного права на передачу аукціонний офіс має </w:t>
            </w:r>
            <w:r w:rsidRPr="00E3250C">
              <w:rPr>
                <w:rFonts w:ascii="Times New Roman" w:hAnsi="Times New Roman" w:cs="Times New Roman"/>
                <w:bCs/>
                <w:sz w:val="24"/>
                <w:szCs w:val="24"/>
                <w:lang w:val="uk"/>
              </w:rPr>
              <w:t>оприлюднити</w:t>
            </w:r>
            <w:r w:rsidRPr="00211161">
              <w:rPr>
                <w:rFonts w:ascii="Times New Roman" w:hAnsi="Times New Roman" w:cs="Times New Roman"/>
                <w:b/>
                <w:bCs/>
                <w:sz w:val="24"/>
                <w:szCs w:val="24"/>
                <w:lang w:val="uk"/>
              </w:rPr>
              <w:t xml:space="preserve"> обсяг пропускної спроможності, що розподілятиметься</w:t>
            </w:r>
            <w:r w:rsidRPr="00211161">
              <w:rPr>
                <w:rFonts w:ascii="Times New Roman" w:hAnsi="Times New Roman" w:cs="Times New Roman"/>
                <w:sz w:val="24"/>
                <w:szCs w:val="24"/>
                <w:lang w:val="uk"/>
              </w:rPr>
              <w:t>, а також періоди часу, протягом яких пропускна спроможність буде скорочена або недоступна.</w:t>
            </w:r>
          </w:p>
        </w:tc>
        <w:tc>
          <w:tcPr>
            <w:tcW w:w="7652" w:type="dxa"/>
          </w:tcPr>
          <w:p w14:paraId="32876F3B" w14:textId="77777777" w:rsidR="00E3250C" w:rsidRPr="00E3250C" w:rsidRDefault="00D95EBD" w:rsidP="003A60C0">
            <w:pPr>
              <w:spacing w:before="120"/>
              <w:ind w:firstLine="315"/>
              <w:jc w:val="both"/>
              <w:rPr>
                <w:rFonts w:ascii="Times New Roman" w:hAnsi="Times New Roman" w:cs="Times New Roman"/>
                <w:sz w:val="24"/>
                <w:szCs w:val="24"/>
                <w:lang w:val="uk"/>
              </w:rPr>
            </w:pPr>
            <w:r w:rsidRPr="00211161">
              <w:rPr>
                <w:rFonts w:ascii="Times New Roman" w:hAnsi="Times New Roman" w:cs="Times New Roman"/>
                <w:sz w:val="24"/>
                <w:szCs w:val="24"/>
                <w:lang w:val="uk"/>
              </w:rPr>
              <w:t>6</w:t>
            </w:r>
            <w:r w:rsidR="00254925" w:rsidRPr="00211161">
              <w:rPr>
                <w:rFonts w:ascii="Times New Roman" w:hAnsi="Times New Roman" w:cs="Times New Roman"/>
                <w:sz w:val="24"/>
                <w:szCs w:val="24"/>
                <w:lang w:val="uk"/>
              </w:rPr>
              <w:t xml:space="preserve">. </w:t>
            </w:r>
            <w:r w:rsidR="00E3250C" w:rsidRPr="00E3250C">
              <w:rPr>
                <w:rFonts w:ascii="Times New Roman" w:hAnsi="Times New Roman" w:cs="Times New Roman"/>
                <w:sz w:val="24"/>
                <w:szCs w:val="24"/>
                <w:lang w:val="uk"/>
              </w:rPr>
              <w:t>Пропускна спроможність міждержавних перетинів на короткостроковий період, що пропонується у процесі розподілу на аукціоні, може визначатися як негарантована, про що має бути повідомлено до проведення аукціону.</w:t>
            </w:r>
          </w:p>
          <w:p w14:paraId="10C2E69B" w14:textId="77777777" w:rsidR="00E3250C" w:rsidRPr="00E3250C" w:rsidRDefault="00E3250C" w:rsidP="003A60C0">
            <w:pPr>
              <w:ind w:firstLine="318"/>
              <w:jc w:val="both"/>
              <w:rPr>
                <w:rFonts w:ascii="Times New Roman" w:hAnsi="Times New Roman" w:cs="Times New Roman"/>
                <w:sz w:val="24"/>
                <w:szCs w:val="24"/>
                <w:lang w:val="uk"/>
              </w:rPr>
            </w:pPr>
            <w:r w:rsidRPr="00E3250C">
              <w:rPr>
                <w:rFonts w:ascii="Times New Roman" w:hAnsi="Times New Roman" w:cs="Times New Roman"/>
                <w:sz w:val="24"/>
                <w:szCs w:val="24"/>
                <w:lang w:val="uk"/>
              </w:rPr>
              <w:t xml:space="preserve">Власники фізичного права на передачу на довгостроковий або середньостроковий період мають право передати або продати іншим зареєстрованим учасникам таке фізичне право на передачу </w:t>
            </w:r>
            <w:r w:rsidRPr="00E3250C">
              <w:rPr>
                <w:rFonts w:ascii="Times New Roman" w:hAnsi="Times New Roman" w:cs="Times New Roman"/>
                <w:b/>
                <w:sz w:val="24"/>
                <w:szCs w:val="24"/>
                <w:lang w:val="uk"/>
              </w:rPr>
              <w:t>або повернути його аукціонному офісу</w:t>
            </w:r>
            <w:r w:rsidRPr="00E3250C">
              <w:rPr>
                <w:rFonts w:ascii="Times New Roman" w:hAnsi="Times New Roman" w:cs="Times New Roman"/>
                <w:sz w:val="24"/>
                <w:szCs w:val="24"/>
                <w:lang w:val="uk"/>
              </w:rPr>
              <w:t xml:space="preserve">, повідомивши про це аукціонний офіс у встановленому порядку. У разі відмови у передачі, </w:t>
            </w:r>
            <w:r w:rsidRPr="00E3250C">
              <w:rPr>
                <w:rFonts w:ascii="Times New Roman" w:hAnsi="Times New Roman" w:cs="Times New Roman"/>
                <w:b/>
                <w:sz w:val="24"/>
                <w:szCs w:val="24"/>
                <w:lang w:val="uk"/>
              </w:rPr>
              <w:t>продажу або у поверненні</w:t>
            </w:r>
            <w:r w:rsidRPr="00E3250C">
              <w:rPr>
                <w:rFonts w:ascii="Times New Roman" w:hAnsi="Times New Roman" w:cs="Times New Roman"/>
                <w:sz w:val="24"/>
                <w:szCs w:val="24"/>
                <w:lang w:val="uk"/>
              </w:rPr>
              <w:t xml:space="preserve"> фізичного права на передачу, аукціонний офіс повинен пояснити причини такої відмови відповідним власникам фізичного права на передачу та Регулятору. Перелік підстав, з яких аукціонний офіс може відмовити у передачі, </w:t>
            </w:r>
            <w:r w:rsidRPr="00E3250C">
              <w:rPr>
                <w:rFonts w:ascii="Times New Roman" w:hAnsi="Times New Roman" w:cs="Times New Roman"/>
                <w:b/>
                <w:sz w:val="24"/>
                <w:szCs w:val="24"/>
                <w:lang w:val="uk"/>
              </w:rPr>
              <w:t>продажу або у поверненні</w:t>
            </w:r>
            <w:r w:rsidRPr="00E3250C">
              <w:rPr>
                <w:rFonts w:ascii="Times New Roman" w:hAnsi="Times New Roman" w:cs="Times New Roman"/>
                <w:sz w:val="24"/>
                <w:szCs w:val="24"/>
                <w:lang w:val="uk"/>
              </w:rPr>
              <w:t xml:space="preserve"> фізичного права на передачу, визначається </w:t>
            </w:r>
            <w:r w:rsidRPr="00E3250C">
              <w:rPr>
                <w:rFonts w:ascii="Times New Roman" w:hAnsi="Times New Roman" w:cs="Times New Roman"/>
                <w:b/>
                <w:sz w:val="24"/>
                <w:szCs w:val="24"/>
                <w:lang w:val="uk"/>
              </w:rPr>
              <w:t>правилами</w:t>
            </w:r>
            <w:r w:rsidRPr="00E3250C">
              <w:rPr>
                <w:rFonts w:ascii="Times New Roman" w:hAnsi="Times New Roman" w:cs="Times New Roman"/>
                <w:sz w:val="24"/>
                <w:szCs w:val="24"/>
                <w:lang w:val="uk"/>
              </w:rPr>
              <w:t xml:space="preserve"> розподілу пропускної спроможності міждержавних перетинів.</w:t>
            </w:r>
          </w:p>
          <w:p w14:paraId="20157651" w14:textId="77777777" w:rsidR="00E3250C" w:rsidRPr="00E3250C" w:rsidRDefault="00E3250C" w:rsidP="003A60C0">
            <w:pPr>
              <w:ind w:firstLine="315"/>
              <w:jc w:val="both"/>
              <w:rPr>
                <w:rFonts w:ascii="Times New Roman" w:hAnsi="Times New Roman" w:cs="Times New Roman"/>
                <w:sz w:val="24"/>
                <w:szCs w:val="24"/>
                <w:lang w:val="uk"/>
              </w:rPr>
            </w:pPr>
            <w:r w:rsidRPr="00E3250C">
              <w:rPr>
                <w:rFonts w:ascii="Times New Roman" w:hAnsi="Times New Roman" w:cs="Times New Roman"/>
                <w:sz w:val="24"/>
                <w:szCs w:val="24"/>
                <w:lang w:val="uk"/>
              </w:rPr>
              <w:t xml:space="preserve">На фізичне право на передачу на довгостроковий або середньостроковий період поширюється принцип «використовуй або продай», що застосовується з урахуванням вимог </w:t>
            </w:r>
            <w:r w:rsidRPr="00E3250C">
              <w:rPr>
                <w:rFonts w:ascii="Times New Roman" w:hAnsi="Times New Roman" w:cs="Times New Roman"/>
                <w:b/>
                <w:sz w:val="24"/>
                <w:szCs w:val="24"/>
                <w:lang w:val="uk"/>
              </w:rPr>
              <w:t>правил</w:t>
            </w:r>
            <w:r w:rsidRPr="00E3250C">
              <w:rPr>
                <w:rFonts w:ascii="Times New Roman" w:hAnsi="Times New Roman" w:cs="Times New Roman"/>
                <w:sz w:val="24"/>
                <w:szCs w:val="24"/>
                <w:lang w:val="uk"/>
              </w:rPr>
              <w:t xml:space="preserve"> розподілу пропускної спроможності міждержавних перетинів.</w:t>
            </w:r>
          </w:p>
          <w:p w14:paraId="4A4E343B" w14:textId="486ED2DC" w:rsidR="00254925" w:rsidRPr="00211161" w:rsidRDefault="00E3250C" w:rsidP="003A60C0">
            <w:pPr>
              <w:ind w:firstLine="315"/>
              <w:jc w:val="both"/>
              <w:rPr>
                <w:rFonts w:ascii="Times New Roman" w:hAnsi="Times New Roman" w:cs="Times New Roman"/>
                <w:sz w:val="24"/>
                <w:szCs w:val="24"/>
              </w:rPr>
            </w:pPr>
            <w:r w:rsidRPr="00E3250C">
              <w:rPr>
                <w:rFonts w:ascii="Times New Roman" w:hAnsi="Times New Roman" w:cs="Times New Roman"/>
                <w:sz w:val="24"/>
                <w:szCs w:val="24"/>
                <w:lang w:val="uk"/>
              </w:rPr>
              <w:t xml:space="preserve">Перед кожним розподілом фізичного права на передачу аукціонний офіс має оприлюднити </w:t>
            </w:r>
            <w:r w:rsidRPr="00E3250C">
              <w:rPr>
                <w:rFonts w:ascii="Times New Roman" w:hAnsi="Times New Roman" w:cs="Times New Roman"/>
                <w:b/>
                <w:sz w:val="24"/>
                <w:szCs w:val="24"/>
                <w:lang w:val="uk"/>
              </w:rPr>
              <w:t>пропоновану пропускну спроможність</w:t>
            </w:r>
            <w:r w:rsidRPr="00E3250C">
              <w:rPr>
                <w:rFonts w:ascii="Times New Roman" w:hAnsi="Times New Roman" w:cs="Times New Roman"/>
                <w:sz w:val="24"/>
                <w:szCs w:val="24"/>
                <w:lang w:val="uk"/>
              </w:rPr>
              <w:t>, а також періоди часу, протягом яких пропускна спроможність буде скорочена або недоступна</w:t>
            </w:r>
            <w:r>
              <w:rPr>
                <w:rFonts w:ascii="Times New Roman" w:hAnsi="Times New Roman" w:cs="Times New Roman"/>
                <w:sz w:val="24"/>
                <w:szCs w:val="24"/>
                <w:lang w:val="uk"/>
              </w:rPr>
              <w:t>.</w:t>
            </w:r>
          </w:p>
        </w:tc>
      </w:tr>
      <w:tr w:rsidR="00254925" w:rsidRPr="00211161" w14:paraId="4DD3E23B" w14:textId="77777777" w:rsidTr="003A60C0">
        <w:trPr>
          <w:trHeight w:val="1713"/>
        </w:trPr>
        <w:tc>
          <w:tcPr>
            <w:tcW w:w="7652" w:type="dxa"/>
          </w:tcPr>
          <w:p w14:paraId="0CCF7029" w14:textId="77777777" w:rsidR="00254925" w:rsidRPr="00211161" w:rsidRDefault="00254925" w:rsidP="003A60C0">
            <w:pPr>
              <w:spacing w:before="120"/>
              <w:ind w:firstLine="312"/>
              <w:jc w:val="both"/>
              <w:rPr>
                <w:rFonts w:ascii="Times New Roman" w:hAnsi="Times New Roman" w:cs="Times New Roman"/>
                <w:sz w:val="24"/>
                <w:szCs w:val="24"/>
              </w:rPr>
            </w:pPr>
            <w:r w:rsidRPr="00211161">
              <w:rPr>
                <w:rFonts w:ascii="Times New Roman" w:hAnsi="Times New Roman" w:cs="Times New Roman"/>
                <w:sz w:val="24"/>
                <w:szCs w:val="24"/>
                <w:lang w:val="uk"/>
              </w:rPr>
              <w:lastRenderedPageBreak/>
              <w:t>8. Учасники ринку у встановлені строки подають оператору системи передачі повідомлення про використання придбаної ними пропускної спроможності відповідно до правил ринку.</w:t>
            </w:r>
          </w:p>
          <w:p w14:paraId="0D0E99D5" w14:textId="77777777" w:rsidR="00254925" w:rsidRPr="00211161" w:rsidRDefault="00254925" w:rsidP="003A60C0">
            <w:pPr>
              <w:ind w:firstLine="312"/>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Аукціонний офіс розподіляє невикористану пропускну спроможність на аукціонах на наступні періоди розподілу відповідно до </w:t>
            </w:r>
            <w:r w:rsidRPr="00211161">
              <w:rPr>
                <w:rFonts w:ascii="Times New Roman" w:hAnsi="Times New Roman" w:cs="Times New Roman"/>
                <w:b/>
                <w:bCs/>
                <w:sz w:val="24"/>
                <w:szCs w:val="24"/>
                <w:lang w:val="uk"/>
              </w:rPr>
              <w:t>порядку</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tc>
        <w:tc>
          <w:tcPr>
            <w:tcW w:w="7652" w:type="dxa"/>
          </w:tcPr>
          <w:p w14:paraId="0430380E" w14:textId="2F3087D1" w:rsidR="00254925" w:rsidRPr="00211161" w:rsidRDefault="00D95EBD"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lang w:val="uk"/>
              </w:rPr>
              <w:t>7</w:t>
            </w:r>
            <w:r w:rsidR="00254925" w:rsidRPr="00211161">
              <w:rPr>
                <w:rFonts w:ascii="Times New Roman" w:hAnsi="Times New Roman" w:cs="Times New Roman"/>
                <w:sz w:val="24"/>
                <w:szCs w:val="24"/>
                <w:lang w:val="uk"/>
              </w:rPr>
              <w:t>. Учасники ринку у встановлені строки подають оператору системи передачі повідомлення про використання придбаної ними пропускної спроможності відповідно до правил ринку.</w:t>
            </w:r>
          </w:p>
          <w:p w14:paraId="4CC21CB3" w14:textId="7B830B84" w:rsidR="00254925" w:rsidRPr="00211161" w:rsidRDefault="00254925" w:rsidP="003A60C0">
            <w:pPr>
              <w:ind w:firstLine="318"/>
              <w:jc w:val="both"/>
              <w:rPr>
                <w:rFonts w:ascii="Times New Roman" w:hAnsi="Times New Roman" w:cs="Times New Roman"/>
                <w:sz w:val="24"/>
                <w:szCs w:val="24"/>
              </w:rPr>
            </w:pPr>
            <w:r w:rsidRPr="00211161">
              <w:rPr>
                <w:rFonts w:ascii="Times New Roman" w:hAnsi="Times New Roman" w:cs="Times New Roman"/>
                <w:sz w:val="24"/>
                <w:szCs w:val="24"/>
                <w:lang w:val="uk"/>
              </w:rPr>
              <w:t xml:space="preserve">Аукціонний офіс розподіляє невикористану </w:t>
            </w:r>
            <w:r w:rsidRPr="00211161">
              <w:rPr>
                <w:rFonts w:ascii="Times New Roman" w:hAnsi="Times New Roman" w:cs="Times New Roman"/>
                <w:b/>
                <w:bCs/>
                <w:sz w:val="24"/>
                <w:szCs w:val="24"/>
                <w:lang w:val="uk"/>
              </w:rPr>
              <w:t xml:space="preserve">та повернуту </w:t>
            </w:r>
            <w:r w:rsidRPr="00211161">
              <w:rPr>
                <w:rFonts w:ascii="Times New Roman" w:hAnsi="Times New Roman" w:cs="Times New Roman"/>
                <w:sz w:val="24"/>
                <w:szCs w:val="24"/>
                <w:lang w:val="uk"/>
              </w:rPr>
              <w:t xml:space="preserve">пропускну спроможність на аукціонах на наступні періоди розподілу відповідно до </w:t>
            </w:r>
            <w:r w:rsidRPr="00211161">
              <w:rPr>
                <w:rFonts w:ascii="Times New Roman" w:hAnsi="Times New Roman" w:cs="Times New Roman"/>
                <w:b/>
                <w:bCs/>
                <w:sz w:val="24"/>
                <w:szCs w:val="24"/>
                <w:lang w:val="uk"/>
              </w:rPr>
              <w:t>правил</w:t>
            </w:r>
            <w:r w:rsidRPr="00211161">
              <w:rPr>
                <w:rFonts w:ascii="Times New Roman" w:hAnsi="Times New Roman" w:cs="Times New Roman"/>
                <w:sz w:val="24"/>
                <w:szCs w:val="24"/>
                <w:lang w:val="uk"/>
              </w:rPr>
              <w:t xml:space="preserve"> розподілу пропускної спроможності міждержавних перетинів.</w:t>
            </w:r>
          </w:p>
        </w:tc>
      </w:tr>
      <w:tr w:rsidR="00130951" w:rsidRPr="00211161" w14:paraId="004D13DE" w14:textId="77777777" w:rsidTr="003A60C0">
        <w:tc>
          <w:tcPr>
            <w:tcW w:w="7652" w:type="dxa"/>
          </w:tcPr>
          <w:p w14:paraId="549ADE27" w14:textId="77777777" w:rsidR="00130951" w:rsidRPr="00211161" w:rsidRDefault="00130951" w:rsidP="003A60C0">
            <w:pPr>
              <w:spacing w:before="120"/>
              <w:ind w:firstLine="313"/>
              <w:jc w:val="both"/>
              <w:rPr>
                <w:rFonts w:ascii="Times New Roman" w:hAnsi="Times New Roman" w:cs="Times New Roman"/>
                <w:sz w:val="24"/>
                <w:szCs w:val="24"/>
                <w:lang w:val="uk"/>
              </w:rPr>
            </w:pPr>
            <w:bookmarkStart w:id="6" w:name="_Hlk131146578"/>
            <w:r w:rsidRPr="00211161">
              <w:rPr>
                <w:rFonts w:ascii="Times New Roman" w:hAnsi="Times New Roman" w:cs="Times New Roman"/>
                <w:sz w:val="24"/>
                <w:szCs w:val="24"/>
                <w:lang w:val="uk"/>
              </w:rPr>
              <w:t>10. Оператор системи передачі визначає структуру розподілу пропускної спроможності для різних часових періодів, що може включати резервування частки пропускної спроможності для розподілу на добу наперед та внутрішньодобового розподілу. Структура розподілу погоджується:</w:t>
            </w:r>
          </w:p>
          <w:p w14:paraId="1FFB1149" w14:textId="77777777" w:rsidR="00130951" w:rsidRPr="00E3250C" w:rsidRDefault="00130951" w:rsidP="003A60C0">
            <w:pPr>
              <w:ind w:firstLine="312"/>
              <w:jc w:val="both"/>
              <w:rPr>
                <w:rFonts w:ascii="Times New Roman" w:hAnsi="Times New Roman" w:cs="Times New Roman"/>
                <w:b/>
                <w:sz w:val="24"/>
                <w:szCs w:val="24"/>
                <w:lang w:val="uk"/>
              </w:rPr>
            </w:pPr>
            <w:r w:rsidRPr="00E3250C">
              <w:rPr>
                <w:rFonts w:ascii="Times New Roman" w:hAnsi="Times New Roman" w:cs="Times New Roman"/>
                <w:b/>
                <w:sz w:val="24"/>
                <w:szCs w:val="24"/>
                <w:lang w:val="uk"/>
              </w:rPr>
              <w:t>оператором системи передачі суміжної держави - у разі впровадження спільної скоординованої процедури розподілу пропускної спроможності;</w:t>
            </w:r>
          </w:p>
          <w:p w14:paraId="1C916DD6" w14:textId="395282F3" w:rsidR="00130951" w:rsidRPr="00E3250C" w:rsidRDefault="00130951" w:rsidP="003A60C0">
            <w:pPr>
              <w:ind w:firstLine="312"/>
              <w:jc w:val="both"/>
              <w:rPr>
                <w:rFonts w:ascii="Times New Roman" w:hAnsi="Times New Roman" w:cs="Times New Roman"/>
                <w:b/>
                <w:sz w:val="24"/>
                <w:szCs w:val="24"/>
                <w:lang w:val="uk"/>
              </w:rPr>
            </w:pPr>
            <w:r w:rsidRPr="00E3250C">
              <w:rPr>
                <w:rFonts w:ascii="Times New Roman" w:hAnsi="Times New Roman" w:cs="Times New Roman"/>
                <w:b/>
                <w:sz w:val="24"/>
                <w:szCs w:val="24"/>
                <w:lang w:val="uk"/>
              </w:rPr>
              <w:t xml:space="preserve">Регулятором </w:t>
            </w:r>
            <w:r w:rsidR="00A6356E">
              <w:rPr>
                <w:rFonts w:ascii="Times New Roman" w:hAnsi="Times New Roman" w:cs="Times New Roman"/>
                <w:b/>
                <w:sz w:val="24"/>
                <w:szCs w:val="24"/>
                <w:lang w:val="uk"/>
              </w:rPr>
              <w:t>–</w:t>
            </w:r>
            <w:r w:rsidR="00A6356E" w:rsidRPr="00E3250C">
              <w:rPr>
                <w:rFonts w:ascii="Times New Roman" w:hAnsi="Times New Roman" w:cs="Times New Roman"/>
                <w:b/>
                <w:sz w:val="24"/>
                <w:szCs w:val="24"/>
                <w:lang w:val="uk"/>
              </w:rPr>
              <w:t xml:space="preserve"> </w:t>
            </w:r>
            <w:r w:rsidRPr="00E3250C">
              <w:rPr>
                <w:rFonts w:ascii="Times New Roman" w:hAnsi="Times New Roman" w:cs="Times New Roman"/>
                <w:b/>
                <w:sz w:val="24"/>
                <w:szCs w:val="24"/>
                <w:lang w:val="uk"/>
              </w:rPr>
              <w:t>у разі відсутності спільної скоординованої процедури розподілу пропускної спроможності.</w:t>
            </w:r>
          </w:p>
          <w:p w14:paraId="3FE7C8E0" w14:textId="77777777" w:rsidR="00130951" w:rsidRPr="00211161" w:rsidRDefault="00130951" w:rsidP="003A60C0">
            <w:pPr>
              <w:ind w:firstLine="312"/>
              <w:jc w:val="both"/>
              <w:rPr>
                <w:rFonts w:ascii="Times New Roman" w:hAnsi="Times New Roman" w:cs="Times New Roman"/>
                <w:sz w:val="24"/>
                <w:szCs w:val="24"/>
                <w:lang w:val="uk"/>
              </w:rPr>
            </w:pPr>
            <w:r w:rsidRPr="00211161">
              <w:rPr>
                <w:rFonts w:ascii="Times New Roman" w:hAnsi="Times New Roman" w:cs="Times New Roman"/>
                <w:sz w:val="24"/>
                <w:szCs w:val="24"/>
                <w:lang w:val="uk"/>
              </w:rPr>
              <w:t>При складанні структури розподілу пропускної спроможності оператор системи передачі має враховувати:</w:t>
            </w:r>
          </w:p>
          <w:p w14:paraId="62FC30B4" w14:textId="77777777" w:rsidR="00130951" w:rsidRPr="00211161" w:rsidRDefault="00130951" w:rsidP="003A60C0">
            <w:pPr>
              <w:ind w:firstLine="312"/>
              <w:jc w:val="both"/>
              <w:rPr>
                <w:rFonts w:ascii="Times New Roman" w:hAnsi="Times New Roman" w:cs="Times New Roman"/>
                <w:sz w:val="24"/>
                <w:szCs w:val="24"/>
                <w:lang w:val="uk"/>
              </w:rPr>
            </w:pPr>
            <w:r w:rsidRPr="00211161">
              <w:rPr>
                <w:rFonts w:ascii="Times New Roman" w:hAnsi="Times New Roman" w:cs="Times New Roman"/>
                <w:sz w:val="24"/>
                <w:szCs w:val="24"/>
                <w:lang w:val="uk"/>
              </w:rPr>
              <w:t>характеристики ринків;</w:t>
            </w:r>
          </w:p>
          <w:p w14:paraId="1995FD01" w14:textId="77777777" w:rsidR="00130951" w:rsidRPr="00211161" w:rsidRDefault="00130951" w:rsidP="003A60C0">
            <w:pPr>
              <w:ind w:firstLine="312"/>
              <w:jc w:val="both"/>
              <w:rPr>
                <w:rFonts w:ascii="Times New Roman" w:hAnsi="Times New Roman" w:cs="Times New Roman"/>
                <w:sz w:val="24"/>
                <w:szCs w:val="24"/>
                <w:lang w:val="uk"/>
              </w:rPr>
            </w:pPr>
            <w:r w:rsidRPr="00211161">
              <w:rPr>
                <w:rFonts w:ascii="Times New Roman" w:hAnsi="Times New Roman" w:cs="Times New Roman"/>
                <w:sz w:val="24"/>
                <w:szCs w:val="24"/>
                <w:lang w:val="uk"/>
              </w:rPr>
              <w:t>операційні умови;</w:t>
            </w:r>
          </w:p>
          <w:p w14:paraId="6EFBE85C" w14:textId="77777777" w:rsidR="00130951" w:rsidRPr="00211161" w:rsidRDefault="00130951" w:rsidP="003A60C0">
            <w:pPr>
              <w:ind w:firstLine="312"/>
              <w:jc w:val="both"/>
              <w:rPr>
                <w:rFonts w:ascii="Times New Roman" w:hAnsi="Times New Roman" w:cs="Times New Roman"/>
                <w:sz w:val="24"/>
                <w:szCs w:val="24"/>
                <w:lang w:val="uk"/>
              </w:rPr>
            </w:pPr>
            <w:r w:rsidRPr="00211161">
              <w:rPr>
                <w:rFonts w:ascii="Times New Roman" w:hAnsi="Times New Roman" w:cs="Times New Roman"/>
                <w:sz w:val="24"/>
                <w:szCs w:val="24"/>
                <w:lang w:val="uk"/>
              </w:rPr>
              <w:t>рівень узгодженості часток пропускної спроможності та часових періодів, визначених для різних механізмів розподілу пропускної спроможності.</w:t>
            </w:r>
          </w:p>
        </w:tc>
        <w:tc>
          <w:tcPr>
            <w:tcW w:w="7652" w:type="dxa"/>
          </w:tcPr>
          <w:p w14:paraId="0E96864B" w14:textId="556BA6C1" w:rsidR="00E3250C" w:rsidRPr="00E3250C" w:rsidRDefault="00D95EBD" w:rsidP="003A60C0">
            <w:pPr>
              <w:shd w:val="clear" w:color="auto" w:fill="FFFFFF"/>
              <w:spacing w:before="120"/>
              <w:ind w:firstLine="315"/>
              <w:jc w:val="both"/>
              <w:rPr>
                <w:rFonts w:ascii="Times New Roman" w:eastAsia="Times New Roman" w:hAnsi="Times New Roman" w:cs="Times New Roman"/>
                <w:sz w:val="24"/>
                <w:szCs w:val="24"/>
                <w:lang w:val="uk-UA"/>
              </w:rPr>
            </w:pPr>
            <w:r w:rsidRPr="00E3250C">
              <w:rPr>
                <w:rFonts w:ascii="Times New Roman" w:hAnsi="Times New Roman" w:cs="Times New Roman"/>
                <w:sz w:val="24"/>
                <w:szCs w:val="24"/>
                <w:lang w:val="uk"/>
              </w:rPr>
              <w:t>9</w:t>
            </w:r>
            <w:r w:rsidR="00563B23" w:rsidRPr="00E3250C">
              <w:rPr>
                <w:rFonts w:ascii="Times New Roman" w:hAnsi="Times New Roman" w:cs="Times New Roman"/>
                <w:sz w:val="24"/>
                <w:szCs w:val="24"/>
                <w:lang w:val="uk"/>
              </w:rPr>
              <w:t xml:space="preserve">. </w:t>
            </w:r>
            <w:r w:rsidR="00E3250C" w:rsidRPr="00E3250C">
              <w:rPr>
                <w:rFonts w:ascii="Times New Roman" w:eastAsia="Times New Roman" w:hAnsi="Times New Roman" w:cs="Times New Roman"/>
                <w:color w:val="333333"/>
                <w:sz w:val="24"/>
                <w:szCs w:val="24"/>
                <w:lang w:val="uk-UA"/>
              </w:rPr>
              <w:t xml:space="preserve">Оператор системи передачі визначає структуру розподілу пропускної спроможності для різних часових періодів, що може включати </w:t>
            </w:r>
            <w:r w:rsidR="00E3250C" w:rsidRPr="00E3250C">
              <w:rPr>
                <w:rFonts w:ascii="Times New Roman" w:eastAsia="Times New Roman" w:hAnsi="Times New Roman" w:cs="Times New Roman"/>
                <w:sz w:val="24"/>
                <w:szCs w:val="24"/>
                <w:lang w:val="uk-UA"/>
              </w:rPr>
              <w:t>резервування частки пропускної спроможності для розподілу на добу наперед та внутрішньодобового розподілу. Структура розподілу пропускної спроможності:</w:t>
            </w:r>
          </w:p>
          <w:p w14:paraId="3FAA949B" w14:textId="77777777" w:rsidR="00E3250C" w:rsidRPr="00E3250C" w:rsidRDefault="00E3250C" w:rsidP="003A60C0">
            <w:pPr>
              <w:shd w:val="clear" w:color="auto" w:fill="FFFFFF"/>
              <w:ind w:firstLine="318"/>
              <w:jc w:val="both"/>
              <w:rPr>
                <w:rFonts w:ascii="Times New Roman" w:eastAsia="Times New Roman" w:hAnsi="Times New Roman" w:cs="Times New Roman"/>
                <w:b/>
                <w:sz w:val="24"/>
                <w:szCs w:val="24"/>
                <w:lang w:val="uk-UA"/>
              </w:rPr>
            </w:pPr>
            <w:r w:rsidRPr="00E3250C">
              <w:rPr>
                <w:rFonts w:ascii="Times New Roman" w:eastAsia="Times New Roman" w:hAnsi="Times New Roman" w:cs="Times New Roman"/>
                <w:b/>
                <w:sz w:val="24"/>
                <w:szCs w:val="24"/>
                <w:lang w:val="uk-UA"/>
              </w:rPr>
              <w:t>у разі впровадження спільної скоординованої процедури розподілу пропускної спроможності узгоджується з  оператором системи передачі суміжної держави та погоджується Регулятором;</w:t>
            </w:r>
          </w:p>
          <w:p w14:paraId="0E13E257" w14:textId="77777777" w:rsidR="00E3250C" w:rsidRPr="00E3250C" w:rsidRDefault="00E3250C" w:rsidP="003A60C0">
            <w:pPr>
              <w:shd w:val="clear" w:color="auto" w:fill="FFFFFF"/>
              <w:ind w:firstLine="318"/>
              <w:jc w:val="both"/>
              <w:rPr>
                <w:rFonts w:ascii="Times New Roman" w:eastAsia="Times New Roman" w:hAnsi="Times New Roman" w:cs="Times New Roman"/>
                <w:sz w:val="24"/>
                <w:szCs w:val="24"/>
                <w:lang w:val="uk-UA"/>
              </w:rPr>
            </w:pPr>
            <w:r w:rsidRPr="00E3250C">
              <w:rPr>
                <w:rFonts w:ascii="Times New Roman" w:eastAsia="Times New Roman" w:hAnsi="Times New Roman" w:cs="Times New Roman"/>
                <w:b/>
                <w:sz w:val="24"/>
                <w:szCs w:val="24"/>
                <w:lang w:val="uk-UA"/>
              </w:rPr>
              <w:t>у разі відсутності спільної скоординованої процедури розподілу пропускної спроможності структура розподілу пропускної спроможності погоджується Регулятором</w:t>
            </w:r>
            <w:r w:rsidRPr="00E3250C">
              <w:rPr>
                <w:rFonts w:ascii="Times New Roman" w:eastAsia="Times New Roman" w:hAnsi="Times New Roman" w:cs="Times New Roman"/>
                <w:sz w:val="24"/>
                <w:szCs w:val="24"/>
                <w:lang w:val="uk-UA"/>
              </w:rPr>
              <w:t>.</w:t>
            </w:r>
          </w:p>
          <w:p w14:paraId="2BDEE9E4" w14:textId="77777777" w:rsidR="00E3250C" w:rsidRPr="00E3250C" w:rsidRDefault="00E3250C" w:rsidP="003A60C0">
            <w:pPr>
              <w:shd w:val="clear" w:color="auto" w:fill="FFFFFF"/>
              <w:ind w:firstLine="318"/>
              <w:jc w:val="both"/>
              <w:rPr>
                <w:rFonts w:ascii="Times New Roman" w:eastAsia="Times New Roman" w:hAnsi="Times New Roman" w:cs="Times New Roman"/>
                <w:b/>
                <w:color w:val="333333"/>
                <w:sz w:val="24"/>
                <w:szCs w:val="24"/>
                <w:lang w:val="uk-UA"/>
              </w:rPr>
            </w:pPr>
            <w:r w:rsidRPr="00E3250C">
              <w:rPr>
                <w:rFonts w:ascii="Times New Roman" w:eastAsia="Times New Roman" w:hAnsi="Times New Roman" w:cs="Times New Roman"/>
                <w:b/>
                <w:sz w:val="24"/>
                <w:szCs w:val="24"/>
                <w:lang w:val="uk-UA"/>
              </w:rPr>
              <w:t xml:space="preserve">Оператор системи передачі при визначенні структури розподілу пропускної спроможності </w:t>
            </w:r>
            <w:r w:rsidRPr="00E3250C">
              <w:rPr>
                <w:rFonts w:ascii="Times New Roman" w:eastAsia="Times New Roman" w:hAnsi="Times New Roman" w:cs="Times New Roman"/>
                <w:b/>
                <w:color w:val="333333"/>
                <w:sz w:val="24"/>
                <w:szCs w:val="24"/>
                <w:lang w:val="uk-UA"/>
              </w:rPr>
              <w:t>забезпечує проведення публічних консультацій.</w:t>
            </w:r>
          </w:p>
          <w:p w14:paraId="21BF91D8" w14:textId="77777777" w:rsidR="00E3250C" w:rsidRPr="00E3250C" w:rsidRDefault="00E3250C" w:rsidP="003A60C0">
            <w:pPr>
              <w:shd w:val="clear" w:color="auto" w:fill="FFFFFF"/>
              <w:ind w:firstLine="318"/>
              <w:jc w:val="both"/>
              <w:rPr>
                <w:rFonts w:ascii="Times New Roman" w:eastAsia="Times New Roman" w:hAnsi="Times New Roman" w:cs="Times New Roman"/>
                <w:color w:val="333333"/>
                <w:sz w:val="24"/>
                <w:szCs w:val="24"/>
                <w:lang w:val="uk-UA"/>
              </w:rPr>
            </w:pPr>
            <w:r w:rsidRPr="00E3250C">
              <w:rPr>
                <w:rFonts w:ascii="Times New Roman" w:eastAsia="Times New Roman" w:hAnsi="Times New Roman" w:cs="Times New Roman"/>
                <w:color w:val="333333"/>
                <w:sz w:val="24"/>
                <w:szCs w:val="24"/>
                <w:lang w:val="uk-UA"/>
              </w:rPr>
              <w:t>При складанні структури розподілу пропускної спроможності оператор системи передачі має враховувати:</w:t>
            </w:r>
          </w:p>
          <w:p w14:paraId="4D4ABFEB" w14:textId="77777777" w:rsidR="00E3250C" w:rsidRPr="00E3250C" w:rsidRDefault="00E3250C" w:rsidP="003A60C0">
            <w:pPr>
              <w:shd w:val="clear" w:color="auto" w:fill="FFFFFF"/>
              <w:ind w:firstLine="318"/>
              <w:jc w:val="both"/>
              <w:rPr>
                <w:rFonts w:ascii="Times New Roman" w:eastAsia="Times New Roman" w:hAnsi="Times New Roman" w:cs="Times New Roman"/>
                <w:color w:val="333333"/>
                <w:sz w:val="24"/>
                <w:szCs w:val="24"/>
                <w:lang w:val="uk-UA"/>
              </w:rPr>
            </w:pPr>
            <w:r w:rsidRPr="00E3250C">
              <w:rPr>
                <w:rFonts w:ascii="Times New Roman" w:eastAsia="Times New Roman" w:hAnsi="Times New Roman" w:cs="Times New Roman"/>
                <w:color w:val="333333"/>
                <w:sz w:val="24"/>
                <w:szCs w:val="24"/>
                <w:lang w:val="uk-UA"/>
              </w:rPr>
              <w:t>характеристики ринків;</w:t>
            </w:r>
          </w:p>
          <w:p w14:paraId="47B179E8" w14:textId="77777777" w:rsidR="00E3250C" w:rsidRPr="00E3250C" w:rsidRDefault="00E3250C" w:rsidP="003A60C0">
            <w:pPr>
              <w:shd w:val="clear" w:color="auto" w:fill="FFFFFF"/>
              <w:ind w:firstLine="318"/>
              <w:jc w:val="both"/>
              <w:rPr>
                <w:rFonts w:ascii="Times New Roman" w:eastAsia="Times New Roman" w:hAnsi="Times New Roman" w:cs="Times New Roman"/>
                <w:color w:val="333333"/>
                <w:sz w:val="24"/>
                <w:szCs w:val="24"/>
                <w:lang w:val="uk-UA"/>
              </w:rPr>
            </w:pPr>
            <w:r w:rsidRPr="00E3250C">
              <w:rPr>
                <w:rFonts w:ascii="Times New Roman" w:eastAsia="Times New Roman" w:hAnsi="Times New Roman" w:cs="Times New Roman"/>
                <w:color w:val="333333"/>
                <w:sz w:val="24"/>
                <w:szCs w:val="24"/>
                <w:lang w:val="uk-UA"/>
              </w:rPr>
              <w:t>операційні умови;</w:t>
            </w:r>
          </w:p>
          <w:p w14:paraId="5D722D9F" w14:textId="7E9E8375" w:rsidR="00130951" w:rsidRPr="00E3250C" w:rsidRDefault="00E3250C" w:rsidP="003A60C0">
            <w:pPr>
              <w:ind w:firstLine="318"/>
              <w:jc w:val="both"/>
              <w:rPr>
                <w:rFonts w:ascii="Times New Roman" w:hAnsi="Times New Roman" w:cs="Times New Roman"/>
                <w:sz w:val="24"/>
                <w:szCs w:val="24"/>
                <w:lang w:val="uk"/>
              </w:rPr>
            </w:pPr>
            <w:r w:rsidRPr="00E3250C">
              <w:rPr>
                <w:rFonts w:ascii="Times New Roman" w:eastAsia="Times New Roman" w:hAnsi="Times New Roman" w:cs="Times New Roman"/>
                <w:color w:val="333333"/>
                <w:sz w:val="24"/>
                <w:szCs w:val="24"/>
                <w:lang w:val="uk-UA"/>
              </w:rPr>
              <w:t>рівень узгодженості часток пропускної спроможності та часових періодів, визначених для різних механізмів розподілу пропускної спроможності</w:t>
            </w:r>
            <w:r w:rsidR="00563B23" w:rsidRPr="00E3250C">
              <w:rPr>
                <w:rFonts w:ascii="Times New Roman" w:hAnsi="Times New Roman" w:cs="Times New Roman"/>
                <w:sz w:val="24"/>
                <w:szCs w:val="24"/>
                <w:lang w:val="uk"/>
              </w:rPr>
              <w:t>.</w:t>
            </w:r>
          </w:p>
        </w:tc>
      </w:tr>
      <w:bookmarkEnd w:id="6"/>
      <w:tr w:rsidR="004852B5" w:rsidRPr="00211161" w14:paraId="1DC3A470" w14:textId="77777777" w:rsidTr="003A60C0">
        <w:tc>
          <w:tcPr>
            <w:tcW w:w="15304" w:type="dxa"/>
            <w:gridSpan w:val="2"/>
            <w:shd w:val="clear" w:color="auto" w:fill="auto"/>
          </w:tcPr>
          <w:p w14:paraId="27FFDCBA" w14:textId="77777777" w:rsidR="004852B5" w:rsidRPr="00211161" w:rsidRDefault="004852B5" w:rsidP="003A60C0">
            <w:pPr>
              <w:spacing w:before="120"/>
              <w:ind w:firstLine="313"/>
              <w:jc w:val="center"/>
              <w:rPr>
                <w:rStyle w:val="rvts9"/>
                <w:rFonts w:ascii="Times New Roman" w:hAnsi="Times New Roman" w:cs="Times New Roman"/>
                <w:b/>
                <w:bCs/>
                <w:sz w:val="24"/>
                <w:szCs w:val="24"/>
                <w:shd w:val="clear" w:color="auto" w:fill="FFFFFF"/>
              </w:rPr>
            </w:pPr>
            <w:r w:rsidRPr="00211161">
              <w:rPr>
                <w:rStyle w:val="rvts9"/>
                <w:rFonts w:ascii="Times New Roman" w:hAnsi="Times New Roman" w:cs="Times New Roman"/>
                <w:b/>
                <w:bCs/>
                <w:sz w:val="24"/>
                <w:szCs w:val="24"/>
                <w:shd w:val="clear" w:color="auto" w:fill="FFFFFF"/>
                <w:lang w:val="uk"/>
              </w:rPr>
              <w:t>Стаття 40.</w:t>
            </w:r>
            <w:r w:rsidRPr="00211161">
              <w:rPr>
                <w:rFonts w:ascii="Times New Roman" w:hAnsi="Times New Roman" w:cs="Times New Roman"/>
                <w:sz w:val="24"/>
                <w:szCs w:val="24"/>
                <w:shd w:val="clear" w:color="auto" w:fill="FFFFFF"/>
                <w:lang w:val="uk"/>
              </w:rPr>
              <w:t> Інформація щодо пропускної спроможності міждержавних перетинів</w:t>
            </w:r>
          </w:p>
        </w:tc>
      </w:tr>
      <w:tr w:rsidR="00254925" w:rsidRPr="00211161" w14:paraId="304C8737" w14:textId="77777777" w:rsidTr="003A60C0">
        <w:tc>
          <w:tcPr>
            <w:tcW w:w="7652" w:type="dxa"/>
            <w:shd w:val="clear" w:color="auto" w:fill="auto"/>
          </w:tcPr>
          <w:p w14:paraId="75882EE2" w14:textId="77777777" w:rsidR="00254925" w:rsidRPr="00211161" w:rsidRDefault="00254925" w:rsidP="003A60C0">
            <w:pPr>
              <w:spacing w:before="120"/>
              <w:ind w:firstLine="313"/>
              <w:jc w:val="both"/>
              <w:rPr>
                <w:rFonts w:ascii="Times New Roman" w:hAnsi="Times New Roman" w:cs="Times New Roman"/>
                <w:sz w:val="24"/>
                <w:szCs w:val="24"/>
                <w:shd w:val="clear" w:color="auto" w:fill="FFFFFF"/>
              </w:rPr>
            </w:pPr>
            <w:r w:rsidRPr="00211161">
              <w:rPr>
                <w:rFonts w:ascii="Times New Roman" w:hAnsi="Times New Roman" w:cs="Times New Roman"/>
                <w:sz w:val="24"/>
                <w:szCs w:val="24"/>
                <w:shd w:val="clear" w:color="auto" w:fill="FFFFFF"/>
                <w:lang w:val="uk"/>
              </w:rPr>
              <w:t>1. Оператор системи передачі електроенергії має публікувати:</w:t>
            </w:r>
          </w:p>
          <w:p w14:paraId="047B77E9" w14:textId="77777777" w:rsidR="00254925" w:rsidRPr="00211161" w:rsidRDefault="00254925" w:rsidP="003A60C0">
            <w:pPr>
              <w:spacing w:before="120"/>
              <w:ind w:firstLine="313"/>
              <w:jc w:val="both"/>
              <w:rPr>
                <w:rFonts w:ascii="Times New Roman" w:hAnsi="Times New Roman" w:cs="Times New Roman"/>
                <w:sz w:val="24"/>
                <w:szCs w:val="24"/>
                <w:shd w:val="clear" w:color="auto" w:fill="FFFFFF"/>
              </w:rPr>
            </w:pPr>
            <w:r w:rsidRPr="00211161">
              <w:rPr>
                <w:rFonts w:ascii="Times New Roman" w:hAnsi="Times New Roman" w:cs="Times New Roman"/>
                <w:sz w:val="24"/>
                <w:szCs w:val="24"/>
                <w:shd w:val="clear" w:color="auto" w:fill="FFFFFF"/>
                <w:lang w:val="uk"/>
              </w:rPr>
              <w:t>(…)</w:t>
            </w:r>
          </w:p>
          <w:p w14:paraId="0FB3D707" w14:textId="77777777" w:rsidR="00254925" w:rsidRPr="00211161" w:rsidRDefault="00254925" w:rsidP="003A60C0">
            <w:pPr>
              <w:spacing w:before="120"/>
              <w:ind w:firstLine="313"/>
              <w:jc w:val="both"/>
              <w:rPr>
                <w:rFonts w:ascii="Times New Roman" w:hAnsi="Times New Roman" w:cs="Times New Roman"/>
                <w:sz w:val="24"/>
                <w:szCs w:val="24"/>
              </w:rPr>
            </w:pPr>
            <w:r w:rsidRPr="00211161">
              <w:rPr>
                <w:rFonts w:ascii="Times New Roman" w:hAnsi="Times New Roman" w:cs="Times New Roman"/>
                <w:sz w:val="24"/>
                <w:szCs w:val="24"/>
                <w:shd w:val="clear" w:color="auto" w:fill="FFFFFF"/>
                <w:lang w:val="uk"/>
              </w:rPr>
              <w:t xml:space="preserve">ґ) інформацію про розподілену пропускну спроможність на кожен розрахунковий період на ринку електричної енергії та про відповідні </w:t>
            </w:r>
            <w:r w:rsidRPr="00211161">
              <w:rPr>
                <w:rFonts w:ascii="Times New Roman" w:hAnsi="Times New Roman" w:cs="Times New Roman"/>
                <w:sz w:val="24"/>
                <w:szCs w:val="24"/>
                <w:shd w:val="clear" w:color="auto" w:fill="FFFFFF"/>
                <w:lang w:val="uk"/>
              </w:rPr>
              <w:lastRenderedPageBreak/>
              <w:t xml:space="preserve">умови використання пропускної спроможності з метою визначення обсягів </w:t>
            </w:r>
            <w:r w:rsidRPr="00211161">
              <w:rPr>
                <w:rFonts w:ascii="Times New Roman" w:hAnsi="Times New Roman" w:cs="Times New Roman"/>
                <w:b/>
                <w:bCs/>
                <w:sz w:val="24"/>
                <w:szCs w:val="24"/>
                <w:shd w:val="clear" w:color="auto" w:fill="FFFFFF"/>
                <w:lang w:val="uk"/>
              </w:rPr>
              <w:t>вільної</w:t>
            </w:r>
            <w:r w:rsidRPr="00211161">
              <w:rPr>
                <w:rFonts w:ascii="Times New Roman" w:hAnsi="Times New Roman" w:cs="Times New Roman"/>
                <w:sz w:val="24"/>
                <w:szCs w:val="24"/>
                <w:shd w:val="clear" w:color="auto" w:fill="FFFFFF"/>
                <w:lang w:val="uk"/>
              </w:rPr>
              <w:t xml:space="preserve"> пропускної спроможності;</w:t>
            </w:r>
          </w:p>
        </w:tc>
        <w:tc>
          <w:tcPr>
            <w:tcW w:w="7652" w:type="dxa"/>
            <w:shd w:val="clear" w:color="auto" w:fill="auto"/>
          </w:tcPr>
          <w:p w14:paraId="014CCF8F" w14:textId="77777777" w:rsidR="00254925" w:rsidRPr="00211161" w:rsidRDefault="00254925" w:rsidP="003A60C0">
            <w:pPr>
              <w:spacing w:before="120"/>
              <w:ind w:firstLine="315"/>
              <w:jc w:val="both"/>
              <w:rPr>
                <w:rFonts w:ascii="Times New Roman" w:hAnsi="Times New Roman" w:cs="Times New Roman"/>
                <w:sz w:val="24"/>
                <w:szCs w:val="24"/>
                <w:shd w:val="clear" w:color="auto" w:fill="FFFFFF"/>
              </w:rPr>
            </w:pPr>
            <w:r w:rsidRPr="00211161">
              <w:rPr>
                <w:rFonts w:ascii="Times New Roman" w:hAnsi="Times New Roman" w:cs="Times New Roman"/>
                <w:sz w:val="24"/>
                <w:szCs w:val="24"/>
                <w:shd w:val="clear" w:color="auto" w:fill="FFFFFF"/>
                <w:lang w:val="uk"/>
              </w:rPr>
              <w:lastRenderedPageBreak/>
              <w:t>1. Оператор системи передачі електроенергії має публікувати:</w:t>
            </w:r>
          </w:p>
          <w:p w14:paraId="7AC35446" w14:textId="77777777" w:rsidR="00254925" w:rsidRPr="00211161" w:rsidRDefault="00254925" w:rsidP="003A60C0">
            <w:pPr>
              <w:spacing w:before="120"/>
              <w:ind w:firstLine="315"/>
              <w:jc w:val="both"/>
              <w:rPr>
                <w:rFonts w:ascii="Times New Roman" w:hAnsi="Times New Roman" w:cs="Times New Roman"/>
                <w:sz w:val="24"/>
                <w:szCs w:val="24"/>
                <w:shd w:val="clear" w:color="auto" w:fill="FFFFFF"/>
              </w:rPr>
            </w:pPr>
            <w:r w:rsidRPr="00211161">
              <w:rPr>
                <w:rFonts w:ascii="Times New Roman" w:hAnsi="Times New Roman" w:cs="Times New Roman"/>
                <w:sz w:val="24"/>
                <w:szCs w:val="24"/>
                <w:shd w:val="clear" w:color="auto" w:fill="FFFFFF"/>
                <w:lang w:val="uk"/>
              </w:rPr>
              <w:t>(…)</w:t>
            </w:r>
          </w:p>
          <w:p w14:paraId="3284EB88" w14:textId="77777777" w:rsidR="00254925" w:rsidRPr="00211161" w:rsidRDefault="00254925" w:rsidP="003A60C0">
            <w:pPr>
              <w:spacing w:before="120"/>
              <w:ind w:firstLine="315"/>
              <w:jc w:val="both"/>
              <w:rPr>
                <w:rFonts w:ascii="Times New Roman" w:hAnsi="Times New Roman" w:cs="Times New Roman"/>
                <w:sz w:val="24"/>
                <w:szCs w:val="24"/>
              </w:rPr>
            </w:pPr>
            <w:r w:rsidRPr="00211161">
              <w:rPr>
                <w:rFonts w:ascii="Times New Roman" w:hAnsi="Times New Roman" w:cs="Times New Roman"/>
                <w:sz w:val="24"/>
                <w:szCs w:val="24"/>
                <w:shd w:val="clear" w:color="auto" w:fill="FFFFFF"/>
                <w:lang w:val="uk"/>
              </w:rPr>
              <w:t xml:space="preserve">ґ) інформацію про розподілену пропускну спроможність на кожен розрахунковий період на ринку електричної енергії та про відповідні </w:t>
            </w:r>
            <w:r w:rsidRPr="00211161">
              <w:rPr>
                <w:rFonts w:ascii="Times New Roman" w:hAnsi="Times New Roman" w:cs="Times New Roman"/>
                <w:sz w:val="24"/>
                <w:szCs w:val="24"/>
                <w:shd w:val="clear" w:color="auto" w:fill="FFFFFF"/>
                <w:lang w:val="uk"/>
              </w:rPr>
              <w:lastRenderedPageBreak/>
              <w:t xml:space="preserve">умови використання пропускної спроможності з метою визначення обсягів </w:t>
            </w:r>
            <w:r w:rsidRPr="00211161">
              <w:rPr>
                <w:rFonts w:ascii="Times New Roman" w:hAnsi="Times New Roman" w:cs="Times New Roman"/>
                <w:b/>
                <w:bCs/>
                <w:sz w:val="24"/>
                <w:szCs w:val="24"/>
                <w:shd w:val="clear" w:color="auto" w:fill="FFFFFF"/>
                <w:lang w:val="uk"/>
              </w:rPr>
              <w:t xml:space="preserve">пропонованої </w:t>
            </w:r>
            <w:r w:rsidRPr="00211161">
              <w:rPr>
                <w:rFonts w:ascii="Times New Roman" w:hAnsi="Times New Roman" w:cs="Times New Roman"/>
                <w:sz w:val="24"/>
                <w:szCs w:val="24"/>
                <w:shd w:val="clear" w:color="auto" w:fill="FFFFFF"/>
                <w:lang w:val="uk"/>
              </w:rPr>
              <w:t>пропускної спроможності;</w:t>
            </w:r>
          </w:p>
        </w:tc>
      </w:tr>
      <w:tr w:rsidR="004852B5" w:rsidRPr="00211161" w14:paraId="7062E354" w14:textId="77777777" w:rsidTr="003A60C0">
        <w:trPr>
          <w:trHeight w:val="96"/>
        </w:trPr>
        <w:tc>
          <w:tcPr>
            <w:tcW w:w="15304" w:type="dxa"/>
            <w:gridSpan w:val="2"/>
            <w:shd w:val="clear" w:color="auto" w:fill="auto"/>
          </w:tcPr>
          <w:p w14:paraId="02EC1569" w14:textId="77777777" w:rsidR="004852B5" w:rsidRPr="00211161" w:rsidRDefault="004852B5" w:rsidP="003A60C0">
            <w:pPr>
              <w:spacing w:before="120"/>
              <w:ind w:firstLine="312"/>
              <w:jc w:val="center"/>
              <w:rPr>
                <w:rFonts w:ascii="Times New Roman" w:hAnsi="Times New Roman" w:cs="Times New Roman"/>
                <w:sz w:val="24"/>
                <w:szCs w:val="24"/>
              </w:rPr>
            </w:pPr>
            <w:r w:rsidRPr="00211161">
              <w:rPr>
                <w:rStyle w:val="rvts15"/>
                <w:rFonts w:ascii="Times New Roman" w:hAnsi="Times New Roman" w:cs="Times New Roman"/>
                <w:b/>
                <w:bCs/>
                <w:sz w:val="24"/>
                <w:szCs w:val="24"/>
                <w:shd w:val="clear" w:color="auto" w:fill="FFFFFF"/>
                <w:lang w:val="uk"/>
              </w:rPr>
              <w:lastRenderedPageBreak/>
              <w:t>Розділ XVII</w:t>
            </w:r>
          </w:p>
          <w:p w14:paraId="35FE1B1C" w14:textId="77777777" w:rsidR="004852B5" w:rsidRPr="00211161" w:rsidRDefault="004852B5" w:rsidP="003A60C0">
            <w:pPr>
              <w:ind w:firstLine="312"/>
              <w:jc w:val="center"/>
              <w:rPr>
                <w:rStyle w:val="rvts15"/>
                <w:rFonts w:ascii="Times New Roman" w:hAnsi="Times New Roman" w:cs="Times New Roman"/>
                <w:b/>
                <w:bCs/>
                <w:sz w:val="24"/>
                <w:szCs w:val="24"/>
                <w:shd w:val="clear" w:color="auto" w:fill="FFFFFF"/>
              </w:rPr>
            </w:pPr>
            <w:r w:rsidRPr="00211161">
              <w:rPr>
                <w:rStyle w:val="rvts15"/>
                <w:rFonts w:ascii="Times New Roman" w:hAnsi="Times New Roman" w:cs="Times New Roman"/>
                <w:b/>
                <w:bCs/>
                <w:sz w:val="24"/>
                <w:szCs w:val="24"/>
                <w:shd w:val="clear" w:color="auto" w:fill="FFFFFF"/>
                <w:lang w:val="uk"/>
              </w:rPr>
              <w:t>ПРИКІНЦЕВІ ТА ПЕРЕХІДНІ ПОЛОЖЕННЯ</w:t>
            </w:r>
          </w:p>
        </w:tc>
      </w:tr>
      <w:tr w:rsidR="00254925" w:rsidRPr="00211161" w14:paraId="0D1C3ABD" w14:textId="77777777" w:rsidTr="003A60C0">
        <w:trPr>
          <w:trHeight w:val="96"/>
        </w:trPr>
        <w:tc>
          <w:tcPr>
            <w:tcW w:w="7652" w:type="dxa"/>
            <w:shd w:val="clear" w:color="auto" w:fill="auto"/>
          </w:tcPr>
          <w:p w14:paraId="1CB7FC69" w14:textId="77777777" w:rsidR="00254925" w:rsidRPr="00211161" w:rsidRDefault="00254925" w:rsidP="003A60C0">
            <w:pPr>
              <w:pStyle w:val="rvps2"/>
              <w:shd w:val="clear" w:color="auto" w:fill="FFFFFF"/>
              <w:spacing w:before="0" w:beforeAutospacing="0" w:after="0" w:afterAutospacing="0"/>
              <w:ind w:firstLine="313"/>
              <w:jc w:val="both"/>
              <w:rPr>
                <w:lang w:val="uk-UA"/>
              </w:rPr>
            </w:pPr>
            <w:r w:rsidRPr="00211161">
              <w:rPr>
                <w:strike/>
                <w:lang w:val="uk"/>
              </w:rPr>
              <w:t>Аукціони з розподілу вільної пропускної спроможності міждержавних перетинів із застосуванням положень </w:t>
            </w:r>
            <w:hyperlink r:id="rId10" w:anchor="n819" w:history="1">
              <w:r w:rsidRPr="00211161">
                <w:rPr>
                  <w:rStyle w:val="a4"/>
                  <w:strike/>
                  <w:color w:val="auto"/>
                  <w:lang w:val="uk"/>
                </w:rPr>
                <w:t>статей 38-41</w:t>
              </w:r>
            </w:hyperlink>
            <w:r w:rsidRPr="00211161">
              <w:rPr>
                <w:strike/>
                <w:lang w:val="uk"/>
              </w:rPr>
              <w:t>, </w:t>
            </w:r>
            <w:hyperlink r:id="rId11" w:anchor="n883" w:history="1">
              <w:r w:rsidRPr="00211161">
                <w:rPr>
                  <w:rStyle w:val="a4"/>
                  <w:strike/>
                  <w:color w:val="auto"/>
                  <w:lang w:val="uk"/>
                </w:rPr>
                <w:t>42</w:t>
              </w:r>
            </w:hyperlink>
            <w:r w:rsidRPr="00211161">
              <w:rPr>
                <w:strike/>
                <w:lang w:val="uk"/>
              </w:rPr>
              <w:t> цього Закону проводяться</w:t>
            </w:r>
            <w:r w:rsidRPr="00211161">
              <w:rPr>
                <w:lang w:val="uk"/>
              </w:rPr>
              <w:t xml:space="preserve"> </w:t>
            </w:r>
            <w:r w:rsidRPr="00211161">
              <w:rPr>
                <w:b/>
                <w:bCs/>
                <w:strike/>
                <w:lang w:val="uk"/>
              </w:rPr>
              <w:t>з відповідних дат, визначених Регулятором, але не пізніше аукціонів з розподілу вільної пропускної спроможності міждержавних перетинів на 2019 рік.</w:t>
            </w:r>
          </w:p>
          <w:p w14:paraId="595B1B63" w14:textId="77777777" w:rsidR="00254925" w:rsidRPr="00211161" w:rsidRDefault="00254925" w:rsidP="003A60C0">
            <w:pPr>
              <w:pStyle w:val="rvps2"/>
              <w:shd w:val="clear" w:color="auto" w:fill="FFFFFF"/>
              <w:spacing w:before="0" w:beforeAutospacing="0" w:after="0" w:afterAutospacing="0"/>
              <w:ind w:firstLine="313"/>
              <w:jc w:val="both"/>
            </w:pPr>
            <w:bookmarkStart w:id="7" w:name="n1599"/>
            <w:bookmarkEnd w:id="7"/>
            <w:r w:rsidRPr="00211161">
              <w:rPr>
                <w:b/>
                <w:bCs/>
                <w:strike/>
                <w:lang w:val="uk"/>
              </w:rPr>
              <w:t>До цієї дати аукціони з розподілу вільної пропускної спроможності міждержавних перетинів</w:t>
            </w:r>
            <w:r w:rsidRPr="00211161">
              <w:rPr>
                <w:lang w:val="uk"/>
              </w:rPr>
              <w:t xml:space="preserve"> проводяться відповідно до порядку, затвердженого Регулятором.</w:t>
            </w:r>
          </w:p>
          <w:p w14:paraId="17369D9A"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r w:rsidRPr="00211161">
              <w:rPr>
                <w:strike/>
                <w:lang w:val="uk"/>
              </w:rPr>
              <w:t>За наявності обмежень доступ до пропускної спроможності надається за принципом першочергового задоволення заявок учасників ринку, які пропонують найвищу ціну. У разі відсутності обмежень пропускної спроможності оператор системи передачі приймає усі комерційні обміни щодо експорту-імпорту електричної енергії в повному обсязі та надає доступ до пропускної спроможності міждержавних перетинів на безоплатній основі.</w:t>
            </w:r>
          </w:p>
          <w:p w14:paraId="2548E15B"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8" w:name="n1601"/>
            <w:bookmarkEnd w:id="8"/>
            <w:r w:rsidRPr="00211161">
              <w:rPr>
                <w:strike/>
                <w:lang w:val="uk"/>
              </w:rPr>
              <w:t>У разі довготривалих, частих обмежень оператором системи передачі застосовуються заздалегідь визначені та узгоджені методи управління обмеженнями. Управління обмеженнями має здійснюватися із застосуванням недискримінаційних ринкових механізмів, що забезпечують ефективні економічні сигнали учасникам ринку і оператору системи передачі та сприяють міждержавній торгівлі електричною енергією.</w:t>
            </w:r>
          </w:p>
          <w:p w14:paraId="77FA33AD"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9" w:name="n1602"/>
            <w:bookmarkEnd w:id="9"/>
            <w:r w:rsidRPr="00211161">
              <w:rPr>
                <w:strike/>
                <w:lang w:val="uk"/>
              </w:rPr>
              <w:t>Процедура управління перевантаженнями та розподіл пропускної спроможності для імпорту та експорту електричної енергії застосовуються незалежно від функціонування оптового ринку електричної енергії України.</w:t>
            </w:r>
          </w:p>
          <w:p w14:paraId="549D68F6"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0" w:name="n1603"/>
            <w:bookmarkEnd w:id="10"/>
            <w:r w:rsidRPr="00211161">
              <w:rPr>
                <w:strike/>
                <w:lang w:val="uk"/>
              </w:rPr>
              <w:t xml:space="preserve">Методи управління обмеженнями мають забезпечити відповідність </w:t>
            </w:r>
            <w:proofErr w:type="spellStart"/>
            <w:r w:rsidRPr="00211161">
              <w:rPr>
                <w:strike/>
                <w:lang w:val="uk"/>
              </w:rPr>
              <w:t>перетоків</w:t>
            </w:r>
            <w:proofErr w:type="spellEnd"/>
            <w:r w:rsidRPr="00211161">
              <w:rPr>
                <w:strike/>
                <w:lang w:val="uk"/>
              </w:rPr>
              <w:t xml:space="preserve"> електричної енергії, що виникають внаслідок розподілу пропускної спроможності, стандартам операційної безпеки. При управлінні обмеженнями не допускається дискримінація між комерційними обмінами.</w:t>
            </w:r>
          </w:p>
          <w:p w14:paraId="35D07B9C"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1" w:name="n1604"/>
            <w:bookmarkEnd w:id="11"/>
            <w:r w:rsidRPr="00211161">
              <w:rPr>
                <w:strike/>
                <w:lang w:val="uk"/>
              </w:rPr>
              <w:lastRenderedPageBreak/>
              <w:t>Оператор системи передачі може відмовити учаснику ринку в доступі до пропускної спроможності міждержавних перетинів при одночасному виникненні таких умов:</w:t>
            </w:r>
          </w:p>
          <w:p w14:paraId="1A22EC23"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2" w:name="n1605"/>
            <w:bookmarkEnd w:id="12"/>
            <w:r w:rsidRPr="00211161">
              <w:rPr>
                <w:strike/>
                <w:lang w:val="uk"/>
              </w:rPr>
              <w:t xml:space="preserve">1) збільшення </w:t>
            </w:r>
            <w:proofErr w:type="spellStart"/>
            <w:r w:rsidRPr="00211161">
              <w:rPr>
                <w:strike/>
                <w:lang w:val="uk"/>
              </w:rPr>
              <w:t>перетоків</w:t>
            </w:r>
            <w:proofErr w:type="spellEnd"/>
            <w:r w:rsidRPr="00211161">
              <w:rPr>
                <w:strike/>
                <w:lang w:val="uk"/>
              </w:rPr>
              <w:t xml:space="preserve"> електричної енергії за результатами надання такого доступу призводить до порушення операційної безпеки;</w:t>
            </w:r>
          </w:p>
          <w:p w14:paraId="48C9B3BC"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3" w:name="n1606"/>
            <w:bookmarkEnd w:id="13"/>
            <w:r w:rsidRPr="00211161">
              <w:rPr>
                <w:strike/>
                <w:lang w:val="uk"/>
              </w:rPr>
              <w:t>2) запропонована учасником ринку ціна за доступ до пропускної спроможності є нижчою за ціни, запропоновані учасниками ринку, доступ до пропускної спроможності яким буде надано.</w:t>
            </w:r>
          </w:p>
          <w:p w14:paraId="7D0115E6"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4" w:name="n1607"/>
            <w:bookmarkEnd w:id="14"/>
            <w:r w:rsidRPr="00211161">
              <w:rPr>
                <w:strike/>
                <w:lang w:val="uk"/>
              </w:rPr>
              <w:t xml:space="preserve">Оператор системи передачі може обмежувати міждержавну пропускну спроможність з метою недопущення порушення операційної безпеки в ОЕС України. Оператор системи передачі повинен інформувати учасників ринку про обмеження пропускної спроможності та про причини таких обмежень. При здійсненні балансування ОЕС України шляхом оперативних заходів та </w:t>
            </w:r>
            <w:proofErr w:type="spellStart"/>
            <w:r w:rsidRPr="00211161">
              <w:rPr>
                <w:strike/>
                <w:lang w:val="uk"/>
              </w:rPr>
              <w:t>передиспетчеризації</w:t>
            </w:r>
            <w:proofErr w:type="spellEnd"/>
            <w:r w:rsidRPr="00211161">
              <w:rPr>
                <w:strike/>
                <w:lang w:val="uk"/>
              </w:rPr>
              <w:t>, оператор системи передачі має враховувати вплив таких заходів на енергосистеми суміжних держав.</w:t>
            </w:r>
          </w:p>
          <w:p w14:paraId="2DB21A42"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15" w:name="n1608"/>
            <w:bookmarkEnd w:id="15"/>
            <w:r w:rsidRPr="00211161">
              <w:rPr>
                <w:strike/>
                <w:lang w:val="uk"/>
              </w:rPr>
              <w:t>Обмеження комерційних обмінів повинні мати недискримінаційний характер. Учасникам ринку, які отримали доступ до пропускної спроможності, оператор системи передачі має повернути кошти за обмеження прав використання розподіленої пропускної спроможності, крім випадків, коли таке обмеження стало наслідком дії обставин непереборної сили. Обсяг коштів, які підлягають поверненню, розраховується відповідно до порядку розподілу пропускної спроможності міждержавних перетинів.</w:t>
            </w:r>
          </w:p>
          <w:p w14:paraId="24A619A4"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6" w:name="n1609"/>
            <w:bookmarkEnd w:id="16"/>
            <w:r w:rsidRPr="00211161">
              <w:rPr>
                <w:strike/>
                <w:lang w:val="uk"/>
              </w:rPr>
              <w:t>Вся доступна пропускна спроможність міждержавних перетинів має бути запропонована у процесі розподілу учасникам ринку з урахуванням дотримання стандартів операційної безпеки.</w:t>
            </w:r>
          </w:p>
          <w:p w14:paraId="13325CE2" w14:textId="7049B12A" w:rsidR="003A60C0" w:rsidRDefault="00254925" w:rsidP="003A60C0">
            <w:pPr>
              <w:pStyle w:val="rvps2"/>
              <w:shd w:val="clear" w:color="auto" w:fill="FFFFFF"/>
              <w:spacing w:before="0" w:beforeAutospacing="0" w:after="0" w:afterAutospacing="0"/>
              <w:ind w:firstLine="313"/>
              <w:jc w:val="both"/>
              <w:rPr>
                <w:strike/>
              </w:rPr>
            </w:pPr>
            <w:bookmarkStart w:id="17" w:name="n1610"/>
            <w:bookmarkEnd w:id="17"/>
            <w:r w:rsidRPr="00211161">
              <w:rPr>
                <w:strike/>
                <w:lang w:val="uk"/>
              </w:rPr>
              <w:t>Оператор системи передачі визначає величину доступної пропускної спроможності для всіх напрямків згідно з методикою, яка розробляється оператором системи передачі відповідно до досвіду (практики) ENTSO-E та затверджується Регулятором.</w:t>
            </w:r>
          </w:p>
          <w:p w14:paraId="561E84E7" w14:textId="77777777" w:rsidR="00254925" w:rsidRPr="003A60C0" w:rsidRDefault="00254925" w:rsidP="003A60C0">
            <w:pPr>
              <w:rPr>
                <w:lang w:eastAsia="ru-RU"/>
              </w:rPr>
            </w:pPr>
          </w:p>
          <w:p w14:paraId="0E21F557"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18" w:name="n1611"/>
            <w:bookmarkEnd w:id="18"/>
            <w:r w:rsidRPr="00211161">
              <w:rPr>
                <w:strike/>
                <w:lang w:val="uk"/>
              </w:rPr>
              <w:t>До затвердження цієї методики оператор системи передачі повинен керуватися чинною на день набрання чинності цим Законом методикою розрахунку доступної пропускної спроможності.</w:t>
            </w:r>
          </w:p>
          <w:p w14:paraId="47CDB6AA" w14:textId="1D672335" w:rsidR="003A60C0" w:rsidRDefault="00254925" w:rsidP="003A60C0">
            <w:pPr>
              <w:pStyle w:val="rvps2"/>
              <w:shd w:val="clear" w:color="auto" w:fill="FFFFFF"/>
              <w:spacing w:before="0" w:beforeAutospacing="0" w:after="0" w:afterAutospacing="0"/>
              <w:ind w:firstLine="313"/>
              <w:jc w:val="both"/>
              <w:rPr>
                <w:strike/>
              </w:rPr>
            </w:pPr>
            <w:bookmarkStart w:id="19" w:name="n1612"/>
            <w:bookmarkEnd w:id="19"/>
            <w:r w:rsidRPr="00211161">
              <w:rPr>
                <w:strike/>
                <w:lang w:val="uk"/>
              </w:rPr>
              <w:lastRenderedPageBreak/>
              <w:t>Вільна пропускна спроможність міждержавних перетинів має розподілятися на явному та/або неявному аукціонах, які проводяться за процедурою електронного аукціону з використанням електронного документообігу та електронного цифрового підпису. Обидва аукціони можуть проводитися для одного й того самого міждержавного перетину.</w:t>
            </w:r>
          </w:p>
          <w:p w14:paraId="18BE62C7" w14:textId="77777777" w:rsidR="00254925" w:rsidRPr="003A60C0" w:rsidRDefault="00254925" w:rsidP="003A60C0">
            <w:pPr>
              <w:jc w:val="right"/>
              <w:rPr>
                <w:lang w:eastAsia="ru-RU"/>
              </w:rPr>
            </w:pPr>
          </w:p>
          <w:p w14:paraId="39E56A1B"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0" w:name="n1613"/>
            <w:bookmarkEnd w:id="20"/>
            <w:r w:rsidRPr="00211161">
              <w:rPr>
                <w:strike/>
                <w:lang w:val="uk"/>
              </w:rPr>
              <w:t>Механізми управління обмеженнями мають застосовуватися для короткострокового, середньострокового та довгострокового періодів розподілу пропускної спроможності.</w:t>
            </w:r>
          </w:p>
          <w:p w14:paraId="31245930"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1" w:name="n2081"/>
            <w:bookmarkEnd w:id="21"/>
            <w:r w:rsidRPr="00211161">
              <w:rPr>
                <w:strike/>
                <w:lang w:val="uk"/>
              </w:rPr>
              <w:t>Тимчасово, до 31 грудня 2021 року, Регулятор має повноваження обмежувати доступну пропускну спроможність, що розподіляється на добових та місячних аукціонах на 2021 рік, у частині міждержавних перетинів між Україною та державами, які не є сторонами Енергетичного Співтовариства.</w:t>
            </w:r>
          </w:p>
          <w:p w14:paraId="5A7E55EF"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2" w:name="n2082"/>
            <w:bookmarkStart w:id="23" w:name="n2083"/>
            <w:bookmarkEnd w:id="22"/>
            <w:bookmarkEnd w:id="23"/>
            <w:r w:rsidRPr="00211161">
              <w:rPr>
                <w:strike/>
                <w:lang w:val="uk"/>
              </w:rPr>
              <w:t xml:space="preserve">Регулятор має право анулювати результати річного аукціону, на якому </w:t>
            </w:r>
            <w:proofErr w:type="spellStart"/>
            <w:r w:rsidRPr="00211161">
              <w:rPr>
                <w:strike/>
                <w:lang w:val="uk"/>
              </w:rPr>
              <w:t>розподілено</w:t>
            </w:r>
            <w:proofErr w:type="spellEnd"/>
            <w:r w:rsidRPr="00211161">
              <w:rPr>
                <w:strike/>
                <w:lang w:val="uk"/>
              </w:rPr>
              <w:t xml:space="preserve"> пропускну спроможність на 2020 та 2021 роки у частині міждержавних перетинів між Україною та державами, які не є сторонами Енергетичного Співтовариства. У такому разі здійснюється відшкодування коштів, сплачених за розподілену пропускну спроможність.</w:t>
            </w:r>
          </w:p>
          <w:p w14:paraId="3BB3A750"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4" w:name="n1614"/>
            <w:bookmarkStart w:id="25" w:name="n2080"/>
            <w:bookmarkEnd w:id="24"/>
            <w:bookmarkEnd w:id="25"/>
            <w:r w:rsidRPr="00211161">
              <w:rPr>
                <w:strike/>
                <w:lang w:val="uk"/>
              </w:rPr>
              <w:t>Під час розподілу пропускної спроможності не може допускатися дискримінація між учасниками ринку, які бажають отримати доступ до пропускної спроможності у будь-якому напрямку. Усі учасники ринку мають право брати участь у процесі розподілу пропускної спроможності, за умови що вони зареєстровані відповідно до порядку розподілу пропускної спроможності міждержавних перетинів.</w:t>
            </w:r>
          </w:p>
          <w:p w14:paraId="76267AB5"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6" w:name="n1615"/>
            <w:bookmarkEnd w:id="26"/>
            <w:r w:rsidRPr="00211161">
              <w:rPr>
                <w:strike/>
                <w:lang w:val="uk"/>
              </w:rPr>
              <w:t>Встановлення цінових обмежень під час процедур розподілу пропускної спроможності забороняється, крім випадків нових міждержавних ліній електропередачі, які підлягають звільненню відповідно до </w:t>
            </w:r>
            <w:hyperlink r:id="rId12" w:anchor="n544" w:history="1">
              <w:r w:rsidRPr="00211161">
                <w:rPr>
                  <w:rStyle w:val="a4"/>
                  <w:strike/>
                  <w:color w:val="auto"/>
                  <w:u w:val="none"/>
                  <w:lang w:val="uk"/>
                </w:rPr>
                <w:t>статті 24</w:t>
              </w:r>
            </w:hyperlink>
            <w:r w:rsidRPr="00211161">
              <w:rPr>
                <w:strike/>
                <w:lang w:val="uk"/>
              </w:rPr>
              <w:t> цього Закону.</w:t>
            </w:r>
          </w:p>
          <w:p w14:paraId="3D3E5901"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7" w:name="n1616"/>
            <w:bookmarkEnd w:id="27"/>
            <w:r w:rsidRPr="00211161">
              <w:rPr>
                <w:strike/>
                <w:lang w:val="uk"/>
              </w:rPr>
              <w:t>На кожному аукціоні розподіляється частина доступної пропускної спроможності, запланована для розподілу на цьому аукціоні, а також пропускна спроможність, що не була раніше розподілена, та невикористана величина пропускної спроможності, розподіленої на попередніх аукціонах.</w:t>
            </w:r>
          </w:p>
          <w:p w14:paraId="1BE960E5"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8" w:name="n1617"/>
            <w:bookmarkEnd w:id="28"/>
            <w:r w:rsidRPr="00211161">
              <w:rPr>
                <w:strike/>
                <w:lang w:val="uk"/>
              </w:rPr>
              <w:lastRenderedPageBreak/>
              <w:t>Учасники ринку, які отримали доступ до пропускної спроможності на річному та місячному аукціоні, мають право передати або продати іншим учасникам ринку електричної енергії доступ до пропускної спроможності, повідомивши про це оператора системи передачі у встановленому порядку. У разі відмови у передачі або продажу пропускної спроможності одним учасником ринку іншому оператор системи передачі повинен чітко та прозоро пояснити причини такої відмови відповідним учасникам ринку та Регулятору. Перелік підстав, за яких оператор системи передачі може відмовити у передачі або продажу пропускної спроможності одним учасником ринку іншому, визначається порядком розподілу пропускної спроможності міждержавних перетинів.</w:t>
            </w:r>
          </w:p>
          <w:p w14:paraId="6336E963"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29" w:name="n1618"/>
            <w:bookmarkEnd w:id="29"/>
            <w:r w:rsidRPr="00211161">
              <w:rPr>
                <w:strike/>
                <w:lang w:val="uk"/>
              </w:rPr>
              <w:t>Перед кожним розподілом пропускної спроможності оператор системи передачі має оприлюднити обсяг пропускної спроможності, яка буде розподілятися, а також періоди часу, протягом яких пропускна спроможність буде скорочена або недоступна згідно з порядком розподілу пропускної спроможності міждержавних перетинів.</w:t>
            </w:r>
          </w:p>
          <w:p w14:paraId="4CA45DA5"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0" w:name="n1619"/>
            <w:bookmarkEnd w:id="30"/>
            <w:r w:rsidRPr="00211161">
              <w:rPr>
                <w:strike/>
                <w:lang w:val="uk"/>
              </w:rPr>
              <w:t>Учасники ринку мають у встановлені строки надавати оператору системи передачі повідомлення про використання придбаної ними пропускної спроможності відповідно до порядку розподілу пропускної спроможності міждержавних перетинів.</w:t>
            </w:r>
          </w:p>
          <w:p w14:paraId="58A9653F"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31" w:name="n1620"/>
            <w:bookmarkEnd w:id="31"/>
            <w:r w:rsidRPr="00211161">
              <w:rPr>
                <w:strike/>
                <w:lang w:val="uk"/>
              </w:rPr>
              <w:t xml:space="preserve">Оператор системи передачі розподіляє невикористану пропускну спроможність на аукціонах для наступних періодів розподілу. Оператор системи передачі визначає структуру розподілу пропускної спроможності для різних часових періодів, яка може включати резервування частки пропускної спроможності для розподілу на добу наперед. Структура розподілу погоджується Регулятором. </w:t>
            </w:r>
          </w:p>
          <w:p w14:paraId="759E07B6"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r w:rsidRPr="00211161">
              <w:rPr>
                <w:strike/>
                <w:lang w:val="uk"/>
              </w:rPr>
              <w:t>При складанні структури розподілу пропускної спроможності оператор системи передачі має враховувати операційні умови та рівень узгодженості часток пропускної спроможності та часових періодів, визначених для різних механізмів розподілу пропускної спроможності.</w:t>
            </w:r>
          </w:p>
          <w:p w14:paraId="4A9ACB8D"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2" w:name="n1621"/>
            <w:bookmarkEnd w:id="32"/>
            <w:r w:rsidRPr="00211161">
              <w:rPr>
                <w:strike/>
                <w:lang w:val="uk"/>
              </w:rPr>
              <w:t>Оператор системи передачі електроенергії оприлюднює, зокрема:</w:t>
            </w:r>
          </w:p>
          <w:p w14:paraId="2F7FB292"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3" w:name="n1622"/>
            <w:bookmarkEnd w:id="33"/>
            <w:r w:rsidRPr="00211161">
              <w:rPr>
                <w:strike/>
                <w:lang w:val="uk"/>
              </w:rPr>
              <w:t>1) дані щодо спроможності мережі, доступу до мережі та використання мережі, враховуючи інформацію про наявність обмежень пропускної спроможності, методи управління обмеженнями та плани щодо їх усунення у подальшому;</w:t>
            </w:r>
          </w:p>
          <w:p w14:paraId="50F2566B"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4" w:name="n1623"/>
            <w:bookmarkEnd w:id="34"/>
            <w:r w:rsidRPr="00211161">
              <w:rPr>
                <w:strike/>
                <w:lang w:val="uk"/>
              </w:rPr>
              <w:lastRenderedPageBreak/>
              <w:t>2) дані щодо пропускної спроможності міждержавних перетинів та функціонування енергосистеми, зокрема:</w:t>
            </w:r>
          </w:p>
          <w:p w14:paraId="7BEA165E"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5" w:name="n1624"/>
            <w:bookmarkEnd w:id="35"/>
            <w:r w:rsidRPr="00211161">
              <w:rPr>
                <w:strike/>
                <w:lang w:val="uk"/>
              </w:rPr>
              <w:t>а) інформацію про довгострокові перспективи розвитку інфраструктури системи передачі та вплив такого розвитку на пропускну спроможність міждержавних перетинів - щороку;</w:t>
            </w:r>
          </w:p>
          <w:p w14:paraId="5E6909A2"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6" w:name="n1625"/>
            <w:bookmarkEnd w:id="36"/>
            <w:r w:rsidRPr="00211161">
              <w:rPr>
                <w:strike/>
                <w:lang w:val="uk"/>
              </w:rPr>
              <w:t>б) прогноз вільної пропускної спроможності міждержавних перетинів на ринку електричної енергії на наступний тиждень, враховуючи всю наявну відповідну інформацію, - щотижня;</w:t>
            </w:r>
          </w:p>
          <w:p w14:paraId="7EA384DB"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7" w:name="n1626"/>
            <w:bookmarkEnd w:id="37"/>
            <w:r w:rsidRPr="00211161">
              <w:rPr>
                <w:strike/>
                <w:lang w:val="uk"/>
              </w:rPr>
              <w:t>в) інформацію про розподілену пропускну спроможність міждержавних перетинів на кожний розрахунковий період та відповідні умови використання пропускної спроможності з метою визначення обсягів вільної пропускної спроможності;</w:t>
            </w:r>
          </w:p>
          <w:p w14:paraId="622CD32C"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8" w:name="n1627"/>
            <w:bookmarkEnd w:id="38"/>
            <w:r w:rsidRPr="00211161">
              <w:rPr>
                <w:strike/>
                <w:lang w:val="uk"/>
              </w:rPr>
              <w:t>г) інформацію про розподілену пропускну спроможність міждержавних перетинів після кожного розподілу та її ціну;</w:t>
            </w:r>
          </w:p>
          <w:p w14:paraId="6CAE2483"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39" w:name="n1628"/>
            <w:bookmarkEnd w:id="39"/>
            <w:r w:rsidRPr="00211161">
              <w:rPr>
                <w:strike/>
                <w:lang w:val="uk"/>
              </w:rPr>
              <w:t>ґ) інформацію про усю використану пропускну спроможність міждержавних перетинів для кожного розрахункового періоду - невідкладно після отримання повідомлень про її використання;</w:t>
            </w:r>
          </w:p>
          <w:p w14:paraId="6FBB9426"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0" w:name="n1629"/>
            <w:bookmarkEnd w:id="40"/>
            <w:r w:rsidRPr="00211161">
              <w:rPr>
                <w:strike/>
                <w:lang w:val="uk"/>
              </w:rPr>
              <w:t>д) реальний опис дій щодо обмеження пропускної спроможності міждержавних перетинів, прийнятих оператором системи передачі з метою вирішення проблемних питань під час експлуатації мережі та/або системи;</w:t>
            </w:r>
          </w:p>
          <w:p w14:paraId="0A2F58A4"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1" w:name="n1630"/>
            <w:bookmarkEnd w:id="41"/>
            <w:r w:rsidRPr="00211161">
              <w:rPr>
                <w:strike/>
                <w:lang w:val="uk"/>
              </w:rPr>
              <w:t>е) інформацію про планові та фактичні відключення на міждержавних лініях;</w:t>
            </w:r>
          </w:p>
          <w:p w14:paraId="55682F2B"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2" w:name="n1631"/>
            <w:bookmarkEnd w:id="42"/>
            <w:r w:rsidRPr="00211161">
              <w:rPr>
                <w:strike/>
                <w:lang w:val="uk"/>
              </w:rPr>
              <w:t>є) позапланові та/або аварійні відключення енергоблоків, встановлена потужність яких перевищує 100 МВт;</w:t>
            </w:r>
          </w:p>
          <w:p w14:paraId="18E6692D"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3" w:name="n1632"/>
            <w:bookmarkEnd w:id="43"/>
            <w:r w:rsidRPr="00211161">
              <w:rPr>
                <w:strike/>
                <w:lang w:val="uk"/>
              </w:rPr>
              <w:t xml:space="preserve">3) дані щодо узагальненого прогнозного та фактичного попиту, доступності та фактичного використання генеруючих </w:t>
            </w:r>
            <w:proofErr w:type="spellStart"/>
            <w:r w:rsidRPr="00211161">
              <w:rPr>
                <w:strike/>
                <w:lang w:val="uk"/>
              </w:rPr>
              <w:t>потужностей</w:t>
            </w:r>
            <w:proofErr w:type="spellEnd"/>
            <w:r w:rsidRPr="00211161">
              <w:rPr>
                <w:strike/>
                <w:lang w:val="uk"/>
              </w:rPr>
              <w:t xml:space="preserve"> та електроустановок споживання, здатних до регулювання, доступності та використання мережі та перетинів, балансуючої електричної енергії та резервів потужності;</w:t>
            </w:r>
          </w:p>
          <w:p w14:paraId="5A5DB40B"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4" w:name="n1633"/>
            <w:bookmarkEnd w:id="44"/>
            <w:r w:rsidRPr="00211161">
              <w:rPr>
                <w:strike/>
                <w:lang w:val="uk"/>
              </w:rPr>
              <w:t>4) процедури управління обмеженнями та розподілу пропускної спроможності міждержавних перетинів, які застосовуються оператором системи передачі.</w:t>
            </w:r>
          </w:p>
          <w:p w14:paraId="57D0FBE3"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5" w:name="n1634"/>
            <w:bookmarkEnd w:id="45"/>
            <w:r w:rsidRPr="00211161">
              <w:rPr>
                <w:strike/>
                <w:lang w:val="uk"/>
              </w:rPr>
              <w:t>Оператором системи передачі мають бути оприлюднені відповідні фактичні дані.</w:t>
            </w:r>
          </w:p>
          <w:p w14:paraId="075C10E7"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46" w:name="n1635"/>
            <w:bookmarkEnd w:id="46"/>
            <w:r w:rsidRPr="00211161">
              <w:rPr>
                <w:strike/>
                <w:lang w:val="uk"/>
              </w:rPr>
              <w:lastRenderedPageBreak/>
              <w:t>До всієї інформації, що оприлюднюється оператором системи передачі, забезпечується вільний доступ. Усі дані мають містити інформацію за останні два роки.</w:t>
            </w:r>
          </w:p>
          <w:p w14:paraId="720134CC" w14:textId="77777777" w:rsidR="00254925" w:rsidRPr="00211161" w:rsidRDefault="00254925" w:rsidP="003A60C0">
            <w:pPr>
              <w:pStyle w:val="rvps2"/>
              <w:shd w:val="clear" w:color="auto" w:fill="FFFFFF"/>
              <w:spacing w:before="0" w:beforeAutospacing="0" w:after="0" w:afterAutospacing="0"/>
              <w:ind w:firstLine="313"/>
              <w:jc w:val="both"/>
              <w:rPr>
                <w:strike/>
                <w:lang w:val="uk"/>
              </w:rPr>
            </w:pPr>
            <w:bookmarkStart w:id="47" w:name="n1636"/>
            <w:bookmarkEnd w:id="47"/>
            <w:r w:rsidRPr="00211161">
              <w:rPr>
                <w:strike/>
                <w:lang w:val="uk"/>
              </w:rPr>
              <w:t xml:space="preserve">Оператор системи передачі має забезпечити механізми координації та обміну даними для забезпечення безпеки мережі в частині управління обмеженнями. Оператор системи передачі має регулярно обмінюватися даними щодо параметрів мережі з операторами систем передачі суміжних держав. За відповідним запитом ці дані надаються Регулятору. При підготовці до експлуатації мережі на наступну добу оператор системи передачі обмінюється інформацією з операторами систем передачі суміжних держав, зокрема щодо запланованої топології мережі, доступних та планованих навантажень енергоблоків та </w:t>
            </w:r>
            <w:proofErr w:type="spellStart"/>
            <w:r w:rsidRPr="00211161">
              <w:rPr>
                <w:strike/>
                <w:lang w:val="uk"/>
              </w:rPr>
              <w:t>перетоків</w:t>
            </w:r>
            <w:proofErr w:type="spellEnd"/>
            <w:r w:rsidRPr="00211161">
              <w:rPr>
                <w:strike/>
                <w:lang w:val="uk"/>
              </w:rPr>
              <w:t xml:space="preserve"> електричної енергії для оптимізації експлуатації мережі.</w:t>
            </w:r>
          </w:p>
          <w:p w14:paraId="33536FDE"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8" w:name="n1637"/>
            <w:bookmarkEnd w:id="48"/>
            <w:r w:rsidRPr="00211161">
              <w:rPr>
                <w:strike/>
                <w:lang w:val="uk"/>
              </w:rPr>
              <w:t>Учасники ринку надають оператору системи передачі дані, необхідні для проведення обміну інформацією щодо пропускної спроможності міждержавних перетинів, відповідно до цього Закону, правил ринку та інших нормативно-правових актів, що регулюють функціонування ринку електричної енергії. Учасники ринку не мають зобов’язань щодо інформування оператора системи передачі стосовно їхніх комерційних контрактів із купівлі та продажу електричної енергії.</w:t>
            </w:r>
          </w:p>
          <w:p w14:paraId="22F777EF"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49" w:name="n1638"/>
            <w:bookmarkEnd w:id="49"/>
            <w:r w:rsidRPr="00211161">
              <w:rPr>
                <w:strike/>
                <w:lang w:val="uk"/>
              </w:rPr>
              <w:t xml:space="preserve">Розподіл пропускної спроможності міждержавних перетинів здійснюється у координації з оператором системи передачі відповідного міждержавного перетину. Координація розподілу пропускної спроможності має включати, зокрема, перевірку </w:t>
            </w:r>
            <w:proofErr w:type="spellStart"/>
            <w:r w:rsidRPr="00211161">
              <w:rPr>
                <w:strike/>
                <w:lang w:val="uk"/>
              </w:rPr>
              <w:t>перетоків</w:t>
            </w:r>
            <w:proofErr w:type="spellEnd"/>
            <w:r w:rsidRPr="00211161">
              <w:rPr>
                <w:strike/>
                <w:lang w:val="uk"/>
              </w:rPr>
              <w:t xml:space="preserve"> на відповідність вимогам безпеки мережі при оперативному плануванні та веденні режиму в реальному часі, порядок обміну інформацією між операторами систем передачі.</w:t>
            </w:r>
          </w:p>
          <w:p w14:paraId="0AC0CEF7" w14:textId="77777777" w:rsidR="00254925" w:rsidRPr="00211161" w:rsidRDefault="00254925" w:rsidP="003A60C0">
            <w:pPr>
              <w:pStyle w:val="rvps2"/>
              <w:shd w:val="clear" w:color="auto" w:fill="FFFFFF"/>
              <w:spacing w:before="0" w:beforeAutospacing="0" w:after="0" w:afterAutospacing="0"/>
              <w:ind w:firstLine="313"/>
              <w:jc w:val="both"/>
              <w:rPr>
                <w:strike/>
              </w:rPr>
            </w:pPr>
            <w:bookmarkStart w:id="50" w:name="n1639"/>
            <w:bookmarkEnd w:id="50"/>
            <w:r w:rsidRPr="00211161">
              <w:rPr>
                <w:strike/>
                <w:lang w:val="uk"/>
              </w:rPr>
              <w:t>Для здійснення експорту електричної енергії її необхідний обсяг закуповується на оптовому ринку електричної енергії України, що функціонує відповідно до </w:t>
            </w:r>
            <w:hyperlink r:id="rId13" w:tgtFrame="_blank" w:history="1">
              <w:r w:rsidRPr="00211161">
                <w:rPr>
                  <w:rStyle w:val="a4"/>
                  <w:strike/>
                  <w:color w:val="auto"/>
                  <w:u w:val="none"/>
                  <w:lang w:val="uk"/>
                </w:rPr>
                <w:t>Закону України</w:t>
              </w:r>
            </w:hyperlink>
            <w:r w:rsidRPr="00211161">
              <w:rPr>
                <w:strike/>
                <w:lang w:val="uk"/>
              </w:rPr>
              <w:t> "Про електроенергетику", за оптовою ринковою ціною, що визначається за правилами оптового ринку електричної енергії України.</w:t>
            </w:r>
          </w:p>
          <w:p w14:paraId="21D0839E" w14:textId="77777777" w:rsidR="00254925" w:rsidRPr="00211161" w:rsidRDefault="00254925" w:rsidP="003A60C0">
            <w:pPr>
              <w:pStyle w:val="rvps2"/>
              <w:shd w:val="clear" w:color="auto" w:fill="FFFFFF"/>
              <w:spacing w:before="0" w:beforeAutospacing="0" w:after="0" w:afterAutospacing="0"/>
              <w:ind w:firstLine="313"/>
              <w:jc w:val="both"/>
              <w:rPr>
                <w:rStyle w:val="rvts15"/>
              </w:rPr>
            </w:pPr>
            <w:bookmarkStart w:id="51" w:name="n1640"/>
            <w:bookmarkEnd w:id="51"/>
            <w:r w:rsidRPr="00211161">
              <w:rPr>
                <w:strike/>
                <w:lang w:val="uk"/>
              </w:rPr>
              <w:t xml:space="preserve">Передача електричної енергії здійснюється на підставі договору з оператором системи передачі. Оператор системи передачі укладає з переможцем аукціону договір про доступ до пропускної спроможності міждержавних електричних мереж України, включаючи технічні умови </w:t>
            </w:r>
            <w:r w:rsidRPr="00211161">
              <w:rPr>
                <w:strike/>
                <w:lang w:val="uk"/>
              </w:rPr>
              <w:lastRenderedPageBreak/>
              <w:t>забезпечення експорту та імпорту електричної енергії. Примірна форма договору про доступ до пропускної спроможності міждержавних електричних мереж України затверджується Регулятором.</w:t>
            </w:r>
          </w:p>
        </w:tc>
        <w:tc>
          <w:tcPr>
            <w:tcW w:w="7652" w:type="dxa"/>
            <w:shd w:val="clear" w:color="auto" w:fill="auto"/>
          </w:tcPr>
          <w:p w14:paraId="3721F576" w14:textId="77777777" w:rsidR="00C21BE9" w:rsidRPr="00211161" w:rsidRDefault="00C21BE9" w:rsidP="003A60C0">
            <w:pPr>
              <w:ind w:firstLine="315"/>
              <w:jc w:val="both"/>
              <w:rPr>
                <w:rFonts w:ascii="Times New Roman" w:hAnsi="Times New Roman" w:cs="Times New Roman"/>
                <w:sz w:val="24"/>
                <w:szCs w:val="24"/>
                <w:shd w:val="clear" w:color="auto" w:fill="FFFFFF"/>
              </w:rPr>
            </w:pPr>
            <w:r w:rsidRPr="00211161">
              <w:rPr>
                <w:rFonts w:ascii="Times New Roman" w:hAnsi="Times New Roman" w:cs="Times New Roman"/>
                <w:sz w:val="24"/>
                <w:szCs w:val="24"/>
                <w:shd w:val="clear" w:color="auto" w:fill="FFFFFF"/>
                <w:lang w:val="uk"/>
              </w:rPr>
              <w:lastRenderedPageBreak/>
              <w:t>(…)</w:t>
            </w:r>
          </w:p>
          <w:p w14:paraId="35DF6569" w14:textId="1676B865" w:rsidR="00254925" w:rsidRDefault="0096128C" w:rsidP="003A60C0">
            <w:pPr>
              <w:pStyle w:val="rvps2"/>
              <w:shd w:val="clear" w:color="auto" w:fill="FFFFFF"/>
              <w:spacing w:after="0"/>
              <w:ind w:firstLine="315"/>
              <w:jc w:val="both"/>
              <w:rPr>
                <w:b/>
                <w:bCs/>
                <w:lang w:val="uk"/>
              </w:rPr>
            </w:pPr>
            <w:r w:rsidRPr="00211161">
              <w:rPr>
                <w:b/>
                <w:bCs/>
                <w:lang w:val="uk"/>
              </w:rPr>
              <w:t>Для міждержавних перетинів</w:t>
            </w:r>
            <w:r w:rsidR="00A6356E">
              <w:rPr>
                <w:b/>
                <w:bCs/>
                <w:lang w:val="uk"/>
              </w:rPr>
              <w:t>,</w:t>
            </w:r>
            <w:r w:rsidRPr="00211161">
              <w:rPr>
                <w:b/>
                <w:bCs/>
                <w:lang w:val="uk"/>
              </w:rPr>
              <w:t xml:space="preserve"> за якими не впроваджено спільну скоординовану процедуру розподілу пропускної спроможності</w:t>
            </w:r>
            <w:r w:rsidR="00A6356E">
              <w:rPr>
                <w:b/>
                <w:bCs/>
                <w:lang w:val="uk"/>
              </w:rPr>
              <w:t>,</w:t>
            </w:r>
            <w:r w:rsidRPr="00211161">
              <w:rPr>
                <w:b/>
                <w:bCs/>
                <w:lang w:val="uk"/>
              </w:rPr>
              <w:t xml:space="preserve"> аукціони з розподілу пропонованої  пропускної спроможності проводяться відповідно до порядку, затвердженого Регулятором.</w:t>
            </w:r>
          </w:p>
          <w:p w14:paraId="48C97649" w14:textId="77777777" w:rsidR="00C21BE9" w:rsidRDefault="00C21BE9" w:rsidP="003A60C0">
            <w:pPr>
              <w:pStyle w:val="rvps2"/>
              <w:shd w:val="clear" w:color="auto" w:fill="FFFFFF"/>
              <w:spacing w:after="0"/>
              <w:ind w:firstLine="315"/>
              <w:jc w:val="both"/>
              <w:rPr>
                <w:rStyle w:val="rvts15"/>
                <w:b/>
                <w:bCs/>
                <w:lang w:val="uk"/>
              </w:rPr>
            </w:pPr>
          </w:p>
          <w:p w14:paraId="26184BAF" w14:textId="56424E7A" w:rsidR="00C21BE9" w:rsidRPr="00211161" w:rsidRDefault="00C21BE9" w:rsidP="003A60C0">
            <w:pPr>
              <w:pStyle w:val="rvps2"/>
              <w:shd w:val="clear" w:color="auto" w:fill="FFFFFF"/>
              <w:spacing w:after="0"/>
              <w:ind w:firstLine="315"/>
              <w:jc w:val="both"/>
              <w:rPr>
                <w:rStyle w:val="rvts15"/>
                <w:b/>
                <w:bCs/>
                <w:lang w:val="uk"/>
              </w:rPr>
            </w:pPr>
          </w:p>
        </w:tc>
      </w:tr>
    </w:tbl>
    <w:p w14:paraId="0F06270D" w14:textId="17A6CCFB" w:rsidR="00D3184B" w:rsidRDefault="00D3184B">
      <w:pPr>
        <w:rPr>
          <w:rFonts w:ascii="Times New Roman" w:hAnsi="Times New Roman" w:cs="Times New Roman"/>
          <w:sz w:val="24"/>
          <w:szCs w:val="24"/>
        </w:rPr>
      </w:pPr>
    </w:p>
    <w:p w14:paraId="0000B3B2" w14:textId="35FA52FC" w:rsidR="003A60C0" w:rsidRDefault="003A60C0">
      <w:pPr>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A60C0" w:rsidRPr="003A60C0" w14:paraId="522A8D4F" w14:textId="77777777" w:rsidTr="003A60C0">
        <w:tc>
          <w:tcPr>
            <w:tcW w:w="7694" w:type="dxa"/>
          </w:tcPr>
          <w:p w14:paraId="6A350B09" w14:textId="7621A9A8" w:rsidR="003A60C0" w:rsidRPr="003A60C0" w:rsidRDefault="003A60C0" w:rsidP="003A60C0">
            <w:pPr>
              <w:spacing w:before="240"/>
              <w:rPr>
                <w:rFonts w:ascii="Times New Roman" w:hAnsi="Times New Roman" w:cs="Times New Roman"/>
                <w:b/>
                <w:sz w:val="28"/>
                <w:szCs w:val="28"/>
              </w:rPr>
            </w:pPr>
            <w:r w:rsidRPr="003A60C0">
              <w:rPr>
                <w:rFonts w:ascii="Times New Roman" w:hAnsi="Times New Roman" w:cs="Times New Roman"/>
                <w:b/>
                <w:sz w:val="28"/>
                <w:szCs w:val="28"/>
              </w:rPr>
              <w:t>Голова НКРЕКП</w:t>
            </w:r>
          </w:p>
        </w:tc>
        <w:tc>
          <w:tcPr>
            <w:tcW w:w="7694" w:type="dxa"/>
          </w:tcPr>
          <w:p w14:paraId="0FF55780" w14:textId="06374781" w:rsidR="003A60C0" w:rsidRPr="003A60C0" w:rsidRDefault="003A60C0" w:rsidP="00E87190">
            <w:pPr>
              <w:spacing w:before="240"/>
              <w:ind w:right="257"/>
              <w:jc w:val="right"/>
              <w:rPr>
                <w:rFonts w:ascii="Times New Roman" w:hAnsi="Times New Roman" w:cs="Times New Roman"/>
                <w:b/>
                <w:sz w:val="28"/>
                <w:szCs w:val="28"/>
              </w:rPr>
            </w:pPr>
            <w:r w:rsidRPr="003A60C0">
              <w:rPr>
                <w:rFonts w:ascii="Times New Roman" w:hAnsi="Times New Roman" w:cs="Times New Roman"/>
                <w:b/>
                <w:sz w:val="28"/>
                <w:szCs w:val="28"/>
              </w:rPr>
              <w:t>К.</w:t>
            </w:r>
            <w:r w:rsidR="00AD109A">
              <w:rPr>
                <w:rFonts w:ascii="Times New Roman" w:hAnsi="Times New Roman" w:cs="Times New Roman"/>
                <w:b/>
                <w:sz w:val="28"/>
                <w:szCs w:val="28"/>
              </w:rPr>
              <w:t xml:space="preserve"> </w:t>
            </w:r>
            <w:proofErr w:type="spellStart"/>
            <w:r w:rsidRPr="003A60C0">
              <w:rPr>
                <w:rFonts w:ascii="Times New Roman" w:hAnsi="Times New Roman" w:cs="Times New Roman"/>
                <w:b/>
                <w:sz w:val="28"/>
                <w:szCs w:val="28"/>
              </w:rPr>
              <w:t>Ущаповський</w:t>
            </w:r>
            <w:proofErr w:type="spellEnd"/>
          </w:p>
        </w:tc>
      </w:tr>
      <w:tr w:rsidR="003A60C0" w:rsidRPr="003A60C0" w14:paraId="2BAF48B0" w14:textId="77777777" w:rsidTr="003A60C0">
        <w:tc>
          <w:tcPr>
            <w:tcW w:w="7694" w:type="dxa"/>
          </w:tcPr>
          <w:p w14:paraId="1965D962" w14:textId="77777777" w:rsidR="003A60C0" w:rsidRDefault="003A60C0" w:rsidP="003A60C0">
            <w:pPr>
              <w:spacing w:before="240"/>
              <w:rPr>
                <w:rFonts w:ascii="Times New Roman" w:hAnsi="Times New Roman" w:cs="Times New Roman"/>
                <w:sz w:val="28"/>
                <w:szCs w:val="28"/>
              </w:rPr>
            </w:pPr>
          </w:p>
          <w:p w14:paraId="457BF84D" w14:textId="2437E2B0" w:rsidR="003A60C0" w:rsidRPr="003A60C0" w:rsidRDefault="003A60C0" w:rsidP="00BA0987">
            <w:pPr>
              <w:spacing w:before="240" w:after="120"/>
              <w:rPr>
                <w:rFonts w:ascii="Times New Roman" w:hAnsi="Times New Roman" w:cs="Times New Roman"/>
                <w:sz w:val="28"/>
                <w:szCs w:val="28"/>
              </w:rPr>
            </w:pPr>
            <w:r w:rsidRPr="003A60C0">
              <w:rPr>
                <w:rFonts w:ascii="Times New Roman" w:hAnsi="Times New Roman" w:cs="Times New Roman"/>
                <w:sz w:val="28"/>
                <w:szCs w:val="28"/>
              </w:rPr>
              <w:t>«_</w:t>
            </w:r>
            <w:r w:rsidR="00BA0987" w:rsidRPr="003A60C0">
              <w:rPr>
                <w:rFonts w:ascii="Times New Roman" w:hAnsi="Times New Roman" w:cs="Times New Roman"/>
                <w:sz w:val="28"/>
                <w:szCs w:val="28"/>
              </w:rPr>
              <w:t>___</w:t>
            </w:r>
            <w:proofErr w:type="gramStart"/>
            <w:r w:rsidRPr="003A60C0">
              <w:rPr>
                <w:rFonts w:ascii="Times New Roman" w:hAnsi="Times New Roman" w:cs="Times New Roman"/>
                <w:sz w:val="28"/>
                <w:szCs w:val="28"/>
              </w:rPr>
              <w:t>_»  _</w:t>
            </w:r>
            <w:proofErr w:type="gramEnd"/>
            <w:r w:rsidRPr="003A60C0">
              <w:rPr>
                <w:rFonts w:ascii="Times New Roman" w:hAnsi="Times New Roman" w:cs="Times New Roman"/>
                <w:sz w:val="28"/>
                <w:szCs w:val="28"/>
              </w:rPr>
              <w:t>_____</w:t>
            </w:r>
            <w:r w:rsidR="00BA0987" w:rsidRPr="003A60C0">
              <w:rPr>
                <w:rFonts w:ascii="Times New Roman" w:hAnsi="Times New Roman" w:cs="Times New Roman"/>
                <w:sz w:val="28"/>
                <w:szCs w:val="28"/>
              </w:rPr>
              <w:t>______</w:t>
            </w:r>
            <w:r w:rsidRPr="003A60C0">
              <w:rPr>
                <w:rFonts w:ascii="Times New Roman" w:hAnsi="Times New Roman" w:cs="Times New Roman"/>
                <w:sz w:val="28"/>
                <w:szCs w:val="28"/>
              </w:rPr>
              <w:t>__ 2023 р.</w:t>
            </w:r>
          </w:p>
        </w:tc>
        <w:tc>
          <w:tcPr>
            <w:tcW w:w="7694" w:type="dxa"/>
          </w:tcPr>
          <w:p w14:paraId="3FF16B54" w14:textId="77777777" w:rsidR="003A60C0" w:rsidRPr="003A60C0" w:rsidRDefault="003A60C0" w:rsidP="003A60C0">
            <w:pPr>
              <w:spacing w:before="240"/>
              <w:rPr>
                <w:rFonts w:ascii="Times New Roman" w:hAnsi="Times New Roman" w:cs="Times New Roman"/>
                <w:sz w:val="28"/>
                <w:szCs w:val="28"/>
              </w:rPr>
            </w:pPr>
          </w:p>
        </w:tc>
      </w:tr>
    </w:tbl>
    <w:p w14:paraId="5F4E648A" w14:textId="77777777" w:rsidR="003A60C0" w:rsidRPr="001349FA" w:rsidRDefault="003A60C0">
      <w:pPr>
        <w:rPr>
          <w:rFonts w:ascii="Times New Roman" w:hAnsi="Times New Roman" w:cs="Times New Roman"/>
          <w:sz w:val="24"/>
          <w:szCs w:val="24"/>
        </w:rPr>
      </w:pPr>
    </w:p>
    <w:sectPr w:rsidR="003A60C0" w:rsidRPr="001349FA" w:rsidSect="003A60C0">
      <w:headerReference w:type="default" r:id="rId14"/>
      <w:footerReference w:type="default" r:id="rId15"/>
      <w:pgSz w:w="16838" w:h="11906" w:orient="landscape"/>
      <w:pgMar w:top="709" w:right="720" w:bottom="720" w:left="720" w:header="568" w:footer="3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518D7" w16cex:dateUtc="2023-04-03T06: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70037" w14:textId="77777777" w:rsidR="005F7261" w:rsidRDefault="005F7261" w:rsidP="00B8536D">
      <w:pPr>
        <w:spacing w:after="0" w:line="240" w:lineRule="auto"/>
      </w:pPr>
      <w:r>
        <w:separator/>
      </w:r>
    </w:p>
  </w:endnote>
  <w:endnote w:type="continuationSeparator" w:id="0">
    <w:p w14:paraId="2D40907A" w14:textId="77777777" w:rsidR="005F7261" w:rsidRDefault="005F7261" w:rsidP="00B85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5172752"/>
      <w:docPartObj>
        <w:docPartGallery w:val="Page Numbers (Bottom of Page)"/>
        <w:docPartUnique/>
      </w:docPartObj>
    </w:sdtPr>
    <w:sdtEndPr/>
    <w:sdtContent>
      <w:p w14:paraId="7E4B871B" w14:textId="2AAF29CD" w:rsidR="00140234" w:rsidRDefault="005F7261">
        <w:pPr>
          <w:pStyle w:val="a7"/>
          <w:jc w:val="center"/>
        </w:pPr>
      </w:p>
    </w:sdtContent>
  </w:sdt>
  <w:p w14:paraId="328B203A" w14:textId="77777777" w:rsidR="00140234" w:rsidRDefault="0014023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87342" w14:textId="77777777" w:rsidR="005F7261" w:rsidRDefault="005F7261" w:rsidP="00B8536D">
      <w:pPr>
        <w:spacing w:after="0" w:line="240" w:lineRule="auto"/>
      </w:pPr>
      <w:r>
        <w:separator/>
      </w:r>
    </w:p>
  </w:footnote>
  <w:footnote w:type="continuationSeparator" w:id="0">
    <w:p w14:paraId="755554C0" w14:textId="77777777" w:rsidR="005F7261" w:rsidRDefault="005F7261" w:rsidP="00B85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9265772"/>
      <w:docPartObj>
        <w:docPartGallery w:val="Page Numbers (Top of Page)"/>
        <w:docPartUnique/>
      </w:docPartObj>
    </w:sdtPr>
    <w:sdtEndPr/>
    <w:sdtContent>
      <w:p w14:paraId="29026173" w14:textId="3FB6C88E" w:rsidR="003A60C0" w:rsidRDefault="003A60C0">
        <w:pPr>
          <w:pStyle w:val="a5"/>
          <w:jc w:val="center"/>
        </w:pPr>
        <w:r>
          <w:fldChar w:fldCharType="begin"/>
        </w:r>
        <w:r>
          <w:instrText>PAGE   \* MERGEFORMAT</w:instrText>
        </w:r>
        <w:r>
          <w:fldChar w:fldCharType="separate"/>
        </w:r>
        <w:r>
          <w:t>2</w:t>
        </w:r>
        <w:r>
          <w:fldChar w:fldCharType="end"/>
        </w:r>
      </w:p>
    </w:sdtContent>
  </w:sdt>
  <w:p w14:paraId="3694840D" w14:textId="77777777" w:rsidR="003A60C0" w:rsidRDefault="003A60C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7A32"/>
    <w:multiLevelType w:val="hybridMultilevel"/>
    <w:tmpl w:val="806C5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F156D7"/>
    <w:multiLevelType w:val="hybridMultilevel"/>
    <w:tmpl w:val="A1A8310C"/>
    <w:lvl w:ilvl="0" w:tplc="19366C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A99426F"/>
    <w:multiLevelType w:val="hybridMultilevel"/>
    <w:tmpl w:val="D8B66FC6"/>
    <w:lvl w:ilvl="0" w:tplc="495E31B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3" w15:restartNumberingAfterBreak="0">
    <w:nsid w:val="52D3306C"/>
    <w:multiLevelType w:val="hybridMultilevel"/>
    <w:tmpl w:val="DA2A3008"/>
    <w:lvl w:ilvl="0" w:tplc="1A92D004">
      <w:start w:val="7"/>
      <w:numFmt w:val="bullet"/>
      <w:lvlText w:val="-"/>
      <w:lvlJc w:val="left"/>
      <w:pPr>
        <w:ind w:left="420" w:hanging="360"/>
      </w:pPr>
      <w:rPr>
        <w:rFonts w:ascii="Times New Roman" w:eastAsiaTheme="minorHAnsi" w:hAnsi="Times New Roman" w:cs="Times New Roman" w:hint="default"/>
      </w:rPr>
    </w:lvl>
    <w:lvl w:ilvl="1" w:tplc="20000003" w:tentative="1">
      <w:start w:val="1"/>
      <w:numFmt w:val="bullet"/>
      <w:lvlText w:val="o"/>
      <w:lvlJc w:val="left"/>
      <w:pPr>
        <w:ind w:left="1140" w:hanging="360"/>
      </w:pPr>
      <w:rPr>
        <w:rFonts w:ascii="Courier New" w:hAnsi="Courier New" w:cs="Courier New" w:hint="default"/>
      </w:rPr>
    </w:lvl>
    <w:lvl w:ilvl="2" w:tplc="20000005" w:tentative="1">
      <w:start w:val="1"/>
      <w:numFmt w:val="bullet"/>
      <w:lvlText w:val=""/>
      <w:lvlJc w:val="left"/>
      <w:pPr>
        <w:ind w:left="1860" w:hanging="360"/>
      </w:pPr>
      <w:rPr>
        <w:rFonts w:ascii="Wingdings" w:hAnsi="Wingdings" w:hint="default"/>
      </w:rPr>
    </w:lvl>
    <w:lvl w:ilvl="3" w:tplc="20000001" w:tentative="1">
      <w:start w:val="1"/>
      <w:numFmt w:val="bullet"/>
      <w:lvlText w:val=""/>
      <w:lvlJc w:val="left"/>
      <w:pPr>
        <w:ind w:left="2580" w:hanging="360"/>
      </w:pPr>
      <w:rPr>
        <w:rFonts w:ascii="Symbol" w:hAnsi="Symbol" w:hint="default"/>
      </w:rPr>
    </w:lvl>
    <w:lvl w:ilvl="4" w:tplc="20000003" w:tentative="1">
      <w:start w:val="1"/>
      <w:numFmt w:val="bullet"/>
      <w:lvlText w:val="o"/>
      <w:lvlJc w:val="left"/>
      <w:pPr>
        <w:ind w:left="3300" w:hanging="360"/>
      </w:pPr>
      <w:rPr>
        <w:rFonts w:ascii="Courier New" w:hAnsi="Courier New" w:cs="Courier New" w:hint="default"/>
      </w:rPr>
    </w:lvl>
    <w:lvl w:ilvl="5" w:tplc="20000005" w:tentative="1">
      <w:start w:val="1"/>
      <w:numFmt w:val="bullet"/>
      <w:lvlText w:val=""/>
      <w:lvlJc w:val="left"/>
      <w:pPr>
        <w:ind w:left="4020" w:hanging="360"/>
      </w:pPr>
      <w:rPr>
        <w:rFonts w:ascii="Wingdings" w:hAnsi="Wingdings" w:hint="default"/>
      </w:rPr>
    </w:lvl>
    <w:lvl w:ilvl="6" w:tplc="20000001" w:tentative="1">
      <w:start w:val="1"/>
      <w:numFmt w:val="bullet"/>
      <w:lvlText w:val=""/>
      <w:lvlJc w:val="left"/>
      <w:pPr>
        <w:ind w:left="4740" w:hanging="360"/>
      </w:pPr>
      <w:rPr>
        <w:rFonts w:ascii="Symbol" w:hAnsi="Symbol" w:hint="default"/>
      </w:rPr>
    </w:lvl>
    <w:lvl w:ilvl="7" w:tplc="20000003" w:tentative="1">
      <w:start w:val="1"/>
      <w:numFmt w:val="bullet"/>
      <w:lvlText w:val="o"/>
      <w:lvlJc w:val="left"/>
      <w:pPr>
        <w:ind w:left="5460" w:hanging="360"/>
      </w:pPr>
      <w:rPr>
        <w:rFonts w:ascii="Courier New" w:hAnsi="Courier New" w:cs="Courier New" w:hint="default"/>
      </w:rPr>
    </w:lvl>
    <w:lvl w:ilvl="8" w:tplc="20000005" w:tentative="1">
      <w:start w:val="1"/>
      <w:numFmt w:val="bullet"/>
      <w:lvlText w:val=""/>
      <w:lvlJc w:val="left"/>
      <w:pPr>
        <w:ind w:left="6180" w:hanging="360"/>
      </w:pPr>
      <w:rPr>
        <w:rFonts w:ascii="Wingdings" w:hAnsi="Wingdings" w:hint="default"/>
      </w:rPr>
    </w:lvl>
  </w:abstractNum>
  <w:abstractNum w:abstractNumId="4" w15:restartNumberingAfterBreak="0">
    <w:nsid w:val="729C2C6D"/>
    <w:multiLevelType w:val="hybridMultilevel"/>
    <w:tmpl w:val="96EA1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84B"/>
    <w:rsid w:val="00022721"/>
    <w:rsid w:val="00040679"/>
    <w:rsid w:val="00041B73"/>
    <w:rsid w:val="00045045"/>
    <w:rsid w:val="000544FE"/>
    <w:rsid w:val="00064E8A"/>
    <w:rsid w:val="00090FFF"/>
    <w:rsid w:val="00093068"/>
    <w:rsid w:val="0009361B"/>
    <w:rsid w:val="000A60B0"/>
    <w:rsid w:val="000B4E6E"/>
    <w:rsid w:val="000C253C"/>
    <w:rsid w:val="000D1EAA"/>
    <w:rsid w:val="00101C8C"/>
    <w:rsid w:val="001043F0"/>
    <w:rsid w:val="0010458F"/>
    <w:rsid w:val="00112487"/>
    <w:rsid w:val="00130951"/>
    <w:rsid w:val="0013177A"/>
    <w:rsid w:val="001349FA"/>
    <w:rsid w:val="00140234"/>
    <w:rsid w:val="00156900"/>
    <w:rsid w:val="00170E50"/>
    <w:rsid w:val="0017758D"/>
    <w:rsid w:val="00183184"/>
    <w:rsid w:val="00184EAB"/>
    <w:rsid w:val="001A1508"/>
    <w:rsid w:val="001B177D"/>
    <w:rsid w:val="001C4F31"/>
    <w:rsid w:val="001C778F"/>
    <w:rsid w:val="001E2D1B"/>
    <w:rsid w:val="001F2323"/>
    <w:rsid w:val="001F3086"/>
    <w:rsid w:val="00204EAC"/>
    <w:rsid w:val="00211161"/>
    <w:rsid w:val="0023049C"/>
    <w:rsid w:val="00235FA0"/>
    <w:rsid w:val="00245F3A"/>
    <w:rsid w:val="00254925"/>
    <w:rsid w:val="00273970"/>
    <w:rsid w:val="00281CE6"/>
    <w:rsid w:val="00287D19"/>
    <w:rsid w:val="002947EF"/>
    <w:rsid w:val="002A26FF"/>
    <w:rsid w:val="002C1E4E"/>
    <w:rsid w:val="002C59F1"/>
    <w:rsid w:val="002E5D67"/>
    <w:rsid w:val="002F1639"/>
    <w:rsid w:val="002F59D9"/>
    <w:rsid w:val="00302A0D"/>
    <w:rsid w:val="00305E88"/>
    <w:rsid w:val="003268BD"/>
    <w:rsid w:val="00334330"/>
    <w:rsid w:val="00336AA8"/>
    <w:rsid w:val="003407E6"/>
    <w:rsid w:val="0034230E"/>
    <w:rsid w:val="00343122"/>
    <w:rsid w:val="003469F4"/>
    <w:rsid w:val="003532BC"/>
    <w:rsid w:val="00380E70"/>
    <w:rsid w:val="00381C8E"/>
    <w:rsid w:val="00395848"/>
    <w:rsid w:val="003A4CF2"/>
    <w:rsid w:val="003A60C0"/>
    <w:rsid w:val="003F2136"/>
    <w:rsid w:val="003F2893"/>
    <w:rsid w:val="00400E7E"/>
    <w:rsid w:val="0042061C"/>
    <w:rsid w:val="004228FC"/>
    <w:rsid w:val="00425446"/>
    <w:rsid w:val="00442977"/>
    <w:rsid w:val="00444B4D"/>
    <w:rsid w:val="0044514D"/>
    <w:rsid w:val="00445F83"/>
    <w:rsid w:val="0044635B"/>
    <w:rsid w:val="00447439"/>
    <w:rsid w:val="004524CE"/>
    <w:rsid w:val="00464A68"/>
    <w:rsid w:val="004667DD"/>
    <w:rsid w:val="004672A4"/>
    <w:rsid w:val="00476A8A"/>
    <w:rsid w:val="004852B5"/>
    <w:rsid w:val="00486EAE"/>
    <w:rsid w:val="00492CA2"/>
    <w:rsid w:val="00493C5D"/>
    <w:rsid w:val="00496DE9"/>
    <w:rsid w:val="004B07A7"/>
    <w:rsid w:val="004B108B"/>
    <w:rsid w:val="004B1C6C"/>
    <w:rsid w:val="004B3B92"/>
    <w:rsid w:val="004C7B74"/>
    <w:rsid w:val="004D1A03"/>
    <w:rsid w:val="004D65BF"/>
    <w:rsid w:val="004E0757"/>
    <w:rsid w:val="004E292E"/>
    <w:rsid w:val="004F09A3"/>
    <w:rsid w:val="004F2B92"/>
    <w:rsid w:val="00502053"/>
    <w:rsid w:val="005058EF"/>
    <w:rsid w:val="005115AD"/>
    <w:rsid w:val="005142C2"/>
    <w:rsid w:val="00532264"/>
    <w:rsid w:val="00536C97"/>
    <w:rsid w:val="0055701A"/>
    <w:rsid w:val="00563B23"/>
    <w:rsid w:val="00565AE1"/>
    <w:rsid w:val="00587758"/>
    <w:rsid w:val="00593941"/>
    <w:rsid w:val="005B5F46"/>
    <w:rsid w:val="005C060A"/>
    <w:rsid w:val="005D1938"/>
    <w:rsid w:val="005D5CB3"/>
    <w:rsid w:val="005E2691"/>
    <w:rsid w:val="005F7261"/>
    <w:rsid w:val="00611BE5"/>
    <w:rsid w:val="006234BA"/>
    <w:rsid w:val="00624A60"/>
    <w:rsid w:val="00626862"/>
    <w:rsid w:val="006400C6"/>
    <w:rsid w:val="006455E3"/>
    <w:rsid w:val="0064671C"/>
    <w:rsid w:val="00647213"/>
    <w:rsid w:val="00650621"/>
    <w:rsid w:val="00650945"/>
    <w:rsid w:val="00662087"/>
    <w:rsid w:val="00662174"/>
    <w:rsid w:val="00676C8E"/>
    <w:rsid w:val="00684273"/>
    <w:rsid w:val="0069372E"/>
    <w:rsid w:val="006A2C19"/>
    <w:rsid w:val="006C27C8"/>
    <w:rsid w:val="006C6DBC"/>
    <w:rsid w:val="006E2C1A"/>
    <w:rsid w:val="006E3399"/>
    <w:rsid w:val="006E565A"/>
    <w:rsid w:val="006F3F47"/>
    <w:rsid w:val="006F6895"/>
    <w:rsid w:val="006F698A"/>
    <w:rsid w:val="007015BE"/>
    <w:rsid w:val="00713C75"/>
    <w:rsid w:val="0072100C"/>
    <w:rsid w:val="0073207F"/>
    <w:rsid w:val="00734BB5"/>
    <w:rsid w:val="00773FAA"/>
    <w:rsid w:val="0078003D"/>
    <w:rsid w:val="007830C9"/>
    <w:rsid w:val="00787E54"/>
    <w:rsid w:val="00797079"/>
    <w:rsid w:val="007A3B16"/>
    <w:rsid w:val="007B26A7"/>
    <w:rsid w:val="007C17D1"/>
    <w:rsid w:val="007D444C"/>
    <w:rsid w:val="007E30AA"/>
    <w:rsid w:val="007E7E03"/>
    <w:rsid w:val="008004E5"/>
    <w:rsid w:val="00811914"/>
    <w:rsid w:val="008705F9"/>
    <w:rsid w:val="0087360F"/>
    <w:rsid w:val="00874E4D"/>
    <w:rsid w:val="008764E2"/>
    <w:rsid w:val="008B2ADC"/>
    <w:rsid w:val="008B7E97"/>
    <w:rsid w:val="008C345D"/>
    <w:rsid w:val="008E06AD"/>
    <w:rsid w:val="008E2F17"/>
    <w:rsid w:val="00906C64"/>
    <w:rsid w:val="00921282"/>
    <w:rsid w:val="009247D2"/>
    <w:rsid w:val="00933F8A"/>
    <w:rsid w:val="00944E4A"/>
    <w:rsid w:val="0096128C"/>
    <w:rsid w:val="00983CC4"/>
    <w:rsid w:val="00992E41"/>
    <w:rsid w:val="009B0244"/>
    <w:rsid w:val="009B09C8"/>
    <w:rsid w:val="009B0B6C"/>
    <w:rsid w:val="009B63EA"/>
    <w:rsid w:val="009C5AD8"/>
    <w:rsid w:val="009F246B"/>
    <w:rsid w:val="00A04992"/>
    <w:rsid w:val="00A07C56"/>
    <w:rsid w:val="00A07D0C"/>
    <w:rsid w:val="00A1065C"/>
    <w:rsid w:val="00A1122D"/>
    <w:rsid w:val="00A208AF"/>
    <w:rsid w:val="00A30006"/>
    <w:rsid w:val="00A34CAE"/>
    <w:rsid w:val="00A6356E"/>
    <w:rsid w:val="00A7335E"/>
    <w:rsid w:val="00A7533C"/>
    <w:rsid w:val="00A87DEB"/>
    <w:rsid w:val="00A91795"/>
    <w:rsid w:val="00AA6FC1"/>
    <w:rsid w:val="00AB6B59"/>
    <w:rsid w:val="00AD109A"/>
    <w:rsid w:val="00AD19E4"/>
    <w:rsid w:val="00AF32D4"/>
    <w:rsid w:val="00AF4403"/>
    <w:rsid w:val="00AF77FE"/>
    <w:rsid w:val="00B030D0"/>
    <w:rsid w:val="00B15570"/>
    <w:rsid w:val="00B212FF"/>
    <w:rsid w:val="00B369F7"/>
    <w:rsid w:val="00B37F39"/>
    <w:rsid w:val="00B42467"/>
    <w:rsid w:val="00B43F53"/>
    <w:rsid w:val="00B479CE"/>
    <w:rsid w:val="00B571E1"/>
    <w:rsid w:val="00B64C65"/>
    <w:rsid w:val="00B8536D"/>
    <w:rsid w:val="00B92089"/>
    <w:rsid w:val="00B92964"/>
    <w:rsid w:val="00B94E55"/>
    <w:rsid w:val="00BA0987"/>
    <w:rsid w:val="00BA0BF2"/>
    <w:rsid w:val="00BA4B58"/>
    <w:rsid w:val="00BC2336"/>
    <w:rsid w:val="00BC5128"/>
    <w:rsid w:val="00BD0D26"/>
    <w:rsid w:val="00BD3289"/>
    <w:rsid w:val="00BF3245"/>
    <w:rsid w:val="00C02AF8"/>
    <w:rsid w:val="00C058EC"/>
    <w:rsid w:val="00C21BE9"/>
    <w:rsid w:val="00C35349"/>
    <w:rsid w:val="00C54EE6"/>
    <w:rsid w:val="00CA1403"/>
    <w:rsid w:val="00CC0ADC"/>
    <w:rsid w:val="00CD10BD"/>
    <w:rsid w:val="00CF0716"/>
    <w:rsid w:val="00CF2EA5"/>
    <w:rsid w:val="00CF3B9D"/>
    <w:rsid w:val="00D03D88"/>
    <w:rsid w:val="00D1705E"/>
    <w:rsid w:val="00D27B42"/>
    <w:rsid w:val="00D31275"/>
    <w:rsid w:val="00D3184B"/>
    <w:rsid w:val="00D31F3A"/>
    <w:rsid w:val="00D506F5"/>
    <w:rsid w:val="00D642E7"/>
    <w:rsid w:val="00D748D3"/>
    <w:rsid w:val="00D75FF3"/>
    <w:rsid w:val="00D76A11"/>
    <w:rsid w:val="00D91AE1"/>
    <w:rsid w:val="00D95EBD"/>
    <w:rsid w:val="00DA6E48"/>
    <w:rsid w:val="00DD1EDC"/>
    <w:rsid w:val="00DF21C9"/>
    <w:rsid w:val="00DF6138"/>
    <w:rsid w:val="00E02806"/>
    <w:rsid w:val="00E1357D"/>
    <w:rsid w:val="00E252DA"/>
    <w:rsid w:val="00E261F0"/>
    <w:rsid w:val="00E3250C"/>
    <w:rsid w:val="00E33425"/>
    <w:rsid w:val="00E473C5"/>
    <w:rsid w:val="00E74555"/>
    <w:rsid w:val="00E86E54"/>
    <w:rsid w:val="00E86E5B"/>
    <w:rsid w:val="00E87190"/>
    <w:rsid w:val="00E943DF"/>
    <w:rsid w:val="00EA1505"/>
    <w:rsid w:val="00EA7F06"/>
    <w:rsid w:val="00EE0DC4"/>
    <w:rsid w:val="00EE0FF7"/>
    <w:rsid w:val="00EF527F"/>
    <w:rsid w:val="00EF7C1A"/>
    <w:rsid w:val="00F017AA"/>
    <w:rsid w:val="00F1145B"/>
    <w:rsid w:val="00F23C0C"/>
    <w:rsid w:val="00F25DDD"/>
    <w:rsid w:val="00F427DE"/>
    <w:rsid w:val="00F51D79"/>
    <w:rsid w:val="00F5641F"/>
    <w:rsid w:val="00F6287D"/>
    <w:rsid w:val="00F707B2"/>
    <w:rsid w:val="00F959AF"/>
    <w:rsid w:val="00F96A1D"/>
    <w:rsid w:val="00FA2F26"/>
    <w:rsid w:val="00FC2DDE"/>
    <w:rsid w:val="00FE4A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46804"/>
  <w15:docId w15:val="{1BD0FEBE-D7F0-4687-BE01-D14CC294F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3B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84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D3184B"/>
  </w:style>
  <w:style w:type="character" w:styleId="a4">
    <w:name w:val="Hyperlink"/>
    <w:basedOn w:val="a0"/>
    <w:uiPriority w:val="99"/>
    <w:semiHidden/>
    <w:unhideWhenUsed/>
    <w:rsid w:val="00D3184B"/>
    <w:rPr>
      <w:color w:val="0000FF"/>
      <w:u w:val="single"/>
    </w:rPr>
  </w:style>
  <w:style w:type="paragraph" w:styleId="a5">
    <w:name w:val="header"/>
    <w:basedOn w:val="a"/>
    <w:link w:val="a6"/>
    <w:uiPriority w:val="99"/>
    <w:unhideWhenUsed/>
    <w:rsid w:val="00B8536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8536D"/>
  </w:style>
  <w:style w:type="paragraph" w:styleId="a7">
    <w:name w:val="footer"/>
    <w:basedOn w:val="a"/>
    <w:link w:val="a8"/>
    <w:uiPriority w:val="99"/>
    <w:unhideWhenUsed/>
    <w:rsid w:val="00B8536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B8536D"/>
  </w:style>
  <w:style w:type="paragraph" w:customStyle="1" w:styleId="rvps2">
    <w:name w:val="rvps2"/>
    <w:basedOn w:val="a"/>
    <w:rsid w:val="00676C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ableParagraph">
    <w:name w:val="Table Paragraph"/>
    <w:basedOn w:val="a"/>
    <w:uiPriority w:val="1"/>
    <w:qFormat/>
    <w:rsid w:val="00676C8E"/>
    <w:pPr>
      <w:widowControl w:val="0"/>
      <w:autoSpaceDE w:val="0"/>
      <w:autoSpaceDN w:val="0"/>
      <w:spacing w:after="0" w:line="240" w:lineRule="auto"/>
      <w:ind w:left="108"/>
      <w:jc w:val="both"/>
    </w:pPr>
    <w:rPr>
      <w:rFonts w:ascii="Calibri" w:eastAsia="Calibri" w:hAnsi="Calibri" w:cs="Calibri"/>
    </w:rPr>
  </w:style>
  <w:style w:type="character" w:styleId="a9">
    <w:name w:val="annotation reference"/>
    <w:basedOn w:val="a0"/>
    <w:uiPriority w:val="99"/>
    <w:semiHidden/>
    <w:unhideWhenUsed/>
    <w:rsid w:val="00B37F39"/>
    <w:rPr>
      <w:sz w:val="16"/>
      <w:szCs w:val="16"/>
    </w:rPr>
  </w:style>
  <w:style w:type="paragraph" w:styleId="aa">
    <w:name w:val="annotation text"/>
    <w:basedOn w:val="a"/>
    <w:link w:val="ab"/>
    <w:uiPriority w:val="99"/>
    <w:unhideWhenUsed/>
    <w:rsid w:val="00B37F39"/>
    <w:pPr>
      <w:spacing w:line="240" w:lineRule="auto"/>
    </w:pPr>
    <w:rPr>
      <w:sz w:val="20"/>
      <w:szCs w:val="20"/>
    </w:rPr>
  </w:style>
  <w:style w:type="character" w:customStyle="1" w:styleId="ab">
    <w:name w:val="Текст примітки Знак"/>
    <w:basedOn w:val="a0"/>
    <w:link w:val="aa"/>
    <w:uiPriority w:val="99"/>
    <w:rsid w:val="00B37F39"/>
    <w:rPr>
      <w:sz w:val="20"/>
      <w:szCs w:val="20"/>
    </w:rPr>
  </w:style>
  <w:style w:type="paragraph" w:styleId="ac">
    <w:name w:val="annotation subject"/>
    <w:basedOn w:val="aa"/>
    <w:next w:val="aa"/>
    <w:link w:val="ad"/>
    <w:uiPriority w:val="99"/>
    <w:semiHidden/>
    <w:unhideWhenUsed/>
    <w:rsid w:val="00B37F39"/>
    <w:rPr>
      <w:b/>
      <w:bCs/>
    </w:rPr>
  </w:style>
  <w:style w:type="character" w:customStyle="1" w:styleId="ad">
    <w:name w:val="Тема примітки Знак"/>
    <w:basedOn w:val="ab"/>
    <w:link w:val="ac"/>
    <w:uiPriority w:val="99"/>
    <w:semiHidden/>
    <w:rsid w:val="00B37F39"/>
    <w:rPr>
      <w:b/>
      <w:bCs/>
      <w:sz w:val="20"/>
      <w:szCs w:val="20"/>
    </w:rPr>
  </w:style>
  <w:style w:type="paragraph" w:styleId="ae">
    <w:name w:val="Balloon Text"/>
    <w:basedOn w:val="a"/>
    <w:link w:val="af"/>
    <w:uiPriority w:val="99"/>
    <w:semiHidden/>
    <w:unhideWhenUsed/>
    <w:rsid w:val="00B37F39"/>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B37F39"/>
    <w:rPr>
      <w:rFonts w:ascii="Segoe UI" w:hAnsi="Segoe UI" w:cs="Segoe UI"/>
      <w:sz w:val="18"/>
      <w:szCs w:val="18"/>
    </w:rPr>
  </w:style>
  <w:style w:type="paragraph" w:styleId="af0">
    <w:name w:val="List Paragraph"/>
    <w:basedOn w:val="a"/>
    <w:uiPriority w:val="34"/>
    <w:qFormat/>
    <w:rsid w:val="00442977"/>
    <w:pPr>
      <w:ind w:left="720"/>
      <w:contextualSpacing/>
    </w:pPr>
  </w:style>
  <w:style w:type="character" w:customStyle="1" w:styleId="rvts15">
    <w:name w:val="rvts15"/>
    <w:basedOn w:val="a0"/>
    <w:rsid w:val="009F246B"/>
  </w:style>
  <w:style w:type="paragraph" w:styleId="af1">
    <w:name w:val="Revision"/>
    <w:hidden/>
    <w:uiPriority w:val="99"/>
    <w:semiHidden/>
    <w:rsid w:val="006F6895"/>
    <w:pPr>
      <w:spacing w:after="0" w:line="240" w:lineRule="auto"/>
    </w:pPr>
  </w:style>
  <w:style w:type="character" w:customStyle="1" w:styleId="rvts46">
    <w:name w:val="rvts46"/>
    <w:basedOn w:val="a0"/>
    <w:rsid w:val="002F1639"/>
  </w:style>
  <w:style w:type="character" w:customStyle="1" w:styleId="xfm67217483">
    <w:name w:val="xfm_67217483"/>
    <w:basedOn w:val="a0"/>
    <w:rsid w:val="00273970"/>
  </w:style>
  <w:style w:type="character" w:customStyle="1" w:styleId="cf01">
    <w:name w:val="cf01"/>
    <w:basedOn w:val="a0"/>
    <w:rsid w:val="00C02AF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7163">
      <w:bodyDiv w:val="1"/>
      <w:marLeft w:val="0"/>
      <w:marRight w:val="0"/>
      <w:marTop w:val="0"/>
      <w:marBottom w:val="0"/>
      <w:divBdr>
        <w:top w:val="none" w:sz="0" w:space="0" w:color="auto"/>
        <w:left w:val="none" w:sz="0" w:space="0" w:color="auto"/>
        <w:bottom w:val="none" w:sz="0" w:space="0" w:color="auto"/>
        <w:right w:val="none" w:sz="0" w:space="0" w:color="auto"/>
      </w:divBdr>
    </w:div>
    <w:div w:id="94442617">
      <w:bodyDiv w:val="1"/>
      <w:marLeft w:val="0"/>
      <w:marRight w:val="0"/>
      <w:marTop w:val="0"/>
      <w:marBottom w:val="0"/>
      <w:divBdr>
        <w:top w:val="none" w:sz="0" w:space="0" w:color="auto"/>
        <w:left w:val="none" w:sz="0" w:space="0" w:color="auto"/>
        <w:bottom w:val="none" w:sz="0" w:space="0" w:color="auto"/>
        <w:right w:val="none" w:sz="0" w:space="0" w:color="auto"/>
      </w:divBdr>
    </w:div>
    <w:div w:id="865678093">
      <w:bodyDiv w:val="1"/>
      <w:marLeft w:val="0"/>
      <w:marRight w:val="0"/>
      <w:marTop w:val="0"/>
      <w:marBottom w:val="0"/>
      <w:divBdr>
        <w:top w:val="none" w:sz="0" w:space="0" w:color="auto"/>
        <w:left w:val="none" w:sz="0" w:space="0" w:color="auto"/>
        <w:bottom w:val="none" w:sz="0" w:space="0" w:color="auto"/>
        <w:right w:val="none" w:sz="0" w:space="0" w:color="auto"/>
      </w:divBdr>
    </w:div>
    <w:div w:id="946623477">
      <w:bodyDiv w:val="1"/>
      <w:marLeft w:val="0"/>
      <w:marRight w:val="0"/>
      <w:marTop w:val="0"/>
      <w:marBottom w:val="0"/>
      <w:divBdr>
        <w:top w:val="none" w:sz="0" w:space="0" w:color="auto"/>
        <w:left w:val="none" w:sz="0" w:space="0" w:color="auto"/>
        <w:bottom w:val="none" w:sz="0" w:space="0" w:color="auto"/>
        <w:right w:val="none" w:sz="0" w:space="0" w:color="auto"/>
      </w:divBdr>
    </w:div>
    <w:div w:id="965894625">
      <w:bodyDiv w:val="1"/>
      <w:marLeft w:val="0"/>
      <w:marRight w:val="0"/>
      <w:marTop w:val="0"/>
      <w:marBottom w:val="0"/>
      <w:divBdr>
        <w:top w:val="none" w:sz="0" w:space="0" w:color="auto"/>
        <w:left w:val="none" w:sz="0" w:space="0" w:color="auto"/>
        <w:bottom w:val="none" w:sz="0" w:space="0" w:color="auto"/>
        <w:right w:val="none" w:sz="0" w:space="0" w:color="auto"/>
      </w:divBdr>
    </w:div>
    <w:div w:id="1179731394">
      <w:bodyDiv w:val="1"/>
      <w:marLeft w:val="0"/>
      <w:marRight w:val="0"/>
      <w:marTop w:val="0"/>
      <w:marBottom w:val="0"/>
      <w:divBdr>
        <w:top w:val="none" w:sz="0" w:space="0" w:color="auto"/>
        <w:left w:val="none" w:sz="0" w:space="0" w:color="auto"/>
        <w:bottom w:val="none" w:sz="0" w:space="0" w:color="auto"/>
        <w:right w:val="none" w:sz="0" w:space="0" w:color="auto"/>
      </w:divBdr>
    </w:div>
    <w:div w:id="1303727994">
      <w:bodyDiv w:val="1"/>
      <w:marLeft w:val="0"/>
      <w:marRight w:val="0"/>
      <w:marTop w:val="0"/>
      <w:marBottom w:val="0"/>
      <w:divBdr>
        <w:top w:val="none" w:sz="0" w:space="0" w:color="auto"/>
        <w:left w:val="none" w:sz="0" w:space="0" w:color="auto"/>
        <w:bottom w:val="none" w:sz="0" w:space="0" w:color="auto"/>
        <w:right w:val="none" w:sz="0" w:space="0" w:color="auto"/>
      </w:divBdr>
    </w:div>
    <w:div w:id="1338966911">
      <w:bodyDiv w:val="1"/>
      <w:marLeft w:val="0"/>
      <w:marRight w:val="0"/>
      <w:marTop w:val="0"/>
      <w:marBottom w:val="0"/>
      <w:divBdr>
        <w:top w:val="none" w:sz="0" w:space="0" w:color="auto"/>
        <w:left w:val="none" w:sz="0" w:space="0" w:color="auto"/>
        <w:bottom w:val="none" w:sz="0" w:space="0" w:color="auto"/>
        <w:right w:val="none" w:sz="0" w:space="0" w:color="auto"/>
      </w:divBdr>
    </w:div>
    <w:div w:id="1442607767">
      <w:bodyDiv w:val="1"/>
      <w:marLeft w:val="0"/>
      <w:marRight w:val="0"/>
      <w:marTop w:val="0"/>
      <w:marBottom w:val="0"/>
      <w:divBdr>
        <w:top w:val="none" w:sz="0" w:space="0" w:color="auto"/>
        <w:left w:val="none" w:sz="0" w:space="0" w:color="auto"/>
        <w:bottom w:val="none" w:sz="0" w:space="0" w:color="auto"/>
        <w:right w:val="none" w:sz="0" w:space="0" w:color="auto"/>
      </w:divBdr>
    </w:div>
    <w:div w:id="1865944601">
      <w:bodyDiv w:val="1"/>
      <w:marLeft w:val="0"/>
      <w:marRight w:val="0"/>
      <w:marTop w:val="0"/>
      <w:marBottom w:val="0"/>
      <w:divBdr>
        <w:top w:val="none" w:sz="0" w:space="0" w:color="auto"/>
        <w:left w:val="none" w:sz="0" w:space="0" w:color="auto"/>
        <w:bottom w:val="none" w:sz="0" w:space="0" w:color="auto"/>
        <w:right w:val="none" w:sz="0" w:space="0" w:color="auto"/>
      </w:divBdr>
    </w:div>
    <w:div w:id="192737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9-19" TargetMode="External"/><Relationship Id="rId13" Type="http://schemas.openxmlformats.org/officeDocument/2006/relationships/hyperlink" Target="https://zakon.rada.gov.ua/laws/show/575/97-%D0%B2%D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019-19/ed202301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ed202301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2019-19/ed20230101"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zakon.rada.gov.ua/laws/show/2019-1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8DE0D-9380-46E2-A1AD-996F7AEBD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17778</Words>
  <Characters>10135</Characters>
  <Application>Microsoft Office Word</Application>
  <DocSecurity>0</DocSecurity>
  <Lines>84</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Єлизавета Батіна</cp:lastModifiedBy>
  <cp:revision>5</cp:revision>
  <cp:lastPrinted>2023-04-04T05:57:00Z</cp:lastPrinted>
  <dcterms:created xsi:type="dcterms:W3CDTF">2023-04-13T11:20:00Z</dcterms:created>
  <dcterms:modified xsi:type="dcterms:W3CDTF">2023-04-17T15:24:00Z</dcterms:modified>
</cp:coreProperties>
</file>