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09EF0" w14:textId="01CC5296" w:rsidR="006E4A43" w:rsidRDefault="009F6D5A" w:rsidP="009F6D5A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Обґрунтування щодо схвалення проєкту рішення НКРЕКП, що має ознаки регуляторного акта, – постанови НКРЕКП </w:t>
      </w:r>
      <w:r w:rsidR="00885996" w:rsidRPr="009F6D5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9F6D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</w:t>
      </w:r>
      <w:r w:rsidRPr="009F6D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br/>
        <w:t>деяких постанов НКРЕКП</w:t>
      </w:r>
      <w:r w:rsidR="00885996" w:rsidRPr="009F6D5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1688E5EA" w14:textId="77777777" w:rsidR="00BC336B" w:rsidRPr="001702C9" w:rsidRDefault="00BC336B" w:rsidP="009F6D5A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4BB6B9" w14:textId="405366CE" w:rsidR="00E84E19" w:rsidRPr="00E84E19" w:rsidRDefault="00E84E19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E84E1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08 вересня 2022 року Верховним Судом прийнято постанову про задоволення касаційної скарги ТОВ «РЕСУРСЕКОЕНЕРГО» та залишено в силі рішення Окружного адміністративного суду м. Києва від 16 липня 2021 року у справі № 640/4069/21, яким визнано протиправним та нечинним підпункт 8 пункту 1 Змін до постанови НКРЕКП від 26 квітня 2019 року № 641, затверджених постановою НКРЕКП від 15 січня 2021 року № 46, у частині викладення у новій редакції пункту 9.3 глави 9 Порядку</w:t>
      </w:r>
      <w:r w:rsidR="004C2790" w:rsidRPr="00CF7A14">
        <w:rPr>
          <w:lang w:val="uk-UA"/>
        </w:rPr>
        <w:t xml:space="preserve"> </w:t>
      </w:r>
      <w:r w:rsidR="004C2790" w:rsidRPr="004C279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купівлі гарантованим покупцем електричної енергії, виробленої з альтернативних джерел енергії</w:t>
      </w:r>
      <w:r w:rsidR="00F1637F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, затвердженого постановою НКРЕКП від 26 </w:t>
      </w:r>
      <w:r w:rsidR="00F1637F" w:rsidRPr="00F1637F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квітня 2019 року № 641</w:t>
      </w:r>
      <w:r w:rsidRPr="00E84E1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.</w:t>
      </w:r>
      <w:r w:rsidR="00B2611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</w:t>
      </w:r>
    </w:p>
    <w:p w14:paraId="63CA578A" w14:textId="42D8722B" w:rsidR="009408F6" w:rsidRPr="00E84E19" w:rsidRDefault="00E84E19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E84E1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Так, у зв’язку із визнанням нечинними з</w:t>
      </w:r>
      <w:r w:rsidR="009408F6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аз</w:t>
      </w:r>
      <w:r w:rsidRPr="00E84E1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начених норм постанови № 641, неможливо визначити розмір платежу за відшкодування гарантованому покупцю частки вартості врегулювання небалансу гарантованого покупця, яка є складовою розрахунку вартості Послуги із забезпечення збільшення частки виробництва електричної енергії з альтернативних джерел. </w:t>
      </w:r>
    </w:p>
    <w:p w14:paraId="58915ADD" w14:textId="36C37F1C" w:rsidR="009408F6" w:rsidRPr="005544D3" w:rsidRDefault="009408F6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5544D3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Так, у постанові Верховного Суду від 08.09.2022 у справі № 640/4069/21 зазначено:</w:t>
      </w:r>
    </w:p>
    <w:p w14:paraId="390F37FA" w14:textId="77777777" w:rsidR="00954DAD" w:rsidRPr="00BF4800" w:rsidRDefault="00781AFD" w:rsidP="00954DAD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/>
          <w:bCs/>
          <w:sz w:val="28"/>
          <w:szCs w:val="28"/>
          <w:lang w:val="uk-UA" w:eastAsia="ru-RU" w:bidi="ta-IN"/>
        </w:rPr>
      </w:pP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«</w:t>
      </w:r>
      <w:r w:rsidR="00954DAD" w:rsidRPr="00781AF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56. Беручи до уваги викладене та враховуючи положення частини 6 статті 71, пункту 11 розділу XVII Закону №2019-VIII, </w:t>
      </w:r>
      <w:r w:rsidR="00954DAD" w:rsidRPr="00BF4800">
        <w:rPr>
          <w:rFonts w:ascii="Times New Roman" w:eastAsia="SimSun" w:hAnsi="Times New Roman" w:cs="Latha"/>
          <w:b/>
          <w:bCs/>
          <w:sz w:val="28"/>
          <w:szCs w:val="28"/>
          <w:lang w:val="uk-UA" w:eastAsia="ru-RU" w:bidi="ta-IN"/>
        </w:rPr>
        <w:t>Верховний Суд доходить висновку про те, що покладення додаткової відповідальності на виробників, яким встановлено «зелений» тариф та на виробників, які за результатами аукціону набули право на підтримку, і входять до балансуючої групи гарантованого покупця, у вигляді відшкодування частки вартості врегулювання небалансу електричної енергії гарантованого покупця є протиправним.</w:t>
      </w:r>
    </w:p>
    <w:p w14:paraId="04F01FF4" w14:textId="6B21197A" w:rsidR="00781AFD" w:rsidRPr="00781AFD" w:rsidRDefault="00781AFD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bookmarkStart w:id="0" w:name="_GoBack"/>
      <w:bookmarkEnd w:id="0"/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57. </w:t>
      </w:r>
      <w:r w:rsidRPr="00BF4800">
        <w:rPr>
          <w:rFonts w:ascii="Times New Roman" w:eastAsia="SimSun" w:hAnsi="Times New Roman" w:cs="Latha"/>
          <w:b/>
          <w:bCs/>
          <w:sz w:val="28"/>
          <w:szCs w:val="28"/>
          <w:lang w:val="uk-UA" w:eastAsia="ru-RU" w:bidi="ta-IN"/>
        </w:rPr>
        <w:t>Верховний суд вважає правильним аналогічний висновок суду першої інстанції, оскільки виробники не повинні нести відповідальність за торгову діяльність гарантованого покупця та не повинні мати обов</w:t>
      </w:r>
      <w:r w:rsidRPr="00CF7A14">
        <w:rPr>
          <w:rFonts w:ascii="Times New Roman" w:eastAsia="SimSun" w:hAnsi="Times New Roman" w:cs="Latha"/>
          <w:b/>
          <w:bCs/>
          <w:sz w:val="28"/>
          <w:szCs w:val="28"/>
          <w:lang w:val="uk-UA" w:eastAsia="ru-RU" w:bidi="ta-IN"/>
        </w:rPr>
        <w:t>’</w:t>
      </w:r>
      <w:r w:rsidRPr="00BF4800">
        <w:rPr>
          <w:rFonts w:ascii="Times New Roman" w:eastAsia="SimSun" w:hAnsi="Times New Roman" w:cs="Latha"/>
          <w:b/>
          <w:bCs/>
          <w:sz w:val="28"/>
          <w:szCs w:val="28"/>
          <w:lang w:val="uk-UA" w:eastAsia="ru-RU" w:bidi="ta-IN"/>
        </w:rPr>
        <w:t>язку  по відшкодуванню частки вартості врегулювання небалансу електричної енергії гарантованого покупця.</w:t>
      </w: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Відповідальність таких виробників повинна бути в межах </w:t>
      </w:r>
      <w:r w:rsidR="005544D3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ф</w:t>
      </w: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актично понесених ними витрат, пов</w:t>
      </w:r>
      <w:r w:rsidRPr="005544D3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’</w:t>
      </w: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язаних із врегулюванням</w:t>
      </w:r>
      <w:r w:rsidR="005544D3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небалансів електричної енергії. які гарантований покупець зазнав, у результаті відхилення фактичних погодинних обсягів відпуску електричної енергії від погодинних графіків відпуску електричної енергії відповідно до пункту 11 Розділу</w:t>
      </w: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</w:t>
      </w:r>
      <w:r w:rsidR="005544D3" w:rsidRPr="00781AF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XVII Закону </w:t>
      </w:r>
      <w:r w:rsidR="00766802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br/>
      </w:r>
      <w:r w:rsidR="005544D3" w:rsidRPr="00781AF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№2019-VIII</w:t>
      </w:r>
      <w:r w:rsidR="005544D3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.</w:t>
      </w:r>
    </w:p>
    <w:p w14:paraId="4FC00294" w14:textId="4F861EE8" w:rsidR="009408F6" w:rsidRPr="000F5EDD" w:rsidRDefault="009408F6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66. Згідно з пунктом 6 частини 3 </w:t>
      </w:r>
      <w:hyperlink r:id="rId7" w:anchor="230" w:tgtFrame="_blank" w:tooltip="Про ринок електричної енергії; нормативно-правовий акт № 2019-VIII від 13.04.2017, ВР України" w:history="1">
        <w:r w:rsidRPr="000F5EDD">
          <w:rPr>
            <w:rStyle w:val="a8"/>
            <w:rFonts w:ascii="Times New Roman" w:eastAsia="SimSun" w:hAnsi="Times New Roman" w:cs="Latha"/>
            <w:bCs/>
            <w:color w:val="auto"/>
            <w:sz w:val="28"/>
            <w:szCs w:val="28"/>
            <w:u w:val="none"/>
            <w:lang w:val="uk-UA" w:eastAsia="ru-RU" w:bidi="ta-IN"/>
          </w:rPr>
          <w:t>статті 6 Закону №2019-VIII</w:t>
        </w:r>
      </w:hyperlink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 до повноважень Регулятора належить затвердження правил, порядків та умов, визначених цим Законом.</w:t>
      </w:r>
    </w:p>
    <w:p w14:paraId="142FBED6" w14:textId="77777777" w:rsidR="009408F6" w:rsidRPr="000F5EDD" w:rsidRDefault="009408F6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67. Відповідно до частини 6 </w:t>
      </w:r>
      <w:hyperlink r:id="rId8" w:anchor="1317" w:tgtFrame="_blank" w:tooltip="Про ринок електричної енергії; нормативно-правовий акт № 2019-VIII від 13.04.2017, ВР України" w:history="1">
        <w:r w:rsidRPr="000F5EDD">
          <w:rPr>
            <w:rStyle w:val="a8"/>
            <w:rFonts w:ascii="Times New Roman" w:eastAsia="SimSun" w:hAnsi="Times New Roman" w:cs="Latha"/>
            <w:bCs/>
            <w:color w:val="auto"/>
            <w:sz w:val="28"/>
            <w:szCs w:val="28"/>
            <w:u w:val="none"/>
            <w:lang w:val="uk-UA" w:eastAsia="ru-RU" w:bidi="ta-IN"/>
          </w:rPr>
          <w:t>статті 65 Закону №2019-VIII</w:t>
        </w:r>
      </w:hyperlink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 порядок купівлі гарантованим покупцем електричної енергії за «зеленим» тарифом та за аукціонною ціною, правила функціонування балансуючої групи гарантованого покупця </w:t>
      </w:r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lastRenderedPageBreak/>
        <w:t>визначаються порядком купівлі гарантованим покупцем електричної енергії, виробленої з альтернативних джерел енергії, що затверджується Регулятором.</w:t>
      </w:r>
    </w:p>
    <w:p w14:paraId="06B8CDC5" w14:textId="77777777" w:rsidR="009408F6" w:rsidRPr="009408F6" w:rsidRDefault="009408F6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68. Згідно з положеннями частини 6 </w:t>
      </w:r>
      <w:hyperlink r:id="rId9" w:anchor="3085" w:tgtFrame="_blank" w:tooltip="Про ринок електричної енергії; нормативно-правовий акт № 2019-VIII від 13.04.2017, ВР України" w:history="1">
        <w:r w:rsidRPr="000F5EDD">
          <w:rPr>
            <w:rStyle w:val="a8"/>
            <w:rFonts w:ascii="Times New Roman" w:eastAsia="SimSun" w:hAnsi="Times New Roman" w:cs="Latha"/>
            <w:bCs/>
            <w:color w:val="auto"/>
            <w:sz w:val="28"/>
            <w:szCs w:val="28"/>
            <w:u w:val="none"/>
            <w:lang w:val="uk-UA" w:eastAsia="ru-RU" w:bidi="ta-IN"/>
          </w:rPr>
          <w:t>статті 71 Закону №2019-VIII</w:t>
        </w:r>
      </w:hyperlink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 частка вартості врегулювання небалансу електричної енергії відшкодовується відповідно до цього </w:t>
      </w:r>
      <w:hyperlink r:id="rId10" w:tgtFrame="_blank" w:tooltip="Про ринок електричної енергії; нормативно-правовий акт № 2019-VIII від 13.04.2017, ВР України" w:history="1">
        <w:r w:rsidRPr="000F5EDD">
          <w:rPr>
            <w:rStyle w:val="a8"/>
            <w:rFonts w:ascii="Times New Roman" w:eastAsia="SimSun" w:hAnsi="Times New Roman" w:cs="Latha"/>
            <w:bCs/>
            <w:color w:val="auto"/>
            <w:sz w:val="28"/>
            <w:szCs w:val="28"/>
            <w:u w:val="none"/>
            <w:lang w:val="uk-UA" w:eastAsia="ru-RU" w:bidi="ta-IN"/>
          </w:rPr>
          <w:t>Закону</w:t>
        </w:r>
      </w:hyperlink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 та правил функціонування  балансуючої групи гарантованого покупця</w:t>
      </w:r>
      <w:r w:rsidRPr="009408F6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.</w:t>
      </w:r>
    </w:p>
    <w:p w14:paraId="7ABAB09E" w14:textId="77777777" w:rsidR="009408F6" w:rsidRPr="009408F6" w:rsidRDefault="009408F6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9408F6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69. Отже, Верховний Суд резюмує, що наведеними нормами врегульовано повноваження НКРЕКП визначати правила функціонування балансуючої групи гарантованого покупця в порядку купівлі гарантованим покупцем електричної енергії та умови відшкодування частка вартості врегулювання небалансу електричної енергії.</w:t>
      </w:r>
    </w:p>
    <w:p w14:paraId="67168420" w14:textId="1DDE076A" w:rsidR="009408F6" w:rsidRDefault="009408F6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9408F6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70. Проте, наведені норми не передбачають повноважень НКРЕКП визначати порядок розрахунків обсягів, небалансів електричної енергії гарантованого покупця поза правилами ринку, як і не передбачають повноважень НКРЕКП визначати обсяг частки відшкодування вартості врегулювання небалансу електричної енергії гарантованого покупця, що спростовує доводи Відповідача та ДП «Гарантований покупець».</w:t>
      </w: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</w:t>
      </w:r>
      <w:r w:rsid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.</w:t>
      </w:r>
    </w:p>
    <w:p w14:paraId="7A1497CD" w14:textId="5EB2B04C" w:rsidR="00104FAE" w:rsidRPr="00104FAE" w:rsidRDefault="00BF4800" w:rsidP="007668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У</w:t>
      </w:r>
      <w:r w:rsid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зв</w:t>
      </w:r>
      <w:r w:rsidR="00104FAE" w:rsidRP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’</w:t>
      </w:r>
      <w:r w:rsid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язку із необхідністю розблокування можливості затвердження Регулятором </w:t>
      </w:r>
      <w:r w:rsidR="00104FAE" w:rsidRPr="00E84E1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Послуги із забезпечення збільшення частки виробництва електричної енергії з альтернативних джерел</w:t>
      </w:r>
      <w:r w:rsid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, що</w:t>
      </w:r>
      <w:r w:rsidR="0002732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,</w:t>
      </w:r>
      <w:r w:rsid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в свою чергу</w:t>
      </w:r>
      <w:r w:rsidR="00027329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,</w:t>
      </w:r>
      <w:r w:rsidR="00104FAE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дозволить здійснювати розрахунки за відпущену електричну енергію виробниками за «зеленим» тарифом в повному обсязі, 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>НКРЕКП, з урахуванням рішення Верховного Суду України від 08 вересня 2022 року, розроб</w:t>
      </w:r>
      <w:r w:rsidR="00104FAE">
        <w:rPr>
          <w:rFonts w:ascii="Times New Roman" w:hAnsi="Times New Roman" w:cs="Times New Roman"/>
          <w:sz w:val="28"/>
          <w:szCs w:val="28"/>
          <w:lang w:val="uk-UA"/>
        </w:rPr>
        <w:t>ил</w:t>
      </w:r>
      <w:r w:rsidR="0002732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 xml:space="preserve"> проект змін до постанови НКРЕКП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26 квітня 2019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A9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>№ 641</w:t>
      </w:r>
      <w:r w:rsidR="00104FA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4FAE">
        <w:rPr>
          <w:rFonts w:ascii="Times New Roman" w:hAnsi="Times New Roman" w:cs="Times New Roman"/>
          <w:sz w:val="28"/>
          <w:szCs w:val="28"/>
          <w:lang w:val="uk-UA"/>
        </w:rPr>
        <w:t>равил ринку</w:t>
      </w:r>
      <w:r w:rsidR="00612A9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затверджених постановою НКРЕКП від 14 березня 2018 </w:t>
      </w:r>
      <w:r w:rsidR="00612A9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 307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 xml:space="preserve">, які також враховують </w:t>
      </w:r>
      <w:r w:rsidR="00890267">
        <w:rPr>
          <w:rFonts w:ascii="Times New Roman" w:hAnsi="Times New Roman" w:cs="Times New Roman"/>
          <w:sz w:val="28"/>
          <w:szCs w:val="28"/>
          <w:lang w:val="uk-UA"/>
        </w:rPr>
        <w:t>вимоги частини</w:t>
      </w:r>
      <w:r w:rsidR="00890267" w:rsidRPr="00104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0267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890267" w:rsidRPr="00104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>статті 65 З</w:t>
      </w:r>
      <w:r w:rsidR="00890267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90267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104FAE" w:rsidRPr="00104FAE">
        <w:rPr>
          <w:rFonts w:ascii="Times New Roman" w:hAnsi="Times New Roman" w:cs="Times New Roman"/>
          <w:sz w:val="28"/>
          <w:szCs w:val="28"/>
          <w:lang w:val="uk-UA"/>
        </w:rPr>
        <w:t xml:space="preserve"> «Про ринок електричної енергії»</w:t>
      </w:r>
      <w:r w:rsidR="00CB4715">
        <w:rPr>
          <w:rFonts w:ascii="Times New Roman" w:hAnsi="Times New Roman" w:cs="Times New Roman"/>
          <w:sz w:val="28"/>
          <w:szCs w:val="28"/>
          <w:lang w:val="uk-UA"/>
        </w:rPr>
        <w:t xml:space="preserve"> (далі – З</w:t>
      </w:r>
      <w:r w:rsidR="00116CF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4715">
        <w:rPr>
          <w:rFonts w:ascii="Times New Roman" w:hAnsi="Times New Roman" w:cs="Times New Roman"/>
          <w:sz w:val="28"/>
          <w:szCs w:val="28"/>
          <w:lang w:val="uk-UA"/>
        </w:rPr>
        <w:t>кон про ринок).</w:t>
      </w:r>
    </w:p>
    <w:p w14:paraId="69DA6500" w14:textId="08223E9C" w:rsidR="00BF4800" w:rsidRPr="00BF4800" w:rsidRDefault="00104FAE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</w:t>
      </w:r>
      <w:r w:rsidR="00CB4715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Так, відповідно до частини сьомої статті 65</w:t>
      </w:r>
      <w:r w:rsidR="00AC34BB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Закону про ринок д</w:t>
      </w:r>
      <w:r w:rsidR="00BF4800"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ля забезпечення покриття економічно обґрунтованих витрат гарантованого покупця на виконання спеціальних обов’язків із купівлі електричної енергії за 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«</w:t>
      </w:r>
      <w:r w:rsidR="00BF4800"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зеленим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</w:t>
      </w:r>
      <w:r w:rsidR="00BF4800"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тарифом та за аукціонною ціною гарантований покупець надає оператору системи передачі послугу із забезпечення збільшення частки виробництва електричної енергії з альтернативних джерел.</w:t>
      </w:r>
    </w:p>
    <w:p w14:paraId="7A619CE5" w14:textId="3222E4DA" w:rsidR="00BF4800" w:rsidRPr="00BF4800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Така послуга надається гарантованим покупцем протягом строку дії 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«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зеленого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тарифу та строку дії підтримки виробників, які за результатами аукціону набули право на таку підтримку, відповідно до типового договору про надання послуг із забезпечення збільшення частки виробництва електричної енергії з альтернативних джерел енергії, форма якого затверджується Регулятором.</w:t>
      </w:r>
    </w:p>
    <w:p w14:paraId="0DCCEC9D" w14:textId="77777777" w:rsidR="00BF4800" w:rsidRPr="00BF4800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Така послуга надається гарантованим покупцем на фактичні обсяги відпущеної електричної енергії суб’єктами господарювання, які входять до складу балансуючої групи гарантованого покупця.</w:t>
      </w:r>
    </w:p>
    <w:p w14:paraId="099DFA69" w14:textId="77777777" w:rsidR="00BF4800" w:rsidRPr="00BF4800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Вартість послуги із забезпечення збільшення частки виробництва електричної енергії з альтернативних джерел, яка надається гарантованим покупцем, визначається у відповідному розрахунковому періоді як:</w:t>
      </w:r>
    </w:p>
    <w:p w14:paraId="0C9C4A8A" w14:textId="0B4078D3" w:rsidR="00BF4800" w:rsidRPr="00BF4800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різниця між вартістю електричної енергії, купленої ним за 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«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зеленим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тарифом з урахуванням надбавки до нього, та її вартістю під час продажу на ринку 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«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на добу наперед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та внутрішньодобовому ринку та двосторонніми договорами;</w:t>
      </w:r>
    </w:p>
    <w:p w14:paraId="62E4530B" w14:textId="5A8DD8A2" w:rsidR="00BF4800" w:rsidRPr="00BF4800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lastRenderedPageBreak/>
        <w:t xml:space="preserve">різниця між вартістю електричної енергії, купленої ним за аукціонною ціною з урахуванням надбавки до неї, та її вартістю під час продажу на ринку 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«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на добу наперед</w:t>
      </w:r>
      <w:r w:rsidR="009F7D21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</w:t>
      </w: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 xml:space="preserve"> та внутрішньодобовому ринку та двосторонніми договорами;</w:t>
      </w:r>
    </w:p>
    <w:p w14:paraId="6C52AEB3" w14:textId="77777777" w:rsidR="00BF4800" w:rsidRPr="00BF4800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витрати, пов’язані із врегулюванням небалансів електричної енергії виробників, споживачів, які входять до складу балансуючої групи гарантованого покупця;</w:t>
      </w:r>
    </w:p>
    <w:p w14:paraId="69CF3224" w14:textId="4101DC21" w:rsidR="00104FAE" w:rsidRPr="00104FAE" w:rsidRDefault="00BF4800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BF4800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витрати, передбачені кошторисом гарантованого покупця на його діяльність.</w:t>
      </w:r>
    </w:p>
    <w:p w14:paraId="23F8B734" w14:textId="460DF4F9" w:rsidR="000F5EDD" w:rsidRDefault="000F5EDD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Проєкт постанови НКРЕКП «</w:t>
      </w:r>
      <w:r w:rsidRPr="000F5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</w:t>
      </w:r>
      <w:r w:rsidRPr="000F5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  <w:t>деяких постанов НКРЕКП</w:t>
      </w:r>
      <w:r w:rsidRPr="000F5EDD"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  <w:t>» має ознаки регуляторного акта, у зв’язку з чим, згідно зі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207BBD5D" w14:textId="77777777" w:rsidR="000F5EDD" w:rsidRPr="000F5EDD" w:rsidRDefault="000F5EDD" w:rsidP="00766802">
      <w:pPr>
        <w:spacing w:after="0" w:line="240" w:lineRule="auto"/>
        <w:ind w:firstLine="851"/>
        <w:jc w:val="both"/>
        <w:rPr>
          <w:rFonts w:ascii="Times New Roman" w:eastAsia="SimSun" w:hAnsi="Times New Roman" w:cs="Latha"/>
          <w:bCs/>
          <w:sz w:val="28"/>
          <w:szCs w:val="28"/>
          <w:lang w:val="uk-UA" w:eastAsia="ru-RU" w:bidi="ta-IN"/>
        </w:rPr>
      </w:pPr>
    </w:p>
    <w:p w14:paraId="2C1A7E51" w14:textId="461C6882" w:rsidR="000F5EDD" w:rsidRPr="000F5EDD" w:rsidRDefault="009F6D5A" w:rsidP="0076680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Ураховуючи зазначене, Департамент енергоринку пропонує:</w:t>
      </w:r>
    </w:p>
    <w:p w14:paraId="1595EA24" w14:textId="69323451" w:rsidR="009F6D5A" w:rsidRPr="000F5EDD" w:rsidRDefault="009F6D5A" w:rsidP="00766802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Схвалити проєкт постанови НКРЕКП «</w:t>
      </w:r>
      <w:r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деяких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постанов НКРЕКП</w:t>
      </w:r>
      <w:r>
        <w:rPr>
          <w:rFonts w:ascii="Times New Roman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14:paraId="33442F16" w14:textId="5EC2EB5A" w:rsidR="009F6D5A" w:rsidRDefault="009F6D5A" w:rsidP="007668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Оприлюднити проєкт постанови НКРЕКП «</w:t>
      </w:r>
      <w:r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деяких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45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постанов НКРЕКП</w:t>
      </w:r>
      <w:r>
        <w:rPr>
          <w:rFonts w:ascii="Times New Roman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</w:t>
      </w:r>
      <w:hyperlink r:id="rId11" w:history="1">
        <w:r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http://nerc.gov.ua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 з метою одержання зауважень і пропозицій.</w:t>
      </w:r>
    </w:p>
    <w:p w14:paraId="59CF27D2" w14:textId="77777777" w:rsidR="009F6D5A" w:rsidRDefault="009F6D5A" w:rsidP="009F6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379268" w14:textId="77777777" w:rsidR="009F6D5A" w:rsidRDefault="009F6D5A" w:rsidP="009F6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F887EF" w14:textId="77777777" w:rsidR="009F6D5A" w:rsidRDefault="009F6D5A" w:rsidP="009F6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99E99D" w14:textId="67AE20FD" w:rsidR="00490F86" w:rsidRPr="00490F86" w:rsidRDefault="00B24DAA" w:rsidP="0049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1E3DA3" w:rsidRPr="00490F86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D153DB" w:rsidRPr="00490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55E" w:rsidRPr="00490F86">
        <w:rPr>
          <w:rFonts w:ascii="Times New Roman" w:hAnsi="Times New Roman" w:cs="Times New Roman"/>
          <w:sz w:val="28"/>
          <w:szCs w:val="28"/>
          <w:lang w:val="uk-UA"/>
        </w:rPr>
        <w:t>енергоринку</w:t>
      </w:r>
      <w:r w:rsidR="00D153DB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153DB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71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E1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F5E19">
        <w:rPr>
          <w:rFonts w:ascii="Times New Roman" w:hAnsi="Times New Roman" w:cs="Times New Roman"/>
          <w:sz w:val="28"/>
          <w:szCs w:val="28"/>
          <w:lang w:val="uk-UA"/>
        </w:rPr>
        <w:t>Сідоров</w:t>
      </w:r>
    </w:p>
    <w:sectPr w:rsidR="00490F86" w:rsidRPr="00490F86" w:rsidSect="009408F6">
      <w:headerReference w:type="default" r:id="rId12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EDE7E" w14:textId="77777777" w:rsidR="00A90012" w:rsidRDefault="00A90012" w:rsidP="002433DF">
      <w:pPr>
        <w:spacing w:after="0" w:line="240" w:lineRule="auto"/>
      </w:pPr>
      <w:r>
        <w:separator/>
      </w:r>
    </w:p>
  </w:endnote>
  <w:endnote w:type="continuationSeparator" w:id="0">
    <w:p w14:paraId="4F6B1530" w14:textId="77777777" w:rsidR="00A90012" w:rsidRDefault="00A90012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4306D" w14:textId="77777777" w:rsidR="00A90012" w:rsidRDefault="00A90012" w:rsidP="002433DF">
      <w:pPr>
        <w:spacing w:after="0" w:line="240" w:lineRule="auto"/>
      </w:pPr>
      <w:r>
        <w:separator/>
      </w:r>
    </w:p>
  </w:footnote>
  <w:footnote w:type="continuationSeparator" w:id="0">
    <w:p w14:paraId="290F181E" w14:textId="77777777" w:rsidR="00A90012" w:rsidRDefault="00A90012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FE2F0" w14:textId="7BD58119" w:rsidR="002433DF" w:rsidRPr="006534EF" w:rsidRDefault="002433DF" w:rsidP="006534EF">
    <w:pPr>
      <w:pStyle w:val="a3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5BD8"/>
    <w:multiLevelType w:val="hybridMultilevel"/>
    <w:tmpl w:val="C7081EA6"/>
    <w:lvl w:ilvl="0" w:tplc="739231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D5136CD"/>
    <w:multiLevelType w:val="hybridMultilevel"/>
    <w:tmpl w:val="79B6BD92"/>
    <w:lvl w:ilvl="0" w:tplc="1E2A80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4A7564B"/>
    <w:multiLevelType w:val="hybridMultilevel"/>
    <w:tmpl w:val="C874C74A"/>
    <w:lvl w:ilvl="0" w:tplc="448E69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6A35BD"/>
    <w:multiLevelType w:val="hybridMultilevel"/>
    <w:tmpl w:val="249841D0"/>
    <w:lvl w:ilvl="0" w:tplc="D284AC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2CA0BD0"/>
    <w:multiLevelType w:val="hybridMultilevel"/>
    <w:tmpl w:val="96DE5594"/>
    <w:lvl w:ilvl="0" w:tplc="BAAAB71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91" w:hanging="360"/>
      </w:pPr>
    </w:lvl>
    <w:lvl w:ilvl="2" w:tplc="2000001B" w:tentative="1">
      <w:start w:val="1"/>
      <w:numFmt w:val="lowerRoman"/>
      <w:lvlText w:val="%3."/>
      <w:lvlJc w:val="right"/>
      <w:pPr>
        <w:ind w:left="3011" w:hanging="180"/>
      </w:pPr>
    </w:lvl>
    <w:lvl w:ilvl="3" w:tplc="2000000F" w:tentative="1">
      <w:start w:val="1"/>
      <w:numFmt w:val="decimal"/>
      <w:lvlText w:val="%4."/>
      <w:lvlJc w:val="left"/>
      <w:pPr>
        <w:ind w:left="3731" w:hanging="360"/>
      </w:pPr>
    </w:lvl>
    <w:lvl w:ilvl="4" w:tplc="20000019" w:tentative="1">
      <w:start w:val="1"/>
      <w:numFmt w:val="lowerLetter"/>
      <w:lvlText w:val="%5."/>
      <w:lvlJc w:val="left"/>
      <w:pPr>
        <w:ind w:left="4451" w:hanging="360"/>
      </w:pPr>
    </w:lvl>
    <w:lvl w:ilvl="5" w:tplc="2000001B" w:tentative="1">
      <w:start w:val="1"/>
      <w:numFmt w:val="lowerRoman"/>
      <w:lvlText w:val="%6."/>
      <w:lvlJc w:val="right"/>
      <w:pPr>
        <w:ind w:left="5171" w:hanging="180"/>
      </w:pPr>
    </w:lvl>
    <w:lvl w:ilvl="6" w:tplc="2000000F" w:tentative="1">
      <w:start w:val="1"/>
      <w:numFmt w:val="decimal"/>
      <w:lvlText w:val="%7."/>
      <w:lvlJc w:val="left"/>
      <w:pPr>
        <w:ind w:left="5891" w:hanging="360"/>
      </w:pPr>
    </w:lvl>
    <w:lvl w:ilvl="7" w:tplc="20000019" w:tentative="1">
      <w:start w:val="1"/>
      <w:numFmt w:val="lowerLetter"/>
      <w:lvlText w:val="%8."/>
      <w:lvlJc w:val="left"/>
      <w:pPr>
        <w:ind w:left="6611" w:hanging="360"/>
      </w:pPr>
    </w:lvl>
    <w:lvl w:ilvl="8" w:tplc="200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093"/>
    <w:rsid w:val="00013B15"/>
    <w:rsid w:val="00016E3E"/>
    <w:rsid w:val="0002660B"/>
    <w:rsid w:val="00027329"/>
    <w:rsid w:val="00033C37"/>
    <w:rsid w:val="000551A6"/>
    <w:rsid w:val="0006627D"/>
    <w:rsid w:val="00081F99"/>
    <w:rsid w:val="000904BE"/>
    <w:rsid w:val="000A5593"/>
    <w:rsid w:val="000D55B3"/>
    <w:rsid w:val="000D6454"/>
    <w:rsid w:val="000F0753"/>
    <w:rsid w:val="000F5EDD"/>
    <w:rsid w:val="000F63F7"/>
    <w:rsid w:val="00100451"/>
    <w:rsid w:val="00104FAE"/>
    <w:rsid w:val="001120C6"/>
    <w:rsid w:val="00115F52"/>
    <w:rsid w:val="00116CFB"/>
    <w:rsid w:val="001702C9"/>
    <w:rsid w:val="001D4BE8"/>
    <w:rsid w:val="001E368F"/>
    <w:rsid w:val="001E3DA3"/>
    <w:rsid w:val="001E420C"/>
    <w:rsid w:val="001F21EC"/>
    <w:rsid w:val="0021321B"/>
    <w:rsid w:val="00242BDD"/>
    <w:rsid w:val="002433DF"/>
    <w:rsid w:val="00270ABE"/>
    <w:rsid w:val="00274CD9"/>
    <w:rsid w:val="00282044"/>
    <w:rsid w:val="00295DD1"/>
    <w:rsid w:val="002A5AD2"/>
    <w:rsid w:val="002C40D9"/>
    <w:rsid w:val="002D36FE"/>
    <w:rsid w:val="002D784B"/>
    <w:rsid w:val="002F25B1"/>
    <w:rsid w:val="002F2AD8"/>
    <w:rsid w:val="002F2E5D"/>
    <w:rsid w:val="0031182C"/>
    <w:rsid w:val="00322A8C"/>
    <w:rsid w:val="003339AA"/>
    <w:rsid w:val="00344513"/>
    <w:rsid w:val="00363C76"/>
    <w:rsid w:val="003E0798"/>
    <w:rsid w:val="003E383F"/>
    <w:rsid w:val="003E6FCD"/>
    <w:rsid w:val="003F35CD"/>
    <w:rsid w:val="003F4995"/>
    <w:rsid w:val="003F6AA7"/>
    <w:rsid w:val="00406751"/>
    <w:rsid w:val="0042349D"/>
    <w:rsid w:val="00477182"/>
    <w:rsid w:val="00485BF6"/>
    <w:rsid w:val="00490F86"/>
    <w:rsid w:val="004958FC"/>
    <w:rsid w:val="004C2790"/>
    <w:rsid w:val="004D0DB2"/>
    <w:rsid w:val="004E35FD"/>
    <w:rsid w:val="004F097B"/>
    <w:rsid w:val="005544D3"/>
    <w:rsid w:val="0058360C"/>
    <w:rsid w:val="00585D28"/>
    <w:rsid w:val="005A3320"/>
    <w:rsid w:val="005B3131"/>
    <w:rsid w:val="005B50E1"/>
    <w:rsid w:val="005C46C6"/>
    <w:rsid w:val="005C6998"/>
    <w:rsid w:val="005E6702"/>
    <w:rsid w:val="005F0B3C"/>
    <w:rsid w:val="00603A23"/>
    <w:rsid w:val="00612A96"/>
    <w:rsid w:val="00617940"/>
    <w:rsid w:val="006307A1"/>
    <w:rsid w:val="00637C7C"/>
    <w:rsid w:val="0065337D"/>
    <w:rsid w:val="006534EF"/>
    <w:rsid w:val="00663013"/>
    <w:rsid w:val="006645E7"/>
    <w:rsid w:val="00684C5F"/>
    <w:rsid w:val="006879A2"/>
    <w:rsid w:val="006D499A"/>
    <w:rsid w:val="006E135F"/>
    <w:rsid w:val="006E4A43"/>
    <w:rsid w:val="006F20FA"/>
    <w:rsid w:val="007041FF"/>
    <w:rsid w:val="00714CC6"/>
    <w:rsid w:val="00723778"/>
    <w:rsid w:val="00724128"/>
    <w:rsid w:val="00766802"/>
    <w:rsid w:val="00766EC1"/>
    <w:rsid w:val="00781AFD"/>
    <w:rsid w:val="007A0D6F"/>
    <w:rsid w:val="007A30B6"/>
    <w:rsid w:val="007F4217"/>
    <w:rsid w:val="007F7DF5"/>
    <w:rsid w:val="0080055E"/>
    <w:rsid w:val="008253E6"/>
    <w:rsid w:val="008258E7"/>
    <w:rsid w:val="0083145A"/>
    <w:rsid w:val="0083571A"/>
    <w:rsid w:val="008447E4"/>
    <w:rsid w:val="0084502C"/>
    <w:rsid w:val="00863096"/>
    <w:rsid w:val="00880540"/>
    <w:rsid w:val="00885996"/>
    <w:rsid w:val="00890267"/>
    <w:rsid w:val="008B60F6"/>
    <w:rsid w:val="008C4D40"/>
    <w:rsid w:val="008D42A7"/>
    <w:rsid w:val="008E784D"/>
    <w:rsid w:val="00907610"/>
    <w:rsid w:val="00912834"/>
    <w:rsid w:val="0092285A"/>
    <w:rsid w:val="009408F6"/>
    <w:rsid w:val="009432E5"/>
    <w:rsid w:val="00954DAD"/>
    <w:rsid w:val="009603AA"/>
    <w:rsid w:val="0096475D"/>
    <w:rsid w:val="00965E91"/>
    <w:rsid w:val="00972DA9"/>
    <w:rsid w:val="00984025"/>
    <w:rsid w:val="00985823"/>
    <w:rsid w:val="0098622C"/>
    <w:rsid w:val="009B19BF"/>
    <w:rsid w:val="009B5004"/>
    <w:rsid w:val="009C0312"/>
    <w:rsid w:val="009D6A9A"/>
    <w:rsid w:val="009E66D2"/>
    <w:rsid w:val="009F5D8B"/>
    <w:rsid w:val="009F6D5A"/>
    <w:rsid w:val="009F7D21"/>
    <w:rsid w:val="00A0000D"/>
    <w:rsid w:val="00A36782"/>
    <w:rsid w:val="00A51B39"/>
    <w:rsid w:val="00A77ED2"/>
    <w:rsid w:val="00A83E45"/>
    <w:rsid w:val="00A851FD"/>
    <w:rsid w:val="00A90012"/>
    <w:rsid w:val="00AA6AEA"/>
    <w:rsid w:val="00AC0052"/>
    <w:rsid w:val="00AC34BB"/>
    <w:rsid w:val="00AC5934"/>
    <w:rsid w:val="00AD2093"/>
    <w:rsid w:val="00AF1AB7"/>
    <w:rsid w:val="00AF784B"/>
    <w:rsid w:val="00B01A4E"/>
    <w:rsid w:val="00B05AB3"/>
    <w:rsid w:val="00B10EB1"/>
    <w:rsid w:val="00B11631"/>
    <w:rsid w:val="00B24DAA"/>
    <w:rsid w:val="00B26119"/>
    <w:rsid w:val="00B27ECD"/>
    <w:rsid w:val="00B449B7"/>
    <w:rsid w:val="00B549DF"/>
    <w:rsid w:val="00B6401E"/>
    <w:rsid w:val="00B84E91"/>
    <w:rsid w:val="00B9636D"/>
    <w:rsid w:val="00BC336B"/>
    <w:rsid w:val="00BD7F22"/>
    <w:rsid w:val="00BE31AF"/>
    <w:rsid w:val="00BF4800"/>
    <w:rsid w:val="00C56C4D"/>
    <w:rsid w:val="00C63BDE"/>
    <w:rsid w:val="00C72BBA"/>
    <w:rsid w:val="00C82A05"/>
    <w:rsid w:val="00C8431E"/>
    <w:rsid w:val="00CA3049"/>
    <w:rsid w:val="00CA3533"/>
    <w:rsid w:val="00CA42DB"/>
    <w:rsid w:val="00CB4715"/>
    <w:rsid w:val="00CB6873"/>
    <w:rsid w:val="00CD0DC0"/>
    <w:rsid w:val="00CF5E19"/>
    <w:rsid w:val="00CF6047"/>
    <w:rsid w:val="00CF7A14"/>
    <w:rsid w:val="00D10CE4"/>
    <w:rsid w:val="00D153DB"/>
    <w:rsid w:val="00D51E95"/>
    <w:rsid w:val="00D544DF"/>
    <w:rsid w:val="00D62176"/>
    <w:rsid w:val="00D7301D"/>
    <w:rsid w:val="00D9078A"/>
    <w:rsid w:val="00DC3EC9"/>
    <w:rsid w:val="00DE5EB3"/>
    <w:rsid w:val="00DF43D8"/>
    <w:rsid w:val="00DF65EB"/>
    <w:rsid w:val="00E014F8"/>
    <w:rsid w:val="00E01928"/>
    <w:rsid w:val="00E52A85"/>
    <w:rsid w:val="00E81C6F"/>
    <w:rsid w:val="00E84E19"/>
    <w:rsid w:val="00E85EB4"/>
    <w:rsid w:val="00E86963"/>
    <w:rsid w:val="00E86D4E"/>
    <w:rsid w:val="00E920C7"/>
    <w:rsid w:val="00E92728"/>
    <w:rsid w:val="00E930F7"/>
    <w:rsid w:val="00EA1FF2"/>
    <w:rsid w:val="00EC63AB"/>
    <w:rsid w:val="00EE4E7C"/>
    <w:rsid w:val="00EF6450"/>
    <w:rsid w:val="00F060A6"/>
    <w:rsid w:val="00F1637F"/>
    <w:rsid w:val="00F27524"/>
    <w:rsid w:val="00F31238"/>
    <w:rsid w:val="00F6618B"/>
    <w:rsid w:val="00F718C1"/>
    <w:rsid w:val="00F7195C"/>
    <w:rsid w:val="00F75987"/>
    <w:rsid w:val="00F82790"/>
    <w:rsid w:val="00F8744B"/>
    <w:rsid w:val="00F96F72"/>
    <w:rsid w:val="00FA7B31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55110E"/>
  <w15:docId w15:val="{5637EC1D-04FF-425D-BC1D-FD47824C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List Paragraph"/>
    <w:basedOn w:val="a"/>
    <w:uiPriority w:val="34"/>
    <w:qFormat/>
    <w:rsid w:val="003E6FC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D6454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0D6454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1E368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C2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C2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1317/ed_2022_07_29/pravo1/T172019.html?pravo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an_230/ed_2022_07_29/pravo1/T172019.html?pravo=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rc.gov.u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earch.ligazakon.ua/l_doc2.nsf/link1/ed_2022_07_29/pravo1/T172019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an_3085/ed_2022_07_29/pravo1/T172019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5297</Words>
  <Characters>3020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Ольга Прихід</cp:lastModifiedBy>
  <cp:revision>7</cp:revision>
  <cp:lastPrinted>2022-07-20T05:58:00Z</cp:lastPrinted>
  <dcterms:created xsi:type="dcterms:W3CDTF">2023-03-01T16:04:00Z</dcterms:created>
  <dcterms:modified xsi:type="dcterms:W3CDTF">2023-03-13T07:36:00Z</dcterms:modified>
</cp:coreProperties>
</file>