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304" w:rsidRDefault="00EA0ACE">
      <w:pPr>
        <w:jc w:val="center"/>
        <w:rPr>
          <w:lang w:val="uk-UA"/>
        </w:rPr>
      </w:pPr>
      <w:r>
        <w:rPr>
          <w:noProof/>
          <w:sz w:val="20"/>
        </w:rPr>
        <w:drawing>
          <wp:inline distT="0" distB="0" distL="0" distR="0">
            <wp:extent cx="5048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304" w:rsidRPr="005B0DEE" w:rsidRDefault="00410304">
      <w:pPr>
        <w:jc w:val="center"/>
        <w:rPr>
          <w:lang w:val="uk-UA"/>
        </w:rPr>
      </w:pPr>
    </w:p>
    <w:p w:rsidR="00410304" w:rsidRPr="00015FF9" w:rsidRDefault="00410304">
      <w:pPr>
        <w:jc w:val="center"/>
        <w:rPr>
          <w:b/>
          <w:szCs w:val="28"/>
          <w:lang w:val="uk-UA"/>
        </w:rPr>
      </w:pPr>
      <w:r w:rsidRPr="00015FF9">
        <w:rPr>
          <w:b/>
          <w:szCs w:val="28"/>
          <w:lang w:val="uk-UA"/>
        </w:rPr>
        <w:t>НАЦІО</w:t>
      </w:r>
      <w:bookmarkStart w:id="0" w:name="_GoBack"/>
      <w:bookmarkEnd w:id="0"/>
      <w:r w:rsidRPr="00015FF9">
        <w:rPr>
          <w:b/>
          <w:szCs w:val="28"/>
          <w:lang w:val="uk-UA"/>
        </w:rPr>
        <w:t xml:space="preserve">НАЛЬНА КОМІСІЯ, ЩО ЗДІЙСНЮЄ ДЕРЖАВНЕ </w:t>
      </w:r>
    </w:p>
    <w:p w:rsidR="00410304" w:rsidRDefault="00410304">
      <w:pPr>
        <w:jc w:val="center"/>
        <w:rPr>
          <w:b/>
          <w:szCs w:val="28"/>
          <w:lang w:val="uk-UA"/>
        </w:rPr>
      </w:pPr>
      <w:r w:rsidRPr="00015FF9">
        <w:rPr>
          <w:b/>
          <w:szCs w:val="28"/>
          <w:lang w:val="uk-UA"/>
        </w:rPr>
        <w:t>РЕГУЛЮВАННЯ У СФЕР</w:t>
      </w:r>
      <w:r>
        <w:rPr>
          <w:b/>
          <w:szCs w:val="28"/>
          <w:lang w:val="uk-UA"/>
        </w:rPr>
        <w:t xml:space="preserve">АХ </w:t>
      </w:r>
      <w:r w:rsidRPr="00015FF9">
        <w:rPr>
          <w:b/>
          <w:szCs w:val="28"/>
          <w:lang w:val="uk-UA"/>
        </w:rPr>
        <w:t>ЕНЕРГЕТИКИ</w:t>
      </w:r>
      <w:r>
        <w:rPr>
          <w:b/>
          <w:szCs w:val="28"/>
          <w:lang w:val="uk-UA"/>
        </w:rPr>
        <w:t xml:space="preserve"> </w:t>
      </w:r>
    </w:p>
    <w:p w:rsidR="00410304" w:rsidRPr="00015FF9" w:rsidRDefault="0041030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ТА КОМУНАЛЬНИХ ПОСЛУГ</w:t>
      </w:r>
    </w:p>
    <w:p w:rsidR="00410304" w:rsidRPr="00015FF9" w:rsidRDefault="00410304">
      <w:pPr>
        <w:jc w:val="center"/>
        <w:rPr>
          <w:b/>
          <w:szCs w:val="28"/>
          <w:u w:val="single"/>
          <w:lang w:val="uk-UA"/>
        </w:rPr>
      </w:pPr>
      <w:r w:rsidRPr="00015FF9">
        <w:rPr>
          <w:b/>
          <w:szCs w:val="28"/>
          <w:lang w:val="uk-UA"/>
        </w:rPr>
        <w:t>(НКРЕ</w:t>
      </w:r>
      <w:r>
        <w:rPr>
          <w:b/>
          <w:szCs w:val="28"/>
          <w:lang w:val="uk-UA"/>
        </w:rPr>
        <w:t>КП</w:t>
      </w:r>
      <w:r w:rsidRPr="00015FF9">
        <w:rPr>
          <w:b/>
          <w:szCs w:val="28"/>
          <w:lang w:val="uk-UA"/>
        </w:rPr>
        <w:t>)</w:t>
      </w:r>
    </w:p>
    <w:p w:rsidR="00410304" w:rsidRPr="00015FF9" w:rsidRDefault="00410304">
      <w:pPr>
        <w:jc w:val="center"/>
        <w:rPr>
          <w:spacing w:val="40"/>
          <w:szCs w:val="28"/>
          <w:lang w:val="uk-UA"/>
        </w:rPr>
      </w:pPr>
    </w:p>
    <w:p w:rsidR="00410304" w:rsidRDefault="00410304">
      <w:pPr>
        <w:jc w:val="center"/>
        <w:rPr>
          <w:spacing w:val="40"/>
          <w:sz w:val="24"/>
          <w:lang w:val="uk-UA"/>
        </w:rPr>
      </w:pPr>
    </w:p>
    <w:p w:rsidR="00410304" w:rsidRPr="00927C0E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927C0E">
        <w:rPr>
          <w:b/>
          <w:spacing w:val="32"/>
          <w:sz w:val="32"/>
          <w:szCs w:val="32"/>
          <w:lang w:val="uk-UA"/>
        </w:rPr>
        <w:t>ПОСТАНОВА</w:t>
      </w:r>
    </w:p>
    <w:p w:rsidR="00410304" w:rsidRPr="007867D7" w:rsidRDefault="00410304">
      <w:pPr>
        <w:rPr>
          <w:sz w:val="24"/>
          <w:szCs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410304" w:rsidRDefault="00410304">
      <w:pPr>
        <w:jc w:val="center"/>
        <w:rPr>
          <w:spacing w:val="40"/>
          <w:sz w:val="24"/>
          <w:lang w:val="uk-UA"/>
        </w:rPr>
      </w:pPr>
    </w:p>
    <w:p w:rsidR="00410304" w:rsidRDefault="00410304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___________________                                                                            № _______________</w:t>
      </w:r>
    </w:p>
    <w:p w:rsidR="00410304" w:rsidRDefault="00410304">
      <w:pPr>
        <w:jc w:val="center"/>
        <w:rPr>
          <w:sz w:val="24"/>
          <w:szCs w:val="24"/>
          <w:lang w:val="uk-UA"/>
        </w:rPr>
      </w:pPr>
      <w:r w:rsidRPr="002D5D31">
        <w:rPr>
          <w:sz w:val="24"/>
          <w:szCs w:val="24"/>
          <w:lang w:val="uk-UA"/>
        </w:rPr>
        <w:t>Київ</w:t>
      </w:r>
    </w:p>
    <w:p w:rsidR="00863779" w:rsidRPr="00EE414E" w:rsidRDefault="00863779">
      <w:pPr>
        <w:jc w:val="center"/>
        <w:rPr>
          <w:szCs w:val="28"/>
          <w:lang w:val="uk-UA"/>
        </w:rPr>
      </w:pPr>
    </w:p>
    <w:tbl>
      <w:tblPr>
        <w:tblW w:w="4819" w:type="dxa"/>
        <w:tblLayout w:type="fixed"/>
        <w:tblLook w:val="0000" w:firstRow="0" w:lastRow="0" w:firstColumn="0" w:lastColumn="0" w:noHBand="0" w:noVBand="0"/>
      </w:tblPr>
      <w:tblGrid>
        <w:gridCol w:w="4395"/>
        <w:gridCol w:w="424"/>
      </w:tblGrid>
      <w:tr w:rsidR="00EE414E" w:rsidRPr="00EE414E" w:rsidTr="00CB7C40">
        <w:trPr>
          <w:trHeight w:val="609"/>
        </w:trPr>
        <w:tc>
          <w:tcPr>
            <w:tcW w:w="4395" w:type="dxa"/>
          </w:tcPr>
          <w:p w:rsidR="00DA7636" w:rsidRPr="00EE414E" w:rsidRDefault="00CE2D30" w:rsidP="00240EDA">
            <w:pPr>
              <w:tabs>
                <w:tab w:val="left" w:pos="3261"/>
                <w:tab w:val="left" w:pos="5137"/>
              </w:tabs>
              <w:ind w:left="-108" w:right="30"/>
              <w:jc w:val="both"/>
              <w:rPr>
                <w:szCs w:val="28"/>
                <w:lang w:val="uk-UA"/>
              </w:rPr>
            </w:pPr>
            <w:bookmarkStart w:id="1" w:name="_Hlk127954950"/>
            <w:r w:rsidRPr="00EE414E">
              <w:rPr>
                <w:szCs w:val="28"/>
                <w:lang w:val="uk-UA"/>
              </w:rPr>
              <w:t xml:space="preserve">Про внесення змін до </w:t>
            </w:r>
            <w:r w:rsidR="003C09EC" w:rsidRPr="00EE414E">
              <w:rPr>
                <w:szCs w:val="28"/>
                <w:lang w:val="uk-UA"/>
              </w:rPr>
              <w:t>Ліцензійних умов з виробництва електричної енергії</w:t>
            </w:r>
            <w:bookmarkEnd w:id="1"/>
          </w:p>
        </w:tc>
        <w:tc>
          <w:tcPr>
            <w:tcW w:w="424" w:type="dxa"/>
          </w:tcPr>
          <w:p w:rsidR="00DA7636" w:rsidRPr="00EE414E" w:rsidRDefault="00DA7636" w:rsidP="008F4B84">
            <w:pPr>
              <w:pStyle w:val="2"/>
              <w:ind w:left="-108"/>
            </w:pPr>
          </w:p>
        </w:tc>
      </w:tr>
    </w:tbl>
    <w:p w:rsidR="00DA7636" w:rsidRPr="00EE414E" w:rsidRDefault="00DA7636" w:rsidP="00DA7636">
      <w:pPr>
        <w:tabs>
          <w:tab w:val="left" w:pos="709"/>
        </w:tabs>
        <w:ind w:firstLine="567"/>
        <w:jc w:val="both"/>
        <w:rPr>
          <w:bCs/>
          <w:szCs w:val="28"/>
          <w:lang w:val="uk-UA" w:eastAsia="uk-UA"/>
        </w:rPr>
      </w:pPr>
    </w:p>
    <w:p w:rsidR="00DA7636" w:rsidRDefault="00CB7C40" w:rsidP="00DA7636">
      <w:pPr>
        <w:keepNext/>
        <w:ind w:firstLine="708"/>
        <w:jc w:val="both"/>
        <w:outlineLvl w:val="1"/>
        <w:rPr>
          <w:szCs w:val="28"/>
          <w:lang w:val="uk-UA"/>
        </w:rPr>
      </w:pPr>
      <w:r w:rsidRPr="00EE414E">
        <w:rPr>
          <w:szCs w:val="28"/>
          <w:shd w:val="clear" w:color="auto" w:fill="FFFFFF"/>
          <w:lang w:val="uk-UA"/>
        </w:rPr>
        <w:t>Відповідно до законів України </w:t>
      </w:r>
      <w:hyperlink r:id="rId9" w:tgtFrame="_blank" w:history="1">
        <w:r w:rsidRPr="00EE414E">
          <w:rPr>
            <w:rStyle w:val="aa"/>
            <w:color w:val="auto"/>
            <w:szCs w:val="28"/>
            <w:u w:val="none"/>
            <w:shd w:val="clear" w:color="auto" w:fill="FFFFFF"/>
            <w:lang w:val="uk-UA"/>
          </w:rPr>
          <w:t>«Про Національну комісію, що здійснює державне регулювання у сферах енергетики та комунальних послуг»</w:t>
        </w:r>
      </w:hyperlink>
      <w:r w:rsidRPr="00EE414E">
        <w:rPr>
          <w:szCs w:val="28"/>
          <w:shd w:val="clear" w:color="auto" w:fill="FFFFFF"/>
          <w:lang w:val="uk-UA"/>
        </w:rPr>
        <w:t>, </w:t>
      </w:r>
      <w:hyperlink r:id="rId10" w:tgtFrame="_blank" w:history="1">
        <w:r w:rsidRPr="00EE414E">
          <w:rPr>
            <w:rStyle w:val="aa"/>
            <w:color w:val="auto"/>
            <w:szCs w:val="28"/>
            <w:u w:val="none"/>
            <w:shd w:val="clear" w:color="auto" w:fill="FFFFFF"/>
            <w:lang w:val="uk-UA"/>
          </w:rPr>
          <w:t>«Про ринок електричної енергії»</w:t>
        </w:r>
      </w:hyperlink>
      <w:r w:rsidR="0019124F">
        <w:rPr>
          <w:rStyle w:val="aa"/>
          <w:color w:val="auto"/>
          <w:szCs w:val="28"/>
          <w:u w:val="none"/>
          <w:shd w:val="clear" w:color="auto" w:fill="FFFFFF"/>
          <w:lang w:val="uk-UA"/>
        </w:rPr>
        <w:t xml:space="preserve">, </w:t>
      </w:r>
      <w:r w:rsidRPr="00EE414E">
        <w:rPr>
          <w:szCs w:val="28"/>
          <w:shd w:val="clear" w:color="auto" w:fill="FFFFFF"/>
          <w:lang w:val="uk-UA"/>
        </w:rPr>
        <w:t> </w:t>
      </w:r>
      <w:hyperlink r:id="rId11" w:anchor="n10" w:tgtFrame="_blank" w:history="1">
        <w:r w:rsidRPr="00EE414E">
          <w:rPr>
            <w:rStyle w:val="aa"/>
            <w:color w:val="auto"/>
            <w:szCs w:val="28"/>
            <w:u w:val="none"/>
            <w:shd w:val="clear" w:color="auto" w:fill="FFFFFF"/>
            <w:lang w:val="uk-UA"/>
          </w:rPr>
          <w:t>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  </w:r>
      </w:hyperlink>
      <w:r w:rsidRPr="00EE414E">
        <w:rPr>
          <w:szCs w:val="28"/>
          <w:shd w:val="clear" w:color="auto" w:fill="FFFFFF"/>
          <w:lang w:val="uk-UA"/>
        </w:rPr>
        <w:t xml:space="preserve">, затвердженого постановою Національної комісії, що здійснює державне регулювання у </w:t>
      </w:r>
      <w:r w:rsidRPr="001C4BC1">
        <w:rPr>
          <w:szCs w:val="28"/>
          <w:shd w:val="clear" w:color="auto" w:fill="FFFFFF"/>
          <w:lang w:val="uk-UA"/>
        </w:rPr>
        <w:t xml:space="preserve">сферах енергетики та комунальних послуг, від </w:t>
      </w:r>
      <w:r w:rsidR="00EE414E" w:rsidRPr="001C4BC1">
        <w:rPr>
          <w:szCs w:val="28"/>
          <w:shd w:val="clear" w:color="auto" w:fill="FFFFFF"/>
          <w:lang w:val="uk-UA"/>
        </w:rPr>
        <w:t xml:space="preserve">                     </w:t>
      </w:r>
      <w:r w:rsidRPr="001C4BC1">
        <w:rPr>
          <w:szCs w:val="28"/>
          <w:shd w:val="clear" w:color="auto" w:fill="FFFFFF"/>
          <w:lang w:val="uk-UA"/>
        </w:rPr>
        <w:t xml:space="preserve">03 березня 2020 року № 548, </w:t>
      </w:r>
      <w:r w:rsidR="0019124F" w:rsidRPr="001C4BC1">
        <w:rPr>
          <w:szCs w:val="28"/>
          <w:shd w:val="clear" w:color="auto" w:fill="FFFFFF"/>
          <w:lang w:val="uk-UA"/>
        </w:rPr>
        <w:t xml:space="preserve">та у зв’язку </w:t>
      </w:r>
      <w:r w:rsidR="0019124F" w:rsidRPr="00871CFA">
        <w:rPr>
          <w:szCs w:val="28"/>
          <w:shd w:val="clear" w:color="auto" w:fill="FFFFFF"/>
          <w:lang w:val="uk-UA"/>
        </w:rPr>
        <w:t>з воєнн</w:t>
      </w:r>
      <w:r w:rsidR="00905F3B" w:rsidRPr="00871CFA">
        <w:rPr>
          <w:szCs w:val="28"/>
          <w:shd w:val="clear" w:color="auto" w:fill="FFFFFF"/>
          <w:lang w:val="uk-UA"/>
        </w:rPr>
        <w:t>им</w:t>
      </w:r>
      <w:r w:rsidR="0019124F" w:rsidRPr="00871CFA">
        <w:rPr>
          <w:szCs w:val="28"/>
          <w:shd w:val="clear" w:color="auto" w:fill="FFFFFF"/>
          <w:lang w:val="uk-UA"/>
        </w:rPr>
        <w:t xml:space="preserve"> стан</w:t>
      </w:r>
      <w:r w:rsidR="00905F3B" w:rsidRPr="00871CFA">
        <w:rPr>
          <w:szCs w:val="28"/>
          <w:shd w:val="clear" w:color="auto" w:fill="FFFFFF"/>
          <w:lang w:val="uk-UA"/>
        </w:rPr>
        <w:t>ом,</w:t>
      </w:r>
      <w:r w:rsidR="0019124F" w:rsidRPr="00871CFA">
        <w:rPr>
          <w:szCs w:val="28"/>
          <w:shd w:val="clear" w:color="auto" w:fill="FFFFFF"/>
          <w:lang w:val="uk-UA"/>
        </w:rPr>
        <w:t xml:space="preserve"> </w:t>
      </w:r>
      <w:r w:rsidR="00905F3B" w:rsidRPr="00871CFA">
        <w:rPr>
          <w:szCs w:val="28"/>
          <w:shd w:val="clear" w:color="auto" w:fill="FFFFFF"/>
          <w:lang w:val="uk-UA"/>
        </w:rPr>
        <w:t xml:space="preserve">введеним </w:t>
      </w:r>
      <w:r w:rsidR="0019124F" w:rsidRPr="00871CFA">
        <w:rPr>
          <w:szCs w:val="28"/>
          <w:shd w:val="clear" w:color="auto" w:fill="FFFFFF"/>
          <w:lang w:val="uk-UA"/>
        </w:rPr>
        <w:t>в Україні   відповідно до Указу Президента України від 24 лютого 2022 року № 64/2022 та продовжен</w:t>
      </w:r>
      <w:r w:rsidR="00905F3B" w:rsidRPr="00871CFA">
        <w:rPr>
          <w:szCs w:val="28"/>
          <w:shd w:val="clear" w:color="auto" w:fill="FFFFFF"/>
          <w:lang w:val="uk-UA"/>
        </w:rPr>
        <w:t>им</w:t>
      </w:r>
      <w:r w:rsidR="0019124F" w:rsidRPr="00871CFA">
        <w:rPr>
          <w:szCs w:val="28"/>
          <w:shd w:val="clear" w:color="auto" w:fill="FFFFFF"/>
          <w:lang w:val="uk-UA"/>
        </w:rPr>
        <w:t xml:space="preserve"> Указами Президента України </w:t>
      </w:r>
      <w:r w:rsidR="0019124F" w:rsidRPr="001C4BC1">
        <w:rPr>
          <w:szCs w:val="28"/>
          <w:shd w:val="clear" w:color="auto" w:fill="FFFFFF"/>
          <w:lang w:val="uk-UA"/>
        </w:rPr>
        <w:t xml:space="preserve">від 14 березня 2022 року </w:t>
      </w:r>
      <w:r w:rsidR="000111CD">
        <w:rPr>
          <w:szCs w:val="28"/>
          <w:shd w:val="clear" w:color="auto" w:fill="FFFFFF"/>
          <w:lang w:val="uk-UA"/>
        </w:rPr>
        <w:t xml:space="preserve">                  </w:t>
      </w:r>
      <w:r w:rsidR="0019124F" w:rsidRPr="001C4BC1">
        <w:rPr>
          <w:szCs w:val="28"/>
          <w:shd w:val="clear" w:color="auto" w:fill="FFFFFF"/>
          <w:lang w:val="uk-UA"/>
        </w:rPr>
        <w:t>№ 133/2022, від 18 квітня 2022 року № 259/2022</w:t>
      </w:r>
      <w:r w:rsidR="003064C5">
        <w:rPr>
          <w:szCs w:val="28"/>
          <w:shd w:val="clear" w:color="auto" w:fill="FFFFFF"/>
          <w:lang w:val="uk-UA"/>
        </w:rPr>
        <w:t>,</w:t>
      </w:r>
      <w:r w:rsidR="0019124F" w:rsidRPr="001C4BC1">
        <w:rPr>
          <w:szCs w:val="28"/>
          <w:shd w:val="clear" w:color="auto" w:fill="FFFFFF"/>
          <w:lang w:val="uk-UA"/>
        </w:rPr>
        <w:t xml:space="preserve"> від 17 травня 2022 року </w:t>
      </w:r>
      <w:r w:rsidR="000111CD">
        <w:rPr>
          <w:szCs w:val="28"/>
          <w:shd w:val="clear" w:color="auto" w:fill="FFFFFF"/>
          <w:lang w:val="uk-UA"/>
        </w:rPr>
        <w:t xml:space="preserve">                     </w:t>
      </w:r>
      <w:r w:rsidR="0019124F" w:rsidRPr="001C4BC1">
        <w:rPr>
          <w:szCs w:val="28"/>
          <w:shd w:val="clear" w:color="auto" w:fill="FFFFFF"/>
          <w:lang w:val="uk-UA"/>
        </w:rPr>
        <w:t xml:space="preserve">№ 341/2022,  від 12 серпня 2022 року № 573, від 07 листопада 2022 року № 757 та від 06 лютого 2023 року № 59/2023, </w:t>
      </w:r>
      <w:r w:rsidR="00240EDA" w:rsidRPr="001C4BC1">
        <w:rPr>
          <w:szCs w:val="28"/>
          <w:shd w:val="clear" w:color="auto" w:fill="FFFFFF"/>
          <w:lang w:val="uk-UA"/>
        </w:rPr>
        <w:t>На</w:t>
      </w:r>
      <w:r w:rsidR="00240EDA" w:rsidRPr="001C4BC1">
        <w:rPr>
          <w:szCs w:val="28"/>
          <w:lang w:val="uk-UA"/>
        </w:rPr>
        <w:t>ціональна комісія, що здійснює державне регулювання у сферах енергетики та комунальних послуг,</w:t>
      </w:r>
    </w:p>
    <w:p w:rsidR="00240EDA" w:rsidRPr="001C4BC1" w:rsidRDefault="00240EDA" w:rsidP="00DA7636">
      <w:pPr>
        <w:keepNext/>
        <w:ind w:firstLine="708"/>
        <w:jc w:val="both"/>
        <w:outlineLvl w:val="1"/>
        <w:rPr>
          <w:szCs w:val="28"/>
          <w:lang w:val="uk-UA"/>
        </w:rPr>
      </w:pPr>
    </w:p>
    <w:p w:rsidR="00DA7636" w:rsidRPr="001C4BC1" w:rsidRDefault="00DA7636" w:rsidP="00DA7636">
      <w:pPr>
        <w:jc w:val="both"/>
        <w:rPr>
          <w:b/>
          <w:szCs w:val="28"/>
          <w:lang w:val="uk-UA"/>
        </w:rPr>
      </w:pPr>
      <w:r w:rsidRPr="001C4BC1">
        <w:rPr>
          <w:b/>
          <w:szCs w:val="28"/>
          <w:lang w:val="uk-UA"/>
        </w:rPr>
        <w:t>ПОСТАНОВЛЯЄ:</w:t>
      </w:r>
    </w:p>
    <w:p w:rsidR="00DA7636" w:rsidRPr="001C4BC1" w:rsidRDefault="00DA7636" w:rsidP="00DA7636">
      <w:pPr>
        <w:jc w:val="both"/>
        <w:rPr>
          <w:szCs w:val="28"/>
          <w:lang w:val="uk-UA"/>
        </w:rPr>
      </w:pPr>
    </w:p>
    <w:p w:rsidR="00CE2D30" w:rsidRPr="001C4BC1" w:rsidRDefault="00FE6E87" w:rsidP="00CE2D30">
      <w:pPr>
        <w:shd w:val="clear" w:color="auto" w:fill="FFFFFF"/>
        <w:tabs>
          <w:tab w:val="left" w:pos="851"/>
        </w:tabs>
        <w:ind w:firstLine="567"/>
        <w:jc w:val="both"/>
        <w:rPr>
          <w:szCs w:val="28"/>
          <w:shd w:val="clear" w:color="auto" w:fill="FFFFFF"/>
          <w:lang w:val="uk-UA"/>
        </w:rPr>
      </w:pPr>
      <w:bookmarkStart w:id="2" w:name="_Hlk46905202"/>
      <w:r w:rsidRPr="001C4BC1">
        <w:rPr>
          <w:szCs w:val="28"/>
          <w:lang w:val="uk-UA"/>
        </w:rPr>
        <w:tab/>
      </w:r>
      <w:r w:rsidR="00CE2D30" w:rsidRPr="001C4BC1">
        <w:rPr>
          <w:szCs w:val="28"/>
          <w:lang w:val="uk-UA"/>
        </w:rPr>
        <w:t xml:space="preserve">1. </w:t>
      </w:r>
      <w:r w:rsidR="000D7A5E" w:rsidRPr="001C4BC1">
        <w:rPr>
          <w:szCs w:val="28"/>
          <w:shd w:val="clear" w:color="auto" w:fill="FFFFFF"/>
          <w:lang w:val="uk-UA"/>
        </w:rPr>
        <w:t>Унести до глави 1 Ліцензійних умов провадження господарської діяльності з виробництва електричної енергії, затверджених постановою Національної комісії, що здійснює державне регулювання у сферах енергетики та комунальних послуг, від 27 грудня 2017 року № 1467, такі зміни:</w:t>
      </w:r>
    </w:p>
    <w:p w:rsidR="00CB7C40" w:rsidRPr="001C4BC1" w:rsidRDefault="00CB7C40" w:rsidP="00CE2D30">
      <w:pPr>
        <w:shd w:val="clear" w:color="auto" w:fill="FFFFFF"/>
        <w:tabs>
          <w:tab w:val="left" w:pos="851"/>
        </w:tabs>
        <w:ind w:firstLine="567"/>
        <w:jc w:val="both"/>
        <w:rPr>
          <w:szCs w:val="28"/>
          <w:shd w:val="clear" w:color="auto" w:fill="FFFFFF"/>
          <w:lang w:val="uk-UA"/>
        </w:rPr>
      </w:pPr>
    </w:p>
    <w:p w:rsidR="0019124F" w:rsidRDefault="00EE414E" w:rsidP="00FA4C87">
      <w:pPr>
        <w:pStyle w:val="ab"/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855"/>
        <w:jc w:val="both"/>
        <w:rPr>
          <w:szCs w:val="28"/>
          <w:shd w:val="clear" w:color="auto" w:fill="FFFFFF"/>
          <w:lang w:val="uk-UA"/>
        </w:rPr>
      </w:pPr>
      <w:r w:rsidRPr="006C2A19">
        <w:rPr>
          <w:szCs w:val="28"/>
          <w:shd w:val="clear" w:color="auto" w:fill="FFFFFF"/>
          <w:lang w:val="uk-UA"/>
        </w:rPr>
        <w:lastRenderedPageBreak/>
        <w:t>в</w:t>
      </w:r>
      <w:r w:rsidR="00CB7C40" w:rsidRPr="006C2A19">
        <w:rPr>
          <w:szCs w:val="28"/>
          <w:shd w:val="clear" w:color="auto" w:fill="FFFFFF"/>
          <w:lang w:val="uk-UA"/>
        </w:rPr>
        <w:t xml:space="preserve"> абзаці першому пункту </w:t>
      </w:r>
      <w:r w:rsidR="00CB7C40" w:rsidRPr="00FA4C87">
        <w:rPr>
          <w:szCs w:val="28"/>
          <w:shd w:val="clear" w:color="auto" w:fill="FFFFFF"/>
          <w:lang w:val="uk-UA"/>
        </w:rPr>
        <w:t xml:space="preserve">1.3 </w:t>
      </w:r>
      <w:r w:rsidR="00580CF5" w:rsidRPr="00FA4C87">
        <w:rPr>
          <w:szCs w:val="28"/>
          <w:shd w:val="clear" w:color="auto" w:fill="FFFFFF"/>
          <w:lang w:val="uk-UA"/>
        </w:rPr>
        <w:t>знаки</w:t>
      </w:r>
      <w:r w:rsidR="00067FAC" w:rsidRPr="00067FAC">
        <w:rPr>
          <w:szCs w:val="28"/>
          <w:shd w:val="clear" w:color="auto" w:fill="FFFFFF"/>
          <w:lang w:val="uk-UA"/>
        </w:rPr>
        <w:t xml:space="preserve"> </w:t>
      </w:r>
      <w:r w:rsidR="00067FAC">
        <w:rPr>
          <w:szCs w:val="28"/>
          <w:shd w:val="clear" w:color="auto" w:fill="FFFFFF"/>
          <w:lang w:val="uk-UA"/>
        </w:rPr>
        <w:t>та слова</w:t>
      </w:r>
      <w:r w:rsidR="00580CF5" w:rsidRPr="00FA4C87">
        <w:rPr>
          <w:szCs w:val="28"/>
          <w:shd w:val="clear" w:color="auto" w:fill="FFFFFF"/>
          <w:lang w:val="uk-UA"/>
        </w:rPr>
        <w:t xml:space="preserve"> </w:t>
      </w:r>
      <w:r w:rsidR="006C2A19" w:rsidRPr="00FA4C87">
        <w:rPr>
          <w:szCs w:val="28"/>
          <w:shd w:val="clear" w:color="auto" w:fill="FFFFFF"/>
          <w:lang w:val="uk-UA"/>
        </w:rPr>
        <w:t>«</w:t>
      </w:r>
      <w:r w:rsidR="00067FAC">
        <w:rPr>
          <w:szCs w:val="28"/>
          <w:shd w:val="clear" w:color="auto" w:fill="FFFFFF"/>
          <w:lang w:val="uk-UA"/>
        </w:rPr>
        <w:t xml:space="preserve">, </w:t>
      </w:r>
      <w:r w:rsidR="00FA4C87" w:rsidRPr="00FA4C87">
        <w:rPr>
          <w:shd w:val="clear" w:color="auto" w:fill="FFFFFF"/>
          <w:lang w:val="uk-UA"/>
        </w:rPr>
        <w:t>крім випадків, якщо електрична енергія виробляється без мети її продажу на підставі договору та споживається для власних потреб, підлягає ліцензуванню, якщо величина встановленої потужності</w:t>
      </w:r>
      <w:r w:rsidR="006C2A19" w:rsidRPr="00FA4C87">
        <w:rPr>
          <w:szCs w:val="28"/>
          <w:shd w:val="clear" w:color="auto" w:fill="FFFFFF"/>
          <w:lang w:val="uk-UA"/>
        </w:rPr>
        <w:t>» замінити знаками та словами  «(</w:t>
      </w:r>
      <w:r w:rsidR="007E0C48" w:rsidRPr="00FA4C87">
        <w:rPr>
          <w:shd w:val="clear" w:color="auto" w:fill="FFFFFF"/>
          <w:lang w:val="uk-UA"/>
        </w:rPr>
        <w:t>крім випадків, якщо електрична енергія</w:t>
      </w:r>
      <w:r w:rsidR="007E0C48">
        <w:rPr>
          <w:shd w:val="clear" w:color="auto" w:fill="FFFFFF"/>
          <w:lang w:val="uk-UA"/>
        </w:rPr>
        <w:t xml:space="preserve"> </w:t>
      </w:r>
      <w:r w:rsidR="00FA4C87" w:rsidRPr="00FA4C87">
        <w:rPr>
          <w:shd w:val="clear" w:color="auto" w:fill="FFFFFF"/>
          <w:lang w:val="uk-UA"/>
        </w:rPr>
        <w:t>виробляється без мети її продажу на підставі договору та споживається для власних потреб</w:t>
      </w:r>
      <w:r w:rsidR="006C2A19" w:rsidRPr="00FA4C87">
        <w:rPr>
          <w:szCs w:val="28"/>
          <w:shd w:val="clear" w:color="auto" w:fill="FFFFFF"/>
          <w:lang w:val="uk-UA"/>
        </w:rPr>
        <w:t xml:space="preserve"> або виробляється мобільною (автономною) електростанцією)</w:t>
      </w:r>
      <w:r w:rsidR="00617E39">
        <w:rPr>
          <w:szCs w:val="28"/>
          <w:shd w:val="clear" w:color="auto" w:fill="FFFFFF"/>
          <w:lang w:val="uk-UA"/>
        </w:rPr>
        <w:t xml:space="preserve"> </w:t>
      </w:r>
      <w:r w:rsidR="006C2A19" w:rsidRPr="00FA4C87">
        <w:rPr>
          <w:szCs w:val="28"/>
          <w:shd w:val="clear" w:color="auto" w:fill="FFFFFF"/>
          <w:lang w:val="uk-UA"/>
        </w:rPr>
        <w:t>підлягає ліцензуванню</w:t>
      </w:r>
      <w:r w:rsidR="00721573">
        <w:rPr>
          <w:szCs w:val="28"/>
          <w:shd w:val="clear" w:color="auto" w:fill="FFFFFF"/>
          <w:lang w:val="uk-UA"/>
        </w:rPr>
        <w:t>,</w:t>
      </w:r>
      <w:r w:rsidR="006C2A19" w:rsidRPr="00FA4C87">
        <w:rPr>
          <w:szCs w:val="28"/>
          <w:shd w:val="clear" w:color="auto" w:fill="FFFFFF"/>
          <w:lang w:val="uk-UA"/>
        </w:rPr>
        <w:t xml:space="preserve"> якщо сумарна встановлена потужність»;</w:t>
      </w:r>
      <w:r w:rsidR="00CB7C40" w:rsidRPr="00FA4C87">
        <w:rPr>
          <w:szCs w:val="28"/>
          <w:shd w:val="clear" w:color="auto" w:fill="FFFFFF"/>
          <w:lang w:val="uk-UA"/>
        </w:rPr>
        <w:t xml:space="preserve"> </w:t>
      </w:r>
    </w:p>
    <w:p w:rsidR="00225E87" w:rsidRPr="00FA4C87" w:rsidRDefault="00225E87" w:rsidP="00225E87">
      <w:pPr>
        <w:pStyle w:val="ab"/>
        <w:shd w:val="clear" w:color="auto" w:fill="FFFFFF"/>
        <w:tabs>
          <w:tab w:val="left" w:pos="851"/>
        </w:tabs>
        <w:ind w:left="855"/>
        <w:jc w:val="both"/>
        <w:rPr>
          <w:szCs w:val="28"/>
          <w:shd w:val="clear" w:color="auto" w:fill="FFFFFF"/>
          <w:lang w:val="uk-UA"/>
        </w:rPr>
      </w:pPr>
    </w:p>
    <w:p w:rsidR="00EE414E" w:rsidRPr="001C4BC1" w:rsidRDefault="00EE414E" w:rsidP="00EE414E">
      <w:pPr>
        <w:shd w:val="clear" w:color="auto" w:fill="FFFFFF"/>
        <w:tabs>
          <w:tab w:val="left" w:pos="851"/>
        </w:tabs>
        <w:jc w:val="both"/>
        <w:rPr>
          <w:szCs w:val="28"/>
          <w:shd w:val="clear" w:color="auto" w:fill="FFFFFF"/>
          <w:lang w:val="uk-UA"/>
        </w:rPr>
      </w:pPr>
      <w:r w:rsidRPr="001C4BC1">
        <w:rPr>
          <w:szCs w:val="28"/>
          <w:shd w:val="clear" w:color="auto" w:fill="FFFFFF"/>
          <w:lang w:val="uk-UA"/>
        </w:rPr>
        <w:tab/>
        <w:t xml:space="preserve">2) </w:t>
      </w:r>
      <w:r w:rsidR="0019124F" w:rsidRPr="001C4BC1">
        <w:rPr>
          <w:szCs w:val="28"/>
          <w:shd w:val="clear" w:color="auto" w:fill="FFFFFF"/>
          <w:lang w:val="uk-UA"/>
        </w:rPr>
        <w:t xml:space="preserve">пункт 1.4 </w:t>
      </w:r>
      <w:r w:rsidRPr="001C4BC1">
        <w:rPr>
          <w:szCs w:val="28"/>
          <w:shd w:val="clear" w:color="auto" w:fill="FFFFFF"/>
          <w:lang w:val="uk-UA"/>
        </w:rPr>
        <w:t>після абзацу шостого доповнити новим абзацом сьомим такого змісту:</w:t>
      </w:r>
    </w:p>
    <w:p w:rsidR="00EE414E" w:rsidRPr="001C4BC1" w:rsidRDefault="00EE414E" w:rsidP="00EE414E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  <w:r w:rsidRPr="001C4BC1">
        <w:rPr>
          <w:shd w:val="clear" w:color="auto" w:fill="FFFFFF"/>
          <w:lang w:val="uk-UA"/>
        </w:rPr>
        <w:tab/>
        <w:t>«</w:t>
      </w:r>
      <w:r w:rsidRPr="001C4BC1">
        <w:rPr>
          <w:szCs w:val="28"/>
          <w:lang w:val="uk-UA"/>
        </w:rPr>
        <w:t xml:space="preserve">мобільна (автономна) електростанція – самохідна  або несамохідна електроустановка або група електроустановок, призначена для резервного (аварійного) виробництва електричної енергії, </w:t>
      </w:r>
      <w:r w:rsidR="005F4374" w:rsidRPr="00871CFA">
        <w:rPr>
          <w:szCs w:val="28"/>
          <w:lang w:val="uk-UA"/>
        </w:rPr>
        <w:t>яка</w:t>
      </w:r>
      <w:r w:rsidR="00871CFA" w:rsidRPr="00871CFA">
        <w:rPr>
          <w:szCs w:val="28"/>
          <w:lang w:val="uk-UA"/>
        </w:rPr>
        <w:t xml:space="preserve"> </w:t>
      </w:r>
      <w:r w:rsidRPr="001C4BC1">
        <w:rPr>
          <w:szCs w:val="28"/>
          <w:lang w:val="uk-UA"/>
        </w:rPr>
        <w:t>може бути переміщена за допомогою автомобільного, залізничного, морського або внутрішнього водного транспорту без її знецінення та зміни її призначення</w:t>
      </w:r>
      <w:r w:rsidR="0019124F" w:rsidRPr="001C4BC1">
        <w:rPr>
          <w:szCs w:val="28"/>
          <w:lang w:val="uk-UA"/>
        </w:rPr>
        <w:t>;».</w:t>
      </w:r>
    </w:p>
    <w:p w:rsidR="00CB7C40" w:rsidRPr="001C4BC1" w:rsidRDefault="00EE414E" w:rsidP="00EE414E">
      <w:pPr>
        <w:shd w:val="clear" w:color="auto" w:fill="FFFFFF"/>
        <w:tabs>
          <w:tab w:val="left" w:pos="851"/>
        </w:tabs>
        <w:jc w:val="both"/>
        <w:rPr>
          <w:shd w:val="clear" w:color="auto" w:fill="FFFFFF"/>
          <w:lang w:val="uk-UA"/>
        </w:rPr>
      </w:pPr>
      <w:r w:rsidRPr="001C4BC1">
        <w:rPr>
          <w:shd w:val="clear" w:color="auto" w:fill="FFFFFF"/>
          <w:lang w:val="uk-UA"/>
        </w:rPr>
        <w:tab/>
        <w:t xml:space="preserve">У зв’язку з цим абзаци сьомий – десятий вважати відповідно абзацами восьмим – одинадцятим.   </w:t>
      </w:r>
    </w:p>
    <w:p w:rsidR="00CB7C40" w:rsidRPr="00EE414E" w:rsidRDefault="00CB7C40" w:rsidP="00CE2D30">
      <w:pPr>
        <w:shd w:val="clear" w:color="auto" w:fill="FFFFFF"/>
        <w:tabs>
          <w:tab w:val="left" w:pos="851"/>
        </w:tabs>
        <w:ind w:firstLine="567"/>
        <w:jc w:val="both"/>
        <w:rPr>
          <w:sz w:val="24"/>
          <w:szCs w:val="24"/>
          <w:shd w:val="clear" w:color="auto" w:fill="FFFFFF"/>
          <w:lang w:val="uk-UA"/>
        </w:rPr>
      </w:pPr>
    </w:p>
    <w:p w:rsidR="00CB7C40" w:rsidRDefault="00CE2D30" w:rsidP="00CB7C40">
      <w:pPr>
        <w:shd w:val="clear" w:color="auto" w:fill="FFFFFF"/>
        <w:tabs>
          <w:tab w:val="left" w:pos="851"/>
        </w:tabs>
        <w:ind w:firstLine="567"/>
        <w:jc w:val="both"/>
        <w:rPr>
          <w:szCs w:val="28"/>
          <w:lang w:val="uk-UA"/>
        </w:rPr>
      </w:pPr>
      <w:r w:rsidRPr="00EE414E">
        <w:rPr>
          <w:szCs w:val="28"/>
          <w:lang w:val="uk-UA"/>
        </w:rPr>
        <w:t xml:space="preserve">2. </w:t>
      </w:r>
      <w:r w:rsidR="007574BB" w:rsidRPr="007574BB">
        <w:rPr>
          <w:szCs w:val="28"/>
          <w:lang w:val="uk-UA"/>
        </w:rPr>
        <w:t>Ця постанова набирає чинності з дня, наступного за днем її офіційного оприлюднення</w:t>
      </w:r>
      <w:r w:rsidR="003064C5">
        <w:rPr>
          <w:szCs w:val="28"/>
          <w:lang w:val="uk-UA"/>
        </w:rPr>
        <w:t>,</w:t>
      </w:r>
      <w:r w:rsidR="007574BB" w:rsidRPr="007574BB">
        <w:rPr>
          <w:szCs w:val="28"/>
          <w:lang w:val="uk-UA"/>
        </w:rPr>
        <w:t xml:space="preserve"> та діє у період дії в Україні воєнного стану та протягом </w:t>
      </w:r>
      <w:r w:rsidR="002C4370">
        <w:rPr>
          <w:szCs w:val="28"/>
          <w:lang w:val="uk-UA"/>
        </w:rPr>
        <w:t>шести місяців</w:t>
      </w:r>
      <w:r w:rsidR="007574BB" w:rsidRPr="007574BB">
        <w:rPr>
          <w:szCs w:val="28"/>
          <w:lang w:val="uk-UA"/>
        </w:rPr>
        <w:t xml:space="preserve"> після його закінчення або скасування.</w:t>
      </w:r>
    </w:p>
    <w:p w:rsidR="00EE414E" w:rsidRDefault="00EE414E" w:rsidP="00CB7C40">
      <w:pPr>
        <w:shd w:val="clear" w:color="auto" w:fill="FFFFFF"/>
        <w:tabs>
          <w:tab w:val="left" w:pos="851"/>
        </w:tabs>
        <w:ind w:firstLine="567"/>
        <w:jc w:val="both"/>
        <w:rPr>
          <w:szCs w:val="28"/>
          <w:lang w:val="uk-UA"/>
        </w:rPr>
      </w:pPr>
    </w:p>
    <w:p w:rsidR="007574BB" w:rsidRPr="00EE414E" w:rsidRDefault="007574BB" w:rsidP="00CB7C40">
      <w:pPr>
        <w:shd w:val="clear" w:color="auto" w:fill="FFFFFF"/>
        <w:tabs>
          <w:tab w:val="left" w:pos="851"/>
        </w:tabs>
        <w:ind w:firstLine="567"/>
        <w:jc w:val="both"/>
        <w:rPr>
          <w:szCs w:val="28"/>
          <w:lang w:val="uk-UA"/>
        </w:rPr>
      </w:pPr>
    </w:p>
    <w:p w:rsidR="00DA7636" w:rsidRPr="00DC499F" w:rsidRDefault="00DA7636" w:rsidP="00E57642">
      <w:pPr>
        <w:shd w:val="clear" w:color="auto" w:fill="FFFFFF"/>
        <w:tabs>
          <w:tab w:val="left" w:pos="851"/>
        </w:tabs>
        <w:jc w:val="both"/>
        <w:rPr>
          <w:lang w:val="uk-UA"/>
        </w:rPr>
      </w:pPr>
      <w:r w:rsidRPr="00FB775A">
        <w:rPr>
          <w:szCs w:val="28"/>
          <w:lang w:val="uk-UA"/>
        </w:rPr>
        <w:t>Голов</w:t>
      </w:r>
      <w:r>
        <w:rPr>
          <w:szCs w:val="28"/>
          <w:lang w:val="uk-UA"/>
        </w:rPr>
        <w:t xml:space="preserve">а </w:t>
      </w:r>
      <w:r w:rsidRPr="00FB775A">
        <w:rPr>
          <w:szCs w:val="28"/>
          <w:lang w:val="uk-UA"/>
        </w:rPr>
        <w:t xml:space="preserve"> НКРЕКП</w:t>
      </w:r>
      <w:r w:rsidRPr="00DC499F">
        <w:rPr>
          <w:szCs w:val="28"/>
          <w:lang w:val="uk-UA"/>
        </w:rPr>
        <w:t xml:space="preserve">                                                               </w:t>
      </w:r>
      <w:r>
        <w:rPr>
          <w:szCs w:val="28"/>
          <w:lang w:val="uk-UA"/>
        </w:rPr>
        <w:t xml:space="preserve">        </w:t>
      </w:r>
      <w:r w:rsidRPr="00637234">
        <w:rPr>
          <w:szCs w:val="28"/>
          <w:lang w:val="uk-UA"/>
        </w:rPr>
        <w:t>К.</w:t>
      </w:r>
      <w:r>
        <w:rPr>
          <w:szCs w:val="28"/>
          <w:lang w:val="uk-UA"/>
        </w:rPr>
        <w:t xml:space="preserve"> </w:t>
      </w:r>
      <w:r w:rsidRPr="00637234">
        <w:rPr>
          <w:szCs w:val="28"/>
          <w:lang w:val="uk-UA"/>
        </w:rPr>
        <w:t>Ущаповський</w:t>
      </w:r>
    </w:p>
    <w:bookmarkEnd w:id="2"/>
    <w:p w:rsidR="00410304" w:rsidRPr="007867D7" w:rsidRDefault="00410304" w:rsidP="007867D7">
      <w:pPr>
        <w:pStyle w:val="a7"/>
        <w:jc w:val="both"/>
        <w:rPr>
          <w:lang w:val="uk-UA"/>
        </w:rPr>
      </w:pPr>
    </w:p>
    <w:sectPr w:rsidR="00410304" w:rsidRPr="007867D7" w:rsidSect="00CB7C40">
      <w:headerReference w:type="default" r:id="rId12"/>
      <w:footerReference w:type="default" r:id="rId13"/>
      <w:headerReference w:type="first" r:id="rId14"/>
      <w:pgSz w:w="11907" w:h="16840" w:code="9"/>
      <w:pgMar w:top="1134" w:right="851" w:bottom="1985" w:left="1701" w:header="708" w:footer="708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9B7" w:rsidRDefault="00E029B7">
      <w:r>
        <w:separator/>
      </w:r>
    </w:p>
  </w:endnote>
  <w:endnote w:type="continuationSeparator" w:id="0">
    <w:p w:rsidR="00E029B7" w:rsidRDefault="00E02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503"/>
      <w:gridCol w:w="4677"/>
    </w:tblGrid>
    <w:tr w:rsidR="00410304">
      <w:tc>
        <w:tcPr>
          <w:tcW w:w="4503" w:type="dxa"/>
        </w:tcPr>
        <w:p w:rsidR="00410304" w:rsidRDefault="00410304">
          <w:pPr>
            <w:pStyle w:val="a3"/>
            <w:rPr>
              <w:sz w:val="24"/>
            </w:rPr>
          </w:pPr>
        </w:p>
      </w:tc>
      <w:tc>
        <w:tcPr>
          <w:tcW w:w="4677" w:type="dxa"/>
        </w:tcPr>
        <w:p w:rsidR="00410304" w:rsidRDefault="00410304">
          <w:pPr>
            <w:pStyle w:val="a3"/>
            <w:spacing w:before="120"/>
            <w:jc w:val="right"/>
            <w:rPr>
              <w:sz w:val="12"/>
            </w:rPr>
          </w:pPr>
        </w:p>
      </w:tc>
    </w:tr>
  </w:tbl>
  <w:p w:rsidR="00410304" w:rsidRDefault="004103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9B7" w:rsidRDefault="00E029B7">
      <w:r>
        <w:separator/>
      </w:r>
    </w:p>
  </w:footnote>
  <w:footnote w:type="continuationSeparator" w:id="0">
    <w:p w:rsidR="00E029B7" w:rsidRDefault="00E02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02701"/>
      <w:docPartObj>
        <w:docPartGallery w:val="Page Numbers (Top of Page)"/>
        <w:docPartUnique/>
      </w:docPartObj>
    </w:sdtPr>
    <w:sdtEndPr/>
    <w:sdtContent>
      <w:p w:rsidR="00DA7636" w:rsidRDefault="00DA76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DA7636" w:rsidRDefault="00DA76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C3E" w:rsidRPr="006E7C3E" w:rsidRDefault="006E7C3E" w:rsidP="006E7C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76F54"/>
    <w:multiLevelType w:val="hybridMultilevel"/>
    <w:tmpl w:val="EE6C640C"/>
    <w:lvl w:ilvl="0" w:tplc="A796BD12">
      <w:start w:val="1"/>
      <w:numFmt w:val="decimal"/>
      <w:lvlText w:val="%1)"/>
      <w:lvlJc w:val="left"/>
      <w:pPr>
        <w:ind w:left="123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6D5D6911"/>
    <w:multiLevelType w:val="hybridMultilevel"/>
    <w:tmpl w:val="8D86B77A"/>
    <w:lvl w:ilvl="0" w:tplc="4BE867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F9"/>
    <w:rsid w:val="000111CD"/>
    <w:rsid w:val="0001382E"/>
    <w:rsid w:val="00015FF9"/>
    <w:rsid w:val="000340ED"/>
    <w:rsid w:val="00040245"/>
    <w:rsid w:val="000651C9"/>
    <w:rsid w:val="00067FAC"/>
    <w:rsid w:val="0007029B"/>
    <w:rsid w:val="000B0116"/>
    <w:rsid w:val="000D7A5E"/>
    <w:rsid w:val="000E6A9C"/>
    <w:rsid w:val="0019124F"/>
    <w:rsid w:val="00197806"/>
    <w:rsid w:val="001B1296"/>
    <w:rsid w:val="001C2721"/>
    <w:rsid w:val="001C4BC1"/>
    <w:rsid w:val="00225E87"/>
    <w:rsid w:val="00233BA2"/>
    <w:rsid w:val="00240EDA"/>
    <w:rsid w:val="0028465C"/>
    <w:rsid w:val="002A753F"/>
    <w:rsid w:val="002C4370"/>
    <w:rsid w:val="002D5D31"/>
    <w:rsid w:val="0030208D"/>
    <w:rsid w:val="003064C5"/>
    <w:rsid w:val="00362AF9"/>
    <w:rsid w:val="00374542"/>
    <w:rsid w:val="00385B44"/>
    <w:rsid w:val="003A5427"/>
    <w:rsid w:val="003A7C44"/>
    <w:rsid w:val="003C09EC"/>
    <w:rsid w:val="003D7817"/>
    <w:rsid w:val="003F5614"/>
    <w:rsid w:val="00410304"/>
    <w:rsid w:val="00422A93"/>
    <w:rsid w:val="00425C09"/>
    <w:rsid w:val="004314BC"/>
    <w:rsid w:val="00494BC5"/>
    <w:rsid w:val="004D64BA"/>
    <w:rsid w:val="004F4F18"/>
    <w:rsid w:val="005414DA"/>
    <w:rsid w:val="00580CF5"/>
    <w:rsid w:val="005A66F2"/>
    <w:rsid w:val="005B0DEE"/>
    <w:rsid w:val="005D7906"/>
    <w:rsid w:val="005E4286"/>
    <w:rsid w:val="005F4374"/>
    <w:rsid w:val="00617E39"/>
    <w:rsid w:val="006903CA"/>
    <w:rsid w:val="006909E8"/>
    <w:rsid w:val="006A47AF"/>
    <w:rsid w:val="006C2A19"/>
    <w:rsid w:val="006E31AC"/>
    <w:rsid w:val="006E7C3E"/>
    <w:rsid w:val="00721573"/>
    <w:rsid w:val="00722643"/>
    <w:rsid w:val="007574BB"/>
    <w:rsid w:val="007741AD"/>
    <w:rsid w:val="007867D7"/>
    <w:rsid w:val="00787AC8"/>
    <w:rsid w:val="007B158F"/>
    <w:rsid w:val="007C4E27"/>
    <w:rsid w:val="007E0C48"/>
    <w:rsid w:val="0080321F"/>
    <w:rsid w:val="0082422E"/>
    <w:rsid w:val="00845F97"/>
    <w:rsid w:val="00863779"/>
    <w:rsid w:val="00866015"/>
    <w:rsid w:val="00871CFA"/>
    <w:rsid w:val="008914DE"/>
    <w:rsid w:val="008C08CF"/>
    <w:rsid w:val="008C6906"/>
    <w:rsid w:val="00905F3B"/>
    <w:rsid w:val="00927C0E"/>
    <w:rsid w:val="00950E77"/>
    <w:rsid w:val="00951336"/>
    <w:rsid w:val="009E05D5"/>
    <w:rsid w:val="00A04258"/>
    <w:rsid w:val="00A5713E"/>
    <w:rsid w:val="00A86B86"/>
    <w:rsid w:val="00AB3EBD"/>
    <w:rsid w:val="00AD0CF2"/>
    <w:rsid w:val="00AE52E5"/>
    <w:rsid w:val="00B05871"/>
    <w:rsid w:val="00B87B4C"/>
    <w:rsid w:val="00BA3A40"/>
    <w:rsid w:val="00BA5C9D"/>
    <w:rsid w:val="00BF1572"/>
    <w:rsid w:val="00C13DE8"/>
    <w:rsid w:val="00C32DB8"/>
    <w:rsid w:val="00C52F93"/>
    <w:rsid w:val="00CB7C40"/>
    <w:rsid w:val="00CE243D"/>
    <w:rsid w:val="00CE2D30"/>
    <w:rsid w:val="00D24057"/>
    <w:rsid w:val="00D36E0B"/>
    <w:rsid w:val="00D62A8F"/>
    <w:rsid w:val="00D66422"/>
    <w:rsid w:val="00DA7636"/>
    <w:rsid w:val="00DF0471"/>
    <w:rsid w:val="00E029B7"/>
    <w:rsid w:val="00E2424B"/>
    <w:rsid w:val="00E461A7"/>
    <w:rsid w:val="00E57642"/>
    <w:rsid w:val="00E73729"/>
    <w:rsid w:val="00E77D8D"/>
    <w:rsid w:val="00EA0ACE"/>
    <w:rsid w:val="00ED2023"/>
    <w:rsid w:val="00ED72E0"/>
    <w:rsid w:val="00EE414E"/>
    <w:rsid w:val="00F068F2"/>
    <w:rsid w:val="00F30196"/>
    <w:rsid w:val="00F44577"/>
    <w:rsid w:val="00F549F1"/>
    <w:rsid w:val="00FA4C87"/>
    <w:rsid w:val="00FC0EA6"/>
    <w:rsid w:val="00FC77A9"/>
    <w:rsid w:val="00FD752A"/>
    <w:rsid w:val="00FE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13C7B2"/>
  <w15:docId w15:val="{F7450C27-58FD-4B70-8664-39388BF4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A7636"/>
    <w:pPr>
      <w:keepNext/>
      <w:outlineLvl w:val="1"/>
    </w:pPr>
    <w:rPr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11D29"/>
    <w:rPr>
      <w:sz w:val="28"/>
      <w:lang w:val="ru-RU" w:eastAsia="ru-RU"/>
    </w:rPr>
  </w:style>
  <w:style w:type="character" w:customStyle="1" w:styleId="20">
    <w:name w:val="Заголовок 2 Знак"/>
    <w:basedOn w:val="a0"/>
    <w:link w:val="2"/>
    <w:rsid w:val="00DA7636"/>
    <w:rPr>
      <w:sz w:val="28"/>
      <w:szCs w:val="28"/>
      <w:lang w:eastAsia="ru-RU"/>
    </w:rPr>
  </w:style>
  <w:style w:type="paragraph" w:customStyle="1" w:styleId="a7">
    <w:name w:val="Знак Знак"/>
    <w:basedOn w:val="a"/>
    <w:rsid w:val="00DA7636"/>
    <w:rPr>
      <w:rFonts w:ascii="Verdana" w:hAnsi="Verdana" w:cs="Verdana"/>
      <w:sz w:val="20"/>
      <w:lang w:val="en-US" w:eastAsia="en-US"/>
    </w:rPr>
  </w:style>
  <w:style w:type="paragraph" w:styleId="a8">
    <w:name w:val="Balloon Text"/>
    <w:basedOn w:val="a"/>
    <w:link w:val="a9"/>
    <w:rsid w:val="008C08C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rsid w:val="008C08CF"/>
    <w:rPr>
      <w:rFonts w:ascii="Segoe UI" w:hAnsi="Segoe UI" w:cs="Segoe UI"/>
      <w:sz w:val="18"/>
      <w:szCs w:val="18"/>
      <w:lang w:val="ru-RU" w:eastAsia="ru-RU"/>
    </w:rPr>
  </w:style>
  <w:style w:type="character" w:styleId="aa">
    <w:name w:val="Hyperlink"/>
    <w:uiPriority w:val="99"/>
    <w:unhideWhenUsed/>
    <w:rsid w:val="00FE6E8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22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rada/show/v0548874-2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rada/show/2019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rada/show/1540-19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5908A-A6ED-49C6-963A-1218EE01E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1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NERC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Анастасія Саківська</cp:lastModifiedBy>
  <cp:revision>3</cp:revision>
  <cp:lastPrinted>2023-02-22T09:46:00Z</cp:lastPrinted>
  <dcterms:created xsi:type="dcterms:W3CDTF">2023-03-01T15:00:00Z</dcterms:created>
  <dcterms:modified xsi:type="dcterms:W3CDTF">2023-03-01T15:00:00Z</dcterms:modified>
</cp:coreProperties>
</file>