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9D21C9" w14:textId="08260AFE" w:rsidR="00DD1D94" w:rsidRDefault="00DD1D94" w:rsidP="00DD1D94">
      <w:pPr>
        <w:spacing w:before="120" w:after="120" w:line="240" w:lineRule="auto"/>
        <w:jc w:val="center"/>
        <w:rPr>
          <w:rFonts w:ascii="Times New Roman" w:hAnsi="Times New Roman"/>
          <w:b/>
          <w:bCs/>
          <w:sz w:val="28"/>
          <w:szCs w:val="28"/>
        </w:rPr>
      </w:pPr>
      <w:r w:rsidRPr="00C66083">
        <w:rPr>
          <w:rFonts w:ascii="Times New Roman" w:hAnsi="Times New Roman"/>
          <w:b/>
          <w:bCs/>
          <w:sz w:val="28"/>
          <w:szCs w:val="28"/>
        </w:rPr>
        <w:t>Порівняльна таблиця до проєкту постанови НКРЕКП «Про затвердження Змін до Кодексу системи передачі», що має ознаки регуляторного акта</w:t>
      </w:r>
    </w:p>
    <w:tbl>
      <w:tblPr>
        <w:tblStyle w:val="a3"/>
        <w:tblW w:w="15026" w:type="dxa"/>
        <w:tblInd w:w="137" w:type="dxa"/>
        <w:tblLayout w:type="fixed"/>
        <w:tblLook w:val="04A0" w:firstRow="1" w:lastRow="0" w:firstColumn="1" w:lastColumn="0" w:noHBand="0" w:noVBand="1"/>
      </w:tblPr>
      <w:tblGrid>
        <w:gridCol w:w="558"/>
        <w:gridCol w:w="1142"/>
        <w:gridCol w:w="6522"/>
        <w:gridCol w:w="6804"/>
      </w:tblGrid>
      <w:tr w:rsidR="008E00C8" w:rsidRPr="00DA0AF9" w14:paraId="6AA3C011" w14:textId="3414C59E" w:rsidTr="00E573F0">
        <w:trPr>
          <w:trHeight w:val="803"/>
        </w:trPr>
        <w:tc>
          <w:tcPr>
            <w:tcW w:w="558" w:type="dxa"/>
            <w:tcBorders>
              <w:top w:val="single" w:sz="4" w:space="0" w:color="auto"/>
              <w:left w:val="single" w:sz="4" w:space="0" w:color="auto"/>
              <w:right w:val="single" w:sz="4" w:space="0" w:color="auto"/>
            </w:tcBorders>
            <w:shd w:val="clear" w:color="auto" w:fill="auto"/>
          </w:tcPr>
          <w:p w14:paraId="180837DB" w14:textId="63AD34C1" w:rsidR="008E00C8" w:rsidRPr="00DA0AF9" w:rsidRDefault="008E00C8" w:rsidP="00DA0AF9">
            <w:pPr>
              <w:spacing w:line="240" w:lineRule="auto"/>
              <w:jc w:val="center"/>
              <w:rPr>
                <w:rFonts w:ascii="Times New Roman" w:hAnsi="Times New Roman" w:cs="Times New Roman"/>
                <w:b/>
                <w:sz w:val="24"/>
                <w:szCs w:val="24"/>
              </w:rPr>
            </w:pPr>
            <w:r w:rsidRPr="00DA0AF9">
              <w:rPr>
                <w:rStyle w:val="st42"/>
                <w:rFonts w:ascii="Times New Roman" w:hAnsi="Times New Roman" w:cs="Times New Roman"/>
                <w:b/>
                <w:i/>
                <w:sz w:val="24"/>
                <w:szCs w:val="24"/>
              </w:rPr>
              <w:t>№ з/п</w:t>
            </w:r>
          </w:p>
        </w:tc>
        <w:tc>
          <w:tcPr>
            <w:tcW w:w="1142" w:type="dxa"/>
            <w:tcBorders>
              <w:top w:val="single" w:sz="4" w:space="0" w:color="auto"/>
              <w:left w:val="single" w:sz="4" w:space="0" w:color="auto"/>
              <w:right w:val="single" w:sz="4" w:space="0" w:color="auto"/>
            </w:tcBorders>
            <w:shd w:val="clear" w:color="auto" w:fill="auto"/>
          </w:tcPr>
          <w:p w14:paraId="1D7BEA9B" w14:textId="77777777" w:rsidR="008E00C8" w:rsidRPr="00DA0AF9" w:rsidRDefault="008E00C8" w:rsidP="00DA0AF9">
            <w:pPr>
              <w:spacing w:line="240" w:lineRule="auto"/>
              <w:jc w:val="center"/>
              <w:rPr>
                <w:rFonts w:ascii="Times New Roman" w:hAnsi="Times New Roman" w:cs="Times New Roman"/>
                <w:b/>
                <w:i/>
                <w:sz w:val="24"/>
                <w:szCs w:val="24"/>
              </w:rPr>
            </w:pPr>
            <w:r w:rsidRPr="00DA0AF9">
              <w:rPr>
                <w:rFonts w:ascii="Times New Roman" w:hAnsi="Times New Roman" w:cs="Times New Roman"/>
                <w:b/>
                <w:i/>
                <w:sz w:val="24"/>
                <w:szCs w:val="24"/>
              </w:rPr>
              <w:t>ПУНКТ,</w:t>
            </w:r>
          </w:p>
          <w:p w14:paraId="35E3F52E" w14:textId="77777777" w:rsidR="008E00C8" w:rsidRPr="00DA0AF9" w:rsidRDefault="008E00C8" w:rsidP="00DA0AF9">
            <w:pPr>
              <w:spacing w:line="240" w:lineRule="auto"/>
              <w:jc w:val="center"/>
              <w:rPr>
                <w:rFonts w:ascii="Times New Roman" w:hAnsi="Times New Roman" w:cs="Times New Roman"/>
                <w:b/>
                <w:i/>
                <w:sz w:val="24"/>
                <w:szCs w:val="24"/>
              </w:rPr>
            </w:pPr>
            <w:r w:rsidRPr="00DA0AF9">
              <w:rPr>
                <w:rFonts w:ascii="Times New Roman" w:hAnsi="Times New Roman" w:cs="Times New Roman"/>
                <w:b/>
                <w:i/>
                <w:sz w:val="24"/>
                <w:szCs w:val="24"/>
              </w:rPr>
              <w:t>ГЛАВА,</w:t>
            </w:r>
          </w:p>
          <w:p w14:paraId="13DCAC1E" w14:textId="0541BA62" w:rsidR="008E00C8" w:rsidRPr="00DA0AF9" w:rsidRDefault="008E00C8" w:rsidP="00DA0AF9">
            <w:pPr>
              <w:spacing w:line="240" w:lineRule="auto"/>
              <w:jc w:val="center"/>
              <w:rPr>
                <w:rFonts w:ascii="Times New Roman" w:hAnsi="Times New Roman" w:cs="Times New Roman"/>
                <w:b/>
                <w:sz w:val="24"/>
                <w:szCs w:val="24"/>
              </w:rPr>
            </w:pPr>
            <w:r w:rsidRPr="00DA0AF9">
              <w:rPr>
                <w:rFonts w:ascii="Times New Roman" w:hAnsi="Times New Roman" w:cs="Times New Roman"/>
                <w:b/>
                <w:i/>
                <w:sz w:val="24"/>
                <w:szCs w:val="24"/>
              </w:rPr>
              <w:t>РОЗДІЛ</w:t>
            </w:r>
          </w:p>
        </w:tc>
        <w:tc>
          <w:tcPr>
            <w:tcW w:w="6522" w:type="dxa"/>
            <w:tcBorders>
              <w:top w:val="single" w:sz="4" w:space="0" w:color="auto"/>
              <w:left w:val="single" w:sz="4" w:space="0" w:color="auto"/>
              <w:right w:val="single" w:sz="4" w:space="0" w:color="auto"/>
            </w:tcBorders>
            <w:shd w:val="clear" w:color="auto" w:fill="auto"/>
          </w:tcPr>
          <w:p w14:paraId="58D6BE93" w14:textId="7317811F" w:rsidR="008E00C8" w:rsidRPr="00DA0AF9" w:rsidRDefault="008E00C8" w:rsidP="00DA0AF9">
            <w:pPr>
              <w:spacing w:line="240" w:lineRule="auto"/>
              <w:jc w:val="center"/>
              <w:rPr>
                <w:rFonts w:ascii="Times New Roman" w:hAnsi="Times New Roman" w:cs="Times New Roman"/>
                <w:b/>
                <w:sz w:val="24"/>
                <w:szCs w:val="24"/>
              </w:rPr>
            </w:pPr>
            <w:r w:rsidRPr="00DA0AF9">
              <w:rPr>
                <w:rFonts w:ascii="Times New Roman" w:hAnsi="Times New Roman" w:cs="Times New Roman"/>
                <w:b/>
                <w:i/>
                <w:sz w:val="24"/>
                <w:szCs w:val="24"/>
              </w:rPr>
              <w:t>ПОЛОЖЕННЯ ЧИННОЇ РЕДАКЦІЇ</w:t>
            </w:r>
          </w:p>
        </w:tc>
        <w:tc>
          <w:tcPr>
            <w:tcW w:w="6804" w:type="dxa"/>
            <w:tcBorders>
              <w:top w:val="single" w:sz="4" w:space="0" w:color="auto"/>
              <w:left w:val="single" w:sz="4" w:space="0" w:color="auto"/>
              <w:right w:val="single" w:sz="4" w:space="0" w:color="auto"/>
            </w:tcBorders>
            <w:shd w:val="clear" w:color="auto" w:fill="auto"/>
          </w:tcPr>
          <w:p w14:paraId="33B5286B" w14:textId="46B3421F" w:rsidR="008E00C8" w:rsidRPr="00DA0AF9" w:rsidRDefault="008E00C8" w:rsidP="00DA0AF9">
            <w:pPr>
              <w:spacing w:line="240" w:lineRule="auto"/>
              <w:jc w:val="center"/>
              <w:rPr>
                <w:rFonts w:ascii="Times New Roman" w:hAnsi="Times New Roman" w:cs="Times New Roman"/>
                <w:b/>
                <w:sz w:val="24"/>
                <w:szCs w:val="24"/>
              </w:rPr>
            </w:pPr>
            <w:r w:rsidRPr="00DA0AF9">
              <w:rPr>
                <w:rFonts w:ascii="Times New Roman" w:hAnsi="Times New Roman" w:cs="Times New Roman"/>
                <w:b/>
                <w:i/>
                <w:sz w:val="24"/>
                <w:szCs w:val="24"/>
              </w:rPr>
              <w:t>ЗМІСТ ПОЛОЖЕННЬ ПРОЄКТУ ПОСТАНОВИ</w:t>
            </w:r>
          </w:p>
        </w:tc>
      </w:tr>
      <w:tr w:rsidR="00660FDD" w:rsidRPr="00DA0AF9" w14:paraId="114AD57C" w14:textId="77777777" w:rsidTr="00E573F0">
        <w:trPr>
          <w:trHeight w:val="248"/>
        </w:trPr>
        <w:tc>
          <w:tcPr>
            <w:tcW w:w="15026" w:type="dxa"/>
            <w:gridSpan w:val="4"/>
            <w:tcBorders>
              <w:left w:val="single" w:sz="4" w:space="0" w:color="auto"/>
              <w:bottom w:val="single" w:sz="4" w:space="0" w:color="auto"/>
              <w:right w:val="single" w:sz="4" w:space="0" w:color="auto"/>
            </w:tcBorders>
            <w:shd w:val="clear" w:color="auto" w:fill="E7E6E6" w:themeFill="background2"/>
          </w:tcPr>
          <w:p w14:paraId="6D5C8442" w14:textId="351C1FAC" w:rsidR="00660FDD" w:rsidRPr="00DA0AF9" w:rsidRDefault="00660FDD" w:rsidP="00DA0AF9">
            <w:pPr>
              <w:spacing w:line="240" w:lineRule="auto"/>
              <w:jc w:val="center"/>
              <w:rPr>
                <w:rFonts w:ascii="Times New Roman" w:hAnsi="Times New Roman" w:cs="Times New Roman"/>
                <w:b/>
                <w:sz w:val="24"/>
                <w:szCs w:val="24"/>
              </w:rPr>
            </w:pPr>
            <w:r w:rsidRPr="00DA0AF9">
              <w:rPr>
                <w:rFonts w:ascii="Times New Roman" w:hAnsi="Times New Roman" w:cs="Times New Roman"/>
                <w:b/>
                <w:bCs/>
                <w:sz w:val="24"/>
                <w:szCs w:val="24"/>
              </w:rPr>
              <w:t>ІІІ. Умови та порядок приєднання до системи передачі, технічні вимоги до електроустановок об'єктів електроенергетики</w:t>
            </w:r>
          </w:p>
        </w:tc>
      </w:tr>
      <w:tr w:rsidR="00660FDD" w:rsidRPr="00DA0AF9" w14:paraId="42BED17D" w14:textId="77777777" w:rsidTr="00E573F0">
        <w:trPr>
          <w:trHeight w:val="251"/>
        </w:trPr>
        <w:tc>
          <w:tcPr>
            <w:tcW w:w="15026" w:type="dxa"/>
            <w:gridSpan w:val="4"/>
            <w:tcBorders>
              <w:left w:val="single" w:sz="4" w:space="0" w:color="auto"/>
              <w:bottom w:val="single" w:sz="4" w:space="0" w:color="auto"/>
              <w:right w:val="single" w:sz="4" w:space="0" w:color="auto"/>
            </w:tcBorders>
            <w:shd w:val="clear" w:color="auto" w:fill="E7E6E6" w:themeFill="background2"/>
          </w:tcPr>
          <w:p w14:paraId="0468C79F" w14:textId="57F0BE03" w:rsidR="00660FDD" w:rsidRPr="00DA0AF9" w:rsidRDefault="00660FDD" w:rsidP="00DA0AF9">
            <w:pPr>
              <w:spacing w:line="240" w:lineRule="auto"/>
              <w:jc w:val="center"/>
              <w:rPr>
                <w:rFonts w:ascii="Times New Roman" w:hAnsi="Times New Roman" w:cs="Times New Roman"/>
                <w:b/>
                <w:sz w:val="24"/>
                <w:szCs w:val="24"/>
              </w:rPr>
            </w:pPr>
            <w:r w:rsidRPr="00DA0AF9">
              <w:rPr>
                <w:rFonts w:ascii="Times New Roman" w:hAnsi="Times New Roman" w:cs="Times New Roman"/>
                <w:b/>
                <w:bCs/>
                <w:sz w:val="24"/>
                <w:szCs w:val="24"/>
              </w:rPr>
              <w:t>2. Технічні вимоги до генеруючих об’єктів, які приєднуються до системи передачі або впливають на режими роботи системи передачі</w:t>
            </w:r>
          </w:p>
        </w:tc>
      </w:tr>
      <w:tr w:rsidR="008E00C8" w:rsidRPr="00DA0AF9" w14:paraId="349F4376" w14:textId="143A0215" w:rsidTr="00DA0AF9">
        <w:trPr>
          <w:trHeight w:val="124"/>
        </w:trPr>
        <w:tc>
          <w:tcPr>
            <w:tcW w:w="558" w:type="dxa"/>
            <w:tcBorders>
              <w:left w:val="single" w:sz="4" w:space="0" w:color="auto"/>
              <w:bottom w:val="single" w:sz="4" w:space="0" w:color="auto"/>
              <w:right w:val="single" w:sz="4" w:space="0" w:color="auto"/>
            </w:tcBorders>
            <w:shd w:val="clear" w:color="auto" w:fill="auto"/>
          </w:tcPr>
          <w:p w14:paraId="29A4359D" w14:textId="067A4AC2" w:rsidR="008E00C8" w:rsidRPr="00DA0AF9" w:rsidRDefault="008E00C8" w:rsidP="00DA0AF9">
            <w:pPr>
              <w:pStyle w:val="a9"/>
              <w:numPr>
                <w:ilvl w:val="0"/>
                <w:numId w:val="1"/>
              </w:numPr>
              <w:spacing w:line="240" w:lineRule="auto"/>
              <w:ind w:left="0" w:firstLine="0"/>
              <w:contextualSpacing w:val="0"/>
              <w:jc w:val="both"/>
              <w:rPr>
                <w:rFonts w:ascii="Times New Roman" w:hAnsi="Times New Roman" w:cs="Times New Roman"/>
                <w:b/>
                <w:sz w:val="24"/>
                <w:szCs w:val="24"/>
              </w:rPr>
            </w:pPr>
          </w:p>
        </w:tc>
        <w:tc>
          <w:tcPr>
            <w:tcW w:w="1142" w:type="dxa"/>
            <w:tcBorders>
              <w:left w:val="single" w:sz="4" w:space="0" w:color="auto"/>
              <w:bottom w:val="single" w:sz="4" w:space="0" w:color="auto"/>
              <w:right w:val="single" w:sz="4" w:space="0" w:color="auto"/>
            </w:tcBorders>
            <w:shd w:val="clear" w:color="auto" w:fill="auto"/>
          </w:tcPr>
          <w:p w14:paraId="5A573ACD" w14:textId="5F77B34C" w:rsidR="008E00C8" w:rsidRPr="00DA0AF9" w:rsidRDefault="008E00C8" w:rsidP="00DA0AF9">
            <w:pPr>
              <w:pStyle w:val="xmsonormal"/>
              <w:jc w:val="both"/>
            </w:pPr>
            <w:proofErr w:type="spellStart"/>
            <w:r w:rsidRPr="00DA0AF9">
              <w:t>пп</w:t>
            </w:r>
            <w:proofErr w:type="spellEnd"/>
            <w:r w:rsidRPr="00DA0AF9">
              <w:t>. 3</w:t>
            </w:r>
          </w:p>
          <w:p w14:paraId="398225D0" w14:textId="703E2AF7" w:rsidR="008E00C8" w:rsidRPr="00DA0AF9" w:rsidRDefault="008E00C8" w:rsidP="00DA0AF9">
            <w:pPr>
              <w:pStyle w:val="xmsonormal"/>
              <w:jc w:val="both"/>
            </w:pPr>
            <w:r w:rsidRPr="00DA0AF9">
              <w:t>п. 2.5</w:t>
            </w:r>
          </w:p>
          <w:p w14:paraId="4552220D" w14:textId="653B48E6" w:rsidR="008E00C8" w:rsidRPr="00DA0AF9" w:rsidRDefault="008E00C8" w:rsidP="00DA0AF9">
            <w:pPr>
              <w:pStyle w:val="xmsonormal"/>
              <w:jc w:val="both"/>
            </w:pPr>
            <w:r w:rsidRPr="00DA0AF9">
              <w:t>глава 2</w:t>
            </w:r>
          </w:p>
          <w:p w14:paraId="1BA99164" w14:textId="5B0AD48D" w:rsidR="008E00C8" w:rsidRPr="00DA0AF9" w:rsidRDefault="008E00C8" w:rsidP="00DA0AF9">
            <w:pPr>
              <w:pStyle w:val="xmsonormal"/>
              <w:jc w:val="both"/>
            </w:pPr>
            <w:r w:rsidRPr="00DA0AF9">
              <w:t xml:space="preserve">розділ ІІІ </w:t>
            </w:r>
          </w:p>
        </w:tc>
        <w:tc>
          <w:tcPr>
            <w:tcW w:w="6522" w:type="dxa"/>
            <w:tcBorders>
              <w:left w:val="single" w:sz="4" w:space="0" w:color="auto"/>
              <w:bottom w:val="single" w:sz="4" w:space="0" w:color="auto"/>
              <w:right w:val="single" w:sz="4" w:space="0" w:color="auto"/>
            </w:tcBorders>
            <w:shd w:val="clear" w:color="auto" w:fill="auto"/>
          </w:tcPr>
          <w:p w14:paraId="1AC64E19" w14:textId="73FED21E" w:rsidR="008E00C8" w:rsidRPr="00DA0AF9" w:rsidRDefault="008E00C8" w:rsidP="00DA0AF9">
            <w:pPr>
              <w:pStyle w:val="xmsonormal"/>
              <w:jc w:val="both"/>
            </w:pPr>
            <w:r w:rsidRPr="00DA0AF9">
              <w:t>2.5. Технічні вимоги щодо стабільності напруги:</w:t>
            </w:r>
          </w:p>
          <w:p w14:paraId="11CFC043" w14:textId="63951A5A" w:rsidR="008E00C8" w:rsidRPr="00DA0AF9" w:rsidRDefault="008E00C8" w:rsidP="00DA0AF9">
            <w:pPr>
              <w:pStyle w:val="xmsonormal"/>
              <w:jc w:val="both"/>
            </w:pPr>
            <w:r w:rsidRPr="00DA0AF9">
              <w:t>…</w:t>
            </w:r>
          </w:p>
          <w:p w14:paraId="268EA2D6" w14:textId="27987127" w:rsidR="008E00C8" w:rsidRPr="00DA0AF9" w:rsidRDefault="008E00C8" w:rsidP="00DA0AF9">
            <w:pPr>
              <w:pStyle w:val="xmsonormal"/>
              <w:jc w:val="both"/>
            </w:pPr>
            <w:r w:rsidRPr="00DA0AF9">
              <w:t>3) система регулювання напруги</w:t>
            </w:r>
          </w:p>
          <w:p w14:paraId="7C42EF4C" w14:textId="1A14AF1D" w:rsidR="008E00C8" w:rsidRPr="00DA0AF9" w:rsidRDefault="008E00C8" w:rsidP="00DA0AF9">
            <w:pPr>
              <w:pStyle w:val="xmsonormal"/>
              <w:jc w:val="both"/>
            </w:pPr>
            <w:r w:rsidRPr="00DA0AF9">
              <w:t>Генеруючі одиниці повинні бути обладнані постійною системою автоматичного регулювання збудження, яка може забезпечувати постійну напругу на затискачах генератора змінного струму на рівні вибраної уставки без нестабільності в усьому робочому діапазоні синхронної генеруючої одиниці.</w:t>
            </w:r>
          </w:p>
          <w:p w14:paraId="60BBAF39" w14:textId="511F3380" w:rsidR="008E00C8" w:rsidRPr="00DA0AF9" w:rsidRDefault="008E00C8" w:rsidP="00DA0AF9">
            <w:pPr>
              <w:pStyle w:val="xmsonormal"/>
              <w:jc w:val="both"/>
            </w:pPr>
            <w:r w:rsidRPr="00DA0AF9">
              <w:t>Синхронні генеруючі одиниці мають бути обладнані системою автоматичного регулювання збудження (АРЗ). Ця система має включати:</w:t>
            </w:r>
          </w:p>
          <w:p w14:paraId="387E8BC9" w14:textId="77777777" w:rsidR="008E00C8" w:rsidRPr="00DA0AF9" w:rsidRDefault="008E00C8" w:rsidP="00DA0AF9">
            <w:pPr>
              <w:pStyle w:val="xmsonormal"/>
              <w:jc w:val="both"/>
            </w:pPr>
            <w:r w:rsidRPr="00DA0AF9">
              <w:t>функцію обмеження діапазону вихідного сигналу таким чином, щоб найвища частота характеристики не мала змоги збуджувати крутильні коливання на інших приєднаних до мережі генеруючих одиницях;</w:t>
            </w:r>
          </w:p>
          <w:p w14:paraId="7930BC46" w14:textId="77777777" w:rsidR="008E00C8" w:rsidRPr="00DA0AF9" w:rsidRDefault="008E00C8" w:rsidP="00DA0AF9">
            <w:pPr>
              <w:pStyle w:val="xmsonormal"/>
              <w:jc w:val="both"/>
            </w:pPr>
            <w:r w:rsidRPr="00DA0AF9">
              <w:t>обмежувач мінімального збудження для запобігання зменшенню збудження генератора змінного струму до рівня, який загрожує синхронній стійкості;</w:t>
            </w:r>
          </w:p>
          <w:p w14:paraId="54344A38" w14:textId="77777777" w:rsidR="008E00C8" w:rsidRPr="00DA0AF9" w:rsidRDefault="008E00C8" w:rsidP="00DA0AF9">
            <w:pPr>
              <w:pStyle w:val="xmsonormal"/>
              <w:jc w:val="both"/>
            </w:pPr>
            <w:r w:rsidRPr="00DA0AF9">
              <w:t xml:space="preserve">обмежувач максимального збудження для запобігання збудження генератора змінного струму нижче від максимального значення, яке припустиме в межах його проектних параметрів; </w:t>
            </w:r>
          </w:p>
          <w:p w14:paraId="055F2BE2" w14:textId="25A01272" w:rsidR="008E00C8" w:rsidRPr="00DA0AF9" w:rsidRDefault="008E00C8" w:rsidP="00DA0AF9">
            <w:pPr>
              <w:pStyle w:val="xmsonormal"/>
              <w:jc w:val="both"/>
            </w:pPr>
            <w:r w:rsidRPr="00DA0AF9">
              <w:t>обмежувач струму статора;</w:t>
            </w:r>
          </w:p>
          <w:p w14:paraId="33D83A5C" w14:textId="77777777" w:rsidR="008E00C8" w:rsidRPr="00DA0AF9" w:rsidRDefault="008E00C8" w:rsidP="00DA0AF9">
            <w:pPr>
              <w:pStyle w:val="xmsonormal"/>
              <w:jc w:val="both"/>
            </w:pPr>
            <w:r w:rsidRPr="00DA0AF9">
              <w:t>функцію PSS для демпфірування коливань потужності;</w:t>
            </w:r>
          </w:p>
          <w:p w14:paraId="2C2405CE" w14:textId="66C778B9" w:rsidR="008E00C8" w:rsidRPr="00DA0AF9" w:rsidRDefault="008E00C8" w:rsidP="00DA0AF9">
            <w:pPr>
              <w:pStyle w:val="xmsonormal"/>
              <w:jc w:val="both"/>
              <w:rPr>
                <w:b/>
              </w:rPr>
            </w:pPr>
            <w:r w:rsidRPr="00DA0AF9">
              <w:t>…</w:t>
            </w:r>
          </w:p>
        </w:tc>
        <w:tc>
          <w:tcPr>
            <w:tcW w:w="6804" w:type="dxa"/>
            <w:tcBorders>
              <w:left w:val="single" w:sz="4" w:space="0" w:color="auto"/>
              <w:bottom w:val="single" w:sz="4" w:space="0" w:color="auto"/>
              <w:right w:val="single" w:sz="4" w:space="0" w:color="auto"/>
            </w:tcBorders>
            <w:shd w:val="clear" w:color="auto" w:fill="auto"/>
          </w:tcPr>
          <w:p w14:paraId="42B27E88" w14:textId="77777777" w:rsidR="008E00C8" w:rsidRPr="00DA0AF9" w:rsidRDefault="008E00C8" w:rsidP="00DA0AF9">
            <w:pPr>
              <w:pStyle w:val="xmsonormal"/>
              <w:jc w:val="both"/>
            </w:pPr>
            <w:r w:rsidRPr="00DA0AF9">
              <w:t>2.5. Технічні вимоги щодо стабільності напруги:</w:t>
            </w:r>
          </w:p>
          <w:p w14:paraId="54ACECDD" w14:textId="77777777" w:rsidR="008E00C8" w:rsidRPr="00DA0AF9" w:rsidRDefault="008E00C8" w:rsidP="00DA0AF9">
            <w:pPr>
              <w:pStyle w:val="xmsonormal"/>
              <w:jc w:val="both"/>
            </w:pPr>
            <w:r w:rsidRPr="00DA0AF9">
              <w:t>…</w:t>
            </w:r>
          </w:p>
          <w:p w14:paraId="0907C2BD" w14:textId="77777777" w:rsidR="008E00C8" w:rsidRPr="00DA0AF9" w:rsidRDefault="008E00C8" w:rsidP="00DA0AF9">
            <w:pPr>
              <w:pStyle w:val="xmsonormal"/>
              <w:jc w:val="both"/>
            </w:pPr>
            <w:r w:rsidRPr="00DA0AF9">
              <w:t>3) система регулювання напруги</w:t>
            </w:r>
          </w:p>
          <w:p w14:paraId="09C68815" w14:textId="77777777" w:rsidR="008E00C8" w:rsidRPr="00DA0AF9" w:rsidRDefault="008E00C8" w:rsidP="00DA0AF9">
            <w:pPr>
              <w:pStyle w:val="xmsonormal"/>
              <w:jc w:val="both"/>
            </w:pPr>
            <w:r w:rsidRPr="00DA0AF9">
              <w:t>Генеруючі одиниці повинні бути обладнані постійною системою автоматичного регулювання збудження, яка може забезпечувати постійну напругу на затискачах генератора змінного струму на рівні вибраної уставки без нестабільності в усьому робочому діапазоні синхронної генеруючої одиниці.</w:t>
            </w:r>
          </w:p>
          <w:p w14:paraId="205F42AE" w14:textId="77777777" w:rsidR="008E00C8" w:rsidRPr="00DA0AF9" w:rsidRDefault="008E00C8" w:rsidP="00DA0AF9">
            <w:pPr>
              <w:pStyle w:val="xmsonormal"/>
              <w:jc w:val="both"/>
            </w:pPr>
            <w:r w:rsidRPr="00DA0AF9">
              <w:t>Синхронні генеруючі одиниці мають бути обладнані системою автоматичного регулювання збудження (АРЗ). Ця система має включати:</w:t>
            </w:r>
          </w:p>
          <w:p w14:paraId="018DD7C5" w14:textId="77777777" w:rsidR="008E00C8" w:rsidRPr="00DA0AF9" w:rsidRDefault="008E00C8" w:rsidP="00DA0AF9">
            <w:pPr>
              <w:pStyle w:val="xmsonormal"/>
              <w:jc w:val="both"/>
            </w:pPr>
            <w:r w:rsidRPr="00DA0AF9">
              <w:t>функцію обмеження діапазону вихідного сигналу таким чином, щоб найвища частота характеристики не мала змоги збуджувати крутильні коливання на інших приєднаних до мережі генеруючих одиницях;</w:t>
            </w:r>
          </w:p>
          <w:p w14:paraId="399B49C7" w14:textId="77777777" w:rsidR="008E00C8" w:rsidRPr="00DA0AF9" w:rsidRDefault="008E00C8" w:rsidP="00DA0AF9">
            <w:pPr>
              <w:pStyle w:val="xmsonormal"/>
              <w:jc w:val="both"/>
            </w:pPr>
            <w:r w:rsidRPr="00DA0AF9">
              <w:t>обмежувач мінімального збудження для запобігання зменшенню збудження генератора змінного струму до рівня, який загрожує синхронній стійкості;</w:t>
            </w:r>
          </w:p>
          <w:p w14:paraId="156A2D64" w14:textId="77777777" w:rsidR="008E00C8" w:rsidRPr="00DA0AF9" w:rsidRDefault="008E00C8" w:rsidP="00DA0AF9">
            <w:pPr>
              <w:pStyle w:val="xmsonormal"/>
              <w:jc w:val="both"/>
            </w:pPr>
            <w:r w:rsidRPr="00DA0AF9">
              <w:t xml:space="preserve">обмежувач максимального збудження для запобігання збудження генератора змінного струму </w:t>
            </w:r>
            <w:r w:rsidRPr="00DA0AF9">
              <w:rPr>
                <w:strike/>
              </w:rPr>
              <w:t>нижче</w:t>
            </w:r>
            <w:r w:rsidRPr="00DA0AF9">
              <w:t xml:space="preserve"> </w:t>
            </w:r>
            <w:r w:rsidRPr="00DA0AF9">
              <w:rPr>
                <w:b/>
              </w:rPr>
              <w:t>вище</w:t>
            </w:r>
            <w:r w:rsidRPr="00DA0AF9">
              <w:t xml:space="preserve"> від максимального значення, яке припустиме в межах його проектних параметрів;</w:t>
            </w:r>
          </w:p>
          <w:p w14:paraId="255C08F5" w14:textId="77777777" w:rsidR="008E00C8" w:rsidRPr="00DA0AF9" w:rsidRDefault="008E00C8" w:rsidP="00DA0AF9">
            <w:pPr>
              <w:pStyle w:val="xmsonormal"/>
              <w:jc w:val="both"/>
            </w:pPr>
            <w:r w:rsidRPr="00DA0AF9">
              <w:t>обмежувач струму статора;</w:t>
            </w:r>
          </w:p>
          <w:p w14:paraId="73F8B6A3" w14:textId="77777777" w:rsidR="00AB1E5E" w:rsidRPr="00AB1E5E" w:rsidRDefault="008E00C8" w:rsidP="00AB1E5E">
            <w:pPr>
              <w:pStyle w:val="xmsonormal"/>
              <w:jc w:val="both"/>
              <w:rPr>
                <w:b/>
              </w:rPr>
            </w:pPr>
            <w:bookmarkStart w:id="0" w:name="_Hlk126522682"/>
            <w:r w:rsidRPr="00DA0AF9">
              <w:t>функцію PSS для демпфірування коливань потужності,</w:t>
            </w:r>
            <w:r w:rsidRPr="00DA0AF9">
              <w:rPr>
                <w:b/>
              </w:rPr>
              <w:t xml:space="preserve"> </w:t>
            </w:r>
            <w:bookmarkEnd w:id="0"/>
            <w:r w:rsidR="00AB1E5E" w:rsidRPr="00AB1E5E">
              <w:rPr>
                <w:b/>
              </w:rPr>
              <w:t>яка є обов’язковою для нових синхронних генеруючих одиниць типу В, С і D та існуючих синхронних генеруючих одиниць ГЕС/ГАЕС типу D.</w:t>
            </w:r>
          </w:p>
          <w:p w14:paraId="27837E02" w14:textId="77777777" w:rsidR="00AB1E5E" w:rsidRPr="00AB1E5E" w:rsidRDefault="00AB1E5E" w:rsidP="00AB1E5E">
            <w:pPr>
              <w:pStyle w:val="xmsonormal"/>
              <w:jc w:val="both"/>
              <w:rPr>
                <w:b/>
              </w:rPr>
            </w:pPr>
            <w:r w:rsidRPr="00AB1E5E">
              <w:rPr>
                <w:b/>
              </w:rPr>
              <w:t xml:space="preserve">Уставки налаштування функції PSS для демпфірування коливань потужності вибираються згідно з методикою </w:t>
            </w:r>
            <w:r w:rsidRPr="00AB1E5E">
              <w:rPr>
                <w:b/>
              </w:rPr>
              <w:lastRenderedPageBreak/>
              <w:t>виробника цієї системи. Частоти налаштування повинні відповідати заданим ОСП значенням.</w:t>
            </w:r>
          </w:p>
          <w:p w14:paraId="00E92438" w14:textId="77777777" w:rsidR="00AB1E5E" w:rsidRDefault="00AB1E5E" w:rsidP="00AB1E5E">
            <w:pPr>
              <w:pStyle w:val="xmsonormal"/>
              <w:jc w:val="both"/>
              <w:rPr>
                <w:b/>
              </w:rPr>
            </w:pPr>
            <w:r w:rsidRPr="00AB1E5E">
              <w:rPr>
                <w:b/>
              </w:rPr>
              <w:t>Заходи з налаштування функції PSS мають бути виконані власниками генеруючих одиниць у термін не більше трьох місяців після отримання відповідного оперативного розпорядження ОСП;</w:t>
            </w:r>
          </w:p>
          <w:p w14:paraId="6FB98164" w14:textId="374F868A" w:rsidR="008E00C8" w:rsidRPr="00DA0AF9" w:rsidRDefault="008E00C8" w:rsidP="00AB1E5E">
            <w:pPr>
              <w:pStyle w:val="xmsonormal"/>
              <w:jc w:val="both"/>
              <w:rPr>
                <w:i/>
              </w:rPr>
            </w:pPr>
            <w:r w:rsidRPr="00DA0AF9">
              <w:t>…</w:t>
            </w:r>
          </w:p>
        </w:tc>
      </w:tr>
      <w:tr w:rsidR="00D87C53" w:rsidRPr="00DA0AF9" w14:paraId="31B0B383" w14:textId="77777777" w:rsidTr="00DA0AF9">
        <w:trPr>
          <w:trHeight w:val="109"/>
        </w:trPr>
        <w:tc>
          <w:tcPr>
            <w:tcW w:w="15026" w:type="dxa"/>
            <w:gridSpan w:val="4"/>
            <w:tcBorders>
              <w:left w:val="single" w:sz="4" w:space="0" w:color="auto"/>
              <w:bottom w:val="single" w:sz="4" w:space="0" w:color="auto"/>
              <w:right w:val="single" w:sz="4" w:space="0" w:color="auto"/>
            </w:tcBorders>
            <w:shd w:val="clear" w:color="auto" w:fill="E7E6E6" w:themeFill="background2"/>
          </w:tcPr>
          <w:p w14:paraId="0A7B27C0" w14:textId="116E77DA" w:rsidR="00D87C53" w:rsidRPr="00DA0AF9" w:rsidRDefault="00D87C53" w:rsidP="00DA0AF9">
            <w:pPr>
              <w:pStyle w:val="xmsonormal"/>
              <w:jc w:val="center"/>
              <w:rPr>
                <w:b/>
              </w:rPr>
            </w:pPr>
            <w:r w:rsidRPr="00DA0AF9">
              <w:rPr>
                <w:b/>
                <w:bCs/>
                <w:lang w:eastAsia="en-US"/>
              </w:rPr>
              <w:lastRenderedPageBreak/>
              <w:t>4. Технічні вимоги до систем постійного струму високої напруги, які приєднані до системи передачі або впливають на режими роботи системи передачі</w:t>
            </w:r>
          </w:p>
        </w:tc>
      </w:tr>
      <w:tr w:rsidR="008E00C8" w:rsidRPr="00DA0AF9" w14:paraId="4B8A6BC7" w14:textId="351CB868" w:rsidTr="00DA0AF9">
        <w:trPr>
          <w:trHeight w:val="821"/>
        </w:trPr>
        <w:tc>
          <w:tcPr>
            <w:tcW w:w="558" w:type="dxa"/>
            <w:tcBorders>
              <w:left w:val="single" w:sz="4" w:space="0" w:color="auto"/>
              <w:bottom w:val="single" w:sz="4" w:space="0" w:color="auto"/>
              <w:right w:val="single" w:sz="4" w:space="0" w:color="auto"/>
            </w:tcBorders>
            <w:shd w:val="clear" w:color="auto" w:fill="auto"/>
          </w:tcPr>
          <w:p w14:paraId="01BE3068" w14:textId="5E547327" w:rsidR="008E00C8" w:rsidRPr="00DA0AF9" w:rsidRDefault="008E00C8" w:rsidP="00DA0AF9">
            <w:pPr>
              <w:pStyle w:val="a9"/>
              <w:numPr>
                <w:ilvl w:val="0"/>
                <w:numId w:val="1"/>
              </w:numPr>
              <w:spacing w:line="240" w:lineRule="auto"/>
              <w:ind w:left="0" w:firstLine="0"/>
              <w:contextualSpacing w:val="0"/>
              <w:jc w:val="both"/>
              <w:rPr>
                <w:rFonts w:ascii="Times New Roman" w:hAnsi="Times New Roman" w:cs="Times New Roman"/>
                <w:b/>
                <w:sz w:val="24"/>
                <w:szCs w:val="24"/>
              </w:rPr>
            </w:pPr>
          </w:p>
        </w:tc>
        <w:tc>
          <w:tcPr>
            <w:tcW w:w="1142" w:type="dxa"/>
            <w:tcBorders>
              <w:left w:val="single" w:sz="4" w:space="0" w:color="auto"/>
              <w:bottom w:val="single" w:sz="4" w:space="0" w:color="auto"/>
              <w:right w:val="single" w:sz="4" w:space="0" w:color="auto"/>
            </w:tcBorders>
            <w:shd w:val="clear" w:color="auto" w:fill="auto"/>
          </w:tcPr>
          <w:p w14:paraId="229E1F3B" w14:textId="2720E97C" w:rsidR="008E00C8" w:rsidRPr="00DA0AF9" w:rsidRDefault="008E00C8" w:rsidP="00DA0AF9">
            <w:pPr>
              <w:pStyle w:val="xmsonormal"/>
              <w:jc w:val="both"/>
            </w:pPr>
            <w:r w:rsidRPr="00DA0AF9">
              <w:t>п.4.5</w:t>
            </w:r>
          </w:p>
          <w:p w14:paraId="0E63B879" w14:textId="22A8AD6F" w:rsidR="008E00C8" w:rsidRPr="00DA0AF9" w:rsidRDefault="008E00C8" w:rsidP="00DA0AF9">
            <w:pPr>
              <w:pStyle w:val="xmsonormal"/>
              <w:jc w:val="both"/>
            </w:pPr>
            <w:r w:rsidRPr="00DA0AF9">
              <w:t>глава 4</w:t>
            </w:r>
          </w:p>
          <w:p w14:paraId="7853C624" w14:textId="715CC0F7" w:rsidR="008E00C8" w:rsidRPr="00DA0AF9" w:rsidRDefault="008E00C8" w:rsidP="00DA0AF9">
            <w:pPr>
              <w:pStyle w:val="xmsonormal"/>
              <w:jc w:val="both"/>
            </w:pPr>
            <w:r w:rsidRPr="00DA0AF9">
              <w:t>розділ ІІІ</w:t>
            </w:r>
          </w:p>
        </w:tc>
        <w:tc>
          <w:tcPr>
            <w:tcW w:w="6522" w:type="dxa"/>
            <w:tcBorders>
              <w:left w:val="single" w:sz="4" w:space="0" w:color="auto"/>
              <w:bottom w:val="single" w:sz="4" w:space="0" w:color="auto"/>
              <w:right w:val="single" w:sz="4" w:space="0" w:color="auto"/>
            </w:tcBorders>
            <w:shd w:val="clear" w:color="auto" w:fill="auto"/>
          </w:tcPr>
          <w:p w14:paraId="5D812EAB" w14:textId="77777777" w:rsidR="008E00C8" w:rsidRPr="00DA0AF9" w:rsidRDefault="008E00C8" w:rsidP="00DA0AF9">
            <w:pPr>
              <w:pStyle w:val="xmsonormal"/>
              <w:jc w:val="both"/>
            </w:pPr>
            <w:r w:rsidRPr="00DA0AF9">
              <w:t xml:space="preserve">4.5. Вимоги до систем ПСВН щодо здатності до демпфірування коливань потужності </w:t>
            </w:r>
          </w:p>
          <w:p w14:paraId="38E3F7F8" w14:textId="4C58CF6F" w:rsidR="008E00C8" w:rsidRPr="00DA0AF9" w:rsidRDefault="008E00C8" w:rsidP="00DA0AF9">
            <w:pPr>
              <w:pStyle w:val="xmsonormal"/>
              <w:jc w:val="both"/>
            </w:pPr>
            <w:r w:rsidRPr="00DA0AF9">
              <w:t>Системи ПСВН мають бути здатними демпфірувати коливання потужності у приєднаній мережі змінного струму. ОСП повинен вказати частотний діапазон коливань, які схема керування має позитивно гасити.</w:t>
            </w:r>
          </w:p>
        </w:tc>
        <w:tc>
          <w:tcPr>
            <w:tcW w:w="6804" w:type="dxa"/>
            <w:tcBorders>
              <w:left w:val="single" w:sz="4" w:space="0" w:color="auto"/>
              <w:bottom w:val="single" w:sz="4" w:space="0" w:color="auto"/>
              <w:right w:val="single" w:sz="4" w:space="0" w:color="auto"/>
            </w:tcBorders>
            <w:shd w:val="clear" w:color="auto" w:fill="auto"/>
          </w:tcPr>
          <w:p w14:paraId="325A8A37" w14:textId="77777777" w:rsidR="008E00C8" w:rsidRPr="00DA0AF9" w:rsidRDefault="008E00C8" w:rsidP="00DA0AF9">
            <w:pPr>
              <w:pStyle w:val="xmsonormal"/>
              <w:jc w:val="both"/>
            </w:pPr>
            <w:r w:rsidRPr="00DA0AF9">
              <w:t xml:space="preserve">4.5. Вимоги до систем ПСВН щодо здатності до демпфірування коливань потужності </w:t>
            </w:r>
          </w:p>
          <w:p w14:paraId="56752357" w14:textId="77777777" w:rsidR="008E00C8" w:rsidRPr="00DA0AF9" w:rsidRDefault="008E00C8" w:rsidP="00DA0AF9">
            <w:pPr>
              <w:pStyle w:val="xmsonormal"/>
              <w:jc w:val="both"/>
            </w:pPr>
            <w:r w:rsidRPr="00DA0AF9">
              <w:t>Системи ПСВН мають бути здатними демпфірувати коливання потужності у приєднаній мережі змінного струму. ОСП повинен вказати частотний діапазон коливань, які схема керування має позитивно гасити.</w:t>
            </w:r>
          </w:p>
          <w:p w14:paraId="2C2BA253" w14:textId="77777777" w:rsidR="00AB1E5E" w:rsidRPr="00AB1E5E" w:rsidRDefault="00AB1E5E" w:rsidP="00AB1E5E">
            <w:pPr>
              <w:pStyle w:val="xmsonormal"/>
              <w:jc w:val="both"/>
              <w:rPr>
                <w:b/>
              </w:rPr>
            </w:pPr>
            <w:r w:rsidRPr="00AB1E5E">
              <w:rPr>
                <w:b/>
              </w:rPr>
              <w:t>Системи ПСВН повинні мати функцію POD.</w:t>
            </w:r>
          </w:p>
          <w:p w14:paraId="20FF2318" w14:textId="77777777" w:rsidR="00AB1E5E" w:rsidRPr="00AB1E5E" w:rsidRDefault="00AB1E5E" w:rsidP="00AB1E5E">
            <w:pPr>
              <w:pStyle w:val="xmsonormal"/>
              <w:jc w:val="both"/>
              <w:rPr>
                <w:b/>
              </w:rPr>
            </w:pPr>
            <w:r w:rsidRPr="00AB1E5E">
              <w:rPr>
                <w:b/>
              </w:rPr>
              <w:t>Уставки налаштування функції POD вибираються згідно з методикою виробника цієї системи. Частоти налаштування повинні відповідати заданим ОСП значенням.</w:t>
            </w:r>
          </w:p>
          <w:p w14:paraId="26403560" w14:textId="76F21A7F" w:rsidR="008E00C8" w:rsidRPr="00DA0AF9" w:rsidRDefault="00AB1E5E" w:rsidP="00AB1E5E">
            <w:pPr>
              <w:pStyle w:val="xmsonormal"/>
              <w:jc w:val="both"/>
              <w:rPr>
                <w:b/>
              </w:rPr>
            </w:pPr>
            <w:r w:rsidRPr="00AB1E5E">
              <w:rPr>
                <w:b/>
              </w:rPr>
              <w:t>Заходи з налаштування функції POD мають бути виконані власниками систем ПСВН у термін не більше трьох місяців після отримання відповідного оперативного розпорядження ОСП.</w:t>
            </w:r>
          </w:p>
        </w:tc>
      </w:tr>
      <w:tr w:rsidR="00DD1D94" w:rsidRPr="00DA0AF9" w14:paraId="11092300" w14:textId="77777777" w:rsidTr="00DA0AF9">
        <w:trPr>
          <w:trHeight w:val="79"/>
        </w:trPr>
        <w:tc>
          <w:tcPr>
            <w:tcW w:w="15026" w:type="dxa"/>
            <w:gridSpan w:val="4"/>
            <w:shd w:val="clear" w:color="auto" w:fill="D9D9D9" w:themeFill="background1" w:themeFillShade="D9"/>
          </w:tcPr>
          <w:p w14:paraId="6B9011D6" w14:textId="77777777" w:rsidR="00DD1D94" w:rsidRPr="00DA0AF9" w:rsidRDefault="00DD1D94" w:rsidP="00DA0AF9">
            <w:pPr>
              <w:pStyle w:val="xmsonormal"/>
              <w:jc w:val="center"/>
              <w:rPr>
                <w:bCs/>
                <w:lang w:eastAsia="en-US"/>
              </w:rPr>
            </w:pPr>
            <w:r w:rsidRPr="00DA0AF9">
              <w:rPr>
                <w:b/>
                <w:bCs/>
                <w:lang w:eastAsia="en-US"/>
              </w:rPr>
              <w:t>V. Операційна безпека системи</w:t>
            </w:r>
          </w:p>
        </w:tc>
      </w:tr>
      <w:tr w:rsidR="00DD1D94" w:rsidRPr="00DA0AF9" w14:paraId="0D8B1969" w14:textId="77777777" w:rsidTr="00DA0AF9">
        <w:trPr>
          <w:trHeight w:val="79"/>
        </w:trPr>
        <w:tc>
          <w:tcPr>
            <w:tcW w:w="15026" w:type="dxa"/>
            <w:gridSpan w:val="4"/>
            <w:shd w:val="clear" w:color="auto" w:fill="D9D9D9" w:themeFill="background1" w:themeFillShade="D9"/>
          </w:tcPr>
          <w:p w14:paraId="26906BFA" w14:textId="77777777" w:rsidR="00DD1D94" w:rsidRPr="00DA0AF9" w:rsidRDefault="00DD1D94" w:rsidP="00DA0AF9">
            <w:pPr>
              <w:pStyle w:val="xmsonormal"/>
              <w:jc w:val="center"/>
              <w:rPr>
                <w:bCs/>
                <w:lang w:eastAsia="en-US"/>
              </w:rPr>
            </w:pPr>
            <w:r w:rsidRPr="00DA0AF9">
              <w:rPr>
                <w:b/>
                <w:bCs/>
                <w:lang w:eastAsia="en-US"/>
              </w:rPr>
              <w:t>8. Регулювання частоти та активної потужності</w:t>
            </w:r>
          </w:p>
        </w:tc>
      </w:tr>
      <w:tr w:rsidR="008E00C8" w:rsidRPr="00DA0AF9" w14:paraId="20EB18A5" w14:textId="77777777" w:rsidTr="00E573F0">
        <w:trPr>
          <w:trHeight w:val="550"/>
        </w:trPr>
        <w:tc>
          <w:tcPr>
            <w:tcW w:w="558" w:type="dxa"/>
          </w:tcPr>
          <w:p w14:paraId="2C5A7E7A" w14:textId="0D9FEBAE" w:rsidR="008E00C8" w:rsidRPr="00DA0AF9" w:rsidRDefault="00DA0AF9" w:rsidP="00DA0AF9">
            <w:pPr>
              <w:spacing w:line="240" w:lineRule="auto"/>
              <w:jc w:val="both"/>
              <w:rPr>
                <w:rFonts w:ascii="Times New Roman" w:hAnsi="Times New Roman" w:cs="Times New Roman"/>
                <w:b/>
                <w:sz w:val="24"/>
                <w:szCs w:val="24"/>
              </w:rPr>
            </w:pPr>
            <w:r w:rsidRPr="00DA0AF9">
              <w:rPr>
                <w:rFonts w:ascii="Times New Roman" w:hAnsi="Times New Roman" w:cs="Times New Roman"/>
                <w:b/>
                <w:sz w:val="24"/>
                <w:szCs w:val="24"/>
              </w:rPr>
              <w:t>3.</w:t>
            </w:r>
          </w:p>
        </w:tc>
        <w:tc>
          <w:tcPr>
            <w:tcW w:w="1142" w:type="dxa"/>
          </w:tcPr>
          <w:p w14:paraId="26B2E40A" w14:textId="77777777" w:rsidR="008E00C8" w:rsidRPr="00DA0AF9" w:rsidRDefault="008E00C8" w:rsidP="00DA0AF9">
            <w:pPr>
              <w:spacing w:line="240" w:lineRule="auto"/>
              <w:rPr>
                <w:rFonts w:ascii="Times New Roman" w:hAnsi="Times New Roman" w:cs="Times New Roman"/>
                <w:sz w:val="24"/>
                <w:szCs w:val="24"/>
              </w:rPr>
            </w:pPr>
            <w:r w:rsidRPr="00DA0AF9">
              <w:rPr>
                <w:rFonts w:ascii="Times New Roman" w:hAnsi="Times New Roman" w:cs="Times New Roman"/>
                <w:sz w:val="24"/>
                <w:szCs w:val="24"/>
              </w:rPr>
              <w:t>пункт 8.4.4</w:t>
            </w:r>
          </w:p>
          <w:p w14:paraId="37E325AE" w14:textId="77777777" w:rsidR="008E00C8" w:rsidRPr="00DA0AF9" w:rsidRDefault="008E00C8" w:rsidP="00DA0AF9">
            <w:pPr>
              <w:spacing w:line="240" w:lineRule="auto"/>
              <w:rPr>
                <w:rFonts w:ascii="Times New Roman" w:hAnsi="Times New Roman" w:cs="Times New Roman"/>
                <w:sz w:val="24"/>
                <w:szCs w:val="24"/>
              </w:rPr>
            </w:pPr>
            <w:r w:rsidRPr="00DA0AF9">
              <w:rPr>
                <w:rFonts w:ascii="Times New Roman" w:hAnsi="Times New Roman" w:cs="Times New Roman"/>
                <w:sz w:val="24"/>
                <w:szCs w:val="24"/>
              </w:rPr>
              <w:t>глави 8</w:t>
            </w:r>
          </w:p>
          <w:p w14:paraId="20295A15" w14:textId="77777777" w:rsidR="008E00C8" w:rsidRPr="00DA0AF9" w:rsidRDefault="008E00C8" w:rsidP="00DA0AF9">
            <w:pPr>
              <w:spacing w:line="240" w:lineRule="auto"/>
              <w:rPr>
                <w:rFonts w:ascii="Times New Roman" w:hAnsi="Times New Roman" w:cs="Times New Roman"/>
              </w:rPr>
            </w:pPr>
            <w:r w:rsidRPr="00DA0AF9">
              <w:rPr>
                <w:rFonts w:ascii="Times New Roman" w:hAnsi="Times New Roman" w:cs="Times New Roman"/>
                <w:sz w:val="24"/>
                <w:szCs w:val="24"/>
              </w:rPr>
              <w:t xml:space="preserve">розділу </w:t>
            </w:r>
            <w:bookmarkStart w:id="1" w:name="_Hlk126522955"/>
            <w:r w:rsidRPr="00DA0AF9">
              <w:rPr>
                <w:rFonts w:ascii="Times New Roman" w:hAnsi="Times New Roman" w:cs="Times New Roman"/>
                <w:sz w:val="24"/>
                <w:szCs w:val="24"/>
              </w:rPr>
              <w:t>V</w:t>
            </w:r>
            <w:bookmarkEnd w:id="1"/>
          </w:p>
        </w:tc>
        <w:tc>
          <w:tcPr>
            <w:tcW w:w="6522" w:type="dxa"/>
          </w:tcPr>
          <w:p w14:paraId="6D71913F" w14:textId="15316A48"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8.4.4. Вимоги до третинного регулювання частоти та РЗ:</w:t>
            </w:r>
          </w:p>
          <w:p w14:paraId="38DE11E0"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1) для підтримання заданих величин РПЧ і РВЧ та відновлення цих резервів у разі їх використання у процесі регулювання частоти в ОЕС України/блоці регулювання/синхронній області має здійснюватися третинне регулювання і створюватися резерв заміщення (на розвантаження і завантаження).</w:t>
            </w:r>
          </w:p>
          <w:p w14:paraId="3A609F1C"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p>
          <w:p w14:paraId="27C4BBC2"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p>
          <w:p w14:paraId="29BCFF55" w14:textId="2AD8E061" w:rsidR="008E00C8" w:rsidRDefault="008E00C8" w:rsidP="00DA0AF9">
            <w:pPr>
              <w:spacing w:line="240" w:lineRule="auto"/>
              <w:jc w:val="both"/>
              <w:rPr>
                <w:rStyle w:val="normaltextrun"/>
                <w:rFonts w:ascii="Times New Roman" w:hAnsi="Times New Roman" w:cs="Times New Roman"/>
                <w:sz w:val="24"/>
                <w:szCs w:val="24"/>
                <w:shd w:val="clear" w:color="auto" w:fill="FFFFFF"/>
              </w:rPr>
            </w:pPr>
          </w:p>
          <w:p w14:paraId="5D24A63A" w14:textId="77777777" w:rsidR="00E573F0" w:rsidRPr="00DA0AF9" w:rsidRDefault="00E573F0" w:rsidP="00DA0AF9">
            <w:pPr>
              <w:spacing w:line="240" w:lineRule="auto"/>
              <w:jc w:val="both"/>
              <w:rPr>
                <w:rStyle w:val="normaltextrun"/>
                <w:rFonts w:ascii="Times New Roman" w:hAnsi="Times New Roman" w:cs="Times New Roman"/>
                <w:sz w:val="24"/>
                <w:szCs w:val="24"/>
                <w:shd w:val="clear" w:color="auto" w:fill="FFFFFF"/>
              </w:rPr>
            </w:pPr>
          </w:p>
          <w:p w14:paraId="529C1A8C"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lastRenderedPageBreak/>
              <w:t>Третинним регулюванням задається потужність генеруючих одиниць, відносно якої розміщуються діапазони первинного та вторинного регулювання;</w:t>
            </w:r>
          </w:p>
          <w:p w14:paraId="49B34F51"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2) планова потужність генеруючої одиниці або одиниці споживання, що бере участь у третинному регулюванні розраховується так, щоб забезпечувалась можливість використання заданих діапазонів РПЧ і РВЧ;</w:t>
            </w:r>
          </w:p>
          <w:p w14:paraId="7EF6A3D3"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3) ОСП повинен застосовувати третинне регулювання до того, як буде вичерпано РВЧ. Третинне регулювання має використовуватись у разі зменшення РВЧ на завантаження або розвантаження до 20 % від необхідного обсягу. При цьому ОСП повинен розраховувати оперативну команду на активацію резерву заміщення так, щоб не пізніше 30 хвилин від її видачі повністю відновити РВЧ;</w:t>
            </w:r>
          </w:p>
          <w:p w14:paraId="56F7C7D8"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p>
          <w:p w14:paraId="7ABA7C69"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p>
          <w:p w14:paraId="5F43CB44"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p>
          <w:p w14:paraId="46D9EB1C"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p>
          <w:p w14:paraId="311D713B"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p>
          <w:p w14:paraId="518DB907"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p>
          <w:p w14:paraId="45001E28"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p>
          <w:p w14:paraId="3091AB7D"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p>
          <w:p w14:paraId="5F6CB4C6"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p>
          <w:p w14:paraId="685FEC04"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p>
          <w:p w14:paraId="42EE385C"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p>
          <w:p w14:paraId="47F4F245"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p>
          <w:p w14:paraId="1AFF1A89"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p>
          <w:p w14:paraId="47A9A899"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p>
          <w:p w14:paraId="52B5E393"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p>
          <w:p w14:paraId="26E8711F"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p>
          <w:p w14:paraId="3E486942"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p>
          <w:p w14:paraId="07B96822" w14:textId="146F88E3" w:rsidR="008E00C8" w:rsidRDefault="008E00C8" w:rsidP="00DA0AF9">
            <w:pPr>
              <w:spacing w:line="240" w:lineRule="auto"/>
              <w:jc w:val="both"/>
              <w:rPr>
                <w:rStyle w:val="normaltextrun"/>
                <w:rFonts w:ascii="Times New Roman" w:hAnsi="Times New Roman" w:cs="Times New Roman"/>
                <w:sz w:val="24"/>
                <w:szCs w:val="24"/>
                <w:shd w:val="clear" w:color="auto" w:fill="FFFFFF"/>
              </w:rPr>
            </w:pPr>
          </w:p>
          <w:p w14:paraId="15E32929" w14:textId="77777777" w:rsidR="00DA0AF9" w:rsidRPr="00DA0AF9" w:rsidRDefault="00DA0AF9" w:rsidP="00DA0AF9">
            <w:pPr>
              <w:spacing w:line="240" w:lineRule="auto"/>
              <w:jc w:val="both"/>
              <w:rPr>
                <w:rStyle w:val="normaltextrun"/>
                <w:rFonts w:ascii="Times New Roman" w:hAnsi="Times New Roman" w:cs="Times New Roman"/>
                <w:sz w:val="24"/>
                <w:szCs w:val="24"/>
                <w:shd w:val="clear" w:color="auto" w:fill="FFFFFF"/>
              </w:rPr>
            </w:pPr>
          </w:p>
          <w:p w14:paraId="6EDC99D2"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4) для забезпечення третинного резерву для відновлення регулювальних можливостей первинного і вторинного регулювання мають використовуватися:</w:t>
            </w:r>
          </w:p>
          <w:p w14:paraId="2005F358"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пуск резервних генеруючих одиниць;</w:t>
            </w:r>
          </w:p>
          <w:p w14:paraId="1F5539BB"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lastRenderedPageBreak/>
              <w:t>зупинка працюючих генеруючих одиниць;</w:t>
            </w:r>
          </w:p>
          <w:p w14:paraId="23948EB5"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пуск у генераторному або насосному режимі агрегатів ГАЕС;</w:t>
            </w:r>
          </w:p>
          <w:p w14:paraId="15336C14"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завантаження/розвантаження генеруючих одиниць;</w:t>
            </w:r>
          </w:p>
          <w:p w14:paraId="70C60930"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вимкнення/увімкнення одиниць споживання;</w:t>
            </w:r>
          </w:p>
          <w:p w14:paraId="785B730A"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 xml:space="preserve">зміна графіків обміну </w:t>
            </w:r>
            <w:proofErr w:type="spellStart"/>
            <w:r w:rsidRPr="00DA0AF9">
              <w:rPr>
                <w:rStyle w:val="normaltextrun"/>
                <w:rFonts w:ascii="Times New Roman" w:hAnsi="Times New Roman" w:cs="Times New Roman"/>
                <w:sz w:val="24"/>
                <w:szCs w:val="24"/>
                <w:shd w:val="clear" w:color="auto" w:fill="FFFFFF"/>
              </w:rPr>
              <w:t>перетоків</w:t>
            </w:r>
            <w:proofErr w:type="spellEnd"/>
            <w:r w:rsidRPr="00DA0AF9">
              <w:rPr>
                <w:rStyle w:val="normaltextrun"/>
                <w:rFonts w:ascii="Times New Roman" w:hAnsi="Times New Roman" w:cs="Times New Roman"/>
                <w:sz w:val="24"/>
                <w:szCs w:val="24"/>
                <w:shd w:val="clear" w:color="auto" w:fill="FFFFFF"/>
              </w:rPr>
              <w:t xml:space="preserve"> потужності з іншими енергосистемами;</w:t>
            </w:r>
          </w:p>
          <w:p w14:paraId="6766CCD5"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 xml:space="preserve">5) резерв заміщення може використовуватись також для надання аварійної взаємодопомоги по запитах суміжних ОСП блоків регулювання/синхронної області, після оформлення через диспетчера ОСП відповідної корекції заданих режимів роботи (графіків навантаження генеруючих одиниць, заданого сальдо зовнішніх </w:t>
            </w:r>
            <w:proofErr w:type="spellStart"/>
            <w:r w:rsidRPr="00DA0AF9">
              <w:rPr>
                <w:rStyle w:val="normaltextrun"/>
                <w:rFonts w:ascii="Times New Roman" w:hAnsi="Times New Roman" w:cs="Times New Roman"/>
                <w:sz w:val="24"/>
                <w:szCs w:val="24"/>
                <w:shd w:val="clear" w:color="auto" w:fill="FFFFFF"/>
              </w:rPr>
              <w:t>перетоків</w:t>
            </w:r>
            <w:proofErr w:type="spellEnd"/>
            <w:r w:rsidRPr="00DA0AF9">
              <w:rPr>
                <w:rStyle w:val="normaltextrun"/>
                <w:rFonts w:ascii="Times New Roman" w:hAnsi="Times New Roman" w:cs="Times New Roman"/>
                <w:sz w:val="24"/>
                <w:szCs w:val="24"/>
                <w:shd w:val="clear" w:color="auto" w:fill="FFFFFF"/>
              </w:rPr>
              <w:t xml:space="preserve"> тощо) ОЕС України;</w:t>
            </w:r>
          </w:p>
          <w:p w14:paraId="6DCCECD4"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6) резерв заміщення має бути достатнім для забезпечення ефективного функціонування первинного і вторинного регулювання в заданому обсязі і при необхідній якості регулювання, а також для компенсації похибки планування балансу потужності і втрати генерації;</w:t>
            </w:r>
          </w:p>
          <w:p w14:paraId="69A67EF8"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7) для ОЕС України розрахунковий резерв заміщення на основі статистичних даних про фактичні небаланси для області регулювання ОЕС України за попередні 10 років має складати:</w:t>
            </w:r>
          </w:p>
          <w:p w14:paraId="3361D6F9"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на завантаження - не менше 1000 МВт;</w:t>
            </w:r>
          </w:p>
          <w:p w14:paraId="4B80D0FE"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на розвантаження - не менше 500 МВт;</w:t>
            </w:r>
          </w:p>
          <w:p w14:paraId="6422E4FC"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8) кожен постачальник резерву заміщення повинен повідомляти ОСП про зниження фактичної готовності або про аварійне відключення своєї одиниці (групи) постачання резерву заміщення, або частини своєї групи постачання резерву заміщення, якомога швидше;</w:t>
            </w:r>
          </w:p>
          <w:p w14:paraId="75902B48" w14:textId="7D0C6144" w:rsidR="008E00C8" w:rsidRDefault="008E00C8" w:rsidP="00DA0AF9">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9) ОСП повинен забезпечити відповідність резерву заміщення технічним вимогам, вимогам до готовності та вимогам до приєднання щодо його одиниць (груп) постачання резерву заміщення</w:t>
            </w:r>
            <w:r w:rsidR="0018762B">
              <w:rPr>
                <w:rStyle w:val="normaltextrun"/>
                <w:rFonts w:ascii="Times New Roman" w:hAnsi="Times New Roman" w:cs="Times New Roman"/>
                <w:sz w:val="24"/>
                <w:szCs w:val="24"/>
                <w:shd w:val="clear" w:color="auto" w:fill="FFFFFF"/>
              </w:rPr>
              <w:t>;</w:t>
            </w:r>
          </w:p>
          <w:p w14:paraId="3B79CB26" w14:textId="64A7E6DA" w:rsidR="0018762B" w:rsidRPr="0018762B" w:rsidRDefault="0018762B" w:rsidP="0018762B">
            <w:pPr>
              <w:spacing w:line="240" w:lineRule="auto"/>
              <w:jc w:val="both"/>
              <w:rPr>
                <w:rStyle w:val="normaltextrun"/>
                <w:rFonts w:ascii="Times New Roman" w:hAnsi="Times New Roman" w:cs="Times New Roman"/>
                <w:sz w:val="24"/>
                <w:szCs w:val="24"/>
                <w:shd w:val="clear" w:color="auto" w:fill="FFFFFF"/>
              </w:rPr>
            </w:pPr>
            <w:r w:rsidRPr="0018762B">
              <w:rPr>
                <w:rStyle w:val="normaltextrun"/>
                <w:rFonts w:ascii="Times New Roman" w:hAnsi="Times New Roman" w:cs="Times New Roman"/>
                <w:sz w:val="24"/>
                <w:szCs w:val="24"/>
                <w:shd w:val="clear" w:color="auto" w:fill="FFFFFF"/>
              </w:rPr>
              <w:t>10) одиниці (групи) постачання РЗ мають бути приєднаними тільки до одного ОСП;</w:t>
            </w:r>
          </w:p>
          <w:p w14:paraId="29B78B76" w14:textId="5777BE15" w:rsidR="0018762B" w:rsidRPr="0018762B" w:rsidRDefault="0018762B" w:rsidP="00DA0AF9">
            <w:pPr>
              <w:spacing w:line="240" w:lineRule="auto"/>
              <w:jc w:val="both"/>
              <w:rPr>
                <w:rFonts w:ascii="Times New Roman" w:hAnsi="Times New Roman" w:cs="Times New Roman"/>
                <w:sz w:val="24"/>
                <w:szCs w:val="24"/>
                <w:shd w:val="clear" w:color="auto" w:fill="FFFFFF"/>
              </w:rPr>
            </w:pPr>
            <w:r w:rsidRPr="0018762B">
              <w:rPr>
                <w:rStyle w:val="normaltextrun"/>
                <w:rFonts w:ascii="Times New Roman" w:hAnsi="Times New Roman" w:cs="Times New Roman"/>
                <w:sz w:val="24"/>
                <w:szCs w:val="24"/>
                <w:shd w:val="clear" w:color="auto" w:fill="FFFFFF"/>
              </w:rPr>
              <w:t>11) активація третинного регулювання повинна відбуватися у відповідності до оперативної команди ОСП.</w:t>
            </w:r>
          </w:p>
        </w:tc>
        <w:tc>
          <w:tcPr>
            <w:tcW w:w="6804" w:type="dxa"/>
          </w:tcPr>
          <w:p w14:paraId="0E3ED9EF"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lastRenderedPageBreak/>
              <w:t>8.4.4. Вимоги до третинного регулювання частоти та РЗ:</w:t>
            </w:r>
          </w:p>
          <w:p w14:paraId="6FDD339B" w14:textId="77777777" w:rsidR="00AB1E5E" w:rsidRDefault="008E00C8" w:rsidP="00DA0AF9">
            <w:pPr>
              <w:spacing w:line="240" w:lineRule="auto"/>
              <w:jc w:val="both"/>
              <w:rPr>
                <w:rFonts w:ascii="Times New Roman" w:hAnsi="Times New Roman" w:cs="Times New Roman"/>
                <w:b/>
                <w:sz w:val="24"/>
                <w:szCs w:val="24"/>
              </w:rPr>
            </w:pPr>
            <w:r w:rsidRPr="00DA0AF9">
              <w:rPr>
                <w:rStyle w:val="normaltextrun"/>
                <w:rFonts w:ascii="Times New Roman" w:hAnsi="Times New Roman" w:cs="Times New Roman"/>
                <w:sz w:val="24"/>
                <w:szCs w:val="24"/>
                <w:shd w:val="clear" w:color="auto" w:fill="FFFFFF"/>
              </w:rPr>
              <w:t xml:space="preserve">1) для підтримання заданих величин РПЧ і РВЧ та відновлення цих резервів у разі їх використання у процесі регулювання частоти в ОЕС України/блоці регулювання/синхронній області має здійснюватися третинне регулювання і створюватися резерв заміщення (на розвантаження і завантаження). </w:t>
            </w:r>
            <w:r w:rsidR="00AB1E5E" w:rsidRPr="00AB1E5E">
              <w:rPr>
                <w:rFonts w:ascii="Times New Roman" w:hAnsi="Times New Roman" w:cs="Times New Roman"/>
                <w:b/>
                <w:sz w:val="24"/>
                <w:szCs w:val="24"/>
              </w:rPr>
              <w:t>ОСП за умови виконання вимог підпункту 8.3.4 пункту 8.3 цієї глави та вимог до якості регулювання частоти, визначених пунктом 8.2 цієї глави, може використовувати для здійснення третинного регулювання наявні згідно з підпунктом 5 підпункту 8.4.4 цього пункту засоби без створення резерву такого заміщення.</w:t>
            </w:r>
          </w:p>
          <w:p w14:paraId="2BD2312A" w14:textId="3A6C82A8"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lastRenderedPageBreak/>
              <w:t>Третинним регулюванням задається потужність генеруючих одиниць, відносно якої розміщуються діапазони первинного та вторинного регулювання;</w:t>
            </w:r>
          </w:p>
          <w:p w14:paraId="39B4DBC5"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2) планова потужність генеруючої одиниці або одиниці споживання, що бере участь у третинному регулюванні розраховується так, щоб забезпечувалась можливість використання заданих діапазонів РПЧ і РВЧ;</w:t>
            </w:r>
          </w:p>
          <w:p w14:paraId="6A5FE14A" w14:textId="0622E865" w:rsidR="008E00C8" w:rsidRPr="00AB1E5E" w:rsidRDefault="008E00C8" w:rsidP="00AB1E5E">
            <w:pPr>
              <w:spacing w:line="240" w:lineRule="auto"/>
              <w:jc w:val="both"/>
              <w:rPr>
                <w:rStyle w:val="normaltextrun"/>
                <w:rFonts w:ascii="Times New Roman" w:hAnsi="Times New Roman" w:cs="Times New Roman"/>
                <w:sz w:val="24"/>
                <w:szCs w:val="24"/>
                <w:shd w:val="clear" w:color="auto" w:fill="FFFFFF"/>
              </w:rPr>
            </w:pPr>
            <w:bookmarkStart w:id="2" w:name="_Hlk126523080"/>
            <w:r w:rsidRPr="00DA0AF9">
              <w:rPr>
                <w:rStyle w:val="normaltextrun"/>
                <w:rFonts w:ascii="Times New Roman" w:hAnsi="Times New Roman" w:cs="Times New Roman"/>
                <w:sz w:val="24"/>
                <w:szCs w:val="24"/>
                <w:shd w:val="clear" w:color="auto" w:fill="FFFFFF"/>
              </w:rPr>
              <w:t xml:space="preserve">3) ОСП </w:t>
            </w:r>
            <w:r w:rsidRPr="00DA0AF9">
              <w:rPr>
                <w:rStyle w:val="normaltextrun"/>
                <w:rFonts w:ascii="Times New Roman" w:hAnsi="Times New Roman" w:cs="Times New Roman"/>
                <w:strike/>
                <w:sz w:val="24"/>
                <w:szCs w:val="24"/>
                <w:shd w:val="clear" w:color="auto" w:fill="FFFFFF"/>
              </w:rPr>
              <w:t>повинен</w:t>
            </w:r>
            <w:r w:rsidRPr="00DA0AF9">
              <w:rPr>
                <w:rStyle w:val="normaltextrun"/>
                <w:rFonts w:ascii="Times New Roman" w:hAnsi="Times New Roman" w:cs="Times New Roman"/>
                <w:sz w:val="24"/>
                <w:szCs w:val="24"/>
                <w:shd w:val="clear" w:color="auto" w:fill="FFFFFF"/>
              </w:rPr>
              <w:t xml:space="preserve"> </w:t>
            </w:r>
            <w:r w:rsidRPr="00DA0AF9">
              <w:rPr>
                <w:rStyle w:val="normaltextrun"/>
                <w:rFonts w:ascii="Times New Roman" w:hAnsi="Times New Roman" w:cs="Times New Roman"/>
                <w:b/>
                <w:sz w:val="24"/>
                <w:szCs w:val="24"/>
                <w:shd w:val="clear" w:color="auto" w:fill="FFFFFF"/>
              </w:rPr>
              <w:t xml:space="preserve">може </w:t>
            </w:r>
            <w:r w:rsidRPr="00DA0AF9">
              <w:rPr>
                <w:rStyle w:val="normaltextrun"/>
                <w:rFonts w:ascii="Times New Roman" w:hAnsi="Times New Roman" w:cs="Times New Roman"/>
                <w:sz w:val="24"/>
                <w:szCs w:val="24"/>
                <w:shd w:val="clear" w:color="auto" w:fill="FFFFFF"/>
              </w:rPr>
              <w:t xml:space="preserve">застосовувати третинне регулювання до того, як буде вичерпано РВЧ. Третинне регулювання </w:t>
            </w:r>
            <w:r w:rsidRPr="00DA0AF9">
              <w:rPr>
                <w:rStyle w:val="normaltextrun"/>
                <w:rFonts w:ascii="Times New Roman" w:hAnsi="Times New Roman" w:cs="Times New Roman"/>
                <w:strike/>
                <w:sz w:val="24"/>
                <w:szCs w:val="24"/>
                <w:shd w:val="clear" w:color="auto" w:fill="FFFFFF"/>
              </w:rPr>
              <w:t>має</w:t>
            </w:r>
            <w:r w:rsidRPr="00DA0AF9">
              <w:rPr>
                <w:rStyle w:val="normaltextrun"/>
                <w:rFonts w:ascii="Times New Roman" w:hAnsi="Times New Roman" w:cs="Times New Roman"/>
                <w:sz w:val="24"/>
                <w:szCs w:val="24"/>
                <w:shd w:val="clear" w:color="auto" w:fill="FFFFFF"/>
              </w:rPr>
              <w:t xml:space="preserve"> </w:t>
            </w:r>
            <w:r w:rsidRPr="00DA0AF9">
              <w:rPr>
                <w:rStyle w:val="normaltextrun"/>
                <w:rFonts w:ascii="Times New Roman" w:hAnsi="Times New Roman" w:cs="Times New Roman"/>
                <w:b/>
                <w:sz w:val="24"/>
                <w:szCs w:val="24"/>
                <w:shd w:val="clear" w:color="auto" w:fill="FFFFFF"/>
              </w:rPr>
              <w:t xml:space="preserve">може </w:t>
            </w:r>
            <w:r w:rsidRPr="00DA0AF9">
              <w:rPr>
                <w:rStyle w:val="normaltextrun"/>
                <w:rFonts w:ascii="Times New Roman" w:hAnsi="Times New Roman" w:cs="Times New Roman"/>
                <w:sz w:val="24"/>
                <w:szCs w:val="24"/>
                <w:shd w:val="clear" w:color="auto" w:fill="FFFFFF"/>
              </w:rPr>
              <w:t xml:space="preserve">використовуватись </w:t>
            </w:r>
            <w:r w:rsidRPr="00DA0AF9">
              <w:rPr>
                <w:rStyle w:val="normaltextrun"/>
                <w:rFonts w:ascii="Times New Roman" w:hAnsi="Times New Roman" w:cs="Times New Roman"/>
                <w:b/>
                <w:sz w:val="24"/>
                <w:szCs w:val="24"/>
                <w:shd w:val="clear" w:color="auto" w:fill="FFFFFF"/>
              </w:rPr>
              <w:t>ОСП</w:t>
            </w:r>
            <w:r w:rsidRPr="00DA0AF9">
              <w:rPr>
                <w:rStyle w:val="normaltextrun"/>
                <w:rFonts w:ascii="Times New Roman" w:hAnsi="Times New Roman" w:cs="Times New Roman"/>
                <w:sz w:val="24"/>
                <w:szCs w:val="24"/>
                <w:shd w:val="clear" w:color="auto" w:fill="FFFFFF"/>
              </w:rPr>
              <w:t xml:space="preserve"> у разі зменшення РВЧ на завантаження або розвантаження до 20 % від необхідного обсягу</w:t>
            </w:r>
            <w:r w:rsidR="00AB1E5E">
              <w:rPr>
                <w:rStyle w:val="normaltextrun"/>
                <w:rFonts w:ascii="Times New Roman" w:hAnsi="Times New Roman" w:cs="Times New Roman"/>
                <w:sz w:val="24"/>
                <w:szCs w:val="24"/>
                <w:shd w:val="clear" w:color="auto" w:fill="FFFFFF"/>
              </w:rPr>
              <w:t>;</w:t>
            </w:r>
            <w:r w:rsidRPr="00DA0AF9">
              <w:rPr>
                <w:rStyle w:val="normaltextrun"/>
                <w:rFonts w:ascii="Times New Roman" w:hAnsi="Times New Roman" w:cs="Times New Roman"/>
                <w:sz w:val="24"/>
                <w:szCs w:val="24"/>
                <w:shd w:val="clear" w:color="auto" w:fill="FFFFFF"/>
              </w:rPr>
              <w:t xml:space="preserve"> </w:t>
            </w:r>
            <w:bookmarkEnd w:id="2"/>
            <w:r w:rsidRPr="00DA0AF9">
              <w:rPr>
                <w:rStyle w:val="normaltextrun"/>
                <w:rFonts w:ascii="Times New Roman" w:hAnsi="Times New Roman" w:cs="Times New Roman"/>
                <w:strike/>
                <w:sz w:val="24"/>
                <w:szCs w:val="24"/>
                <w:shd w:val="clear" w:color="auto" w:fill="FFFFFF"/>
              </w:rPr>
              <w:t xml:space="preserve">При цьому ОСП повинен розраховувати оперативну команду на активацію резерву заміщення так, щоб не пізніше 30 хвилин від її видачі </w:t>
            </w:r>
            <w:r w:rsidRPr="00AB1E5E">
              <w:rPr>
                <w:rStyle w:val="normaltextrun"/>
                <w:rFonts w:ascii="Times New Roman" w:hAnsi="Times New Roman" w:cs="Times New Roman"/>
                <w:strike/>
                <w:sz w:val="24"/>
                <w:szCs w:val="24"/>
                <w:shd w:val="clear" w:color="auto" w:fill="FFFFFF"/>
              </w:rPr>
              <w:t>повністю відновити РВЧ</w:t>
            </w:r>
            <w:r w:rsidRPr="00AB1E5E">
              <w:rPr>
                <w:rStyle w:val="normaltextrun"/>
                <w:rFonts w:ascii="Times New Roman" w:hAnsi="Times New Roman" w:cs="Times New Roman"/>
                <w:sz w:val="24"/>
                <w:szCs w:val="24"/>
                <w:shd w:val="clear" w:color="auto" w:fill="FFFFFF"/>
              </w:rPr>
              <w:t>;</w:t>
            </w:r>
          </w:p>
          <w:p w14:paraId="5CCFB0FB" w14:textId="77777777" w:rsidR="00AB1E5E" w:rsidRPr="00AB1E5E" w:rsidRDefault="00AB1E5E" w:rsidP="00AB1E5E">
            <w:pPr>
              <w:pStyle w:val="rvps2"/>
              <w:shd w:val="clear" w:color="auto" w:fill="FFFFFF"/>
              <w:spacing w:before="0" w:beforeAutospacing="0" w:after="0" w:afterAutospacing="0"/>
              <w:jc w:val="both"/>
              <w:rPr>
                <w:b/>
              </w:rPr>
            </w:pPr>
            <w:r w:rsidRPr="00AB1E5E">
              <w:rPr>
                <w:b/>
              </w:rPr>
              <w:t>4) мінімальні технічні вимоги до РЗ:</w:t>
            </w:r>
          </w:p>
          <w:p w14:paraId="26C56DFE" w14:textId="77777777" w:rsidR="00AB1E5E" w:rsidRPr="00AB1E5E" w:rsidRDefault="00AB1E5E" w:rsidP="00AB1E5E">
            <w:pPr>
              <w:pStyle w:val="rvps2"/>
              <w:shd w:val="clear" w:color="auto" w:fill="FFFFFF"/>
              <w:spacing w:before="0" w:beforeAutospacing="0" w:after="0" w:afterAutospacing="0"/>
              <w:jc w:val="both"/>
              <w:rPr>
                <w:b/>
              </w:rPr>
            </w:pPr>
            <w:r w:rsidRPr="00AB1E5E">
              <w:rPr>
                <w:b/>
              </w:rPr>
              <w:t xml:space="preserve">активація одиниці (групи) надання РЗ за оперативною командою ОСП повинна розпочинатися якомога швидше, без штучної затримки, і відбуватися з максимальною швидкістю зміни потужності, допустимою на даному обладнанні; </w:t>
            </w:r>
          </w:p>
          <w:p w14:paraId="7F1976D2" w14:textId="77777777" w:rsidR="00AB1E5E" w:rsidRPr="00AB1E5E" w:rsidRDefault="00AB1E5E" w:rsidP="00AB1E5E">
            <w:pPr>
              <w:pStyle w:val="rvps2"/>
              <w:shd w:val="clear" w:color="auto" w:fill="FFFFFF"/>
              <w:spacing w:before="0" w:beforeAutospacing="0" w:after="0" w:afterAutospacing="0"/>
              <w:jc w:val="both"/>
              <w:rPr>
                <w:b/>
              </w:rPr>
            </w:pPr>
            <w:r w:rsidRPr="00AB1E5E">
              <w:rPr>
                <w:b/>
              </w:rPr>
              <w:t>максимальний обсяг РЗ визначається виходячи з максимальної швидкості зміни потужності, допустимої на цьому обладнанні, та граничного часу повної активації резерву заміщення – 30 хвилин;</w:t>
            </w:r>
          </w:p>
          <w:p w14:paraId="0EF0566B" w14:textId="77777777" w:rsidR="00AB1E5E" w:rsidRPr="00AB1E5E" w:rsidRDefault="00AB1E5E" w:rsidP="00AB1E5E">
            <w:pPr>
              <w:pStyle w:val="rvps2"/>
              <w:shd w:val="clear" w:color="auto" w:fill="FFFFFF"/>
              <w:spacing w:before="0" w:beforeAutospacing="0" w:after="0" w:afterAutospacing="0"/>
              <w:jc w:val="both"/>
              <w:rPr>
                <w:b/>
              </w:rPr>
            </w:pPr>
            <w:r w:rsidRPr="00AB1E5E">
              <w:rPr>
                <w:b/>
              </w:rPr>
              <w:t>стійка видача РЗ з моменту його введення в дію без обмежень у часі;</w:t>
            </w:r>
          </w:p>
          <w:p w14:paraId="353011BA" w14:textId="77777777" w:rsidR="00AB1E5E" w:rsidRPr="00AB1E5E" w:rsidRDefault="00AB1E5E" w:rsidP="00AB1E5E">
            <w:pPr>
              <w:pStyle w:val="rvps2"/>
              <w:shd w:val="clear" w:color="auto" w:fill="FFFFFF"/>
              <w:spacing w:before="0" w:beforeAutospacing="0" w:after="0" w:afterAutospacing="0"/>
              <w:jc w:val="both"/>
              <w:rPr>
                <w:b/>
              </w:rPr>
            </w:pPr>
            <w:r w:rsidRPr="00AB1E5E">
              <w:rPr>
                <w:b/>
              </w:rPr>
              <w:t>точність вимірювання а</w:t>
            </w:r>
            <w:bookmarkStart w:id="3" w:name="_GoBack"/>
            <w:bookmarkEnd w:id="3"/>
            <w:r w:rsidRPr="00AB1E5E">
              <w:rPr>
                <w:b/>
              </w:rPr>
              <w:t xml:space="preserve">ктивної потужності одиниці (групи) надання РЗ та точність підтримання заданої потужності повинні бути не гіршими ніж </w:t>
            </w:r>
          </w:p>
          <w:p w14:paraId="1024D1A8" w14:textId="77777777" w:rsidR="00AB1E5E" w:rsidRPr="00AB1E5E" w:rsidRDefault="00AB1E5E" w:rsidP="00AB1E5E">
            <w:pPr>
              <w:pStyle w:val="rvps2"/>
              <w:shd w:val="clear" w:color="auto" w:fill="FFFFFF"/>
              <w:spacing w:before="0" w:beforeAutospacing="0" w:after="0" w:afterAutospacing="0"/>
              <w:jc w:val="both"/>
              <w:rPr>
                <w:b/>
              </w:rPr>
            </w:pPr>
            <w:r w:rsidRPr="00AB1E5E">
              <w:rPr>
                <w:b/>
              </w:rPr>
              <w:t>± 1,0 % від номінальної потужності одиниці (групи) надання РЗ;</w:t>
            </w:r>
          </w:p>
          <w:p w14:paraId="5D9B5F51" w14:textId="77777777" w:rsidR="00AB1E5E" w:rsidRPr="00AB1E5E" w:rsidRDefault="00AB1E5E" w:rsidP="00AB1E5E">
            <w:pPr>
              <w:spacing w:line="240" w:lineRule="auto"/>
              <w:jc w:val="both"/>
              <w:rPr>
                <w:rFonts w:ascii="Times New Roman" w:hAnsi="Times New Roman" w:cs="Times New Roman"/>
                <w:b/>
                <w:sz w:val="24"/>
                <w:szCs w:val="24"/>
              </w:rPr>
            </w:pPr>
            <w:r w:rsidRPr="00AB1E5E">
              <w:rPr>
                <w:rFonts w:ascii="Times New Roman" w:hAnsi="Times New Roman" w:cs="Times New Roman"/>
                <w:b/>
                <w:sz w:val="24"/>
                <w:szCs w:val="24"/>
              </w:rPr>
              <w:t>вимірювання параметрів і передавання інформації мають проводитися з циклом не більшим ніж 1 секунда;</w:t>
            </w:r>
          </w:p>
          <w:p w14:paraId="247820EA" w14:textId="6DBBEDB6" w:rsidR="008E00C8" w:rsidRPr="00DA0AF9" w:rsidRDefault="008E00C8" w:rsidP="00AB1E5E">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trike/>
                <w:sz w:val="24"/>
                <w:szCs w:val="24"/>
                <w:shd w:val="clear" w:color="auto" w:fill="FFFFFF"/>
              </w:rPr>
              <w:t>4</w:t>
            </w:r>
            <w:r w:rsidRPr="00DA0AF9">
              <w:rPr>
                <w:rStyle w:val="normaltextrun"/>
                <w:rFonts w:ascii="Times New Roman" w:hAnsi="Times New Roman" w:cs="Times New Roman"/>
                <w:sz w:val="24"/>
                <w:szCs w:val="24"/>
                <w:shd w:val="clear" w:color="auto" w:fill="FFFFFF"/>
              </w:rPr>
              <w:t xml:space="preserve"> </w:t>
            </w:r>
            <w:r w:rsidRPr="00DA0AF9">
              <w:rPr>
                <w:rStyle w:val="normaltextrun"/>
                <w:rFonts w:ascii="Times New Roman" w:hAnsi="Times New Roman" w:cs="Times New Roman"/>
                <w:b/>
                <w:sz w:val="24"/>
                <w:szCs w:val="24"/>
                <w:shd w:val="clear" w:color="auto" w:fill="FFFFFF"/>
              </w:rPr>
              <w:t>5</w:t>
            </w:r>
            <w:r w:rsidRPr="00DA0AF9">
              <w:rPr>
                <w:rStyle w:val="normaltextrun"/>
                <w:rFonts w:ascii="Times New Roman" w:hAnsi="Times New Roman" w:cs="Times New Roman"/>
                <w:sz w:val="24"/>
                <w:szCs w:val="24"/>
                <w:shd w:val="clear" w:color="auto" w:fill="FFFFFF"/>
              </w:rPr>
              <w:t xml:space="preserve">) для забезпечення </w:t>
            </w:r>
            <w:bookmarkStart w:id="4" w:name="_Hlk126523784"/>
            <w:r w:rsidRPr="00DA0AF9">
              <w:rPr>
                <w:rStyle w:val="normaltextrun"/>
                <w:rFonts w:ascii="Times New Roman" w:hAnsi="Times New Roman" w:cs="Times New Roman"/>
                <w:strike/>
                <w:sz w:val="24"/>
                <w:szCs w:val="24"/>
                <w:shd w:val="clear" w:color="auto" w:fill="FFFFFF"/>
              </w:rPr>
              <w:t xml:space="preserve">третинного </w:t>
            </w:r>
            <w:r w:rsidRPr="00C8471F">
              <w:rPr>
                <w:rStyle w:val="normaltextrun"/>
                <w:rFonts w:ascii="Times New Roman" w:hAnsi="Times New Roman" w:cs="Times New Roman"/>
                <w:strike/>
                <w:sz w:val="24"/>
                <w:szCs w:val="24"/>
                <w:shd w:val="clear" w:color="auto" w:fill="FFFFFF"/>
              </w:rPr>
              <w:t>резерву</w:t>
            </w:r>
            <w:r w:rsidRPr="00DA0AF9">
              <w:rPr>
                <w:rStyle w:val="normaltextrun"/>
                <w:rFonts w:ascii="Times New Roman" w:hAnsi="Times New Roman" w:cs="Times New Roman"/>
                <w:sz w:val="24"/>
                <w:szCs w:val="24"/>
                <w:shd w:val="clear" w:color="auto" w:fill="FFFFFF"/>
              </w:rPr>
              <w:t xml:space="preserve"> </w:t>
            </w:r>
            <w:bookmarkEnd w:id="4"/>
            <w:r w:rsidR="00C8471F">
              <w:rPr>
                <w:rStyle w:val="normaltextrun"/>
                <w:rFonts w:ascii="Times New Roman" w:hAnsi="Times New Roman" w:cs="Times New Roman"/>
                <w:b/>
                <w:sz w:val="24"/>
                <w:szCs w:val="24"/>
                <w:shd w:val="clear" w:color="auto" w:fill="FFFFFF"/>
              </w:rPr>
              <w:t>РЗ</w:t>
            </w:r>
            <w:r w:rsidRPr="00DA0AF9">
              <w:rPr>
                <w:rStyle w:val="normaltextrun"/>
                <w:rFonts w:ascii="Times New Roman" w:hAnsi="Times New Roman" w:cs="Times New Roman"/>
                <w:sz w:val="24"/>
                <w:szCs w:val="24"/>
                <w:shd w:val="clear" w:color="auto" w:fill="FFFFFF"/>
              </w:rPr>
              <w:t xml:space="preserve"> для відновлення регулювальних можливостей первинного і вторинного регулювання мають використовуватися:</w:t>
            </w:r>
          </w:p>
          <w:p w14:paraId="2F93836E"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пуск резервних генеруючих одиниць;</w:t>
            </w:r>
          </w:p>
          <w:p w14:paraId="4925E54F"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lastRenderedPageBreak/>
              <w:t>зупинка працюючих генеруючих одиниць;</w:t>
            </w:r>
          </w:p>
          <w:p w14:paraId="4DDAD314"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пуск у генераторному або насосному режимі агрегатів ГАЕС;</w:t>
            </w:r>
          </w:p>
          <w:p w14:paraId="5EE075C3"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завантаження/розвантаження генеруючих одиниць;</w:t>
            </w:r>
          </w:p>
          <w:p w14:paraId="6412AF53"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вимкнення/увімкнення одиниць споживання;</w:t>
            </w:r>
          </w:p>
          <w:p w14:paraId="3BDCFC2A"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 xml:space="preserve">зміна графіків обміну </w:t>
            </w:r>
            <w:proofErr w:type="spellStart"/>
            <w:r w:rsidRPr="00DA0AF9">
              <w:rPr>
                <w:rStyle w:val="normaltextrun"/>
                <w:rFonts w:ascii="Times New Roman" w:hAnsi="Times New Roman" w:cs="Times New Roman"/>
                <w:sz w:val="24"/>
                <w:szCs w:val="24"/>
                <w:shd w:val="clear" w:color="auto" w:fill="FFFFFF"/>
              </w:rPr>
              <w:t>перетоків</w:t>
            </w:r>
            <w:proofErr w:type="spellEnd"/>
            <w:r w:rsidRPr="00DA0AF9">
              <w:rPr>
                <w:rStyle w:val="normaltextrun"/>
                <w:rFonts w:ascii="Times New Roman" w:hAnsi="Times New Roman" w:cs="Times New Roman"/>
                <w:sz w:val="24"/>
                <w:szCs w:val="24"/>
                <w:shd w:val="clear" w:color="auto" w:fill="FFFFFF"/>
              </w:rPr>
              <w:t xml:space="preserve"> потужності з іншими енергосистемами;</w:t>
            </w:r>
          </w:p>
          <w:p w14:paraId="27C29826" w14:textId="4F418F34" w:rsidR="008E00C8" w:rsidRPr="00D313D1" w:rsidRDefault="008E00C8" w:rsidP="00DA0AF9">
            <w:pPr>
              <w:spacing w:line="240" w:lineRule="auto"/>
              <w:jc w:val="both"/>
              <w:rPr>
                <w:rStyle w:val="st42"/>
                <w:rFonts w:ascii="Times New Roman" w:hAnsi="Times New Roman" w:cs="Times New Roman"/>
                <w:b/>
                <w:sz w:val="24"/>
                <w:szCs w:val="24"/>
              </w:rPr>
            </w:pPr>
            <w:bookmarkStart w:id="5" w:name="_Hlk126523877"/>
            <w:r w:rsidRPr="00D313D1">
              <w:rPr>
                <w:rStyle w:val="st42"/>
                <w:rFonts w:ascii="Times New Roman" w:hAnsi="Times New Roman" w:cs="Times New Roman"/>
                <w:b/>
                <w:sz w:val="24"/>
                <w:szCs w:val="24"/>
              </w:rPr>
              <w:t>робота УЗЕ в режимі відб</w:t>
            </w:r>
            <w:r w:rsidR="00D313D1">
              <w:rPr>
                <w:rStyle w:val="st42"/>
                <w:rFonts w:ascii="Times New Roman" w:hAnsi="Times New Roman" w:cs="Times New Roman"/>
                <w:b/>
                <w:sz w:val="24"/>
                <w:szCs w:val="24"/>
              </w:rPr>
              <w:t>о</w:t>
            </w:r>
            <w:r w:rsidRPr="00D313D1">
              <w:rPr>
                <w:rStyle w:val="st42"/>
                <w:rFonts w:ascii="Times New Roman" w:hAnsi="Times New Roman" w:cs="Times New Roman"/>
                <w:b/>
                <w:sz w:val="24"/>
                <w:szCs w:val="24"/>
              </w:rPr>
              <w:t>р</w:t>
            </w:r>
            <w:r w:rsidR="00D313D1">
              <w:rPr>
                <w:rStyle w:val="st42"/>
                <w:rFonts w:ascii="Times New Roman" w:hAnsi="Times New Roman" w:cs="Times New Roman"/>
                <w:b/>
                <w:sz w:val="24"/>
                <w:szCs w:val="24"/>
              </w:rPr>
              <w:t>у</w:t>
            </w:r>
            <w:r w:rsidRPr="00D313D1">
              <w:rPr>
                <w:rStyle w:val="st42"/>
                <w:rFonts w:ascii="Times New Roman" w:hAnsi="Times New Roman" w:cs="Times New Roman"/>
                <w:b/>
                <w:sz w:val="24"/>
                <w:szCs w:val="24"/>
                <w:lang w:val="ru-RU"/>
              </w:rPr>
              <w:t>/</w:t>
            </w:r>
            <w:r w:rsidRPr="00D313D1">
              <w:rPr>
                <w:rStyle w:val="st42"/>
                <w:rFonts w:ascii="Times New Roman" w:hAnsi="Times New Roman" w:cs="Times New Roman"/>
                <w:b/>
                <w:sz w:val="24"/>
                <w:szCs w:val="24"/>
              </w:rPr>
              <w:t>відпуск</w:t>
            </w:r>
            <w:r w:rsidR="00D313D1">
              <w:rPr>
                <w:rStyle w:val="st42"/>
                <w:rFonts w:ascii="Times New Roman" w:hAnsi="Times New Roman" w:cs="Times New Roman"/>
                <w:b/>
                <w:sz w:val="24"/>
                <w:szCs w:val="24"/>
              </w:rPr>
              <w:t>у</w:t>
            </w:r>
            <w:r w:rsidRPr="00D313D1">
              <w:rPr>
                <w:rStyle w:val="st42"/>
                <w:rFonts w:ascii="Times New Roman" w:hAnsi="Times New Roman" w:cs="Times New Roman"/>
                <w:b/>
                <w:sz w:val="24"/>
                <w:szCs w:val="24"/>
              </w:rPr>
              <w:t>;</w:t>
            </w:r>
          </w:p>
          <w:bookmarkEnd w:id="5"/>
          <w:p w14:paraId="6F53A8D1"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trike/>
                <w:sz w:val="24"/>
                <w:szCs w:val="24"/>
                <w:shd w:val="clear" w:color="auto" w:fill="FFFFFF"/>
              </w:rPr>
              <w:t>5</w:t>
            </w:r>
            <w:r w:rsidRPr="00DA0AF9">
              <w:rPr>
                <w:rStyle w:val="normaltextrun"/>
                <w:rFonts w:ascii="Times New Roman" w:hAnsi="Times New Roman" w:cs="Times New Roman"/>
                <w:sz w:val="24"/>
                <w:szCs w:val="24"/>
                <w:shd w:val="clear" w:color="auto" w:fill="FFFFFF"/>
              </w:rPr>
              <w:t xml:space="preserve"> </w:t>
            </w:r>
            <w:r w:rsidRPr="00DA0AF9">
              <w:rPr>
                <w:rStyle w:val="normaltextrun"/>
                <w:rFonts w:ascii="Times New Roman" w:hAnsi="Times New Roman" w:cs="Times New Roman"/>
                <w:b/>
                <w:sz w:val="24"/>
                <w:szCs w:val="24"/>
                <w:shd w:val="clear" w:color="auto" w:fill="FFFFFF"/>
              </w:rPr>
              <w:t>6</w:t>
            </w:r>
            <w:r w:rsidRPr="00DA0AF9">
              <w:rPr>
                <w:rStyle w:val="normaltextrun"/>
                <w:rFonts w:ascii="Times New Roman" w:hAnsi="Times New Roman" w:cs="Times New Roman"/>
                <w:sz w:val="24"/>
                <w:szCs w:val="24"/>
                <w:shd w:val="clear" w:color="auto" w:fill="FFFFFF"/>
              </w:rPr>
              <w:t xml:space="preserve">) резерв заміщення може використовуватись також для надання аварійної взаємодопомоги по запитах суміжних ОСП блоків регулювання/синхронної області, після оформлення через диспетчера ОСП відповідної корекції заданих режимів роботи (графіків навантаження генеруючих одиниць, заданого сальдо зовнішніх </w:t>
            </w:r>
            <w:proofErr w:type="spellStart"/>
            <w:r w:rsidRPr="00DA0AF9">
              <w:rPr>
                <w:rStyle w:val="normaltextrun"/>
                <w:rFonts w:ascii="Times New Roman" w:hAnsi="Times New Roman" w:cs="Times New Roman"/>
                <w:sz w:val="24"/>
                <w:szCs w:val="24"/>
                <w:shd w:val="clear" w:color="auto" w:fill="FFFFFF"/>
              </w:rPr>
              <w:t>перетоків</w:t>
            </w:r>
            <w:proofErr w:type="spellEnd"/>
            <w:r w:rsidRPr="00DA0AF9">
              <w:rPr>
                <w:rStyle w:val="normaltextrun"/>
                <w:rFonts w:ascii="Times New Roman" w:hAnsi="Times New Roman" w:cs="Times New Roman"/>
                <w:sz w:val="24"/>
                <w:szCs w:val="24"/>
                <w:shd w:val="clear" w:color="auto" w:fill="FFFFFF"/>
              </w:rPr>
              <w:t xml:space="preserve"> тощо) ОЕС України;</w:t>
            </w:r>
          </w:p>
          <w:p w14:paraId="778050E9"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trike/>
                <w:sz w:val="24"/>
                <w:szCs w:val="24"/>
                <w:shd w:val="clear" w:color="auto" w:fill="FFFFFF"/>
              </w:rPr>
              <w:t>6</w:t>
            </w:r>
            <w:r w:rsidRPr="00DA0AF9">
              <w:rPr>
                <w:rStyle w:val="normaltextrun"/>
                <w:rFonts w:ascii="Times New Roman" w:hAnsi="Times New Roman" w:cs="Times New Roman"/>
                <w:sz w:val="24"/>
                <w:szCs w:val="24"/>
                <w:shd w:val="clear" w:color="auto" w:fill="FFFFFF"/>
              </w:rPr>
              <w:t xml:space="preserve"> </w:t>
            </w:r>
            <w:r w:rsidRPr="00DA0AF9">
              <w:rPr>
                <w:rStyle w:val="normaltextrun"/>
                <w:rFonts w:ascii="Times New Roman" w:hAnsi="Times New Roman" w:cs="Times New Roman"/>
                <w:b/>
                <w:sz w:val="24"/>
                <w:szCs w:val="24"/>
                <w:shd w:val="clear" w:color="auto" w:fill="FFFFFF"/>
              </w:rPr>
              <w:t>7</w:t>
            </w:r>
            <w:r w:rsidRPr="00DA0AF9">
              <w:rPr>
                <w:rStyle w:val="normaltextrun"/>
                <w:rFonts w:ascii="Times New Roman" w:hAnsi="Times New Roman" w:cs="Times New Roman"/>
                <w:sz w:val="24"/>
                <w:szCs w:val="24"/>
                <w:shd w:val="clear" w:color="auto" w:fill="FFFFFF"/>
              </w:rPr>
              <w:t>) резерв заміщення має бути достатнім для забезпечення ефективного функціонування первинного і вторинного регулювання в заданому обсязі і при необхідній якості регулювання, а також для компенсації похибки планування балансу потужності і втрати генерації;</w:t>
            </w:r>
          </w:p>
          <w:p w14:paraId="10ACE592"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trike/>
                <w:sz w:val="24"/>
                <w:szCs w:val="24"/>
                <w:shd w:val="clear" w:color="auto" w:fill="FFFFFF"/>
              </w:rPr>
              <w:t>7</w:t>
            </w:r>
            <w:r w:rsidRPr="00DA0AF9">
              <w:rPr>
                <w:rStyle w:val="normaltextrun"/>
                <w:rFonts w:ascii="Times New Roman" w:hAnsi="Times New Roman" w:cs="Times New Roman"/>
                <w:sz w:val="24"/>
                <w:szCs w:val="24"/>
                <w:shd w:val="clear" w:color="auto" w:fill="FFFFFF"/>
              </w:rPr>
              <w:t xml:space="preserve"> </w:t>
            </w:r>
            <w:r w:rsidRPr="00DA0AF9">
              <w:rPr>
                <w:rStyle w:val="normaltextrun"/>
                <w:rFonts w:ascii="Times New Roman" w:hAnsi="Times New Roman" w:cs="Times New Roman"/>
                <w:b/>
                <w:sz w:val="24"/>
                <w:szCs w:val="24"/>
                <w:shd w:val="clear" w:color="auto" w:fill="FFFFFF"/>
              </w:rPr>
              <w:t>8</w:t>
            </w:r>
            <w:r w:rsidRPr="00DA0AF9">
              <w:rPr>
                <w:rStyle w:val="normaltextrun"/>
                <w:rFonts w:ascii="Times New Roman" w:hAnsi="Times New Roman" w:cs="Times New Roman"/>
                <w:sz w:val="24"/>
                <w:szCs w:val="24"/>
                <w:shd w:val="clear" w:color="auto" w:fill="FFFFFF"/>
              </w:rPr>
              <w:t>) для ОЕС України розрахунковий резерв заміщення на основі статистичних даних про фактичні небаланси для області регулювання ОЕС України за попередні 10 років має складати:</w:t>
            </w:r>
          </w:p>
          <w:p w14:paraId="53EFCD4E"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на завантаження - не менше 1000 МВт;</w:t>
            </w:r>
          </w:p>
          <w:p w14:paraId="31A41D2D"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z w:val="24"/>
                <w:szCs w:val="24"/>
                <w:shd w:val="clear" w:color="auto" w:fill="FFFFFF"/>
              </w:rPr>
              <w:t>на розвантаження - не менше 500 МВт;</w:t>
            </w:r>
          </w:p>
          <w:p w14:paraId="00001A26" w14:textId="77777777" w:rsidR="008E00C8" w:rsidRPr="00DA0AF9" w:rsidRDefault="008E00C8" w:rsidP="00DA0AF9">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trike/>
                <w:sz w:val="24"/>
                <w:szCs w:val="24"/>
                <w:shd w:val="clear" w:color="auto" w:fill="FFFFFF"/>
              </w:rPr>
              <w:t>8</w:t>
            </w:r>
            <w:r w:rsidRPr="00DA0AF9">
              <w:rPr>
                <w:rStyle w:val="normaltextrun"/>
                <w:rFonts w:ascii="Times New Roman" w:hAnsi="Times New Roman" w:cs="Times New Roman"/>
                <w:sz w:val="24"/>
                <w:szCs w:val="24"/>
                <w:shd w:val="clear" w:color="auto" w:fill="FFFFFF"/>
              </w:rPr>
              <w:t xml:space="preserve"> </w:t>
            </w:r>
            <w:r w:rsidRPr="00DA0AF9">
              <w:rPr>
                <w:rStyle w:val="normaltextrun"/>
                <w:rFonts w:ascii="Times New Roman" w:hAnsi="Times New Roman" w:cs="Times New Roman"/>
                <w:b/>
                <w:sz w:val="24"/>
                <w:szCs w:val="24"/>
                <w:shd w:val="clear" w:color="auto" w:fill="FFFFFF"/>
              </w:rPr>
              <w:t>9</w:t>
            </w:r>
            <w:r w:rsidRPr="00DA0AF9">
              <w:rPr>
                <w:rStyle w:val="normaltextrun"/>
                <w:rFonts w:ascii="Times New Roman" w:hAnsi="Times New Roman" w:cs="Times New Roman"/>
                <w:sz w:val="24"/>
                <w:szCs w:val="24"/>
                <w:shd w:val="clear" w:color="auto" w:fill="FFFFFF"/>
              </w:rPr>
              <w:t>) кожен постачальник резерву заміщення повинен повідомляти ОСП про зниження фактичної готовності або про аварійне відключення своєї одиниці (групи) постачання резерву заміщення, або частини своєї групи постачання резерву заміщення, якомога швидше;</w:t>
            </w:r>
          </w:p>
          <w:p w14:paraId="79009EF2" w14:textId="77777777" w:rsidR="008E00C8" w:rsidRDefault="008E00C8" w:rsidP="00DA0AF9">
            <w:pPr>
              <w:spacing w:line="240" w:lineRule="auto"/>
              <w:jc w:val="both"/>
              <w:rPr>
                <w:rStyle w:val="normaltextrun"/>
                <w:rFonts w:ascii="Times New Roman" w:hAnsi="Times New Roman" w:cs="Times New Roman"/>
                <w:sz w:val="24"/>
                <w:szCs w:val="24"/>
                <w:shd w:val="clear" w:color="auto" w:fill="FFFFFF"/>
              </w:rPr>
            </w:pPr>
            <w:r w:rsidRPr="00DA0AF9">
              <w:rPr>
                <w:rStyle w:val="normaltextrun"/>
                <w:rFonts w:ascii="Times New Roman" w:hAnsi="Times New Roman" w:cs="Times New Roman"/>
                <w:strike/>
                <w:sz w:val="24"/>
                <w:szCs w:val="24"/>
                <w:shd w:val="clear" w:color="auto" w:fill="FFFFFF"/>
              </w:rPr>
              <w:t>9</w:t>
            </w:r>
            <w:r w:rsidRPr="00DA0AF9">
              <w:rPr>
                <w:rStyle w:val="normaltextrun"/>
                <w:rFonts w:ascii="Times New Roman" w:hAnsi="Times New Roman" w:cs="Times New Roman"/>
                <w:shd w:val="clear" w:color="auto" w:fill="FFFFFF"/>
              </w:rPr>
              <w:t xml:space="preserve"> </w:t>
            </w:r>
            <w:r w:rsidRPr="00DA0AF9">
              <w:rPr>
                <w:rStyle w:val="normaltextrun"/>
                <w:rFonts w:ascii="Times New Roman" w:hAnsi="Times New Roman" w:cs="Times New Roman"/>
                <w:b/>
                <w:shd w:val="clear" w:color="auto" w:fill="FFFFFF"/>
              </w:rPr>
              <w:t>10</w:t>
            </w:r>
            <w:r w:rsidRPr="00DA0AF9">
              <w:rPr>
                <w:rStyle w:val="normaltextrun"/>
                <w:rFonts w:ascii="Times New Roman" w:hAnsi="Times New Roman" w:cs="Times New Roman"/>
                <w:sz w:val="24"/>
                <w:szCs w:val="24"/>
                <w:shd w:val="clear" w:color="auto" w:fill="FFFFFF"/>
              </w:rPr>
              <w:t>) ОСП повинен забезпечити відповідність резерву заміщення технічним вимогам, вимогам до готовності та вимогам до приєднання щодо його одиниць (груп) постачання резерву заміщення</w:t>
            </w:r>
            <w:r w:rsidR="0018762B">
              <w:rPr>
                <w:rStyle w:val="normaltextrun"/>
                <w:rFonts w:ascii="Times New Roman" w:hAnsi="Times New Roman" w:cs="Times New Roman"/>
                <w:sz w:val="24"/>
                <w:szCs w:val="24"/>
                <w:shd w:val="clear" w:color="auto" w:fill="FFFFFF"/>
              </w:rPr>
              <w:t>;</w:t>
            </w:r>
          </w:p>
          <w:p w14:paraId="27DE992F" w14:textId="6474A52C" w:rsidR="0018762B" w:rsidRPr="0018762B" w:rsidRDefault="0018762B" w:rsidP="0018762B">
            <w:pPr>
              <w:spacing w:line="240" w:lineRule="auto"/>
              <w:jc w:val="both"/>
              <w:rPr>
                <w:rStyle w:val="normaltextrun"/>
                <w:rFonts w:ascii="Times New Roman" w:hAnsi="Times New Roman" w:cs="Times New Roman"/>
                <w:sz w:val="24"/>
                <w:szCs w:val="24"/>
                <w:shd w:val="clear" w:color="auto" w:fill="FFFFFF"/>
              </w:rPr>
            </w:pPr>
            <w:r w:rsidRPr="0018762B">
              <w:rPr>
                <w:rStyle w:val="normaltextrun"/>
                <w:rFonts w:ascii="Times New Roman" w:hAnsi="Times New Roman" w:cs="Times New Roman"/>
                <w:strike/>
                <w:sz w:val="24"/>
                <w:szCs w:val="24"/>
                <w:shd w:val="clear" w:color="auto" w:fill="FFFFFF"/>
              </w:rPr>
              <w:t>10</w:t>
            </w:r>
            <w:r>
              <w:rPr>
                <w:rStyle w:val="normaltextrun"/>
                <w:rFonts w:ascii="Times New Roman" w:hAnsi="Times New Roman" w:cs="Times New Roman"/>
                <w:strike/>
                <w:sz w:val="24"/>
                <w:szCs w:val="24"/>
                <w:shd w:val="clear" w:color="auto" w:fill="FFFFFF"/>
              </w:rPr>
              <w:t xml:space="preserve"> </w:t>
            </w:r>
            <w:r w:rsidRPr="0018762B">
              <w:rPr>
                <w:rStyle w:val="normaltextrun"/>
                <w:rFonts w:ascii="Times New Roman" w:hAnsi="Times New Roman" w:cs="Times New Roman"/>
                <w:b/>
                <w:sz w:val="24"/>
                <w:szCs w:val="24"/>
                <w:shd w:val="clear" w:color="auto" w:fill="FFFFFF"/>
              </w:rPr>
              <w:t>11</w:t>
            </w:r>
            <w:r w:rsidRPr="0018762B">
              <w:rPr>
                <w:rStyle w:val="normaltextrun"/>
                <w:rFonts w:ascii="Times New Roman" w:hAnsi="Times New Roman" w:cs="Times New Roman"/>
                <w:sz w:val="24"/>
                <w:szCs w:val="24"/>
                <w:shd w:val="clear" w:color="auto" w:fill="FFFFFF"/>
              </w:rPr>
              <w:t>) одиниці (групи) постачання РЗ мають бути приєднаними тільки до одного ОСП;</w:t>
            </w:r>
          </w:p>
          <w:p w14:paraId="48989724" w14:textId="69F17B66" w:rsidR="0018762B" w:rsidRPr="00DA0AF9" w:rsidRDefault="0018762B" w:rsidP="0018762B">
            <w:pPr>
              <w:spacing w:line="240" w:lineRule="auto"/>
              <w:jc w:val="both"/>
              <w:rPr>
                <w:rFonts w:ascii="Times New Roman" w:hAnsi="Times New Roman" w:cs="Times New Roman"/>
                <w:bCs/>
                <w:sz w:val="24"/>
                <w:szCs w:val="24"/>
                <w:u w:val="single"/>
              </w:rPr>
            </w:pPr>
            <w:r w:rsidRPr="0018762B">
              <w:rPr>
                <w:rStyle w:val="normaltextrun"/>
                <w:rFonts w:ascii="Times New Roman" w:hAnsi="Times New Roman" w:cs="Times New Roman"/>
                <w:strike/>
                <w:sz w:val="24"/>
                <w:szCs w:val="24"/>
                <w:shd w:val="clear" w:color="auto" w:fill="FFFFFF"/>
              </w:rPr>
              <w:t>11</w:t>
            </w:r>
            <w:r>
              <w:rPr>
                <w:rStyle w:val="normaltextrun"/>
                <w:rFonts w:ascii="Times New Roman" w:hAnsi="Times New Roman" w:cs="Times New Roman"/>
                <w:strike/>
                <w:sz w:val="24"/>
                <w:szCs w:val="24"/>
                <w:shd w:val="clear" w:color="auto" w:fill="FFFFFF"/>
              </w:rPr>
              <w:t xml:space="preserve"> </w:t>
            </w:r>
            <w:r w:rsidRPr="0018762B">
              <w:rPr>
                <w:rStyle w:val="normaltextrun"/>
                <w:rFonts w:ascii="Times New Roman" w:hAnsi="Times New Roman" w:cs="Times New Roman"/>
                <w:b/>
                <w:sz w:val="24"/>
                <w:szCs w:val="24"/>
                <w:shd w:val="clear" w:color="auto" w:fill="FFFFFF"/>
              </w:rPr>
              <w:t>12</w:t>
            </w:r>
            <w:r w:rsidRPr="0018762B">
              <w:rPr>
                <w:rStyle w:val="normaltextrun"/>
                <w:rFonts w:ascii="Times New Roman" w:hAnsi="Times New Roman" w:cs="Times New Roman"/>
                <w:sz w:val="24"/>
                <w:szCs w:val="24"/>
                <w:shd w:val="clear" w:color="auto" w:fill="FFFFFF"/>
              </w:rPr>
              <w:t>) активація третинного регулювання повинна відбуватися у відповідності до оперативної команди ОСП.</w:t>
            </w:r>
          </w:p>
        </w:tc>
      </w:tr>
    </w:tbl>
    <w:p w14:paraId="49FFB168" w14:textId="77777777" w:rsidR="00992494" w:rsidRPr="0018762B" w:rsidRDefault="00AB1E5E" w:rsidP="00660FDD">
      <w:pPr>
        <w:spacing w:before="120" w:after="120" w:line="240" w:lineRule="auto"/>
        <w:jc w:val="both"/>
        <w:rPr>
          <w:rFonts w:cstheme="minorHAnsi"/>
          <w:sz w:val="18"/>
          <w:szCs w:val="24"/>
        </w:rPr>
      </w:pPr>
    </w:p>
    <w:sectPr w:rsidR="00992494" w:rsidRPr="0018762B" w:rsidSect="00DA0AF9">
      <w:footerReference w:type="default" r:id="rId10"/>
      <w:pgSz w:w="16838" w:h="11906" w:orient="landscape" w:code="9"/>
      <w:pgMar w:top="567" w:right="1449" w:bottom="709"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14EEB6" w16cex:dateUtc="2022-04-27T17:48:00Z"/>
  <w16cex:commentExtensible w16cex:durableId="26151591" w16cex:dateUtc="2022-04-28T10:30:00Z"/>
  <w16cex:commentExtensible w16cex:durableId="2614EEB7" w16cex:dateUtc="2022-04-27T18:01:00Z"/>
  <w16cex:commentExtensible w16cex:durableId="2614EEB8" w16cex:dateUtc="2022-04-22T10:25:00Z"/>
  <w16cex:commentExtensible w16cex:durableId="2615178A" w16cex:dateUtc="2022-04-28T10:39:00Z"/>
  <w16cex:commentExtensible w16cex:durableId="26153AC8" w16cex:dateUtc="2022-04-28T13:09:00Z"/>
  <w16cex:commentExtensible w16cex:durableId="2614EEB9" w16cex:dateUtc="2022-04-27T18:11:00Z"/>
  <w16cex:commentExtensible w16cex:durableId="26153BA6" w16cex:dateUtc="2022-04-28T13:13:00Z"/>
  <w16cex:commentExtensible w16cex:durableId="2614EEBA" w16cex:dateUtc="2022-04-25T06:49:00Z"/>
  <w16cex:commentExtensible w16cex:durableId="26153BC4" w16cex:dateUtc="2022-04-28T13:13:00Z"/>
  <w16cex:commentExtensible w16cex:durableId="2614EEBC" w16cex:dateUtc="2022-04-25T07:19:00Z"/>
  <w16cex:commentExtensible w16cex:durableId="2614EEBD" w16cex:dateUtc="2022-04-27T18:16:00Z"/>
  <w16cex:commentExtensible w16cex:durableId="2614EEBE" w16cex:dateUtc="2022-04-25T07:2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39CFA8" w14:textId="77777777" w:rsidR="00EF77CF" w:rsidRDefault="00EF77CF" w:rsidP="00DD5554">
      <w:pPr>
        <w:spacing w:after="0" w:line="240" w:lineRule="auto"/>
      </w:pPr>
      <w:r>
        <w:separator/>
      </w:r>
    </w:p>
  </w:endnote>
  <w:endnote w:type="continuationSeparator" w:id="0">
    <w:p w14:paraId="701B4F06" w14:textId="77777777" w:rsidR="00EF77CF" w:rsidRDefault="00EF77CF" w:rsidP="00DD5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0494816"/>
      <w:docPartObj>
        <w:docPartGallery w:val="Page Numbers (Bottom of Page)"/>
        <w:docPartUnique/>
      </w:docPartObj>
    </w:sdtPr>
    <w:sdtEndPr/>
    <w:sdtContent>
      <w:p w14:paraId="3A1DB2AB" w14:textId="1D3828A9" w:rsidR="009D4045" w:rsidRDefault="009D4045" w:rsidP="00E573F0">
        <w:pPr>
          <w:pStyle w:val="a7"/>
          <w:jc w:val="center"/>
        </w:pPr>
        <w:r>
          <w:fldChar w:fldCharType="begin"/>
        </w:r>
        <w:r>
          <w:instrText>PAGE   \* MERGEFORMAT</w:instrText>
        </w:r>
        <w:r>
          <w:fldChar w:fldCharType="separate"/>
        </w:r>
        <w:r w:rsidR="006C2A7D">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FFA33B" w14:textId="77777777" w:rsidR="00EF77CF" w:rsidRDefault="00EF77CF" w:rsidP="00DD5554">
      <w:pPr>
        <w:spacing w:after="0" w:line="240" w:lineRule="auto"/>
      </w:pPr>
      <w:r>
        <w:separator/>
      </w:r>
    </w:p>
  </w:footnote>
  <w:footnote w:type="continuationSeparator" w:id="0">
    <w:p w14:paraId="343BAEE6" w14:textId="77777777" w:rsidR="00EF77CF" w:rsidRDefault="00EF77CF" w:rsidP="00DD55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AA5E7C"/>
    <w:multiLevelType w:val="hybridMultilevel"/>
    <w:tmpl w:val="282EDEFE"/>
    <w:lvl w:ilvl="0" w:tplc="040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D630F51"/>
    <w:multiLevelType w:val="hybridMultilevel"/>
    <w:tmpl w:val="AB3C96BC"/>
    <w:lvl w:ilvl="0" w:tplc="0409000F">
      <w:start w:val="1"/>
      <w:numFmt w:val="decimal"/>
      <w:lvlText w:val="%1."/>
      <w:lvlJc w:val="left"/>
      <w:pPr>
        <w:ind w:left="502" w:hanging="360"/>
      </w:p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A74"/>
    <w:rsid w:val="00015DA9"/>
    <w:rsid w:val="0005149C"/>
    <w:rsid w:val="00061BF6"/>
    <w:rsid w:val="00061F34"/>
    <w:rsid w:val="00077B6F"/>
    <w:rsid w:val="0008024B"/>
    <w:rsid w:val="0008362F"/>
    <w:rsid w:val="0009278B"/>
    <w:rsid w:val="00097A9D"/>
    <w:rsid w:val="000A0F05"/>
    <w:rsid w:val="000C0147"/>
    <w:rsid w:val="000E2B21"/>
    <w:rsid w:val="000E559A"/>
    <w:rsid w:val="000F0D3C"/>
    <w:rsid w:val="000F2A17"/>
    <w:rsid w:val="000F4798"/>
    <w:rsid w:val="000F7A81"/>
    <w:rsid w:val="000F7D3A"/>
    <w:rsid w:val="00100FDA"/>
    <w:rsid w:val="00113F1C"/>
    <w:rsid w:val="00117D1E"/>
    <w:rsid w:val="00117EF3"/>
    <w:rsid w:val="00124775"/>
    <w:rsid w:val="001260E9"/>
    <w:rsid w:val="0012692D"/>
    <w:rsid w:val="00141265"/>
    <w:rsid w:val="0014560F"/>
    <w:rsid w:val="001463F8"/>
    <w:rsid w:val="0015280B"/>
    <w:rsid w:val="0016027C"/>
    <w:rsid w:val="00172A52"/>
    <w:rsid w:val="0017733F"/>
    <w:rsid w:val="00177E1C"/>
    <w:rsid w:val="00177EFA"/>
    <w:rsid w:val="0018762B"/>
    <w:rsid w:val="00194760"/>
    <w:rsid w:val="001A2922"/>
    <w:rsid w:val="001B7360"/>
    <w:rsid w:val="001C432C"/>
    <w:rsid w:val="001F1116"/>
    <w:rsid w:val="001F3D36"/>
    <w:rsid w:val="001F3E84"/>
    <w:rsid w:val="00204367"/>
    <w:rsid w:val="00204F00"/>
    <w:rsid w:val="00206CE4"/>
    <w:rsid w:val="0021502A"/>
    <w:rsid w:val="0021771F"/>
    <w:rsid w:val="00221540"/>
    <w:rsid w:val="00221CB3"/>
    <w:rsid w:val="002253BD"/>
    <w:rsid w:val="002339F6"/>
    <w:rsid w:val="00235F8F"/>
    <w:rsid w:val="0024137E"/>
    <w:rsid w:val="00275AE1"/>
    <w:rsid w:val="00281A8E"/>
    <w:rsid w:val="00285484"/>
    <w:rsid w:val="002A6E5E"/>
    <w:rsid w:val="002C3717"/>
    <w:rsid w:val="002D4727"/>
    <w:rsid w:val="002E14BF"/>
    <w:rsid w:val="002F2C41"/>
    <w:rsid w:val="00306767"/>
    <w:rsid w:val="00321C92"/>
    <w:rsid w:val="003315B5"/>
    <w:rsid w:val="00333675"/>
    <w:rsid w:val="0034686E"/>
    <w:rsid w:val="00346FDA"/>
    <w:rsid w:val="00395E38"/>
    <w:rsid w:val="003B006D"/>
    <w:rsid w:val="003B101F"/>
    <w:rsid w:val="003B69E2"/>
    <w:rsid w:val="003C6DAF"/>
    <w:rsid w:val="004054F1"/>
    <w:rsid w:val="00442CD1"/>
    <w:rsid w:val="00443FCF"/>
    <w:rsid w:val="0045301C"/>
    <w:rsid w:val="004549CA"/>
    <w:rsid w:val="004734DA"/>
    <w:rsid w:val="004803FA"/>
    <w:rsid w:val="00495F1B"/>
    <w:rsid w:val="004A24A5"/>
    <w:rsid w:val="004B3296"/>
    <w:rsid w:val="004B4DD7"/>
    <w:rsid w:val="004D1F3A"/>
    <w:rsid w:val="004D3BEF"/>
    <w:rsid w:val="004E1C15"/>
    <w:rsid w:val="0050017D"/>
    <w:rsid w:val="00516C88"/>
    <w:rsid w:val="0051755A"/>
    <w:rsid w:val="00520223"/>
    <w:rsid w:val="00520E67"/>
    <w:rsid w:val="0052183A"/>
    <w:rsid w:val="0052772F"/>
    <w:rsid w:val="005301DF"/>
    <w:rsid w:val="00534020"/>
    <w:rsid w:val="00565A9C"/>
    <w:rsid w:val="00566203"/>
    <w:rsid w:val="005662A8"/>
    <w:rsid w:val="005708DE"/>
    <w:rsid w:val="00575952"/>
    <w:rsid w:val="00591AE1"/>
    <w:rsid w:val="005A3185"/>
    <w:rsid w:val="005C6CCB"/>
    <w:rsid w:val="005E7F4C"/>
    <w:rsid w:val="005F14AA"/>
    <w:rsid w:val="005F2280"/>
    <w:rsid w:val="005F7F41"/>
    <w:rsid w:val="00613782"/>
    <w:rsid w:val="00660FDD"/>
    <w:rsid w:val="00665172"/>
    <w:rsid w:val="00666049"/>
    <w:rsid w:val="00672326"/>
    <w:rsid w:val="0067555A"/>
    <w:rsid w:val="00685790"/>
    <w:rsid w:val="00686014"/>
    <w:rsid w:val="006A4D5D"/>
    <w:rsid w:val="006C225C"/>
    <w:rsid w:val="006C2A7D"/>
    <w:rsid w:val="006C2D25"/>
    <w:rsid w:val="006D0525"/>
    <w:rsid w:val="006D1328"/>
    <w:rsid w:val="006E45B9"/>
    <w:rsid w:val="006F375E"/>
    <w:rsid w:val="006F6507"/>
    <w:rsid w:val="00700A94"/>
    <w:rsid w:val="007065A7"/>
    <w:rsid w:val="00715EB0"/>
    <w:rsid w:val="00720614"/>
    <w:rsid w:val="00726C08"/>
    <w:rsid w:val="00733C83"/>
    <w:rsid w:val="00741872"/>
    <w:rsid w:val="00751781"/>
    <w:rsid w:val="00752229"/>
    <w:rsid w:val="00753C0C"/>
    <w:rsid w:val="007602CA"/>
    <w:rsid w:val="007645F7"/>
    <w:rsid w:val="0076494B"/>
    <w:rsid w:val="007650DD"/>
    <w:rsid w:val="00765C6C"/>
    <w:rsid w:val="007742EF"/>
    <w:rsid w:val="007D6802"/>
    <w:rsid w:val="007E61BD"/>
    <w:rsid w:val="007F10FA"/>
    <w:rsid w:val="007F7980"/>
    <w:rsid w:val="0080242C"/>
    <w:rsid w:val="008064FC"/>
    <w:rsid w:val="00817D08"/>
    <w:rsid w:val="008255F5"/>
    <w:rsid w:val="00834477"/>
    <w:rsid w:val="008445F8"/>
    <w:rsid w:val="00873C0E"/>
    <w:rsid w:val="008856FC"/>
    <w:rsid w:val="008923D5"/>
    <w:rsid w:val="008938E3"/>
    <w:rsid w:val="008B767F"/>
    <w:rsid w:val="008C6094"/>
    <w:rsid w:val="008D7625"/>
    <w:rsid w:val="008E00C8"/>
    <w:rsid w:val="008F3D04"/>
    <w:rsid w:val="008F4A07"/>
    <w:rsid w:val="00900502"/>
    <w:rsid w:val="009040F1"/>
    <w:rsid w:val="009234D3"/>
    <w:rsid w:val="009443EF"/>
    <w:rsid w:val="00950A15"/>
    <w:rsid w:val="00952E2C"/>
    <w:rsid w:val="0095414B"/>
    <w:rsid w:val="009542AF"/>
    <w:rsid w:val="00954FC3"/>
    <w:rsid w:val="00964B15"/>
    <w:rsid w:val="00966396"/>
    <w:rsid w:val="00973CB4"/>
    <w:rsid w:val="00976C82"/>
    <w:rsid w:val="009A1DEA"/>
    <w:rsid w:val="009B07D9"/>
    <w:rsid w:val="009B3180"/>
    <w:rsid w:val="009D1D41"/>
    <w:rsid w:val="009D3500"/>
    <w:rsid w:val="009D4045"/>
    <w:rsid w:val="009E2857"/>
    <w:rsid w:val="009F0765"/>
    <w:rsid w:val="00A004DC"/>
    <w:rsid w:val="00A06944"/>
    <w:rsid w:val="00A07815"/>
    <w:rsid w:val="00A151D3"/>
    <w:rsid w:val="00A3136D"/>
    <w:rsid w:val="00A47F40"/>
    <w:rsid w:val="00A507BB"/>
    <w:rsid w:val="00A64A93"/>
    <w:rsid w:val="00A670A7"/>
    <w:rsid w:val="00A71732"/>
    <w:rsid w:val="00A72C46"/>
    <w:rsid w:val="00AA1B37"/>
    <w:rsid w:val="00AA71D5"/>
    <w:rsid w:val="00AA79F7"/>
    <w:rsid w:val="00AB013F"/>
    <w:rsid w:val="00AB1E5E"/>
    <w:rsid w:val="00AB4E22"/>
    <w:rsid w:val="00AB5547"/>
    <w:rsid w:val="00AC2ADB"/>
    <w:rsid w:val="00AC2F7F"/>
    <w:rsid w:val="00AC5303"/>
    <w:rsid w:val="00AD2819"/>
    <w:rsid w:val="00AD4CE6"/>
    <w:rsid w:val="00AE06ED"/>
    <w:rsid w:val="00AE2B77"/>
    <w:rsid w:val="00AF12CC"/>
    <w:rsid w:val="00AF55DC"/>
    <w:rsid w:val="00B02D5C"/>
    <w:rsid w:val="00B03E66"/>
    <w:rsid w:val="00B41621"/>
    <w:rsid w:val="00B50025"/>
    <w:rsid w:val="00B96DAB"/>
    <w:rsid w:val="00BA3E04"/>
    <w:rsid w:val="00BB5C34"/>
    <w:rsid w:val="00BC6B35"/>
    <w:rsid w:val="00BD7B4A"/>
    <w:rsid w:val="00BE175C"/>
    <w:rsid w:val="00BE78CB"/>
    <w:rsid w:val="00BE7CA9"/>
    <w:rsid w:val="00BF53D2"/>
    <w:rsid w:val="00C02C1D"/>
    <w:rsid w:val="00C11A74"/>
    <w:rsid w:val="00C17BE6"/>
    <w:rsid w:val="00C22AD9"/>
    <w:rsid w:val="00C30C98"/>
    <w:rsid w:val="00C3522A"/>
    <w:rsid w:val="00C36B59"/>
    <w:rsid w:val="00C62E8E"/>
    <w:rsid w:val="00C66972"/>
    <w:rsid w:val="00C66C1C"/>
    <w:rsid w:val="00C677DA"/>
    <w:rsid w:val="00C8471F"/>
    <w:rsid w:val="00C92CBF"/>
    <w:rsid w:val="00C95CC6"/>
    <w:rsid w:val="00CB4514"/>
    <w:rsid w:val="00CB6023"/>
    <w:rsid w:val="00CD1465"/>
    <w:rsid w:val="00CF06FD"/>
    <w:rsid w:val="00CF0DE6"/>
    <w:rsid w:val="00CF4D67"/>
    <w:rsid w:val="00D10941"/>
    <w:rsid w:val="00D143A1"/>
    <w:rsid w:val="00D14F67"/>
    <w:rsid w:val="00D15D7B"/>
    <w:rsid w:val="00D313D1"/>
    <w:rsid w:val="00D34BBB"/>
    <w:rsid w:val="00D3550F"/>
    <w:rsid w:val="00D5046A"/>
    <w:rsid w:val="00D51C1E"/>
    <w:rsid w:val="00D53A63"/>
    <w:rsid w:val="00D62068"/>
    <w:rsid w:val="00D76C5A"/>
    <w:rsid w:val="00D87C53"/>
    <w:rsid w:val="00D914E0"/>
    <w:rsid w:val="00DA0AF9"/>
    <w:rsid w:val="00DA21EB"/>
    <w:rsid w:val="00DA2F07"/>
    <w:rsid w:val="00DC111F"/>
    <w:rsid w:val="00DC341E"/>
    <w:rsid w:val="00DC75A7"/>
    <w:rsid w:val="00DD1D94"/>
    <w:rsid w:val="00DD5554"/>
    <w:rsid w:val="00DE6435"/>
    <w:rsid w:val="00DF46C7"/>
    <w:rsid w:val="00E145F0"/>
    <w:rsid w:val="00E24827"/>
    <w:rsid w:val="00E25930"/>
    <w:rsid w:val="00E27830"/>
    <w:rsid w:val="00E40720"/>
    <w:rsid w:val="00E5537F"/>
    <w:rsid w:val="00E554DA"/>
    <w:rsid w:val="00E55DBF"/>
    <w:rsid w:val="00E573F0"/>
    <w:rsid w:val="00E62D9D"/>
    <w:rsid w:val="00E63322"/>
    <w:rsid w:val="00E63A13"/>
    <w:rsid w:val="00E67742"/>
    <w:rsid w:val="00E72220"/>
    <w:rsid w:val="00E73115"/>
    <w:rsid w:val="00E74536"/>
    <w:rsid w:val="00E91C12"/>
    <w:rsid w:val="00E91FDA"/>
    <w:rsid w:val="00E95303"/>
    <w:rsid w:val="00E97DAE"/>
    <w:rsid w:val="00EA1305"/>
    <w:rsid w:val="00EC7F04"/>
    <w:rsid w:val="00ED264A"/>
    <w:rsid w:val="00ED2B86"/>
    <w:rsid w:val="00EE1D04"/>
    <w:rsid w:val="00EE5F73"/>
    <w:rsid w:val="00EE71AC"/>
    <w:rsid w:val="00EE77A3"/>
    <w:rsid w:val="00EF77CF"/>
    <w:rsid w:val="00F14278"/>
    <w:rsid w:val="00F162B9"/>
    <w:rsid w:val="00F22D07"/>
    <w:rsid w:val="00F41B9A"/>
    <w:rsid w:val="00F50AF4"/>
    <w:rsid w:val="00F52295"/>
    <w:rsid w:val="00F675C4"/>
    <w:rsid w:val="00F72F96"/>
    <w:rsid w:val="00F75A72"/>
    <w:rsid w:val="00F762FB"/>
    <w:rsid w:val="00F8463E"/>
    <w:rsid w:val="00F92FB2"/>
    <w:rsid w:val="00F94C1E"/>
    <w:rsid w:val="00FB044E"/>
    <w:rsid w:val="00FC36E2"/>
    <w:rsid w:val="00FC6D26"/>
    <w:rsid w:val="00FF7DBF"/>
    <w:rsid w:val="34B84F66"/>
    <w:rsid w:val="4AFE0428"/>
    <w:rsid w:val="73396D70"/>
  </w:rsids>
  <m:mathPr>
    <m:mathFont m:val="Cambria Math"/>
    <m:brkBin m:val="before"/>
    <m:brkBinSub m:val="--"/>
    <m:smallFrac m:val="0"/>
    <m:dispDef/>
    <m:lMargin m:val="0"/>
    <m:rMargin m:val="0"/>
    <m:defJc m:val="centerGroup"/>
    <m:wrapIndent m:val="1440"/>
    <m:intLim m:val="subSup"/>
    <m:naryLim m:val="undOvr"/>
  </m:mathPr>
  <w:themeFontLang w:val="uk-UA"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CD7A0A0"/>
  <w15:docId w15:val="{62A97BE4-F772-4992-BFAD-23E096FE0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11A74"/>
    <w:pPr>
      <w:spacing w:line="256" w:lineRule="auto"/>
    </w:pPr>
  </w:style>
  <w:style w:type="paragraph" w:styleId="3">
    <w:name w:val="heading 3"/>
    <w:basedOn w:val="a"/>
    <w:link w:val="30"/>
    <w:uiPriority w:val="9"/>
    <w:qFormat/>
    <w:rsid w:val="00EE5F73"/>
    <w:pPr>
      <w:spacing w:before="100" w:beforeAutospacing="1" w:after="100" w:afterAutospacing="1" w:line="240" w:lineRule="auto"/>
      <w:outlineLvl w:val="2"/>
    </w:pPr>
    <w:rPr>
      <w:rFonts w:ascii="Times New Roman" w:eastAsia="Times New Roman" w:hAnsi="Times New Roman" w:cs="Times New Roman"/>
      <w:b/>
      <w:bCs/>
      <w:sz w:val="27"/>
      <w:szCs w:val="27"/>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11A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a"/>
    <w:rsid w:val="00BE175C"/>
    <w:pPr>
      <w:spacing w:after="0" w:line="240" w:lineRule="auto"/>
    </w:pPr>
    <w:rPr>
      <w:rFonts w:ascii="Times New Roman" w:hAnsi="Times New Roman" w:cs="Times New Roman"/>
      <w:sz w:val="24"/>
      <w:szCs w:val="24"/>
      <w:lang w:eastAsia="uk-UA"/>
    </w:rPr>
  </w:style>
  <w:style w:type="character" w:customStyle="1" w:styleId="30">
    <w:name w:val="Заголовок 3 Знак"/>
    <w:basedOn w:val="a0"/>
    <w:link w:val="3"/>
    <w:uiPriority w:val="9"/>
    <w:rsid w:val="00EE5F73"/>
    <w:rPr>
      <w:rFonts w:ascii="Times New Roman" w:eastAsia="Times New Roman" w:hAnsi="Times New Roman" w:cs="Times New Roman"/>
      <w:b/>
      <w:bCs/>
      <w:sz w:val="27"/>
      <w:szCs w:val="27"/>
      <w:lang w:val="uk-UA" w:eastAsia="zh-CN" w:bidi="hi-IN"/>
    </w:rPr>
  </w:style>
  <w:style w:type="character" w:styleId="a4">
    <w:name w:val="Hyperlink"/>
    <w:basedOn w:val="a0"/>
    <w:uiPriority w:val="99"/>
    <w:semiHidden/>
    <w:unhideWhenUsed/>
    <w:rsid w:val="00EE5F73"/>
    <w:rPr>
      <w:color w:val="0000FF"/>
      <w:u w:val="single"/>
    </w:rPr>
  </w:style>
  <w:style w:type="paragraph" w:styleId="a5">
    <w:name w:val="header"/>
    <w:basedOn w:val="a"/>
    <w:link w:val="a6"/>
    <w:uiPriority w:val="99"/>
    <w:unhideWhenUsed/>
    <w:rsid w:val="00DD5554"/>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DD5554"/>
  </w:style>
  <w:style w:type="paragraph" w:styleId="a7">
    <w:name w:val="footer"/>
    <w:basedOn w:val="a"/>
    <w:link w:val="a8"/>
    <w:uiPriority w:val="99"/>
    <w:unhideWhenUsed/>
    <w:rsid w:val="00DD5554"/>
    <w:pPr>
      <w:tabs>
        <w:tab w:val="center" w:pos="4819"/>
        <w:tab w:val="right" w:pos="9639"/>
      </w:tabs>
      <w:spacing w:after="0" w:line="240" w:lineRule="auto"/>
    </w:pPr>
  </w:style>
  <w:style w:type="character" w:customStyle="1" w:styleId="a8">
    <w:name w:val="Нижній колонтитул Знак"/>
    <w:basedOn w:val="a0"/>
    <w:link w:val="a7"/>
    <w:uiPriority w:val="99"/>
    <w:rsid w:val="00DD5554"/>
  </w:style>
  <w:style w:type="paragraph" w:styleId="a9">
    <w:name w:val="List Paragraph"/>
    <w:aliases w:val="Number Bullets,Felsorolas,List Paragraph"/>
    <w:basedOn w:val="a"/>
    <w:link w:val="aa"/>
    <w:uiPriority w:val="34"/>
    <w:qFormat/>
    <w:rsid w:val="000A0F05"/>
    <w:pPr>
      <w:ind w:left="720"/>
      <w:contextualSpacing/>
    </w:pPr>
  </w:style>
  <w:style w:type="character" w:customStyle="1" w:styleId="aa">
    <w:name w:val="Абзац списку Знак"/>
    <w:aliases w:val="Number Bullets Знак,Felsorolas Знак,List Paragraph Знак"/>
    <w:link w:val="a9"/>
    <w:uiPriority w:val="34"/>
    <w:locked/>
    <w:rsid w:val="00A3136D"/>
  </w:style>
  <w:style w:type="character" w:styleId="ab">
    <w:name w:val="Strong"/>
    <w:basedOn w:val="a0"/>
    <w:uiPriority w:val="22"/>
    <w:qFormat/>
    <w:rsid w:val="00A3136D"/>
    <w:rPr>
      <w:b/>
      <w:bCs/>
    </w:rPr>
  </w:style>
  <w:style w:type="character" w:styleId="ac">
    <w:name w:val="annotation reference"/>
    <w:basedOn w:val="a0"/>
    <w:uiPriority w:val="99"/>
    <w:semiHidden/>
    <w:unhideWhenUsed/>
    <w:rsid w:val="00097A9D"/>
    <w:rPr>
      <w:sz w:val="16"/>
      <w:szCs w:val="16"/>
    </w:rPr>
  </w:style>
  <w:style w:type="paragraph" w:styleId="ad">
    <w:name w:val="annotation text"/>
    <w:basedOn w:val="a"/>
    <w:link w:val="ae"/>
    <w:uiPriority w:val="99"/>
    <w:unhideWhenUsed/>
    <w:rsid w:val="00097A9D"/>
    <w:pPr>
      <w:spacing w:line="240" w:lineRule="auto"/>
    </w:pPr>
    <w:rPr>
      <w:sz w:val="20"/>
      <w:szCs w:val="20"/>
    </w:rPr>
  </w:style>
  <w:style w:type="character" w:customStyle="1" w:styleId="ae">
    <w:name w:val="Текст примітки Знак"/>
    <w:basedOn w:val="a0"/>
    <w:link w:val="ad"/>
    <w:uiPriority w:val="99"/>
    <w:rsid w:val="00097A9D"/>
    <w:rPr>
      <w:sz w:val="20"/>
      <w:szCs w:val="20"/>
    </w:rPr>
  </w:style>
  <w:style w:type="paragraph" w:styleId="af">
    <w:name w:val="annotation subject"/>
    <w:basedOn w:val="ad"/>
    <w:next w:val="ad"/>
    <w:link w:val="af0"/>
    <w:uiPriority w:val="99"/>
    <w:semiHidden/>
    <w:unhideWhenUsed/>
    <w:rsid w:val="00097A9D"/>
    <w:rPr>
      <w:b/>
      <w:bCs/>
    </w:rPr>
  </w:style>
  <w:style w:type="character" w:customStyle="1" w:styleId="af0">
    <w:name w:val="Тема примітки Знак"/>
    <w:basedOn w:val="ae"/>
    <w:link w:val="af"/>
    <w:uiPriority w:val="99"/>
    <w:semiHidden/>
    <w:rsid w:val="00097A9D"/>
    <w:rPr>
      <w:b/>
      <w:bCs/>
      <w:sz w:val="20"/>
      <w:szCs w:val="20"/>
    </w:rPr>
  </w:style>
  <w:style w:type="paragraph" w:styleId="af1">
    <w:name w:val="Balloon Text"/>
    <w:basedOn w:val="a"/>
    <w:link w:val="af2"/>
    <w:uiPriority w:val="99"/>
    <w:semiHidden/>
    <w:unhideWhenUsed/>
    <w:rsid w:val="00097A9D"/>
    <w:pPr>
      <w:spacing w:after="0" w:line="240" w:lineRule="auto"/>
    </w:pPr>
    <w:rPr>
      <w:rFonts w:ascii="Segoe UI" w:hAnsi="Segoe UI" w:cs="Segoe UI"/>
      <w:sz w:val="18"/>
      <w:szCs w:val="18"/>
    </w:rPr>
  </w:style>
  <w:style w:type="character" w:customStyle="1" w:styleId="af2">
    <w:name w:val="Текст у виносці Знак"/>
    <w:basedOn w:val="a0"/>
    <w:link w:val="af1"/>
    <w:uiPriority w:val="99"/>
    <w:semiHidden/>
    <w:rsid w:val="00097A9D"/>
    <w:rPr>
      <w:rFonts w:ascii="Segoe UI" w:hAnsi="Segoe UI" w:cs="Segoe UI"/>
      <w:sz w:val="18"/>
      <w:szCs w:val="18"/>
    </w:rPr>
  </w:style>
  <w:style w:type="paragraph" w:customStyle="1" w:styleId="xxmsonormal">
    <w:name w:val="x_x_msonormal"/>
    <w:basedOn w:val="a"/>
    <w:rsid w:val="0067232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st42">
    <w:name w:val="st42"/>
    <w:uiPriority w:val="99"/>
    <w:rsid w:val="00DD1D94"/>
    <w:rPr>
      <w:color w:val="000000"/>
    </w:rPr>
  </w:style>
  <w:style w:type="paragraph" w:customStyle="1" w:styleId="rvps2">
    <w:name w:val="rvps2"/>
    <w:basedOn w:val="a"/>
    <w:rsid w:val="00DD1D9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normaltextrun">
    <w:name w:val="normaltextrun"/>
    <w:basedOn w:val="a0"/>
    <w:rsid w:val="00DD1D94"/>
  </w:style>
  <w:style w:type="paragraph" w:styleId="af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4"/>
    <w:uiPriority w:val="99"/>
    <w:unhideWhenUsed/>
    <w:rsid w:val="00DD1D9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4">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3"/>
    <w:uiPriority w:val="99"/>
    <w:rsid w:val="00DD1D94"/>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8859610">
      <w:bodyDiv w:val="1"/>
      <w:marLeft w:val="0"/>
      <w:marRight w:val="0"/>
      <w:marTop w:val="0"/>
      <w:marBottom w:val="0"/>
      <w:divBdr>
        <w:top w:val="none" w:sz="0" w:space="0" w:color="auto"/>
        <w:left w:val="none" w:sz="0" w:space="0" w:color="auto"/>
        <w:bottom w:val="none" w:sz="0" w:space="0" w:color="auto"/>
        <w:right w:val="none" w:sz="0" w:space="0" w:color="auto"/>
      </w:divBdr>
      <w:divsChild>
        <w:div w:id="416173965">
          <w:marLeft w:val="0"/>
          <w:marRight w:val="0"/>
          <w:marTop w:val="150"/>
          <w:marBottom w:val="150"/>
          <w:divBdr>
            <w:top w:val="none" w:sz="0" w:space="0" w:color="auto"/>
            <w:left w:val="none" w:sz="0" w:space="0" w:color="auto"/>
            <w:bottom w:val="none" w:sz="0" w:space="0" w:color="auto"/>
            <w:right w:val="none" w:sz="0" w:space="0" w:color="auto"/>
          </w:divBdr>
        </w:div>
        <w:div w:id="2116559698">
          <w:marLeft w:val="0"/>
          <w:marRight w:val="0"/>
          <w:marTop w:val="0"/>
          <w:marBottom w:val="150"/>
          <w:divBdr>
            <w:top w:val="none" w:sz="0" w:space="0" w:color="auto"/>
            <w:left w:val="none" w:sz="0" w:space="0" w:color="auto"/>
            <w:bottom w:val="none" w:sz="0" w:space="0" w:color="auto"/>
            <w:right w:val="none" w:sz="0" w:space="0" w:color="auto"/>
          </w:divBdr>
        </w:div>
        <w:div w:id="547230904">
          <w:marLeft w:val="0"/>
          <w:marRight w:val="0"/>
          <w:marTop w:val="0"/>
          <w:marBottom w:val="150"/>
          <w:divBdr>
            <w:top w:val="none" w:sz="0" w:space="0" w:color="auto"/>
            <w:left w:val="none" w:sz="0" w:space="0" w:color="auto"/>
            <w:bottom w:val="none" w:sz="0" w:space="0" w:color="auto"/>
            <w:right w:val="none" w:sz="0" w:space="0" w:color="auto"/>
          </w:divBdr>
        </w:div>
        <w:div w:id="2018802845">
          <w:marLeft w:val="0"/>
          <w:marRight w:val="0"/>
          <w:marTop w:val="0"/>
          <w:marBottom w:val="150"/>
          <w:divBdr>
            <w:top w:val="none" w:sz="0" w:space="0" w:color="auto"/>
            <w:left w:val="none" w:sz="0" w:space="0" w:color="auto"/>
            <w:bottom w:val="none" w:sz="0" w:space="0" w:color="auto"/>
            <w:right w:val="none" w:sz="0" w:space="0" w:color="auto"/>
          </w:divBdr>
        </w:div>
        <w:div w:id="902562668">
          <w:marLeft w:val="0"/>
          <w:marRight w:val="0"/>
          <w:marTop w:val="0"/>
          <w:marBottom w:val="150"/>
          <w:divBdr>
            <w:top w:val="none" w:sz="0" w:space="0" w:color="auto"/>
            <w:left w:val="none" w:sz="0" w:space="0" w:color="auto"/>
            <w:bottom w:val="none" w:sz="0" w:space="0" w:color="auto"/>
            <w:right w:val="none" w:sz="0" w:space="0" w:color="auto"/>
          </w:divBdr>
        </w:div>
        <w:div w:id="1181352141">
          <w:marLeft w:val="0"/>
          <w:marRight w:val="0"/>
          <w:marTop w:val="0"/>
          <w:marBottom w:val="150"/>
          <w:divBdr>
            <w:top w:val="none" w:sz="0" w:space="0" w:color="auto"/>
            <w:left w:val="none" w:sz="0" w:space="0" w:color="auto"/>
            <w:bottom w:val="none" w:sz="0" w:space="0" w:color="auto"/>
            <w:right w:val="none" w:sz="0" w:space="0" w:color="auto"/>
          </w:divBdr>
        </w:div>
        <w:div w:id="1509295234">
          <w:marLeft w:val="0"/>
          <w:marRight w:val="0"/>
          <w:marTop w:val="0"/>
          <w:marBottom w:val="150"/>
          <w:divBdr>
            <w:top w:val="none" w:sz="0" w:space="0" w:color="auto"/>
            <w:left w:val="none" w:sz="0" w:space="0" w:color="auto"/>
            <w:bottom w:val="none" w:sz="0" w:space="0" w:color="auto"/>
            <w:right w:val="none" w:sz="0" w:space="0" w:color="auto"/>
          </w:divBdr>
        </w:div>
        <w:div w:id="1787581314">
          <w:marLeft w:val="0"/>
          <w:marRight w:val="0"/>
          <w:marTop w:val="0"/>
          <w:marBottom w:val="150"/>
          <w:divBdr>
            <w:top w:val="none" w:sz="0" w:space="0" w:color="auto"/>
            <w:left w:val="none" w:sz="0" w:space="0" w:color="auto"/>
            <w:bottom w:val="none" w:sz="0" w:space="0" w:color="auto"/>
            <w:right w:val="none" w:sz="0" w:space="0" w:color="auto"/>
          </w:divBdr>
        </w:div>
        <w:div w:id="1992170101">
          <w:marLeft w:val="0"/>
          <w:marRight w:val="0"/>
          <w:marTop w:val="0"/>
          <w:marBottom w:val="150"/>
          <w:divBdr>
            <w:top w:val="none" w:sz="0" w:space="0" w:color="auto"/>
            <w:left w:val="none" w:sz="0" w:space="0" w:color="auto"/>
            <w:bottom w:val="none" w:sz="0" w:space="0" w:color="auto"/>
            <w:right w:val="none" w:sz="0" w:space="0" w:color="auto"/>
          </w:divBdr>
        </w:div>
        <w:div w:id="14113763">
          <w:marLeft w:val="0"/>
          <w:marRight w:val="0"/>
          <w:marTop w:val="0"/>
          <w:marBottom w:val="150"/>
          <w:divBdr>
            <w:top w:val="none" w:sz="0" w:space="0" w:color="auto"/>
            <w:left w:val="none" w:sz="0" w:space="0" w:color="auto"/>
            <w:bottom w:val="none" w:sz="0" w:space="0" w:color="auto"/>
            <w:right w:val="none" w:sz="0" w:space="0" w:color="auto"/>
          </w:divBdr>
        </w:div>
        <w:div w:id="35857538">
          <w:marLeft w:val="0"/>
          <w:marRight w:val="0"/>
          <w:marTop w:val="0"/>
          <w:marBottom w:val="150"/>
          <w:divBdr>
            <w:top w:val="none" w:sz="0" w:space="0" w:color="auto"/>
            <w:left w:val="none" w:sz="0" w:space="0" w:color="auto"/>
            <w:bottom w:val="none" w:sz="0" w:space="0" w:color="auto"/>
            <w:right w:val="none" w:sz="0" w:space="0" w:color="auto"/>
          </w:divBdr>
        </w:div>
        <w:div w:id="1911191932">
          <w:marLeft w:val="0"/>
          <w:marRight w:val="0"/>
          <w:marTop w:val="0"/>
          <w:marBottom w:val="150"/>
          <w:divBdr>
            <w:top w:val="none" w:sz="0" w:space="0" w:color="auto"/>
            <w:left w:val="none" w:sz="0" w:space="0" w:color="auto"/>
            <w:bottom w:val="none" w:sz="0" w:space="0" w:color="auto"/>
            <w:right w:val="none" w:sz="0" w:space="0" w:color="auto"/>
          </w:divBdr>
        </w:div>
        <w:div w:id="1776750598">
          <w:marLeft w:val="0"/>
          <w:marRight w:val="0"/>
          <w:marTop w:val="0"/>
          <w:marBottom w:val="150"/>
          <w:divBdr>
            <w:top w:val="none" w:sz="0" w:space="0" w:color="auto"/>
            <w:left w:val="none" w:sz="0" w:space="0" w:color="auto"/>
            <w:bottom w:val="none" w:sz="0" w:space="0" w:color="auto"/>
            <w:right w:val="none" w:sz="0" w:space="0" w:color="auto"/>
          </w:divBdr>
        </w:div>
        <w:div w:id="328875692">
          <w:marLeft w:val="0"/>
          <w:marRight w:val="0"/>
          <w:marTop w:val="150"/>
          <w:marBottom w:val="150"/>
          <w:divBdr>
            <w:top w:val="none" w:sz="0" w:space="0" w:color="auto"/>
            <w:left w:val="none" w:sz="0" w:space="0" w:color="auto"/>
            <w:bottom w:val="none" w:sz="0" w:space="0" w:color="auto"/>
            <w:right w:val="none" w:sz="0" w:space="0" w:color="auto"/>
          </w:divBdr>
        </w:div>
        <w:div w:id="351300476">
          <w:marLeft w:val="0"/>
          <w:marRight w:val="0"/>
          <w:marTop w:val="0"/>
          <w:marBottom w:val="150"/>
          <w:divBdr>
            <w:top w:val="none" w:sz="0" w:space="0" w:color="auto"/>
            <w:left w:val="none" w:sz="0" w:space="0" w:color="auto"/>
            <w:bottom w:val="none" w:sz="0" w:space="0" w:color="auto"/>
            <w:right w:val="none" w:sz="0" w:space="0" w:color="auto"/>
          </w:divBdr>
        </w:div>
        <w:div w:id="399401933">
          <w:marLeft w:val="0"/>
          <w:marRight w:val="0"/>
          <w:marTop w:val="0"/>
          <w:marBottom w:val="150"/>
          <w:divBdr>
            <w:top w:val="none" w:sz="0" w:space="0" w:color="auto"/>
            <w:left w:val="none" w:sz="0" w:space="0" w:color="auto"/>
            <w:bottom w:val="none" w:sz="0" w:space="0" w:color="auto"/>
            <w:right w:val="none" w:sz="0" w:space="0" w:color="auto"/>
          </w:divBdr>
        </w:div>
        <w:div w:id="983850686">
          <w:marLeft w:val="0"/>
          <w:marRight w:val="0"/>
          <w:marTop w:val="0"/>
          <w:marBottom w:val="150"/>
          <w:divBdr>
            <w:top w:val="none" w:sz="0" w:space="0" w:color="auto"/>
            <w:left w:val="none" w:sz="0" w:space="0" w:color="auto"/>
            <w:bottom w:val="none" w:sz="0" w:space="0" w:color="auto"/>
            <w:right w:val="none" w:sz="0" w:space="0" w:color="auto"/>
          </w:divBdr>
        </w:div>
        <w:div w:id="1358774023">
          <w:marLeft w:val="0"/>
          <w:marRight w:val="0"/>
          <w:marTop w:val="0"/>
          <w:marBottom w:val="150"/>
          <w:divBdr>
            <w:top w:val="none" w:sz="0" w:space="0" w:color="auto"/>
            <w:left w:val="none" w:sz="0" w:space="0" w:color="auto"/>
            <w:bottom w:val="none" w:sz="0" w:space="0" w:color="auto"/>
            <w:right w:val="none" w:sz="0" w:space="0" w:color="auto"/>
          </w:divBdr>
        </w:div>
        <w:div w:id="1492795319">
          <w:marLeft w:val="0"/>
          <w:marRight w:val="0"/>
          <w:marTop w:val="0"/>
          <w:marBottom w:val="150"/>
          <w:divBdr>
            <w:top w:val="none" w:sz="0" w:space="0" w:color="auto"/>
            <w:left w:val="none" w:sz="0" w:space="0" w:color="auto"/>
            <w:bottom w:val="none" w:sz="0" w:space="0" w:color="auto"/>
            <w:right w:val="none" w:sz="0" w:space="0" w:color="auto"/>
          </w:divBdr>
        </w:div>
        <w:div w:id="1563717201">
          <w:marLeft w:val="0"/>
          <w:marRight w:val="0"/>
          <w:marTop w:val="0"/>
          <w:marBottom w:val="150"/>
          <w:divBdr>
            <w:top w:val="none" w:sz="0" w:space="0" w:color="auto"/>
            <w:left w:val="none" w:sz="0" w:space="0" w:color="auto"/>
            <w:bottom w:val="none" w:sz="0" w:space="0" w:color="auto"/>
            <w:right w:val="none" w:sz="0" w:space="0" w:color="auto"/>
          </w:divBdr>
        </w:div>
        <w:div w:id="1456946783">
          <w:marLeft w:val="0"/>
          <w:marRight w:val="0"/>
          <w:marTop w:val="0"/>
          <w:marBottom w:val="150"/>
          <w:divBdr>
            <w:top w:val="none" w:sz="0" w:space="0" w:color="auto"/>
            <w:left w:val="none" w:sz="0" w:space="0" w:color="auto"/>
            <w:bottom w:val="none" w:sz="0" w:space="0" w:color="auto"/>
            <w:right w:val="none" w:sz="0" w:space="0" w:color="auto"/>
          </w:divBdr>
        </w:div>
        <w:div w:id="573274190">
          <w:marLeft w:val="0"/>
          <w:marRight w:val="0"/>
          <w:marTop w:val="0"/>
          <w:marBottom w:val="150"/>
          <w:divBdr>
            <w:top w:val="none" w:sz="0" w:space="0" w:color="auto"/>
            <w:left w:val="none" w:sz="0" w:space="0" w:color="auto"/>
            <w:bottom w:val="none" w:sz="0" w:space="0" w:color="auto"/>
            <w:right w:val="none" w:sz="0" w:space="0" w:color="auto"/>
          </w:divBdr>
        </w:div>
        <w:div w:id="1079868700">
          <w:marLeft w:val="0"/>
          <w:marRight w:val="0"/>
          <w:marTop w:val="0"/>
          <w:marBottom w:val="150"/>
          <w:divBdr>
            <w:top w:val="none" w:sz="0" w:space="0" w:color="auto"/>
            <w:left w:val="none" w:sz="0" w:space="0" w:color="auto"/>
            <w:bottom w:val="none" w:sz="0" w:space="0" w:color="auto"/>
            <w:right w:val="none" w:sz="0" w:space="0" w:color="auto"/>
          </w:divBdr>
        </w:div>
        <w:div w:id="1788503032">
          <w:marLeft w:val="0"/>
          <w:marRight w:val="0"/>
          <w:marTop w:val="0"/>
          <w:marBottom w:val="150"/>
          <w:divBdr>
            <w:top w:val="none" w:sz="0" w:space="0" w:color="auto"/>
            <w:left w:val="none" w:sz="0" w:space="0" w:color="auto"/>
            <w:bottom w:val="none" w:sz="0" w:space="0" w:color="auto"/>
            <w:right w:val="none" w:sz="0" w:space="0" w:color="auto"/>
          </w:divBdr>
        </w:div>
        <w:div w:id="1527133446">
          <w:marLeft w:val="0"/>
          <w:marRight w:val="0"/>
          <w:marTop w:val="0"/>
          <w:marBottom w:val="150"/>
          <w:divBdr>
            <w:top w:val="none" w:sz="0" w:space="0" w:color="auto"/>
            <w:left w:val="none" w:sz="0" w:space="0" w:color="auto"/>
            <w:bottom w:val="none" w:sz="0" w:space="0" w:color="auto"/>
            <w:right w:val="none" w:sz="0" w:space="0" w:color="auto"/>
          </w:divBdr>
        </w:div>
        <w:div w:id="714233964">
          <w:marLeft w:val="0"/>
          <w:marRight w:val="0"/>
          <w:marTop w:val="0"/>
          <w:marBottom w:val="150"/>
          <w:divBdr>
            <w:top w:val="none" w:sz="0" w:space="0" w:color="auto"/>
            <w:left w:val="none" w:sz="0" w:space="0" w:color="auto"/>
            <w:bottom w:val="none" w:sz="0" w:space="0" w:color="auto"/>
            <w:right w:val="none" w:sz="0" w:space="0" w:color="auto"/>
          </w:divBdr>
        </w:div>
        <w:div w:id="1450664937">
          <w:marLeft w:val="0"/>
          <w:marRight w:val="0"/>
          <w:marTop w:val="0"/>
          <w:marBottom w:val="150"/>
          <w:divBdr>
            <w:top w:val="none" w:sz="0" w:space="0" w:color="auto"/>
            <w:left w:val="none" w:sz="0" w:space="0" w:color="auto"/>
            <w:bottom w:val="none" w:sz="0" w:space="0" w:color="auto"/>
            <w:right w:val="none" w:sz="0" w:space="0" w:color="auto"/>
          </w:divBdr>
        </w:div>
        <w:div w:id="1402174424">
          <w:marLeft w:val="0"/>
          <w:marRight w:val="0"/>
          <w:marTop w:val="0"/>
          <w:marBottom w:val="150"/>
          <w:divBdr>
            <w:top w:val="none" w:sz="0" w:space="0" w:color="auto"/>
            <w:left w:val="none" w:sz="0" w:space="0" w:color="auto"/>
            <w:bottom w:val="none" w:sz="0" w:space="0" w:color="auto"/>
            <w:right w:val="none" w:sz="0" w:space="0" w:color="auto"/>
          </w:divBdr>
        </w:div>
      </w:divsChild>
    </w:div>
    <w:div w:id="2030988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385B33E42D305428DD4F3CCFED8C185" ma:contentTypeVersion="8" ma:contentTypeDescription="Створення нового документа." ma:contentTypeScope="" ma:versionID="48f9b17f9a1ab78dad57c3984ee5d250">
  <xsd:schema xmlns:xsd="http://www.w3.org/2001/XMLSchema" xmlns:xs="http://www.w3.org/2001/XMLSchema" xmlns:p="http://schemas.microsoft.com/office/2006/metadata/properties" xmlns:ns2="9ceff5e9-0325-47c1-b756-934c33ad6869" xmlns:ns3="3a563bcf-6359-4be7-9a59-21e9b21ad200" targetNamespace="http://schemas.microsoft.com/office/2006/metadata/properties" ma:root="true" ma:fieldsID="0b79147305c01b893d1da3fc7ad3f89a" ns2:_="" ns3:_="">
    <xsd:import namespace="9ceff5e9-0325-47c1-b756-934c33ad6869"/>
    <xsd:import namespace="3a563bcf-6359-4be7-9a59-21e9b21ad200"/>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eff5e9-0325-47c1-b756-934c33ad68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Теги зображень" ma:readOnly="false" ma:fieldId="{5cf76f15-5ced-4ddc-b409-7134ff3c332f}" ma:taxonomyMulti="true" ma:sspId="c1dae0bf-5b35-489a-ab08-9d36433b06b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a563bcf-6359-4be7-9a59-21e9b21ad200"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fd22464-7930-4a5f-9e69-474f5d51a421}" ma:internalName="TaxCatchAll" ma:showField="CatchAllData" ma:web="3a563bcf-6359-4be7-9a59-21e9b21ad20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9E18A4-DAE0-46D7-9923-45F491BA5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eff5e9-0325-47c1-b756-934c33ad6869"/>
    <ds:schemaRef ds:uri="3a563bcf-6359-4be7-9a59-21e9b21ad2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BA2A76-1F1C-4BE6-8ED4-45E8BD757E63}">
  <ds:schemaRefs>
    <ds:schemaRef ds:uri="http://schemas.microsoft.com/sharepoint/v3/contenttype/forms"/>
  </ds:schemaRefs>
</ds:datastoreItem>
</file>

<file path=customXml/itemProps3.xml><?xml version="1.0" encoding="utf-8"?>
<ds:datastoreItem xmlns:ds="http://schemas.openxmlformats.org/officeDocument/2006/customXml" ds:itemID="{75F46740-E414-44EA-9D3C-A1641CCEE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2407</TotalTime>
  <Pages>4</Pages>
  <Words>1700</Words>
  <Characters>9693</Characters>
  <Application>Microsoft Office Word</Application>
  <DocSecurity>0</DocSecurity>
  <Lines>80</Lines>
  <Paragraphs>22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Yurii Pryvalov</dc:creator>
  <cp:lastModifiedBy>Сергій Волков</cp:lastModifiedBy>
  <cp:revision>42</cp:revision>
  <cp:lastPrinted>2023-02-08T08:44:00Z</cp:lastPrinted>
  <dcterms:created xsi:type="dcterms:W3CDTF">2022-08-22T12:01:00Z</dcterms:created>
  <dcterms:modified xsi:type="dcterms:W3CDTF">2023-02-14T14:59:00Z</dcterms:modified>
</cp:coreProperties>
</file>