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регулювання у сферах енергетики та комунальних послуг</w:t>
      </w:r>
      <w:r w:rsidR="00D70957">
        <w:rPr>
          <w:b/>
          <w:bCs/>
          <w:sz w:val="28"/>
          <w:szCs w:val="28"/>
        </w:rPr>
        <w:t>,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</w:t>
      </w:r>
      <w:r w:rsidR="00443FFC">
        <w:rPr>
          <w:b/>
          <w:sz w:val="28"/>
          <w:szCs w:val="28"/>
        </w:rPr>
        <w:t>и</w:t>
      </w:r>
      <w:r w:rsidRPr="0056405F">
        <w:rPr>
          <w:b/>
          <w:sz w:val="28"/>
          <w:szCs w:val="28"/>
        </w:rPr>
        <w:t xml:space="preserve"> </w:t>
      </w:r>
      <w:r w:rsidR="00443FFC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AF17E5" w:rsidRPr="00AF17E5" w:rsidRDefault="00AF17E5" w:rsidP="00AF17E5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</w:t>
      </w:r>
      <w:r w:rsidR="007A4680">
        <w:rPr>
          <w:sz w:val="28"/>
          <w:szCs w:val="28"/>
        </w:rPr>
        <w:t>и</w:t>
      </w:r>
      <w:r w:rsidRPr="00AF17E5">
        <w:rPr>
          <w:sz w:val="28"/>
          <w:szCs w:val="28"/>
        </w:rPr>
        <w:t>ть, зокрема, затвердження кодексу системи передачі.</w:t>
      </w:r>
    </w:p>
    <w:p w:rsidR="00AF17E5" w:rsidRPr="00AF17E5" w:rsidRDefault="00AF17E5" w:rsidP="00AF17E5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 xml:space="preserve">З метою </w:t>
      </w:r>
      <w:r w:rsidR="007A4680" w:rsidRPr="007A4680">
        <w:rPr>
          <w:sz w:val="28"/>
          <w:szCs w:val="28"/>
        </w:rPr>
        <w:t>забезпечення відповідності положень Кодексу системи передачі вимогам, визначеним кодексами EN</w:t>
      </w:r>
      <w:bookmarkStart w:id="0" w:name="_GoBack"/>
      <w:bookmarkEnd w:id="0"/>
      <w:r w:rsidR="007A4680" w:rsidRPr="007A4680">
        <w:rPr>
          <w:sz w:val="28"/>
          <w:szCs w:val="28"/>
        </w:rPr>
        <w:t>TSO-E</w:t>
      </w:r>
      <w:r w:rsidR="007A4680">
        <w:rPr>
          <w:sz w:val="28"/>
          <w:szCs w:val="28"/>
        </w:rPr>
        <w:t>,</w:t>
      </w:r>
      <w:r w:rsidR="007A4680" w:rsidRPr="007A4680">
        <w:rPr>
          <w:sz w:val="28"/>
          <w:szCs w:val="28"/>
        </w:rPr>
        <w:t xml:space="preserve"> </w:t>
      </w:r>
      <w:r w:rsidRPr="00AF17E5">
        <w:rPr>
          <w:sz w:val="28"/>
          <w:szCs w:val="28"/>
        </w:rPr>
        <w:t xml:space="preserve">удосконалення </w:t>
      </w:r>
      <w:r w:rsidR="007A4680">
        <w:rPr>
          <w:sz w:val="28"/>
          <w:szCs w:val="28"/>
        </w:rPr>
        <w:t xml:space="preserve">вимог </w:t>
      </w:r>
      <w:r w:rsidRPr="00AF17E5">
        <w:rPr>
          <w:sz w:val="28"/>
          <w:szCs w:val="28"/>
        </w:rPr>
        <w:t>Кодексу системи передачі НКРЕКП спільно з НЕК «Укренерго» як адміністратором Кодексу</w:t>
      </w:r>
      <w:r w:rsidR="00E16E8E">
        <w:rPr>
          <w:sz w:val="28"/>
          <w:szCs w:val="28"/>
        </w:rPr>
        <w:t xml:space="preserve"> системи передачі</w:t>
      </w:r>
      <w:r w:rsidRPr="00AF17E5">
        <w:rPr>
          <w:sz w:val="28"/>
          <w:szCs w:val="28"/>
        </w:rPr>
        <w:t xml:space="preserve"> розроблено проєкт постанови «Про затвердження Змін до Кодексу системи передачі» (далі – Проєкт постанови), яким передбачено визначити:</w:t>
      </w:r>
    </w:p>
    <w:p w:rsidR="00AF17E5" w:rsidRPr="00AF17E5" w:rsidRDefault="00AF17E5" w:rsidP="00AF17E5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>мінімальні технічні вимоги до резервів заміщення;</w:t>
      </w:r>
    </w:p>
    <w:p w:rsidR="00AF17E5" w:rsidRPr="00AF17E5" w:rsidRDefault="00AF17E5" w:rsidP="00AF17E5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>особливості налаштування уставок функції стабілізатора енергосистеми (PSS);</w:t>
      </w:r>
    </w:p>
    <w:p w:rsidR="00AF17E5" w:rsidRPr="00AF17E5" w:rsidRDefault="00AF17E5" w:rsidP="00AF17E5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>особливості налаштування уставок функції демпфірування коливань потужності (POD).</w:t>
      </w:r>
    </w:p>
    <w:p w:rsidR="00E16E8E" w:rsidRDefault="00AF17E5" w:rsidP="00AF17E5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 xml:space="preserve">Зазначений Проєкт постанови розроблений з метою забезпечення відповідності положень Кодексу системи передачі вимогам, визначеним кодексами ENTSO-E щодо забезпечення уставок налаштування функцій стабілізатора енергосистеми (PSS) та демпфірування коливань потужності (POD), унормування вимог до третинного регулювання частоти та резервів заміщення, а також спрямований на </w:t>
      </w:r>
      <w:bookmarkStart w:id="1" w:name="_Hlk127283845"/>
      <w:proofErr w:type="spellStart"/>
      <w:r w:rsidRPr="00AF17E5">
        <w:rPr>
          <w:sz w:val="28"/>
          <w:szCs w:val="28"/>
        </w:rPr>
        <w:t>підвищення</w:t>
      </w:r>
      <w:proofErr w:type="spellEnd"/>
      <w:r w:rsidRPr="00AF17E5">
        <w:rPr>
          <w:sz w:val="28"/>
          <w:szCs w:val="28"/>
        </w:rPr>
        <w:t xml:space="preserve"> </w:t>
      </w:r>
      <w:proofErr w:type="spellStart"/>
      <w:r w:rsidRPr="00AF17E5">
        <w:rPr>
          <w:sz w:val="28"/>
          <w:szCs w:val="28"/>
        </w:rPr>
        <w:t>надійності</w:t>
      </w:r>
      <w:proofErr w:type="spellEnd"/>
      <w:r w:rsidRPr="00AF17E5">
        <w:rPr>
          <w:sz w:val="28"/>
          <w:szCs w:val="28"/>
        </w:rPr>
        <w:t xml:space="preserve"> </w:t>
      </w:r>
      <w:proofErr w:type="spellStart"/>
      <w:r w:rsidRPr="00AF17E5">
        <w:rPr>
          <w:sz w:val="28"/>
          <w:szCs w:val="28"/>
        </w:rPr>
        <w:t>роботи</w:t>
      </w:r>
      <w:proofErr w:type="spellEnd"/>
      <w:r w:rsidRPr="00AF17E5">
        <w:rPr>
          <w:sz w:val="28"/>
          <w:szCs w:val="28"/>
        </w:rPr>
        <w:t xml:space="preserve"> </w:t>
      </w:r>
      <w:proofErr w:type="spellStart"/>
      <w:r w:rsidRPr="00AF17E5">
        <w:rPr>
          <w:sz w:val="28"/>
          <w:szCs w:val="28"/>
        </w:rPr>
        <w:t>енергооб’єднання</w:t>
      </w:r>
      <w:proofErr w:type="spellEnd"/>
      <w:r w:rsidRPr="00AF17E5">
        <w:rPr>
          <w:sz w:val="28"/>
          <w:szCs w:val="28"/>
        </w:rPr>
        <w:t xml:space="preserve"> </w:t>
      </w:r>
      <w:proofErr w:type="spellStart"/>
      <w:r w:rsidRPr="00AF17E5">
        <w:rPr>
          <w:sz w:val="28"/>
          <w:szCs w:val="28"/>
        </w:rPr>
        <w:t>Синхронної</w:t>
      </w:r>
      <w:proofErr w:type="spellEnd"/>
      <w:r w:rsidRPr="00AF17E5">
        <w:rPr>
          <w:sz w:val="28"/>
          <w:szCs w:val="28"/>
        </w:rPr>
        <w:t xml:space="preserve"> </w:t>
      </w:r>
      <w:proofErr w:type="spellStart"/>
      <w:r w:rsidRPr="00AF17E5">
        <w:rPr>
          <w:sz w:val="28"/>
          <w:szCs w:val="28"/>
        </w:rPr>
        <w:t>зони</w:t>
      </w:r>
      <w:proofErr w:type="spellEnd"/>
      <w:r w:rsidRPr="00AF17E5">
        <w:rPr>
          <w:sz w:val="28"/>
          <w:szCs w:val="28"/>
        </w:rPr>
        <w:t xml:space="preserve"> </w:t>
      </w:r>
      <w:proofErr w:type="spellStart"/>
      <w:r w:rsidRPr="00AF17E5">
        <w:rPr>
          <w:sz w:val="28"/>
          <w:szCs w:val="28"/>
        </w:rPr>
        <w:t>Континентальної</w:t>
      </w:r>
      <w:proofErr w:type="spellEnd"/>
      <w:r w:rsidRPr="00AF17E5">
        <w:rPr>
          <w:sz w:val="28"/>
          <w:szCs w:val="28"/>
        </w:rPr>
        <w:t xml:space="preserve"> Європи та повноцінної паралельної роботи ОЕС України з енергосистемою Континентальної Європи ENTSO-Е</w:t>
      </w:r>
      <w:bookmarkEnd w:id="1"/>
      <w:r w:rsidRPr="00AF17E5">
        <w:rPr>
          <w:sz w:val="28"/>
          <w:szCs w:val="28"/>
        </w:rPr>
        <w:t>.</w:t>
      </w:r>
    </w:p>
    <w:p w:rsidR="00B336E1" w:rsidRDefault="00B336E1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56405F" w:rsidRPr="00135924" w:rsidRDefault="00036A52" w:rsidP="00E42A0F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Pr="00664284" w:rsidRDefault="0056405F" w:rsidP="0056405F">
      <w:pPr>
        <w:rPr>
          <w:sz w:val="14"/>
          <w:szCs w:val="14"/>
        </w:rPr>
      </w:pPr>
    </w:p>
    <w:p w:rsidR="007A4680" w:rsidRDefault="007A4680" w:rsidP="0056405F">
      <w:pPr>
        <w:jc w:val="center"/>
        <w:rPr>
          <w:b/>
          <w:sz w:val="28"/>
          <w:szCs w:val="28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lastRenderedPageBreak/>
        <w:t>Метою прийняття Проєкту постанови є</w:t>
      </w:r>
      <w:r>
        <w:rPr>
          <w:sz w:val="28"/>
          <w:szCs w:val="28"/>
        </w:rPr>
        <w:t>:</w:t>
      </w:r>
    </w:p>
    <w:p w:rsidR="007A4680" w:rsidRDefault="007A4680" w:rsidP="005F3340">
      <w:pPr>
        <w:ind w:firstLine="709"/>
        <w:jc w:val="both"/>
        <w:rPr>
          <w:sz w:val="28"/>
          <w:szCs w:val="28"/>
        </w:rPr>
      </w:pPr>
      <w:bookmarkStart w:id="2" w:name="_Hlk127288174"/>
      <w:r w:rsidRPr="007A4680">
        <w:rPr>
          <w:sz w:val="28"/>
          <w:szCs w:val="28"/>
        </w:rPr>
        <w:t xml:space="preserve">підвищення надійності роботи </w:t>
      </w:r>
      <w:proofErr w:type="spellStart"/>
      <w:r w:rsidRPr="007A4680">
        <w:rPr>
          <w:sz w:val="28"/>
          <w:szCs w:val="28"/>
        </w:rPr>
        <w:t>енергооб’єднання</w:t>
      </w:r>
      <w:proofErr w:type="spellEnd"/>
      <w:r w:rsidRPr="007A4680">
        <w:rPr>
          <w:sz w:val="28"/>
          <w:szCs w:val="28"/>
        </w:rPr>
        <w:t xml:space="preserve"> Синхронної зони Континентальної Європи</w:t>
      </w:r>
      <w:r>
        <w:rPr>
          <w:sz w:val="28"/>
          <w:szCs w:val="28"/>
        </w:rPr>
        <w:t>;</w:t>
      </w:r>
    </w:p>
    <w:p w:rsidR="007A4680" w:rsidRDefault="007A4680" w:rsidP="005F33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забезпечення</w:t>
      </w:r>
      <w:r w:rsidRPr="007A4680">
        <w:rPr>
          <w:sz w:val="28"/>
          <w:szCs w:val="28"/>
        </w:rPr>
        <w:t xml:space="preserve"> повноцінної паралельної роботи ОЕС України з енергосистемою Континентальної Європи ENTSO-Е</w:t>
      </w:r>
      <w:r>
        <w:rPr>
          <w:sz w:val="28"/>
          <w:szCs w:val="28"/>
        </w:rPr>
        <w:t>;</w:t>
      </w:r>
    </w:p>
    <w:p w:rsidR="007A4680" w:rsidRDefault="007A4680" w:rsidP="005F33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приведення </w:t>
      </w:r>
      <w:r w:rsidRPr="007A4680">
        <w:rPr>
          <w:sz w:val="28"/>
          <w:szCs w:val="28"/>
        </w:rPr>
        <w:t xml:space="preserve">положень Кодексу системи передачі </w:t>
      </w:r>
      <w:r>
        <w:rPr>
          <w:sz w:val="28"/>
          <w:szCs w:val="28"/>
        </w:rPr>
        <w:t xml:space="preserve">до </w:t>
      </w:r>
      <w:r w:rsidRPr="007A4680">
        <w:rPr>
          <w:sz w:val="28"/>
          <w:szCs w:val="28"/>
        </w:rPr>
        <w:t>вимог, визначени</w:t>
      </w:r>
      <w:r>
        <w:rPr>
          <w:sz w:val="28"/>
          <w:szCs w:val="28"/>
        </w:rPr>
        <w:t>х</w:t>
      </w:r>
      <w:r w:rsidRPr="007A4680">
        <w:rPr>
          <w:sz w:val="28"/>
          <w:szCs w:val="28"/>
        </w:rPr>
        <w:t xml:space="preserve"> кодексами ENTSO-E щодо </w:t>
      </w:r>
      <w:r>
        <w:rPr>
          <w:sz w:val="28"/>
          <w:szCs w:val="28"/>
        </w:rPr>
        <w:t>визначення:</w:t>
      </w:r>
    </w:p>
    <w:p w:rsidR="007A4680" w:rsidRPr="00AF17E5" w:rsidRDefault="007A4680" w:rsidP="007A4680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>мінімальн</w:t>
      </w:r>
      <w:r>
        <w:rPr>
          <w:sz w:val="28"/>
          <w:szCs w:val="28"/>
        </w:rPr>
        <w:t>их</w:t>
      </w:r>
      <w:r w:rsidRPr="00AF17E5">
        <w:rPr>
          <w:sz w:val="28"/>
          <w:szCs w:val="28"/>
        </w:rPr>
        <w:t xml:space="preserve"> технічн</w:t>
      </w:r>
      <w:r>
        <w:rPr>
          <w:sz w:val="28"/>
          <w:szCs w:val="28"/>
        </w:rPr>
        <w:t>их</w:t>
      </w:r>
      <w:r w:rsidRPr="00AF17E5">
        <w:rPr>
          <w:sz w:val="28"/>
          <w:szCs w:val="28"/>
        </w:rPr>
        <w:t xml:space="preserve"> вимог до резервів заміщення</w:t>
      </w:r>
      <w:r>
        <w:rPr>
          <w:sz w:val="28"/>
          <w:szCs w:val="28"/>
        </w:rPr>
        <w:t>,</w:t>
      </w:r>
    </w:p>
    <w:p w:rsidR="007A4680" w:rsidRPr="00AF17E5" w:rsidRDefault="007A4680" w:rsidP="007A4680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AF17E5">
        <w:rPr>
          <w:sz w:val="28"/>
          <w:szCs w:val="28"/>
        </w:rPr>
        <w:t xml:space="preserve"> налаштування уставок функції стабілізатора енергосистеми (PSS)</w:t>
      </w:r>
      <w:r>
        <w:rPr>
          <w:sz w:val="28"/>
          <w:szCs w:val="28"/>
        </w:rPr>
        <w:t>,</w:t>
      </w:r>
    </w:p>
    <w:p w:rsidR="007A4680" w:rsidRDefault="007A4680" w:rsidP="007A4680">
      <w:pPr>
        <w:ind w:firstLine="709"/>
        <w:jc w:val="both"/>
        <w:rPr>
          <w:sz w:val="28"/>
          <w:szCs w:val="28"/>
        </w:rPr>
      </w:pPr>
      <w:r w:rsidRPr="00AF17E5">
        <w:rPr>
          <w:sz w:val="28"/>
          <w:szCs w:val="28"/>
        </w:rPr>
        <w:t>особливост</w:t>
      </w:r>
      <w:r>
        <w:rPr>
          <w:sz w:val="28"/>
          <w:szCs w:val="28"/>
        </w:rPr>
        <w:t>ей</w:t>
      </w:r>
      <w:r w:rsidRPr="00AF17E5">
        <w:rPr>
          <w:sz w:val="28"/>
          <w:szCs w:val="28"/>
        </w:rPr>
        <w:t xml:space="preserve"> налаштування уставок функції демпфірування коливань потужності (POD)</w:t>
      </w:r>
      <w:r>
        <w:rPr>
          <w:sz w:val="28"/>
          <w:szCs w:val="28"/>
        </w:rPr>
        <w:t>.</w:t>
      </w:r>
    </w:p>
    <w:bookmarkEnd w:id="2"/>
    <w:p w:rsidR="00C70CCC" w:rsidRPr="00360B02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Default="00E70E09">
            <w:pPr>
              <w:pStyle w:val="2"/>
              <w:spacing w:after="0" w:line="240" w:lineRule="auto"/>
              <w:ind w:left="55"/>
              <w:jc w:val="both"/>
            </w:pPr>
            <w:r w:rsidRPr="00E70E09">
              <w:t xml:space="preserve">Невідповідність </w:t>
            </w:r>
            <w:r w:rsidR="00651AE9" w:rsidRPr="00651AE9">
              <w:t xml:space="preserve">Кодексу системи передачі </w:t>
            </w:r>
            <w:r w:rsidRPr="006B55E1">
              <w:t>технічним вимогам ENTSO-E</w:t>
            </w:r>
            <w:r w:rsidR="00B90674">
              <w:t>.</w:t>
            </w:r>
          </w:p>
          <w:p w:rsidR="00143D68" w:rsidRPr="00E70E09" w:rsidRDefault="00143D68">
            <w:pPr>
              <w:pStyle w:val="2"/>
              <w:spacing w:after="0" w:line="240" w:lineRule="auto"/>
              <w:ind w:left="55"/>
              <w:jc w:val="both"/>
            </w:pPr>
            <w:r>
              <w:t>Відсутність можливості</w:t>
            </w:r>
            <w:r w:rsidRPr="00143D68">
              <w:t xml:space="preserve"> повноцінної паралельної роботи ОЕС України з енергосистемою Континентальної Європи ENTSO-Е</w:t>
            </w:r>
            <w:r>
              <w:t>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B06E62" w:rsidRDefault="00651AE9" w:rsidP="0018765B">
            <w:pPr>
              <w:pStyle w:val="3"/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Удосконалення та п</w:t>
            </w:r>
            <w:r w:rsidR="00BB3BAC" w:rsidRPr="00BB3BAC">
              <w:rPr>
                <w:sz w:val="24"/>
                <w:szCs w:val="24"/>
              </w:rPr>
              <w:t xml:space="preserve">риведення </w:t>
            </w:r>
            <w:r>
              <w:rPr>
                <w:sz w:val="24"/>
                <w:szCs w:val="24"/>
              </w:rPr>
              <w:t xml:space="preserve">положень </w:t>
            </w:r>
            <w:r w:rsidRPr="00651AE9">
              <w:rPr>
                <w:sz w:val="24"/>
                <w:szCs w:val="24"/>
              </w:rPr>
              <w:t xml:space="preserve">Кодексу системи передачі </w:t>
            </w:r>
            <w:r w:rsidR="00BB3BAC" w:rsidRPr="00BB3BAC">
              <w:rPr>
                <w:sz w:val="24"/>
                <w:szCs w:val="24"/>
              </w:rPr>
              <w:t xml:space="preserve">у відповідність </w:t>
            </w:r>
            <w:r>
              <w:rPr>
                <w:sz w:val="24"/>
                <w:szCs w:val="24"/>
              </w:rPr>
              <w:t xml:space="preserve">з </w:t>
            </w:r>
            <w:r w:rsidR="00BC7F5D" w:rsidRPr="00F970AA">
              <w:rPr>
                <w:sz w:val="24"/>
                <w:szCs w:val="24"/>
              </w:rPr>
              <w:t>технічним</w:t>
            </w:r>
            <w:r>
              <w:rPr>
                <w:sz w:val="24"/>
                <w:szCs w:val="24"/>
              </w:rPr>
              <w:t>и</w:t>
            </w:r>
            <w:r w:rsidR="00BC7F5D" w:rsidRPr="00F970AA">
              <w:rPr>
                <w:sz w:val="24"/>
                <w:szCs w:val="24"/>
              </w:rPr>
              <w:t xml:space="preserve"> вимогам</w:t>
            </w:r>
            <w:r>
              <w:rPr>
                <w:sz w:val="24"/>
                <w:szCs w:val="24"/>
              </w:rPr>
              <w:t>и</w:t>
            </w:r>
            <w:r w:rsidR="00BC7F5D" w:rsidRPr="00F970AA">
              <w:rPr>
                <w:sz w:val="24"/>
                <w:szCs w:val="24"/>
              </w:rPr>
              <w:t xml:space="preserve"> ENTSO-E</w:t>
            </w:r>
            <w:r w:rsidR="00BB3BAC">
              <w:rPr>
                <w:sz w:val="24"/>
                <w:szCs w:val="24"/>
              </w:rPr>
              <w:t>.</w:t>
            </w:r>
          </w:p>
          <w:p w:rsidR="00143D68" w:rsidRPr="00FF5A58" w:rsidRDefault="00143D68" w:rsidP="0018765B">
            <w:pPr>
              <w:pStyle w:val="3"/>
              <w:spacing w:after="0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143D68">
              <w:rPr>
                <w:sz w:val="24"/>
                <w:szCs w:val="24"/>
              </w:rPr>
              <w:t>абезпечення повноцінної паралельної роботи ОЕС України з енергосистемою Континентальної Європи ENTSO-Е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2"/>
        <w:gridCol w:w="3233"/>
        <w:gridCol w:w="3371"/>
      </w:tblGrid>
      <w:tr w:rsidR="00651AE9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651AE9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4754FD" w:rsidRDefault="004754FD" w:rsidP="0018765B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10" w:firstLine="436"/>
              <w:jc w:val="both"/>
            </w:pPr>
            <w:r w:rsidRPr="00E70E09">
              <w:t xml:space="preserve">Невідповідність </w:t>
            </w:r>
            <w:r w:rsidRPr="00651AE9">
              <w:t xml:space="preserve">Кодексу системи передачі </w:t>
            </w:r>
            <w:r w:rsidRPr="006B55E1">
              <w:t>технічним вимогам ENTSO-E</w:t>
            </w:r>
            <w:r>
              <w:t>.</w:t>
            </w:r>
          </w:p>
          <w:p w:rsidR="00B569A5" w:rsidRPr="005558AE" w:rsidRDefault="004754FD" w:rsidP="0018765B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10" w:firstLine="436"/>
              <w:jc w:val="both"/>
              <w:rPr>
                <w:szCs w:val="28"/>
              </w:rPr>
            </w:pPr>
            <w:r>
              <w:t>Відсутність можливості</w:t>
            </w:r>
            <w:r w:rsidRPr="00143D68">
              <w:t xml:space="preserve"> повноцінної паралельної роботи ОЕС України з енергосистемою Континентальної Європи ENTSO-Е</w:t>
            </w:r>
            <w:r>
              <w:t>.</w:t>
            </w:r>
          </w:p>
        </w:tc>
      </w:tr>
      <w:tr w:rsidR="00651AE9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F57200" w:rsidRDefault="00F57200" w:rsidP="0018765B">
            <w:pPr>
              <w:pStyle w:val="3"/>
              <w:numPr>
                <w:ilvl w:val="0"/>
                <w:numId w:val="3"/>
              </w:numPr>
              <w:spacing w:after="0"/>
              <w:ind w:left="-25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Удосконалення та п</w:t>
            </w:r>
            <w:r w:rsidRPr="00BB3BAC">
              <w:rPr>
                <w:sz w:val="24"/>
                <w:szCs w:val="24"/>
              </w:rPr>
              <w:t xml:space="preserve">риведення </w:t>
            </w:r>
            <w:r>
              <w:rPr>
                <w:sz w:val="24"/>
                <w:szCs w:val="24"/>
              </w:rPr>
              <w:t xml:space="preserve">положень </w:t>
            </w:r>
            <w:r w:rsidRPr="00651AE9">
              <w:rPr>
                <w:sz w:val="24"/>
                <w:szCs w:val="24"/>
              </w:rPr>
              <w:t xml:space="preserve">Кодексу системи передачі </w:t>
            </w:r>
            <w:r w:rsidRPr="00BB3BAC">
              <w:rPr>
                <w:sz w:val="24"/>
                <w:szCs w:val="24"/>
              </w:rPr>
              <w:t xml:space="preserve">у відповідність </w:t>
            </w:r>
            <w:r>
              <w:rPr>
                <w:sz w:val="24"/>
                <w:szCs w:val="24"/>
              </w:rPr>
              <w:t xml:space="preserve">з </w:t>
            </w:r>
            <w:r w:rsidRPr="00F970AA">
              <w:rPr>
                <w:sz w:val="24"/>
                <w:szCs w:val="24"/>
              </w:rPr>
              <w:t>технічним</w:t>
            </w:r>
            <w:r>
              <w:rPr>
                <w:sz w:val="24"/>
                <w:szCs w:val="24"/>
              </w:rPr>
              <w:t>и</w:t>
            </w:r>
            <w:r w:rsidRPr="00F970AA">
              <w:rPr>
                <w:sz w:val="24"/>
                <w:szCs w:val="24"/>
              </w:rPr>
              <w:t xml:space="preserve"> вимогам</w:t>
            </w:r>
            <w:r>
              <w:rPr>
                <w:sz w:val="24"/>
                <w:szCs w:val="24"/>
              </w:rPr>
              <w:t>и</w:t>
            </w:r>
            <w:r w:rsidRPr="00F970AA">
              <w:rPr>
                <w:sz w:val="24"/>
                <w:szCs w:val="24"/>
              </w:rPr>
              <w:t xml:space="preserve"> ENTSO-E</w:t>
            </w:r>
            <w:r>
              <w:rPr>
                <w:sz w:val="24"/>
                <w:szCs w:val="24"/>
              </w:rPr>
              <w:t>.</w:t>
            </w:r>
          </w:p>
          <w:p w:rsidR="00EA6575" w:rsidRPr="004754FD" w:rsidRDefault="00F57200" w:rsidP="0018765B">
            <w:pPr>
              <w:ind w:left="-25"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З</w:t>
            </w:r>
            <w:r w:rsidRPr="00143D68">
              <w:rPr>
                <w:sz w:val="24"/>
                <w:szCs w:val="24"/>
              </w:rPr>
              <w:t xml:space="preserve">абезпечення повноцінної паралельної </w:t>
            </w:r>
            <w:r w:rsidRPr="00143D68">
              <w:rPr>
                <w:sz w:val="24"/>
                <w:szCs w:val="24"/>
              </w:rPr>
              <w:lastRenderedPageBreak/>
              <w:t>роботи ОЕС України з енергосистемою Континентальної Європи ENTSO-Е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lastRenderedPageBreak/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AA75E6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AA75E6" w:rsidP="00F91308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036A52" w:rsidRDefault="00D117BF" w:rsidP="0018765B">
            <w:pPr>
              <w:pStyle w:val="2"/>
              <w:spacing w:after="0" w:line="240" w:lineRule="auto"/>
              <w:ind w:firstLine="317"/>
              <w:jc w:val="both"/>
            </w:pPr>
            <w:r>
              <w:t xml:space="preserve">1. </w:t>
            </w:r>
            <w:r w:rsidR="00036A52" w:rsidRPr="00036A52">
              <w:t>Відсутність можливості повноцінної паралельної роботи ОЕС України з енергосистемою Континентальної Європи ENTSO-Е.</w:t>
            </w:r>
          </w:p>
          <w:p w:rsidR="00036A52" w:rsidRDefault="001B6329" w:rsidP="0018765B">
            <w:pPr>
              <w:pStyle w:val="2"/>
              <w:numPr>
                <w:ilvl w:val="0"/>
                <w:numId w:val="3"/>
              </w:numPr>
              <w:spacing w:after="0" w:line="240" w:lineRule="auto"/>
              <w:ind w:left="0" w:firstLine="317"/>
              <w:jc w:val="both"/>
            </w:pPr>
            <w:r>
              <w:t xml:space="preserve">Не визначені </w:t>
            </w:r>
            <w:r w:rsidR="00036A52">
              <w:t>технічн</w:t>
            </w:r>
            <w:r>
              <w:t>і</w:t>
            </w:r>
            <w:r w:rsidR="00036A52">
              <w:t xml:space="preserve"> вимог</w:t>
            </w:r>
            <w:r>
              <w:t>и</w:t>
            </w:r>
            <w:r w:rsidR="00036A52">
              <w:t xml:space="preserve"> до резервів заміщення</w:t>
            </w:r>
            <w:r>
              <w:t>.</w:t>
            </w:r>
          </w:p>
          <w:p w:rsidR="00036A52" w:rsidRDefault="001B6329" w:rsidP="0018765B">
            <w:pPr>
              <w:pStyle w:val="2"/>
              <w:numPr>
                <w:ilvl w:val="0"/>
                <w:numId w:val="3"/>
              </w:numPr>
              <w:spacing w:after="0" w:line="240" w:lineRule="auto"/>
              <w:ind w:left="0" w:firstLine="317"/>
              <w:jc w:val="both"/>
            </w:pPr>
            <w:r>
              <w:t>Не встановлені параметри</w:t>
            </w:r>
            <w:r w:rsidR="00036A52">
              <w:t xml:space="preserve"> налаштування уставок функції стабілізатора енергосистеми (PSS)</w:t>
            </w:r>
            <w:r>
              <w:t>.</w:t>
            </w:r>
          </w:p>
          <w:p w:rsidR="00407C41" w:rsidRPr="00FF5A58" w:rsidRDefault="001B6329" w:rsidP="0018765B">
            <w:pPr>
              <w:pStyle w:val="2"/>
              <w:spacing w:after="0" w:line="240" w:lineRule="auto"/>
              <w:ind w:firstLine="317"/>
              <w:jc w:val="both"/>
            </w:pPr>
            <w:r>
              <w:t>4. Не встановлені параметри</w:t>
            </w:r>
            <w:r w:rsidR="00036A52">
              <w:t xml:space="preserve"> налаштування уставок функції демпфірування коливань потужності (POD)</w:t>
            </w:r>
            <w:r>
              <w:t>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777CA1" w:rsidRDefault="00777CA1" w:rsidP="00777CA1">
            <w:pPr>
              <w:pStyle w:val="2"/>
              <w:spacing w:after="0" w:line="240" w:lineRule="auto"/>
              <w:ind w:firstLine="317"/>
              <w:jc w:val="both"/>
            </w:pPr>
            <w:r>
              <w:t>1. Забезпечення</w:t>
            </w:r>
            <w:r w:rsidRPr="00036A52">
              <w:t xml:space="preserve"> можливості повноцінної паралельної роботи ОЕС України з енергосистемою Континентальної Європи ENTSO-Е.</w:t>
            </w:r>
          </w:p>
          <w:p w:rsidR="00777CA1" w:rsidRDefault="00777CA1" w:rsidP="00777CA1">
            <w:pPr>
              <w:pStyle w:val="2"/>
              <w:numPr>
                <w:ilvl w:val="0"/>
                <w:numId w:val="3"/>
              </w:numPr>
              <w:spacing w:after="0" w:line="240" w:lineRule="auto"/>
              <w:ind w:left="0" w:firstLine="317"/>
              <w:jc w:val="both"/>
            </w:pPr>
            <w:r>
              <w:t>Визначення технічних вимог до резервів заміщення.</w:t>
            </w:r>
          </w:p>
          <w:p w:rsidR="00777CA1" w:rsidRDefault="00777CA1" w:rsidP="00777CA1">
            <w:pPr>
              <w:pStyle w:val="2"/>
              <w:numPr>
                <w:ilvl w:val="0"/>
                <w:numId w:val="3"/>
              </w:numPr>
              <w:spacing w:after="0" w:line="240" w:lineRule="auto"/>
              <w:ind w:left="0" w:firstLine="317"/>
              <w:jc w:val="both"/>
            </w:pPr>
            <w:r>
              <w:t>Визначення параметрів налаштування уставок функції стабілізатора енергосистеми (PSS).</w:t>
            </w:r>
          </w:p>
          <w:p w:rsidR="0056405F" w:rsidRPr="00777CA1" w:rsidRDefault="00777CA1">
            <w:pPr>
              <w:jc w:val="both"/>
              <w:rPr>
                <w:sz w:val="24"/>
                <w:szCs w:val="24"/>
              </w:rPr>
            </w:pPr>
            <w:r w:rsidRPr="0018765B">
              <w:rPr>
                <w:sz w:val="24"/>
                <w:szCs w:val="24"/>
              </w:rPr>
              <w:t xml:space="preserve">4. </w:t>
            </w:r>
            <w:r>
              <w:rPr>
                <w:sz w:val="24"/>
                <w:szCs w:val="24"/>
              </w:rPr>
              <w:t>В</w:t>
            </w:r>
            <w:r w:rsidRPr="0018765B">
              <w:rPr>
                <w:sz w:val="24"/>
                <w:szCs w:val="24"/>
              </w:rPr>
              <w:t>становлен</w:t>
            </w:r>
            <w:r>
              <w:rPr>
                <w:sz w:val="24"/>
                <w:szCs w:val="24"/>
              </w:rPr>
              <w:t>ня</w:t>
            </w:r>
            <w:r w:rsidRPr="0018765B">
              <w:rPr>
                <w:sz w:val="24"/>
                <w:szCs w:val="24"/>
              </w:rPr>
              <w:t xml:space="preserve"> параметр</w:t>
            </w:r>
            <w:r>
              <w:rPr>
                <w:sz w:val="24"/>
                <w:szCs w:val="24"/>
              </w:rPr>
              <w:t>ів</w:t>
            </w:r>
            <w:r w:rsidRPr="0018765B">
              <w:rPr>
                <w:sz w:val="24"/>
                <w:szCs w:val="24"/>
              </w:rPr>
              <w:t xml:space="preserve"> налаштування уставок функції демпфірування коливань потужності (POD).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lastRenderedPageBreak/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</w:t>
            </w:r>
            <w:r w:rsidR="00651AE9">
              <w:rPr>
                <w:sz w:val="24"/>
                <w:szCs w:val="24"/>
              </w:rPr>
              <w:t xml:space="preserve"> до </w:t>
            </w:r>
            <w:r w:rsidR="00014092" w:rsidRPr="00BB3BAC">
              <w:rPr>
                <w:sz w:val="24"/>
                <w:szCs w:val="24"/>
              </w:rPr>
              <w:t xml:space="preserve"> </w:t>
            </w:r>
            <w:r w:rsidR="00D117BF" w:rsidRPr="00D117BF">
              <w:rPr>
                <w:sz w:val="24"/>
                <w:szCs w:val="24"/>
              </w:rPr>
              <w:t>технічни</w:t>
            </w:r>
            <w:r w:rsidR="00651AE9">
              <w:rPr>
                <w:sz w:val="24"/>
                <w:szCs w:val="24"/>
              </w:rPr>
              <w:t>х</w:t>
            </w:r>
            <w:r w:rsidR="00D117BF" w:rsidRPr="00D117BF">
              <w:rPr>
                <w:sz w:val="24"/>
                <w:szCs w:val="24"/>
              </w:rPr>
              <w:t xml:space="preserve"> вимог ENTSO-E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297"/>
        <w:gridCol w:w="3090"/>
      </w:tblGrid>
      <w:tr w:rsidR="0056405F" w:rsidRPr="005558AE" w:rsidTr="002B23B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 xml:space="preserve">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r w:rsidR="00D117BF" w:rsidRPr="00D117BF">
              <w:rPr>
                <w:sz w:val="24"/>
                <w:szCs w:val="24"/>
              </w:rPr>
              <w:t>технічни</w:t>
            </w:r>
            <w:r w:rsidR="00651AE9">
              <w:rPr>
                <w:sz w:val="24"/>
                <w:szCs w:val="24"/>
              </w:rPr>
              <w:t>х</w:t>
            </w:r>
            <w:r w:rsidR="00D117BF" w:rsidRPr="00D117BF">
              <w:rPr>
                <w:sz w:val="24"/>
                <w:szCs w:val="24"/>
              </w:rPr>
              <w:t xml:space="preserve"> вимог ENTSO-E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</w:t>
            </w:r>
            <w:r w:rsidR="004D1216">
              <w:rPr>
                <w:sz w:val="24"/>
                <w:szCs w:val="24"/>
              </w:rPr>
              <w:t>и</w:t>
            </w:r>
            <w:r w:rsidR="000B5D93">
              <w:rPr>
                <w:sz w:val="24"/>
                <w:szCs w:val="24"/>
              </w:rPr>
              <w:t xml:space="preserve"> </w:t>
            </w:r>
            <w:r w:rsidR="004D1216">
              <w:rPr>
                <w:sz w:val="24"/>
                <w:szCs w:val="24"/>
              </w:rPr>
              <w:t>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A4541C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 xml:space="preserve">Забезпечує виконання вимог </w:t>
            </w:r>
            <w:r w:rsidR="00A4541C">
              <w:rPr>
                <w:sz w:val="24"/>
                <w:szCs w:val="24"/>
              </w:rPr>
              <w:t>т</w:t>
            </w:r>
            <w:r w:rsidR="00D117BF" w:rsidRPr="00A4541C">
              <w:rPr>
                <w:sz w:val="24"/>
                <w:szCs w:val="24"/>
              </w:rPr>
              <w:t>ехнічних вимог ENTSO-E</w:t>
            </w:r>
            <w:r w:rsidRPr="00A4541C">
              <w:rPr>
                <w:sz w:val="24"/>
                <w:szCs w:val="24"/>
              </w:rPr>
              <w:t>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r w:rsidR="00D117BF" w:rsidRPr="00D117BF">
              <w:rPr>
                <w:sz w:val="24"/>
                <w:szCs w:val="24"/>
              </w:rPr>
              <w:t>технічни</w:t>
            </w:r>
            <w:r w:rsidR="00651AE9">
              <w:rPr>
                <w:sz w:val="24"/>
                <w:szCs w:val="24"/>
              </w:rPr>
              <w:t>х</w:t>
            </w:r>
            <w:r w:rsidR="00D117BF" w:rsidRPr="00D117BF">
              <w:rPr>
                <w:sz w:val="24"/>
                <w:szCs w:val="24"/>
              </w:rPr>
              <w:t xml:space="preserve"> вимог ENTSO-E</w:t>
            </w:r>
            <w:r w:rsidRPr="00B336E1">
              <w:rPr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A4541C" w:rsidRPr="005558AE" w:rsidRDefault="00A4541C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відповідність до </w:t>
      </w:r>
      <w:r w:rsidR="00D117BF" w:rsidRPr="00D117BF">
        <w:rPr>
          <w:sz w:val="28"/>
          <w:szCs w:val="28"/>
        </w:rPr>
        <w:t>технічни</w:t>
      </w:r>
      <w:r w:rsidR="00D117BF">
        <w:rPr>
          <w:sz w:val="28"/>
          <w:szCs w:val="28"/>
        </w:rPr>
        <w:t>х</w:t>
      </w:r>
      <w:r w:rsidR="00D117BF" w:rsidRPr="00D117BF">
        <w:rPr>
          <w:sz w:val="28"/>
          <w:szCs w:val="28"/>
        </w:rPr>
        <w:t xml:space="preserve"> вимог ENTSO-E</w:t>
      </w:r>
      <w:r w:rsidRPr="00B336E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18765B" w:rsidRDefault="0056405F" w:rsidP="0056405F">
      <w:pPr>
        <w:jc w:val="both"/>
        <w:rPr>
          <w:sz w:val="24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18765B" w:rsidRDefault="0056405F" w:rsidP="0056405F">
      <w:pPr>
        <w:pStyle w:val="a5"/>
        <w:spacing w:after="0"/>
        <w:ind w:left="0"/>
        <w:jc w:val="both"/>
        <w:rPr>
          <w:sz w:val="24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18765B" w:rsidRDefault="0056405F" w:rsidP="0056405F">
      <w:pPr>
        <w:jc w:val="both"/>
        <w:rPr>
          <w:sz w:val="24"/>
          <w:szCs w:val="28"/>
        </w:rPr>
      </w:pP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</w:t>
      </w:r>
      <w:r w:rsidR="00355E83">
        <w:rPr>
          <w:sz w:val="28"/>
          <w:szCs w:val="28"/>
        </w:rPr>
        <w:t xml:space="preserve"> ОСП,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>виробників електричної енергії, операторів установок зберігання енергії</w:t>
      </w:r>
      <w:r w:rsidR="00A4541C">
        <w:rPr>
          <w:sz w:val="28"/>
          <w:szCs w:val="28"/>
        </w:rPr>
        <w:t>, споживачі</w:t>
      </w:r>
      <w:r w:rsidR="00825F54">
        <w:rPr>
          <w:sz w:val="28"/>
          <w:szCs w:val="28"/>
        </w:rPr>
        <w:t>в</w:t>
      </w:r>
      <w:r w:rsidR="00A4541C">
        <w:rPr>
          <w:sz w:val="28"/>
          <w:szCs w:val="28"/>
        </w:rPr>
        <w:t xml:space="preserve"> електричної енергії</w:t>
      </w:r>
      <w:r w:rsidR="00B17766">
        <w:rPr>
          <w:sz w:val="28"/>
          <w:szCs w:val="28"/>
        </w:rPr>
        <w:t>;</w:t>
      </w:r>
    </w:p>
    <w:p w:rsidR="0056405F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6B55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</w:t>
      </w:r>
      <w:r w:rsidR="00651AE9">
        <w:rPr>
          <w:sz w:val="28"/>
          <w:szCs w:val="28"/>
        </w:rPr>
        <w:t>положень</w:t>
      </w:r>
      <w:r w:rsidRPr="00EF20A4">
        <w:rPr>
          <w:sz w:val="28"/>
          <w:szCs w:val="28"/>
        </w:rPr>
        <w:t xml:space="preserve">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 після набрання ним чинності.</w:t>
      </w:r>
    </w:p>
    <w:p w:rsidR="002B23BF" w:rsidRDefault="002B23BF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18765B" w:rsidRDefault="0056405F">
      <w:pPr>
        <w:ind w:firstLine="567"/>
        <w:jc w:val="both"/>
        <w:rPr>
          <w:sz w:val="24"/>
          <w:szCs w:val="28"/>
        </w:rPr>
      </w:pPr>
    </w:p>
    <w:p w:rsidR="0056405F" w:rsidRDefault="00A816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Очікуваним р</w:t>
      </w:r>
      <w:r w:rsidR="0056405F" w:rsidRPr="00EF20A4">
        <w:rPr>
          <w:sz w:val="28"/>
          <w:szCs w:val="28"/>
        </w:rPr>
        <w:t xml:space="preserve">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</w:t>
      </w:r>
      <w:r w:rsidR="00355E83">
        <w:rPr>
          <w:sz w:val="28"/>
          <w:szCs w:val="28"/>
        </w:rPr>
        <w:t>и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>передачі</w:t>
      </w:r>
      <w:r w:rsidR="008D2D8D" w:rsidRPr="008D2D8D">
        <w:rPr>
          <w:sz w:val="28"/>
          <w:szCs w:val="28"/>
        </w:rPr>
        <w:t>»</w:t>
      </w:r>
      <w:r w:rsidR="0056405F">
        <w:rPr>
          <w:sz w:val="28"/>
          <w:szCs w:val="28"/>
        </w:rPr>
        <w:t xml:space="preserve"> </w:t>
      </w:r>
      <w:r w:rsidR="0056405F" w:rsidRPr="00EF20A4">
        <w:rPr>
          <w:sz w:val="28"/>
          <w:szCs w:val="28"/>
        </w:rPr>
        <w:t xml:space="preserve">має стати: </w:t>
      </w:r>
    </w:p>
    <w:p w:rsidR="00825F54" w:rsidRPr="00825F54" w:rsidRDefault="00825F54" w:rsidP="0018765B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825F54">
        <w:rPr>
          <w:sz w:val="28"/>
          <w:szCs w:val="28"/>
        </w:rPr>
        <w:t xml:space="preserve">підвищення надійності роботи </w:t>
      </w:r>
      <w:proofErr w:type="spellStart"/>
      <w:r w:rsidRPr="00825F54">
        <w:rPr>
          <w:sz w:val="28"/>
          <w:szCs w:val="28"/>
        </w:rPr>
        <w:t>енергооб’єднання</w:t>
      </w:r>
      <w:proofErr w:type="spellEnd"/>
      <w:r w:rsidRPr="00825F54">
        <w:rPr>
          <w:sz w:val="28"/>
          <w:szCs w:val="28"/>
        </w:rPr>
        <w:t xml:space="preserve"> Синхронної зони Континентальної Європи;</w:t>
      </w:r>
    </w:p>
    <w:p w:rsidR="00825F54" w:rsidRPr="00825F54" w:rsidRDefault="00825F54" w:rsidP="0018765B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забезпечення повноцінної паралельної роботи ОЕС України з енергосистемою Континентальної Європи ENTSO-Е;</w:t>
      </w:r>
    </w:p>
    <w:p w:rsidR="00825F54" w:rsidRPr="00825F54" w:rsidRDefault="00825F54" w:rsidP="0018765B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приведення положень Кодексу системи передачі до вимог, визначених кодексами ENTSO-E щодо визначення:</w:t>
      </w:r>
    </w:p>
    <w:p w:rsidR="00825F54" w:rsidRPr="00825F54" w:rsidRDefault="00825F54" w:rsidP="0018765B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мінімальних технічних вимог до резервів заміщення,</w:t>
      </w:r>
    </w:p>
    <w:p w:rsidR="00825F54" w:rsidRPr="00825F54" w:rsidRDefault="00825F54" w:rsidP="0018765B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особливостей налаштування уставок функції стабілізатора енергосистеми (PSS),</w:t>
      </w:r>
    </w:p>
    <w:p w:rsidR="000006FD" w:rsidRDefault="00825F54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особливостей налаштування уставок функції демпфірування коливань потужності (POD).</w:t>
      </w:r>
    </w:p>
    <w:p w:rsidR="000006FD" w:rsidRDefault="000006FD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0006FD" w:rsidRDefault="000006FD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Голова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B336E1">
        <w:rPr>
          <w:b/>
          <w:sz w:val="28"/>
          <w:szCs w:val="28"/>
        </w:rPr>
        <w:t>К. Ущаповський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="00825F54" w:rsidRPr="005558AE">
        <w:rPr>
          <w:sz w:val="28"/>
          <w:szCs w:val="28"/>
        </w:rPr>
        <w:t>202</w:t>
      </w:r>
      <w:r w:rsidR="00825F54">
        <w:rPr>
          <w:sz w:val="28"/>
          <w:szCs w:val="28"/>
        </w:rPr>
        <w:t>3</w:t>
      </w:r>
      <w:r w:rsidR="00825F54" w:rsidRPr="005558AE">
        <w:rPr>
          <w:sz w:val="28"/>
          <w:szCs w:val="28"/>
        </w:rPr>
        <w:t xml:space="preserve"> </w:t>
      </w:r>
      <w:r w:rsidRPr="005558AE">
        <w:rPr>
          <w:sz w:val="28"/>
          <w:szCs w:val="28"/>
        </w:rPr>
        <w:t>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54A" w:rsidRDefault="00C1654A">
      <w:r>
        <w:separator/>
      </w:r>
    </w:p>
  </w:endnote>
  <w:endnote w:type="continuationSeparator" w:id="0">
    <w:p w:rsidR="00C1654A" w:rsidRDefault="00C1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54A" w:rsidRDefault="00C1654A">
      <w:r>
        <w:separator/>
      </w:r>
    </w:p>
  </w:footnote>
  <w:footnote w:type="continuationSeparator" w:id="0">
    <w:p w:rsidR="00C1654A" w:rsidRDefault="00C16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816C4">
      <w:rPr>
        <w:noProof/>
      </w:rPr>
      <w:t>4</w:t>
    </w:r>
    <w:r>
      <w:fldChar w:fldCharType="end"/>
    </w:r>
  </w:p>
  <w:p w:rsidR="007D1213" w:rsidRDefault="009177E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C33B4"/>
    <w:multiLevelType w:val="hybridMultilevel"/>
    <w:tmpl w:val="FB2A16FA"/>
    <w:lvl w:ilvl="0" w:tplc="61CC2EC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3" w:hanging="360"/>
      </w:pPr>
    </w:lvl>
    <w:lvl w:ilvl="2" w:tplc="2000001B" w:tentative="1">
      <w:start w:val="1"/>
      <w:numFmt w:val="lowerRoman"/>
      <w:lvlText w:val="%3."/>
      <w:lvlJc w:val="right"/>
      <w:pPr>
        <w:ind w:left="2083" w:hanging="180"/>
      </w:pPr>
    </w:lvl>
    <w:lvl w:ilvl="3" w:tplc="2000000F" w:tentative="1">
      <w:start w:val="1"/>
      <w:numFmt w:val="decimal"/>
      <w:lvlText w:val="%4."/>
      <w:lvlJc w:val="left"/>
      <w:pPr>
        <w:ind w:left="2803" w:hanging="360"/>
      </w:pPr>
    </w:lvl>
    <w:lvl w:ilvl="4" w:tplc="20000019" w:tentative="1">
      <w:start w:val="1"/>
      <w:numFmt w:val="lowerLetter"/>
      <w:lvlText w:val="%5."/>
      <w:lvlJc w:val="left"/>
      <w:pPr>
        <w:ind w:left="3523" w:hanging="360"/>
      </w:pPr>
    </w:lvl>
    <w:lvl w:ilvl="5" w:tplc="2000001B" w:tentative="1">
      <w:start w:val="1"/>
      <w:numFmt w:val="lowerRoman"/>
      <w:lvlText w:val="%6."/>
      <w:lvlJc w:val="right"/>
      <w:pPr>
        <w:ind w:left="4243" w:hanging="180"/>
      </w:pPr>
    </w:lvl>
    <w:lvl w:ilvl="6" w:tplc="2000000F" w:tentative="1">
      <w:start w:val="1"/>
      <w:numFmt w:val="decimal"/>
      <w:lvlText w:val="%7."/>
      <w:lvlJc w:val="left"/>
      <w:pPr>
        <w:ind w:left="4963" w:hanging="360"/>
      </w:pPr>
    </w:lvl>
    <w:lvl w:ilvl="7" w:tplc="20000019" w:tentative="1">
      <w:start w:val="1"/>
      <w:numFmt w:val="lowerLetter"/>
      <w:lvlText w:val="%8."/>
      <w:lvlJc w:val="left"/>
      <w:pPr>
        <w:ind w:left="5683" w:hanging="360"/>
      </w:pPr>
    </w:lvl>
    <w:lvl w:ilvl="8" w:tplc="200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295F696A"/>
    <w:multiLevelType w:val="hybridMultilevel"/>
    <w:tmpl w:val="FB2A16FA"/>
    <w:lvl w:ilvl="0" w:tplc="61CC2EC8">
      <w:start w:val="1"/>
      <w:numFmt w:val="decimal"/>
      <w:lvlText w:val="%1."/>
      <w:lvlJc w:val="left"/>
      <w:pPr>
        <w:ind w:left="41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35" w:hanging="360"/>
      </w:pPr>
    </w:lvl>
    <w:lvl w:ilvl="2" w:tplc="2000001B" w:tentative="1">
      <w:start w:val="1"/>
      <w:numFmt w:val="lowerRoman"/>
      <w:lvlText w:val="%3."/>
      <w:lvlJc w:val="right"/>
      <w:pPr>
        <w:ind w:left="1855" w:hanging="180"/>
      </w:pPr>
    </w:lvl>
    <w:lvl w:ilvl="3" w:tplc="2000000F" w:tentative="1">
      <w:start w:val="1"/>
      <w:numFmt w:val="decimal"/>
      <w:lvlText w:val="%4."/>
      <w:lvlJc w:val="left"/>
      <w:pPr>
        <w:ind w:left="2575" w:hanging="360"/>
      </w:pPr>
    </w:lvl>
    <w:lvl w:ilvl="4" w:tplc="20000019" w:tentative="1">
      <w:start w:val="1"/>
      <w:numFmt w:val="lowerLetter"/>
      <w:lvlText w:val="%5."/>
      <w:lvlJc w:val="left"/>
      <w:pPr>
        <w:ind w:left="3295" w:hanging="360"/>
      </w:pPr>
    </w:lvl>
    <w:lvl w:ilvl="5" w:tplc="2000001B" w:tentative="1">
      <w:start w:val="1"/>
      <w:numFmt w:val="lowerRoman"/>
      <w:lvlText w:val="%6."/>
      <w:lvlJc w:val="right"/>
      <w:pPr>
        <w:ind w:left="4015" w:hanging="180"/>
      </w:pPr>
    </w:lvl>
    <w:lvl w:ilvl="6" w:tplc="2000000F" w:tentative="1">
      <w:start w:val="1"/>
      <w:numFmt w:val="decimal"/>
      <w:lvlText w:val="%7."/>
      <w:lvlJc w:val="left"/>
      <w:pPr>
        <w:ind w:left="4735" w:hanging="360"/>
      </w:pPr>
    </w:lvl>
    <w:lvl w:ilvl="7" w:tplc="20000019" w:tentative="1">
      <w:start w:val="1"/>
      <w:numFmt w:val="lowerLetter"/>
      <w:lvlText w:val="%8."/>
      <w:lvlJc w:val="left"/>
      <w:pPr>
        <w:ind w:left="5455" w:hanging="360"/>
      </w:pPr>
    </w:lvl>
    <w:lvl w:ilvl="8" w:tplc="2000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 w15:restartNumberingAfterBreak="0">
    <w:nsid w:val="7BAC5964"/>
    <w:multiLevelType w:val="hybridMultilevel"/>
    <w:tmpl w:val="088C22AE"/>
    <w:lvl w:ilvl="0" w:tplc="BF48BCC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37" w:hanging="360"/>
      </w:pPr>
    </w:lvl>
    <w:lvl w:ilvl="2" w:tplc="2000001B" w:tentative="1">
      <w:start w:val="1"/>
      <w:numFmt w:val="lowerRoman"/>
      <w:lvlText w:val="%3."/>
      <w:lvlJc w:val="right"/>
      <w:pPr>
        <w:ind w:left="1857" w:hanging="180"/>
      </w:pPr>
    </w:lvl>
    <w:lvl w:ilvl="3" w:tplc="2000000F" w:tentative="1">
      <w:start w:val="1"/>
      <w:numFmt w:val="decimal"/>
      <w:lvlText w:val="%4."/>
      <w:lvlJc w:val="left"/>
      <w:pPr>
        <w:ind w:left="2577" w:hanging="360"/>
      </w:pPr>
    </w:lvl>
    <w:lvl w:ilvl="4" w:tplc="20000019" w:tentative="1">
      <w:start w:val="1"/>
      <w:numFmt w:val="lowerLetter"/>
      <w:lvlText w:val="%5."/>
      <w:lvlJc w:val="left"/>
      <w:pPr>
        <w:ind w:left="3297" w:hanging="360"/>
      </w:pPr>
    </w:lvl>
    <w:lvl w:ilvl="5" w:tplc="2000001B" w:tentative="1">
      <w:start w:val="1"/>
      <w:numFmt w:val="lowerRoman"/>
      <w:lvlText w:val="%6."/>
      <w:lvlJc w:val="right"/>
      <w:pPr>
        <w:ind w:left="4017" w:hanging="180"/>
      </w:pPr>
    </w:lvl>
    <w:lvl w:ilvl="6" w:tplc="2000000F" w:tentative="1">
      <w:start w:val="1"/>
      <w:numFmt w:val="decimal"/>
      <w:lvlText w:val="%7."/>
      <w:lvlJc w:val="left"/>
      <w:pPr>
        <w:ind w:left="4737" w:hanging="360"/>
      </w:pPr>
    </w:lvl>
    <w:lvl w:ilvl="7" w:tplc="20000019" w:tentative="1">
      <w:start w:val="1"/>
      <w:numFmt w:val="lowerLetter"/>
      <w:lvlText w:val="%8."/>
      <w:lvlJc w:val="left"/>
      <w:pPr>
        <w:ind w:left="5457" w:hanging="360"/>
      </w:pPr>
    </w:lvl>
    <w:lvl w:ilvl="8" w:tplc="200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06FD"/>
    <w:rsid w:val="0000373C"/>
    <w:rsid w:val="00014092"/>
    <w:rsid w:val="00017CEA"/>
    <w:rsid w:val="00036A52"/>
    <w:rsid w:val="00044343"/>
    <w:rsid w:val="00052391"/>
    <w:rsid w:val="000858A0"/>
    <w:rsid w:val="000B5D93"/>
    <w:rsid w:val="0012580C"/>
    <w:rsid w:val="00143D68"/>
    <w:rsid w:val="00170781"/>
    <w:rsid w:val="0018765B"/>
    <w:rsid w:val="001A4454"/>
    <w:rsid w:val="001B6329"/>
    <w:rsid w:val="001B6AF9"/>
    <w:rsid w:val="001E52E4"/>
    <w:rsid w:val="002069AF"/>
    <w:rsid w:val="00211978"/>
    <w:rsid w:val="00215503"/>
    <w:rsid w:val="00223B06"/>
    <w:rsid w:val="00261CC6"/>
    <w:rsid w:val="0027332F"/>
    <w:rsid w:val="002837A6"/>
    <w:rsid w:val="00295A0A"/>
    <w:rsid w:val="002B23BF"/>
    <w:rsid w:val="002B5DEC"/>
    <w:rsid w:val="00302FBD"/>
    <w:rsid w:val="00313E07"/>
    <w:rsid w:val="00336C40"/>
    <w:rsid w:val="00355E83"/>
    <w:rsid w:val="00386C19"/>
    <w:rsid w:val="003E1F55"/>
    <w:rsid w:val="00407C41"/>
    <w:rsid w:val="00442DEC"/>
    <w:rsid w:val="00443FFC"/>
    <w:rsid w:val="004754FD"/>
    <w:rsid w:val="004D1216"/>
    <w:rsid w:val="004D6FC1"/>
    <w:rsid w:val="004F6D05"/>
    <w:rsid w:val="00506E71"/>
    <w:rsid w:val="0054096C"/>
    <w:rsid w:val="00557803"/>
    <w:rsid w:val="0056405F"/>
    <w:rsid w:val="005D0B1A"/>
    <w:rsid w:val="005E552B"/>
    <w:rsid w:val="005F0F74"/>
    <w:rsid w:val="005F15AD"/>
    <w:rsid w:val="005F3340"/>
    <w:rsid w:val="005F448F"/>
    <w:rsid w:val="00603393"/>
    <w:rsid w:val="0060512F"/>
    <w:rsid w:val="00614F67"/>
    <w:rsid w:val="00651AE9"/>
    <w:rsid w:val="006931A2"/>
    <w:rsid w:val="006B55E1"/>
    <w:rsid w:val="006C1ED2"/>
    <w:rsid w:val="006F38B5"/>
    <w:rsid w:val="00745E63"/>
    <w:rsid w:val="0077564E"/>
    <w:rsid w:val="00777CA1"/>
    <w:rsid w:val="00793DA1"/>
    <w:rsid w:val="007A0314"/>
    <w:rsid w:val="007A4680"/>
    <w:rsid w:val="007B7BFF"/>
    <w:rsid w:val="007D262E"/>
    <w:rsid w:val="007E3AD4"/>
    <w:rsid w:val="007F3655"/>
    <w:rsid w:val="00824682"/>
    <w:rsid w:val="00825F54"/>
    <w:rsid w:val="00826171"/>
    <w:rsid w:val="008D2D8D"/>
    <w:rsid w:val="00903E41"/>
    <w:rsid w:val="00911072"/>
    <w:rsid w:val="00915E66"/>
    <w:rsid w:val="009177E5"/>
    <w:rsid w:val="0094149F"/>
    <w:rsid w:val="009539F8"/>
    <w:rsid w:val="009559E2"/>
    <w:rsid w:val="00962651"/>
    <w:rsid w:val="00991381"/>
    <w:rsid w:val="00A4541C"/>
    <w:rsid w:val="00A47363"/>
    <w:rsid w:val="00A6034C"/>
    <w:rsid w:val="00A67310"/>
    <w:rsid w:val="00A816C4"/>
    <w:rsid w:val="00A91404"/>
    <w:rsid w:val="00A94860"/>
    <w:rsid w:val="00AA75E6"/>
    <w:rsid w:val="00AE3B94"/>
    <w:rsid w:val="00AF17E5"/>
    <w:rsid w:val="00B06E62"/>
    <w:rsid w:val="00B17766"/>
    <w:rsid w:val="00B336E1"/>
    <w:rsid w:val="00B55365"/>
    <w:rsid w:val="00B569A5"/>
    <w:rsid w:val="00B6058C"/>
    <w:rsid w:val="00B729BC"/>
    <w:rsid w:val="00B812FC"/>
    <w:rsid w:val="00B90674"/>
    <w:rsid w:val="00BB3BAC"/>
    <w:rsid w:val="00BC4B32"/>
    <w:rsid w:val="00BC7F5D"/>
    <w:rsid w:val="00BE32CA"/>
    <w:rsid w:val="00C02221"/>
    <w:rsid w:val="00C1654A"/>
    <w:rsid w:val="00C67EEF"/>
    <w:rsid w:val="00C70CCC"/>
    <w:rsid w:val="00C75AC5"/>
    <w:rsid w:val="00CE16EF"/>
    <w:rsid w:val="00CF43EF"/>
    <w:rsid w:val="00D117BF"/>
    <w:rsid w:val="00D11E97"/>
    <w:rsid w:val="00D70957"/>
    <w:rsid w:val="00DB10AE"/>
    <w:rsid w:val="00DE21C2"/>
    <w:rsid w:val="00E16E8E"/>
    <w:rsid w:val="00E23ACA"/>
    <w:rsid w:val="00E42A0F"/>
    <w:rsid w:val="00E70E09"/>
    <w:rsid w:val="00EA6575"/>
    <w:rsid w:val="00EB063D"/>
    <w:rsid w:val="00EB6A37"/>
    <w:rsid w:val="00EC0E8A"/>
    <w:rsid w:val="00EC53EB"/>
    <w:rsid w:val="00ED27FA"/>
    <w:rsid w:val="00EE6933"/>
    <w:rsid w:val="00F40038"/>
    <w:rsid w:val="00F57200"/>
    <w:rsid w:val="00F83531"/>
    <w:rsid w:val="00F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523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52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49</cp:revision>
  <dcterms:created xsi:type="dcterms:W3CDTF">2022-07-04T13:04:00Z</dcterms:created>
  <dcterms:modified xsi:type="dcterms:W3CDTF">2023-02-14T15:43:00Z</dcterms:modified>
</cp:coreProperties>
</file>