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284"/>
        <w:gridCol w:w="9247"/>
      </w:tblGrid>
      <w:tr w:rsidR="00752710" w:rsidRPr="00A03A5A" w:rsidTr="00347820">
        <w:trPr>
          <w:trHeight w:val="727"/>
        </w:trPr>
        <w:tc>
          <w:tcPr>
            <w:tcW w:w="284" w:type="dxa"/>
          </w:tcPr>
          <w:p w:rsidR="00752710" w:rsidRPr="00A03A5A" w:rsidRDefault="00752710">
            <w:pPr>
              <w:spacing w:line="256" w:lineRule="auto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9247" w:type="dxa"/>
          </w:tcPr>
          <w:p w:rsidR="00646368" w:rsidRPr="00646368" w:rsidRDefault="00646368" w:rsidP="00EF55CC">
            <w:pPr>
              <w:ind w:right="142"/>
              <w:rPr>
                <w:b/>
                <w:bCs/>
                <w:iCs/>
                <w:sz w:val="28"/>
                <w:szCs w:val="28"/>
                <w:lang w:val="uk-UA"/>
              </w:rPr>
            </w:pPr>
            <w:r w:rsidRPr="00646368">
              <w:rPr>
                <w:b/>
                <w:bCs/>
                <w:iCs/>
                <w:sz w:val="28"/>
                <w:szCs w:val="28"/>
                <w:lang w:val="uk-UA"/>
              </w:rPr>
              <w:t xml:space="preserve">Питання   №                                                                           </w:t>
            </w:r>
            <w:r>
              <w:rPr>
                <w:b/>
                <w:bCs/>
                <w:iCs/>
                <w:sz w:val="28"/>
                <w:szCs w:val="28"/>
                <w:lang w:val="uk-UA"/>
              </w:rPr>
              <w:t xml:space="preserve">    </w:t>
            </w:r>
            <w:r w:rsidRPr="00646368">
              <w:rPr>
                <w:b/>
                <w:bCs/>
                <w:iCs/>
                <w:sz w:val="28"/>
                <w:szCs w:val="28"/>
                <w:lang w:val="uk-UA"/>
              </w:rPr>
              <w:t>_________</w:t>
            </w:r>
          </w:p>
          <w:p w:rsidR="009D3845" w:rsidRPr="009D3845" w:rsidRDefault="009D3845" w:rsidP="009D3845">
            <w:pPr>
              <w:spacing w:line="256" w:lineRule="auto"/>
              <w:ind w:left="498" w:firstLine="298"/>
              <w:jc w:val="right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752710" w:rsidRPr="00A03A5A" w:rsidRDefault="00752710" w:rsidP="00EF55CC">
      <w:pPr>
        <w:widowControl w:val="0"/>
        <w:jc w:val="center"/>
        <w:rPr>
          <w:b/>
          <w:sz w:val="28"/>
          <w:szCs w:val="28"/>
          <w:lang w:val="uk-UA"/>
        </w:rPr>
      </w:pPr>
      <w:r w:rsidRPr="00A03A5A">
        <w:rPr>
          <w:b/>
          <w:sz w:val="28"/>
          <w:szCs w:val="28"/>
          <w:lang w:val="uk-UA"/>
        </w:rPr>
        <w:t>Обґрунтування до рішення Національної комісії, що здійснює державне регулювання у сферах енергетики та комунальних послуг, про схвалення проєкту рішення, що має ознаки  регуляторного акта – постанови НКРЕКП «</w:t>
      </w:r>
      <w:r w:rsidR="00D072E0" w:rsidRPr="00D072E0">
        <w:rPr>
          <w:b/>
          <w:sz w:val="28"/>
          <w:szCs w:val="28"/>
          <w:lang w:val="uk-UA"/>
        </w:rPr>
        <w:t xml:space="preserve">Про </w:t>
      </w:r>
      <w:r w:rsidR="00A76922">
        <w:rPr>
          <w:b/>
          <w:sz w:val="28"/>
          <w:szCs w:val="28"/>
          <w:lang w:val="uk-UA"/>
        </w:rPr>
        <w:t>внесення</w:t>
      </w:r>
      <w:r w:rsidR="00D072E0" w:rsidRPr="00D072E0">
        <w:rPr>
          <w:b/>
          <w:sz w:val="28"/>
          <w:szCs w:val="28"/>
          <w:lang w:val="uk-UA"/>
        </w:rPr>
        <w:t xml:space="preserve"> </w:t>
      </w:r>
      <w:r w:rsidR="00A76922">
        <w:rPr>
          <w:b/>
          <w:sz w:val="28"/>
          <w:szCs w:val="28"/>
          <w:lang w:val="uk-UA"/>
        </w:rPr>
        <w:t>з</w:t>
      </w:r>
      <w:r w:rsidR="00D072E0" w:rsidRPr="00D072E0">
        <w:rPr>
          <w:b/>
          <w:sz w:val="28"/>
          <w:szCs w:val="28"/>
          <w:lang w:val="uk-UA"/>
        </w:rPr>
        <w:t>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A03A5A">
        <w:rPr>
          <w:b/>
          <w:sz w:val="28"/>
          <w:szCs w:val="28"/>
          <w:lang w:val="uk-UA"/>
        </w:rPr>
        <w:t>».</w:t>
      </w:r>
    </w:p>
    <w:p w:rsidR="00752710" w:rsidRPr="009D3845" w:rsidRDefault="00752710" w:rsidP="00752710">
      <w:pPr>
        <w:widowControl w:val="0"/>
        <w:jc w:val="both"/>
        <w:rPr>
          <w:sz w:val="20"/>
          <w:szCs w:val="20"/>
          <w:lang w:val="uk-UA"/>
        </w:rPr>
      </w:pPr>
    </w:p>
    <w:p w:rsidR="00972467" w:rsidRPr="000435B2" w:rsidRDefault="00A76922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З</w:t>
      </w:r>
      <w:r w:rsidR="00E65A2C" w:rsidRPr="000435B2">
        <w:rPr>
          <w:sz w:val="27"/>
          <w:szCs w:val="27"/>
          <w:lang w:val="uk-UA"/>
        </w:rPr>
        <w:t xml:space="preserve"> метою вдосконалення норм Порядку розроблення та подання на затвердження планів розвитку систем розподілу та інвестиційних програм операторів систем розподілу, </w:t>
      </w:r>
      <w:r w:rsidR="00E65A2C" w:rsidRPr="000435B2">
        <w:rPr>
          <w:i/>
          <w:sz w:val="27"/>
          <w:szCs w:val="27"/>
          <w:lang w:val="uk-UA"/>
        </w:rPr>
        <w:t>затвердженого постановою Національної комісії, що здійснює державне регулювання у сферах енергетики та комунальних послуг, від 04 вересня 2018 року № 955</w:t>
      </w:r>
      <w:r w:rsidR="006B3BB7" w:rsidRPr="000435B2">
        <w:rPr>
          <w:i/>
          <w:sz w:val="27"/>
          <w:szCs w:val="27"/>
          <w:lang w:val="uk-UA"/>
        </w:rPr>
        <w:t xml:space="preserve"> (далі – Порядок)</w:t>
      </w:r>
      <w:r w:rsidR="00E65A2C" w:rsidRPr="000435B2">
        <w:rPr>
          <w:i/>
          <w:sz w:val="27"/>
          <w:szCs w:val="27"/>
          <w:lang w:val="uk-UA"/>
        </w:rPr>
        <w:t xml:space="preserve">, </w:t>
      </w:r>
      <w:r w:rsidR="00347820" w:rsidRPr="000435B2">
        <w:rPr>
          <w:sz w:val="27"/>
          <w:szCs w:val="27"/>
          <w:lang w:val="uk-UA"/>
        </w:rPr>
        <w:t>Департаментом із регулювання відносин у сфері енергетики</w:t>
      </w:r>
      <w:r w:rsidR="009D3845" w:rsidRPr="000435B2">
        <w:rPr>
          <w:sz w:val="27"/>
          <w:szCs w:val="27"/>
          <w:lang w:val="uk-UA"/>
        </w:rPr>
        <w:t xml:space="preserve"> </w:t>
      </w:r>
      <w:r w:rsidR="009D3845" w:rsidRPr="000435B2">
        <w:rPr>
          <w:i/>
          <w:sz w:val="27"/>
          <w:szCs w:val="27"/>
          <w:lang w:val="uk-UA"/>
        </w:rPr>
        <w:t>(далі – Департамент)</w:t>
      </w:r>
      <w:r w:rsidR="009D3845" w:rsidRPr="000435B2">
        <w:rPr>
          <w:sz w:val="27"/>
          <w:szCs w:val="27"/>
          <w:lang w:val="uk-UA"/>
        </w:rPr>
        <w:t xml:space="preserve"> </w:t>
      </w:r>
      <w:r w:rsidR="00752710" w:rsidRPr="000435B2">
        <w:rPr>
          <w:sz w:val="27"/>
          <w:szCs w:val="27"/>
          <w:lang w:val="uk-UA"/>
        </w:rPr>
        <w:t xml:space="preserve">було розроблено </w:t>
      </w:r>
      <w:r w:rsidR="009D3845" w:rsidRPr="000435B2">
        <w:rPr>
          <w:sz w:val="27"/>
          <w:szCs w:val="27"/>
          <w:lang w:val="uk-UA"/>
        </w:rPr>
        <w:t>проєкт рішення, щ</w:t>
      </w:r>
      <w:r w:rsidR="00E65A2C" w:rsidRPr="000435B2">
        <w:rPr>
          <w:sz w:val="27"/>
          <w:szCs w:val="27"/>
          <w:lang w:val="uk-UA"/>
        </w:rPr>
        <w:t xml:space="preserve">о має ознаки регуляторного </w:t>
      </w:r>
      <w:proofErr w:type="spellStart"/>
      <w:r w:rsidR="00E65A2C" w:rsidRPr="000435B2">
        <w:rPr>
          <w:sz w:val="27"/>
          <w:szCs w:val="27"/>
          <w:lang w:val="uk-UA"/>
        </w:rPr>
        <w:t>акта</w:t>
      </w:r>
      <w:proofErr w:type="spellEnd"/>
      <w:r w:rsidR="00972467" w:rsidRPr="000435B2">
        <w:rPr>
          <w:sz w:val="27"/>
          <w:szCs w:val="27"/>
          <w:lang w:val="uk-UA"/>
        </w:rPr>
        <w:t xml:space="preserve"> </w:t>
      </w:r>
      <w:r w:rsidR="00E65A2C" w:rsidRPr="000435B2">
        <w:rPr>
          <w:sz w:val="27"/>
          <w:szCs w:val="27"/>
          <w:lang w:val="uk-UA"/>
        </w:rPr>
        <w:t>–</w:t>
      </w:r>
      <w:r w:rsidR="00972467" w:rsidRPr="000435B2">
        <w:rPr>
          <w:sz w:val="27"/>
          <w:szCs w:val="27"/>
          <w:lang w:val="uk-UA"/>
        </w:rPr>
        <w:t xml:space="preserve"> </w:t>
      </w:r>
      <w:r w:rsidR="009D3845" w:rsidRPr="000435B2">
        <w:rPr>
          <w:sz w:val="27"/>
          <w:szCs w:val="27"/>
          <w:lang w:val="uk-UA"/>
        </w:rPr>
        <w:t xml:space="preserve">постанови НКРЕКП </w:t>
      </w:r>
      <w:r w:rsidR="00752710" w:rsidRPr="000435B2">
        <w:rPr>
          <w:sz w:val="27"/>
          <w:szCs w:val="27"/>
          <w:lang w:val="uk-UA"/>
        </w:rPr>
        <w:t>«</w:t>
      </w:r>
      <w:r w:rsidR="00E65A2C" w:rsidRPr="000435B2">
        <w:rPr>
          <w:sz w:val="27"/>
          <w:szCs w:val="27"/>
          <w:lang w:val="uk-UA"/>
        </w:rPr>
        <w:t xml:space="preserve">Про </w:t>
      </w:r>
      <w:r w:rsidR="00537D70" w:rsidRPr="000435B2">
        <w:rPr>
          <w:sz w:val="27"/>
          <w:szCs w:val="27"/>
          <w:lang w:val="uk-UA"/>
        </w:rPr>
        <w:t>внесення з</w:t>
      </w:r>
      <w:r w:rsidR="00E65A2C" w:rsidRPr="000435B2">
        <w:rPr>
          <w:sz w:val="27"/>
          <w:szCs w:val="27"/>
          <w:lang w:val="uk-UA"/>
        </w:rPr>
        <w:t>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752710" w:rsidRPr="000435B2">
        <w:rPr>
          <w:sz w:val="27"/>
          <w:szCs w:val="27"/>
          <w:lang w:val="uk-UA"/>
        </w:rPr>
        <w:t>»</w:t>
      </w:r>
      <w:r w:rsidR="009513BD" w:rsidRPr="000435B2">
        <w:rPr>
          <w:sz w:val="27"/>
          <w:szCs w:val="27"/>
          <w:lang w:val="uk-UA"/>
        </w:rPr>
        <w:t xml:space="preserve">, </w:t>
      </w:r>
      <w:r w:rsidR="00972467" w:rsidRPr="000435B2">
        <w:rPr>
          <w:sz w:val="27"/>
          <w:szCs w:val="27"/>
          <w:lang w:val="uk-UA"/>
        </w:rPr>
        <w:t>яким, зокрема:</w:t>
      </w:r>
    </w:p>
    <w:p w:rsidR="004150C5" w:rsidRPr="000435B2" w:rsidRDefault="004150C5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 xml:space="preserve">– </w:t>
      </w:r>
      <w:r w:rsidR="00174B93" w:rsidRPr="000435B2">
        <w:rPr>
          <w:sz w:val="27"/>
          <w:szCs w:val="27"/>
          <w:lang w:val="uk-UA"/>
        </w:rPr>
        <w:t xml:space="preserve"> </w:t>
      </w:r>
      <w:r w:rsidRPr="000435B2">
        <w:rPr>
          <w:sz w:val="27"/>
          <w:szCs w:val="27"/>
          <w:lang w:val="uk-UA"/>
        </w:rPr>
        <w:t>впорядковується процедура надання та своєчасного розгляду НКРЕКП планів розвитку систем розподілу (далі – ПРСР) та відповідних інвестиційних програм (далі – ІП) операторів систем розподілу</w:t>
      </w:r>
      <w:r w:rsidR="00FC53A9" w:rsidRPr="000435B2">
        <w:rPr>
          <w:sz w:val="27"/>
          <w:szCs w:val="27"/>
          <w:lang w:val="uk-UA"/>
        </w:rPr>
        <w:t xml:space="preserve"> (далі – ОСР)</w:t>
      </w:r>
      <w:r w:rsidRPr="000435B2">
        <w:rPr>
          <w:sz w:val="27"/>
          <w:szCs w:val="27"/>
          <w:lang w:val="uk-UA"/>
        </w:rPr>
        <w:t>;</w:t>
      </w:r>
    </w:p>
    <w:p w:rsidR="00CD135E" w:rsidRPr="000435B2" w:rsidRDefault="00CD135E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– передбачається необхідна деталізація у частині пояснювальної записки щодо обґрунтованості заходів, що пропонуються ОСР для реалізації в рамках ПРСР та ІП;</w:t>
      </w:r>
    </w:p>
    <w:p w:rsidR="00972467" w:rsidRPr="000435B2" w:rsidRDefault="00972467" w:rsidP="009D3845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–</w:t>
      </w:r>
      <w:r w:rsidR="00CD135E" w:rsidRPr="000435B2">
        <w:rPr>
          <w:sz w:val="27"/>
          <w:szCs w:val="27"/>
          <w:lang w:val="uk-UA"/>
        </w:rPr>
        <w:t xml:space="preserve"> </w:t>
      </w:r>
      <w:r w:rsidR="00067C5D" w:rsidRPr="000435B2">
        <w:rPr>
          <w:sz w:val="27"/>
          <w:szCs w:val="27"/>
          <w:lang w:val="uk-UA"/>
        </w:rPr>
        <w:t>передбачається наявність детального переліку обґрунтовувальних матеріалів для заходів, що пропонуються ОСР для реалізації в рамках</w:t>
      </w:r>
      <w:r w:rsidR="00F979BE" w:rsidRPr="000435B2">
        <w:rPr>
          <w:sz w:val="27"/>
          <w:szCs w:val="27"/>
          <w:lang w:val="uk-UA"/>
        </w:rPr>
        <w:t xml:space="preserve"> </w:t>
      </w:r>
      <w:r w:rsidR="006B3BB7" w:rsidRPr="000435B2">
        <w:rPr>
          <w:sz w:val="27"/>
          <w:szCs w:val="27"/>
          <w:lang w:val="uk-UA"/>
        </w:rPr>
        <w:t>ПРСР та ІП</w:t>
      </w:r>
      <w:r w:rsidR="00ED62EC" w:rsidRPr="000435B2">
        <w:rPr>
          <w:sz w:val="27"/>
          <w:szCs w:val="27"/>
          <w:lang w:val="uk-UA"/>
        </w:rPr>
        <w:t>;</w:t>
      </w:r>
    </w:p>
    <w:p w:rsidR="006B3BB7" w:rsidRPr="000435B2" w:rsidRDefault="00F979BE" w:rsidP="00CD135E">
      <w:pPr>
        <w:shd w:val="clear" w:color="auto" w:fill="FFFFFF"/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 xml:space="preserve">– </w:t>
      </w:r>
      <w:r w:rsidR="00174B93" w:rsidRPr="000435B2">
        <w:rPr>
          <w:sz w:val="27"/>
          <w:szCs w:val="27"/>
          <w:lang w:val="uk-UA"/>
        </w:rPr>
        <w:t xml:space="preserve">  </w:t>
      </w:r>
      <w:r w:rsidR="004150C5" w:rsidRPr="000435B2">
        <w:rPr>
          <w:sz w:val="27"/>
          <w:szCs w:val="27"/>
          <w:lang w:val="uk-UA"/>
        </w:rPr>
        <w:t>врегульовується питання щодо виконання заходів ІП ОСР</w:t>
      </w:r>
      <w:r w:rsidR="00D70A71" w:rsidRPr="000435B2">
        <w:rPr>
          <w:sz w:val="27"/>
          <w:szCs w:val="27"/>
          <w:lang w:val="uk-UA"/>
        </w:rPr>
        <w:t>.</w:t>
      </w:r>
    </w:p>
    <w:p w:rsidR="009C1500" w:rsidRPr="000435B2" w:rsidRDefault="00752710" w:rsidP="009F063F">
      <w:pPr>
        <w:tabs>
          <w:tab w:val="left" w:pos="993"/>
          <w:tab w:val="left" w:pos="2715"/>
        </w:tabs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 xml:space="preserve">Оскільки </w:t>
      </w:r>
      <w:proofErr w:type="spellStart"/>
      <w:r w:rsidRPr="000435B2">
        <w:rPr>
          <w:sz w:val="27"/>
          <w:szCs w:val="27"/>
          <w:lang w:val="uk-UA"/>
        </w:rPr>
        <w:t>проєкт</w:t>
      </w:r>
      <w:proofErr w:type="spellEnd"/>
      <w:r w:rsidRPr="000435B2">
        <w:rPr>
          <w:sz w:val="27"/>
          <w:szCs w:val="27"/>
          <w:lang w:val="uk-UA"/>
        </w:rPr>
        <w:t xml:space="preserve"> постанови НКРЕКП «</w:t>
      </w:r>
      <w:r w:rsidR="00E65A2C" w:rsidRPr="000435B2">
        <w:rPr>
          <w:sz w:val="27"/>
          <w:szCs w:val="27"/>
          <w:lang w:val="uk-UA"/>
        </w:rPr>
        <w:t xml:space="preserve">Про </w:t>
      </w:r>
      <w:r w:rsidR="00195E57" w:rsidRPr="000435B2">
        <w:rPr>
          <w:sz w:val="27"/>
          <w:szCs w:val="27"/>
          <w:lang w:val="uk-UA"/>
        </w:rPr>
        <w:t>внесення з</w:t>
      </w:r>
      <w:r w:rsidR="00E65A2C" w:rsidRPr="000435B2">
        <w:rPr>
          <w:sz w:val="27"/>
          <w:szCs w:val="27"/>
          <w:lang w:val="uk-UA"/>
        </w:rPr>
        <w:t>мін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0435B2">
        <w:rPr>
          <w:sz w:val="27"/>
          <w:szCs w:val="27"/>
          <w:lang w:val="uk-UA"/>
        </w:rPr>
        <w:t xml:space="preserve">» має ознаки регуляторного </w:t>
      </w:r>
      <w:proofErr w:type="spellStart"/>
      <w:r w:rsidRPr="000435B2">
        <w:rPr>
          <w:sz w:val="27"/>
          <w:szCs w:val="27"/>
          <w:lang w:val="uk-UA"/>
        </w:rPr>
        <w:t>акта</w:t>
      </w:r>
      <w:proofErr w:type="spellEnd"/>
      <w:r w:rsidRPr="000435B2">
        <w:rPr>
          <w:sz w:val="27"/>
          <w:szCs w:val="27"/>
          <w:lang w:val="uk-UA"/>
        </w:rPr>
        <w:t>, згідно зі статтею 15 Закону України «Про Національну комісію, що здійснює державне регулювання у сферах енергетики та комунальних послуг» він має бути оприлюднений на офіційному вебсайті НКРЕКП з метою одержання зауважень і пропозицій.</w:t>
      </w:r>
    </w:p>
    <w:p w:rsidR="00752710" w:rsidRPr="000435B2" w:rsidRDefault="00503AE8" w:rsidP="009D3845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Враховуючи вищезазначене, Департамент пропонує:</w:t>
      </w:r>
    </w:p>
    <w:p w:rsidR="00752710" w:rsidRPr="000435B2" w:rsidRDefault="00F73E41" w:rsidP="009D3845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1.</w:t>
      </w:r>
      <w:r w:rsidR="009D3845" w:rsidRPr="000435B2">
        <w:rPr>
          <w:sz w:val="27"/>
          <w:szCs w:val="27"/>
          <w:lang w:val="uk-UA"/>
        </w:rPr>
        <w:t> </w:t>
      </w:r>
      <w:r w:rsidR="00752710" w:rsidRPr="000435B2">
        <w:rPr>
          <w:sz w:val="27"/>
          <w:szCs w:val="27"/>
          <w:lang w:val="uk-UA"/>
        </w:rPr>
        <w:t>Схвалити проєкт постанови НКРЕКП «</w:t>
      </w:r>
      <w:r w:rsidR="005C3D78" w:rsidRPr="005C3D78">
        <w:rPr>
          <w:sz w:val="27"/>
          <w:szCs w:val="27"/>
          <w:lang w:val="uk-UA"/>
        </w:rPr>
        <w:t>Про внесення змін</w:t>
      </w:r>
      <w:r w:rsidR="00E65A2C" w:rsidRPr="000435B2">
        <w:rPr>
          <w:sz w:val="27"/>
          <w:szCs w:val="27"/>
          <w:lang w:val="uk-UA"/>
        </w:rPr>
        <w:t xml:space="preserve">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="00752710" w:rsidRPr="000435B2">
        <w:rPr>
          <w:sz w:val="27"/>
          <w:szCs w:val="27"/>
          <w:lang w:val="uk-UA"/>
        </w:rPr>
        <w:t>».</w:t>
      </w:r>
    </w:p>
    <w:p w:rsidR="009C1500" w:rsidRPr="000435B2" w:rsidRDefault="00752710" w:rsidP="000435B2">
      <w:pPr>
        <w:ind w:firstLine="567"/>
        <w:jc w:val="both"/>
        <w:rPr>
          <w:sz w:val="27"/>
          <w:szCs w:val="27"/>
          <w:lang w:val="uk-UA"/>
        </w:rPr>
      </w:pPr>
      <w:r w:rsidRPr="000435B2">
        <w:rPr>
          <w:sz w:val="27"/>
          <w:szCs w:val="27"/>
          <w:lang w:val="uk-UA"/>
        </w:rPr>
        <w:t>2.</w:t>
      </w:r>
      <w:r w:rsidR="009D3845" w:rsidRPr="000435B2">
        <w:rPr>
          <w:sz w:val="27"/>
          <w:szCs w:val="27"/>
          <w:lang w:val="uk-UA"/>
        </w:rPr>
        <w:t> </w:t>
      </w:r>
      <w:r w:rsidR="00832944" w:rsidRPr="000435B2">
        <w:rPr>
          <w:sz w:val="27"/>
          <w:szCs w:val="27"/>
          <w:lang w:val="uk-UA"/>
        </w:rPr>
        <w:t>Оприлюднити</w:t>
      </w:r>
      <w:r w:rsidRPr="000435B2">
        <w:rPr>
          <w:sz w:val="27"/>
          <w:szCs w:val="27"/>
          <w:lang w:val="uk-UA"/>
        </w:rPr>
        <w:t xml:space="preserve"> проєкт постанови НКРЕКП «</w:t>
      </w:r>
      <w:r w:rsidR="005C3D78" w:rsidRPr="005C3D78">
        <w:rPr>
          <w:sz w:val="27"/>
          <w:szCs w:val="27"/>
          <w:lang w:val="uk-UA"/>
        </w:rPr>
        <w:t>Про внесення змін</w:t>
      </w:r>
      <w:r w:rsidR="00E65A2C" w:rsidRPr="000435B2">
        <w:rPr>
          <w:sz w:val="27"/>
          <w:szCs w:val="27"/>
          <w:lang w:val="uk-UA"/>
        </w:rPr>
        <w:t xml:space="preserve"> до Порядку розроблення та подання на затвердження планів розвитку систем розподілу та інвестиційних програм операторів систем розподілу</w:t>
      </w:r>
      <w:r w:rsidRPr="000435B2">
        <w:rPr>
          <w:sz w:val="27"/>
          <w:szCs w:val="27"/>
          <w:lang w:val="uk-UA"/>
        </w:rPr>
        <w:t xml:space="preserve">» на офіційному </w:t>
      </w:r>
      <w:proofErr w:type="spellStart"/>
      <w:r w:rsidRPr="000435B2">
        <w:rPr>
          <w:sz w:val="27"/>
          <w:szCs w:val="27"/>
          <w:lang w:val="uk-UA"/>
        </w:rPr>
        <w:t>вебсайті</w:t>
      </w:r>
      <w:proofErr w:type="spellEnd"/>
      <w:r w:rsidRPr="000435B2">
        <w:rPr>
          <w:sz w:val="27"/>
          <w:szCs w:val="27"/>
          <w:lang w:val="uk-UA"/>
        </w:rPr>
        <w:t xml:space="preserve"> НКРЕКП з метою отримання зауважень та пропозицій </w:t>
      </w:r>
      <w:r w:rsidR="00832944" w:rsidRPr="000435B2">
        <w:rPr>
          <w:sz w:val="27"/>
          <w:szCs w:val="27"/>
          <w:lang w:val="uk-UA"/>
        </w:rPr>
        <w:t>від інших органів державної влади, фізичних та юридичних осіб, їх об’єднань та інших заінтересованих осіб</w:t>
      </w:r>
      <w:r w:rsidRPr="000435B2">
        <w:rPr>
          <w:sz w:val="27"/>
          <w:szCs w:val="27"/>
          <w:lang w:val="uk-UA"/>
        </w:rPr>
        <w:t>.</w:t>
      </w:r>
    </w:p>
    <w:p w:rsidR="009C1500" w:rsidRDefault="009C1500" w:rsidP="00503AE8">
      <w:pPr>
        <w:rPr>
          <w:b/>
          <w:sz w:val="27"/>
          <w:szCs w:val="27"/>
          <w:lang w:val="uk-UA"/>
        </w:rPr>
      </w:pPr>
    </w:p>
    <w:p w:rsidR="00613141" w:rsidRDefault="00613141" w:rsidP="00503AE8">
      <w:pPr>
        <w:rPr>
          <w:b/>
          <w:sz w:val="27"/>
          <w:szCs w:val="27"/>
          <w:lang w:val="uk-UA"/>
        </w:rPr>
      </w:pPr>
    </w:p>
    <w:p w:rsidR="005F6127" w:rsidRPr="005F6127" w:rsidRDefault="005F6127" w:rsidP="005F6127">
      <w:pPr>
        <w:rPr>
          <w:b/>
          <w:sz w:val="27"/>
          <w:szCs w:val="27"/>
          <w:lang w:val="uk-UA"/>
        </w:rPr>
      </w:pPr>
      <w:r w:rsidRPr="005F6127">
        <w:rPr>
          <w:b/>
          <w:sz w:val="27"/>
          <w:szCs w:val="27"/>
          <w:lang w:val="uk-UA"/>
        </w:rPr>
        <w:t xml:space="preserve">Заступник директора департаменту – </w:t>
      </w:r>
    </w:p>
    <w:p w:rsidR="005F6127" w:rsidRPr="005F6127" w:rsidRDefault="005F6127" w:rsidP="005F6127">
      <w:pPr>
        <w:rPr>
          <w:b/>
          <w:sz w:val="27"/>
          <w:szCs w:val="27"/>
          <w:lang w:val="uk-UA"/>
        </w:rPr>
      </w:pPr>
      <w:r w:rsidRPr="005F6127">
        <w:rPr>
          <w:b/>
          <w:sz w:val="27"/>
          <w:szCs w:val="27"/>
          <w:lang w:val="uk-UA"/>
        </w:rPr>
        <w:t xml:space="preserve">начальник управління інвестиційної політики </w:t>
      </w:r>
    </w:p>
    <w:p w:rsidR="005F6127" w:rsidRPr="005F6127" w:rsidRDefault="005F6127" w:rsidP="005F6127">
      <w:pPr>
        <w:rPr>
          <w:b/>
          <w:sz w:val="27"/>
          <w:szCs w:val="27"/>
          <w:lang w:val="uk-UA"/>
        </w:rPr>
      </w:pPr>
      <w:r w:rsidRPr="005F6127">
        <w:rPr>
          <w:b/>
          <w:sz w:val="27"/>
          <w:szCs w:val="27"/>
          <w:lang w:val="uk-UA"/>
        </w:rPr>
        <w:t xml:space="preserve">та технічного розвитку Департаменту із </w:t>
      </w:r>
    </w:p>
    <w:p w:rsidR="0036459A" w:rsidRPr="000435B2" w:rsidRDefault="005F6127" w:rsidP="005F6127">
      <w:pPr>
        <w:rPr>
          <w:b/>
          <w:sz w:val="27"/>
          <w:szCs w:val="27"/>
        </w:rPr>
      </w:pPr>
      <w:r w:rsidRPr="005F6127">
        <w:rPr>
          <w:b/>
          <w:sz w:val="27"/>
          <w:szCs w:val="27"/>
          <w:lang w:val="uk-UA"/>
        </w:rPr>
        <w:t>регулювання відносин у сфері енергетики</w:t>
      </w:r>
      <w:r w:rsidRPr="005F6127">
        <w:rPr>
          <w:b/>
          <w:sz w:val="27"/>
          <w:szCs w:val="27"/>
          <w:lang w:val="uk-UA"/>
        </w:rPr>
        <w:tab/>
      </w:r>
      <w:r w:rsidRPr="005F6127">
        <w:rPr>
          <w:b/>
          <w:sz w:val="27"/>
          <w:szCs w:val="27"/>
          <w:lang w:val="uk-UA"/>
        </w:rPr>
        <w:tab/>
      </w:r>
      <w:r w:rsidRPr="005F6127">
        <w:rPr>
          <w:b/>
          <w:sz w:val="27"/>
          <w:szCs w:val="27"/>
          <w:lang w:val="uk-UA"/>
        </w:rPr>
        <w:tab/>
      </w:r>
      <w:r w:rsidRPr="005F6127">
        <w:rPr>
          <w:b/>
          <w:sz w:val="27"/>
          <w:szCs w:val="27"/>
          <w:lang w:val="uk-UA"/>
        </w:rPr>
        <w:tab/>
        <w:t xml:space="preserve">Ю. </w:t>
      </w:r>
      <w:proofErr w:type="spellStart"/>
      <w:r w:rsidRPr="005F6127">
        <w:rPr>
          <w:b/>
          <w:sz w:val="27"/>
          <w:szCs w:val="27"/>
          <w:lang w:val="uk-UA"/>
        </w:rPr>
        <w:t>Остап’юк</w:t>
      </w:r>
      <w:bookmarkStart w:id="0" w:name="_GoBack"/>
      <w:bookmarkEnd w:id="0"/>
      <w:proofErr w:type="spellEnd"/>
    </w:p>
    <w:sectPr w:rsidR="0036459A" w:rsidRPr="000435B2" w:rsidSect="009D3845">
      <w:footerReference w:type="default" r:id="rId6"/>
      <w:pgSz w:w="11906" w:h="16838"/>
      <w:pgMar w:top="850" w:right="850" w:bottom="850" w:left="1417" w:header="708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1D0" w:rsidRDefault="00DD31D0" w:rsidP="00A316AE">
      <w:r>
        <w:separator/>
      </w:r>
    </w:p>
  </w:endnote>
  <w:endnote w:type="continuationSeparator" w:id="0">
    <w:p w:rsidR="00DD31D0" w:rsidRDefault="00DD31D0" w:rsidP="00A3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6AE" w:rsidRPr="009D3845" w:rsidRDefault="00A316AE">
    <w:pPr>
      <w:pStyle w:val="a5"/>
      <w:rPr>
        <w:sz w:val="20"/>
        <w:szCs w:val="20"/>
        <w:lang w:val="uk-UA"/>
      </w:rPr>
    </w:pPr>
    <w:r w:rsidRPr="009D3845">
      <w:rPr>
        <w:sz w:val="20"/>
        <w:szCs w:val="20"/>
        <w:lang w:val="uk-UA"/>
      </w:rPr>
      <w:t>Харченко М. В. 204-70-92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1D0" w:rsidRDefault="00DD31D0" w:rsidP="00A316AE">
      <w:r>
        <w:separator/>
      </w:r>
    </w:p>
  </w:footnote>
  <w:footnote w:type="continuationSeparator" w:id="0">
    <w:p w:rsidR="00DD31D0" w:rsidRDefault="00DD31D0" w:rsidP="00A31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10"/>
    <w:rsid w:val="00001117"/>
    <w:rsid w:val="000229C2"/>
    <w:rsid w:val="000435B2"/>
    <w:rsid w:val="00067C5D"/>
    <w:rsid w:val="00174B93"/>
    <w:rsid w:val="00195E57"/>
    <w:rsid w:val="001D05A8"/>
    <w:rsid w:val="002E5817"/>
    <w:rsid w:val="00347820"/>
    <w:rsid w:val="0036459A"/>
    <w:rsid w:val="003F7049"/>
    <w:rsid w:val="004150C5"/>
    <w:rsid w:val="00503AE8"/>
    <w:rsid w:val="00537D70"/>
    <w:rsid w:val="00563EFA"/>
    <w:rsid w:val="005C3D78"/>
    <w:rsid w:val="005F6127"/>
    <w:rsid w:val="005F68FB"/>
    <w:rsid w:val="00613141"/>
    <w:rsid w:val="00646368"/>
    <w:rsid w:val="006A334A"/>
    <w:rsid w:val="006B3BB7"/>
    <w:rsid w:val="00752710"/>
    <w:rsid w:val="00753870"/>
    <w:rsid w:val="00770E4C"/>
    <w:rsid w:val="007F77B9"/>
    <w:rsid w:val="00832944"/>
    <w:rsid w:val="009513BD"/>
    <w:rsid w:val="0095162F"/>
    <w:rsid w:val="00972467"/>
    <w:rsid w:val="009770D9"/>
    <w:rsid w:val="009B605A"/>
    <w:rsid w:val="009C1500"/>
    <w:rsid w:val="009D3845"/>
    <w:rsid w:val="009F063F"/>
    <w:rsid w:val="00A03A5A"/>
    <w:rsid w:val="00A135E2"/>
    <w:rsid w:val="00A316AE"/>
    <w:rsid w:val="00A76922"/>
    <w:rsid w:val="00A94DAB"/>
    <w:rsid w:val="00AE0BF2"/>
    <w:rsid w:val="00B9633C"/>
    <w:rsid w:val="00BA2CEE"/>
    <w:rsid w:val="00BD132D"/>
    <w:rsid w:val="00BD66C3"/>
    <w:rsid w:val="00BE4497"/>
    <w:rsid w:val="00C40A6F"/>
    <w:rsid w:val="00C74859"/>
    <w:rsid w:val="00CD135E"/>
    <w:rsid w:val="00D072E0"/>
    <w:rsid w:val="00D70A71"/>
    <w:rsid w:val="00D75459"/>
    <w:rsid w:val="00DD31D0"/>
    <w:rsid w:val="00DE5BE8"/>
    <w:rsid w:val="00DF0FB6"/>
    <w:rsid w:val="00E33920"/>
    <w:rsid w:val="00E65A2C"/>
    <w:rsid w:val="00E717CE"/>
    <w:rsid w:val="00ED62EC"/>
    <w:rsid w:val="00EF55CC"/>
    <w:rsid w:val="00F73E41"/>
    <w:rsid w:val="00F979BE"/>
    <w:rsid w:val="00FC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A49E089-FD25-4E53-A0F5-32117B9EF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52710"/>
    <w:pPr>
      <w:spacing w:before="100" w:beforeAutospacing="1" w:after="100" w:afterAutospacing="1"/>
    </w:pPr>
    <w:rPr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16A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316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0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1879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Мар'яна Харченко</cp:lastModifiedBy>
  <cp:revision>50</cp:revision>
  <dcterms:created xsi:type="dcterms:W3CDTF">2022-06-01T11:40:00Z</dcterms:created>
  <dcterms:modified xsi:type="dcterms:W3CDTF">2023-01-30T10:58:00Z</dcterms:modified>
</cp:coreProperties>
</file>