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45D" w:rsidRDefault="0076045D" w:rsidP="0076045D">
      <w:pPr>
        <w:tabs>
          <w:tab w:val="left" w:pos="993"/>
          <w:tab w:val="left" w:pos="3261"/>
        </w:tabs>
        <w:ind w:left="5103"/>
        <w:rPr>
          <w:rFonts w:eastAsia="Times New Roman"/>
          <w:sz w:val="28"/>
          <w:szCs w:val="28"/>
          <w:lang w:val="uk-UA"/>
        </w:rPr>
      </w:pPr>
      <w:r>
        <w:rPr>
          <w:rFonts w:eastAsia="Times New Roman"/>
          <w:sz w:val="28"/>
          <w:szCs w:val="28"/>
          <w:lang w:val="uk-UA"/>
        </w:rPr>
        <w:t xml:space="preserve">                                            </w:t>
      </w:r>
      <w:r w:rsidRPr="00CC21C6">
        <w:rPr>
          <w:rFonts w:eastAsia="Times New Roman"/>
          <w:sz w:val="28"/>
          <w:szCs w:val="28"/>
          <w:lang w:val="uk-UA"/>
        </w:rPr>
        <w:t xml:space="preserve">ЗАТВЕРДЖЕНО                                 </w:t>
      </w:r>
      <w:r>
        <w:rPr>
          <w:rFonts w:eastAsia="Times New Roman"/>
          <w:sz w:val="28"/>
          <w:szCs w:val="28"/>
          <w:lang w:val="uk-UA"/>
        </w:rPr>
        <w:t xml:space="preserve">                 </w:t>
      </w:r>
      <w:r w:rsidRPr="00CC21C6">
        <w:rPr>
          <w:rFonts w:eastAsia="Times New Roman"/>
          <w:sz w:val="28"/>
          <w:szCs w:val="28"/>
          <w:lang w:val="uk-UA"/>
        </w:rPr>
        <w:t xml:space="preserve">Постанова Національної                                    </w:t>
      </w:r>
      <w:r>
        <w:rPr>
          <w:rFonts w:eastAsia="Times New Roman"/>
          <w:sz w:val="28"/>
          <w:szCs w:val="28"/>
          <w:lang w:val="uk-UA"/>
        </w:rPr>
        <w:t xml:space="preserve">                              </w:t>
      </w:r>
      <w:r w:rsidRPr="00CC21C6">
        <w:rPr>
          <w:rFonts w:eastAsia="Times New Roman"/>
          <w:sz w:val="28"/>
          <w:szCs w:val="28"/>
          <w:lang w:val="uk-UA"/>
        </w:rPr>
        <w:t xml:space="preserve">комісії, що здійснює державне                      </w:t>
      </w:r>
      <w:r>
        <w:rPr>
          <w:rFonts w:eastAsia="Times New Roman"/>
          <w:sz w:val="28"/>
          <w:szCs w:val="28"/>
          <w:lang w:val="uk-UA"/>
        </w:rPr>
        <w:t xml:space="preserve">                              </w:t>
      </w:r>
      <w:r w:rsidRPr="00CC21C6">
        <w:rPr>
          <w:rFonts w:eastAsia="Times New Roman"/>
          <w:sz w:val="28"/>
          <w:szCs w:val="28"/>
          <w:lang w:val="uk-UA"/>
        </w:rPr>
        <w:t xml:space="preserve">регулювання у сферах                                            </w:t>
      </w:r>
      <w:r>
        <w:rPr>
          <w:rFonts w:eastAsia="Times New Roman"/>
          <w:sz w:val="28"/>
          <w:szCs w:val="28"/>
          <w:lang w:val="uk-UA"/>
        </w:rPr>
        <w:t xml:space="preserve">                              </w:t>
      </w:r>
      <w:r w:rsidRPr="00CC21C6">
        <w:rPr>
          <w:rFonts w:eastAsia="Times New Roman"/>
          <w:sz w:val="28"/>
          <w:szCs w:val="28"/>
          <w:lang w:val="uk-UA"/>
        </w:rPr>
        <w:t>енергетики та комунальних послуг</w:t>
      </w:r>
    </w:p>
    <w:p w:rsidR="0076045D" w:rsidRPr="00092CF6" w:rsidRDefault="0076045D" w:rsidP="0076045D">
      <w:pPr>
        <w:tabs>
          <w:tab w:val="left" w:pos="993"/>
          <w:tab w:val="left" w:pos="6120"/>
        </w:tabs>
        <w:ind w:left="5103"/>
        <w:rPr>
          <w:rFonts w:eastAsia="Times New Roman"/>
          <w:sz w:val="28"/>
          <w:szCs w:val="28"/>
          <w:lang w:val="uk-UA"/>
        </w:rPr>
      </w:pPr>
      <w:r w:rsidRPr="00092CF6">
        <w:rPr>
          <w:rFonts w:eastAsia="Times New Roman"/>
          <w:sz w:val="28"/>
          <w:szCs w:val="28"/>
          <w:lang w:val="uk-UA"/>
        </w:rPr>
        <w:t>04 вересня 2018 року № 955</w:t>
      </w:r>
    </w:p>
    <w:p w:rsidR="0076045D" w:rsidRDefault="0076045D" w:rsidP="0076045D">
      <w:pPr>
        <w:pStyle w:val="a4"/>
        <w:tabs>
          <w:tab w:val="left" w:pos="993"/>
        </w:tabs>
        <w:ind w:left="5103"/>
        <w:rPr>
          <w:rFonts w:eastAsia="Times New Roman"/>
          <w:sz w:val="28"/>
          <w:szCs w:val="28"/>
          <w:lang w:val="uk-UA"/>
        </w:rPr>
      </w:pPr>
      <w:r w:rsidRPr="00092CF6">
        <w:rPr>
          <w:rFonts w:eastAsia="Times New Roman"/>
          <w:sz w:val="28"/>
          <w:szCs w:val="28"/>
        </w:rPr>
        <w:t>(</w:t>
      </w:r>
      <w:r w:rsidRPr="00092CF6">
        <w:rPr>
          <w:rFonts w:eastAsia="Times New Roman"/>
          <w:sz w:val="28"/>
          <w:szCs w:val="28"/>
          <w:lang w:val="uk-UA"/>
        </w:rPr>
        <w:t>у редакції постанови НКРЕКП                                                    від ______________№________)</w:t>
      </w:r>
    </w:p>
    <w:p w:rsidR="00313981" w:rsidRPr="00313981" w:rsidRDefault="00313981" w:rsidP="00313981">
      <w:pPr>
        <w:pStyle w:val="a4"/>
        <w:tabs>
          <w:tab w:val="left" w:pos="993"/>
        </w:tabs>
        <w:spacing w:after="0"/>
        <w:jc w:val="center"/>
        <w:rPr>
          <w:rFonts w:eastAsia="Times New Roman"/>
          <w:sz w:val="28"/>
          <w:szCs w:val="28"/>
          <w:lang w:val="uk-UA"/>
        </w:rPr>
      </w:pPr>
    </w:p>
    <w:p w:rsidR="00092CF6" w:rsidRPr="00F25C81" w:rsidRDefault="00092CF6" w:rsidP="00092CF6">
      <w:pPr>
        <w:pStyle w:val="3"/>
        <w:spacing w:before="0" w:beforeAutospacing="0" w:after="0" w:afterAutospacing="0"/>
        <w:jc w:val="center"/>
        <w:rPr>
          <w:rFonts w:eastAsia="Times New Roman"/>
          <w:sz w:val="28"/>
          <w:szCs w:val="28"/>
          <w:lang w:val="uk-UA"/>
        </w:rPr>
      </w:pPr>
      <w:r w:rsidRPr="00F25C81">
        <w:rPr>
          <w:rFonts w:eastAsia="Times New Roman"/>
          <w:sz w:val="28"/>
          <w:szCs w:val="28"/>
          <w:lang w:val="uk-UA"/>
        </w:rPr>
        <w:t>Порядок розроблення та подання на затвердження планів розвитку систем розподілу та інвестиційних програм операторів систем розподілу</w:t>
      </w:r>
      <w:r w:rsidRPr="00F25C81">
        <w:rPr>
          <w:rFonts w:eastAsia="Times New Roman"/>
          <w:sz w:val="28"/>
          <w:szCs w:val="28"/>
          <w:lang w:val="uk-UA"/>
        </w:rPr>
        <w:br w:type="textWrapping" w:clear="all"/>
      </w:r>
    </w:p>
    <w:p w:rsidR="00092CF6" w:rsidRPr="00F25C81" w:rsidRDefault="00092CF6" w:rsidP="00092CF6">
      <w:pPr>
        <w:pStyle w:val="3"/>
        <w:spacing w:before="0" w:beforeAutospacing="0" w:after="0" w:afterAutospacing="0"/>
        <w:jc w:val="center"/>
        <w:rPr>
          <w:rFonts w:eastAsia="Times New Roman"/>
          <w:sz w:val="28"/>
          <w:szCs w:val="28"/>
          <w:lang w:val="uk-UA"/>
        </w:rPr>
      </w:pPr>
      <w:r w:rsidRPr="00F25C81">
        <w:rPr>
          <w:rFonts w:eastAsia="Times New Roman"/>
          <w:sz w:val="28"/>
          <w:szCs w:val="28"/>
          <w:lang w:val="uk-UA"/>
        </w:rPr>
        <w:t>1. Загальні положення</w:t>
      </w:r>
    </w:p>
    <w:p w:rsidR="00092CF6" w:rsidRPr="00F25C81" w:rsidRDefault="00092CF6" w:rsidP="00092CF6">
      <w:pPr>
        <w:pStyle w:val="3"/>
        <w:spacing w:before="0" w:beforeAutospacing="0" w:after="0" w:afterAutospacing="0"/>
        <w:jc w:val="center"/>
        <w:rPr>
          <w:rFonts w:eastAsia="Times New Roman"/>
          <w:sz w:val="28"/>
          <w:szCs w:val="28"/>
          <w:lang w:val="uk-UA"/>
        </w:rPr>
      </w:pPr>
    </w:p>
    <w:p w:rsidR="00092CF6" w:rsidRPr="00F25C81" w:rsidRDefault="00092CF6" w:rsidP="00092CF6">
      <w:pPr>
        <w:pStyle w:val="a3"/>
        <w:spacing w:before="0" w:beforeAutospacing="0" w:after="0" w:afterAutospacing="0"/>
        <w:ind w:firstLine="567"/>
        <w:jc w:val="both"/>
        <w:rPr>
          <w:sz w:val="28"/>
          <w:szCs w:val="28"/>
          <w:lang w:val="uk-UA"/>
        </w:rPr>
      </w:pPr>
      <w:r w:rsidRPr="00F25C81">
        <w:rPr>
          <w:sz w:val="28"/>
          <w:szCs w:val="28"/>
          <w:lang w:val="uk-UA"/>
        </w:rPr>
        <w:t xml:space="preserve">1.1. Цей Порядок поширюється на суб'єктів господарювання, які отримали або мають намір отримати ліцензію на провадження господарської діяльності з розподілу електричної енергії (далі – оператори системи розподілу), та установлює процедуру формування, подання, розгляду, схвалення та виконання планів розвитку систем розподілу (далі – ПРСР) та інвестиційних програм </w:t>
      </w:r>
      <w:r w:rsidR="00284FC5">
        <w:rPr>
          <w:sz w:val="28"/>
          <w:szCs w:val="28"/>
          <w:lang w:val="uk-UA"/>
        </w:rPr>
        <w:t>(далі – </w:t>
      </w:r>
      <w:r w:rsidRPr="00F25C81">
        <w:rPr>
          <w:sz w:val="28"/>
          <w:szCs w:val="28"/>
          <w:lang w:val="uk-UA"/>
        </w:rPr>
        <w:t>ІП) операторів систем розподілу.</w:t>
      </w:r>
    </w:p>
    <w:p w:rsidR="00092CF6" w:rsidRPr="00F25C81" w:rsidRDefault="00092CF6" w:rsidP="00092CF6">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1.2. У цьому Порядку терміни вживаються в таких значеннях:</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базовий період – період дії ІП, який передує прогнозному періоду ІП, тривалістю, як правило, календарний рік;</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захід ІП – належним чином обґрунтована, запланована до виконання закупівля товарів та робіт протягом прогнозного періоду ІП (календарний рік), що пов'язана з провадженням оператором системи розподілу господарської діяльності з розподілу електричної енергії; </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звітний період – період дії ІП, за який оператор системи розподілу звітує про виконання ІП (щокварталу наростаючим підсумком та за підсумками календарного року);</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інвестиційна програма (ІП) – оформлені з урахуванням вимог цього Порядку зобов’язання оператора системи розподілу щодо виконання у визначені терміни та за рахунок відповідних джерел фінансування комплексу заходів ІП, спрямованих, зокрема, на підвищення рівня надійності, безпеки, економічності та забезпечення ефективного функціонування активів оператора системи розподілу; розвиток системи розподілу; поліпшення якості надання послуг з розподілу електричної енергії; зниження технологічних витрат електричної енергії;</w:t>
      </w:r>
    </w:p>
    <w:p w:rsidR="006E569E" w:rsidRPr="0068412E" w:rsidRDefault="006E569E" w:rsidP="006E569E">
      <w:pPr>
        <w:pStyle w:val="a3"/>
        <w:spacing w:before="0" w:beforeAutospacing="0" w:after="0" w:afterAutospacing="0"/>
        <w:ind w:firstLine="567"/>
        <w:jc w:val="both"/>
        <w:rPr>
          <w:strike/>
          <w:sz w:val="28"/>
          <w:szCs w:val="28"/>
          <w:lang w:val="uk-UA"/>
        </w:rPr>
      </w:pPr>
      <w:r w:rsidRPr="0068412E">
        <w:rPr>
          <w:sz w:val="28"/>
          <w:szCs w:val="28"/>
          <w:lang w:val="uk-UA"/>
        </w:rPr>
        <w:t>перехідний захід ІП – запланований до виконання захід ІП, що виконується протягом двох або більше років, та пов'язаний з обґрунтованою оператором системи розподілу необхідністю виконання заходу ІП етапами/чергами;</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план розвитку системи розподілу (ПРСР) – документ, який містить необхідні прогнозні обсяги нового будівництва, реконструкції та технічного переоснащення системи розподілу відповідного оператора системи розподілу на наступні 5 календарних років, розроблений з урахуванням Плану розвитку системи передачі на наступні 10 років, та визначає потребу в майбутніх інвестиціях та план виконання відповідних заходів для забезпечення енергоефективності та надійності функціонування системи розподілу з дотриманням установлених показників якості надання послуг з розподілу електричної енергії;</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прогнозний період ПРСР – п'ятирічний період, протягом якого оператор системи розподілу планує розвиток системи розподілу;</w:t>
      </w:r>
    </w:p>
    <w:p w:rsidR="006E569E" w:rsidRPr="0068412E" w:rsidRDefault="006E569E" w:rsidP="006E569E">
      <w:pPr>
        <w:pStyle w:val="a3"/>
        <w:spacing w:before="0" w:beforeAutospacing="0" w:after="0" w:afterAutospacing="0"/>
        <w:ind w:firstLine="567"/>
        <w:jc w:val="both"/>
        <w:rPr>
          <w:b/>
          <w:sz w:val="28"/>
          <w:szCs w:val="28"/>
          <w:lang w:val="uk-UA"/>
        </w:rPr>
      </w:pPr>
      <w:r w:rsidRPr="0068412E">
        <w:rPr>
          <w:sz w:val="28"/>
          <w:szCs w:val="28"/>
          <w:lang w:val="uk-UA"/>
        </w:rPr>
        <w:t xml:space="preserve">прогнозний період інвестиційної програми (далі – прогнозний період) – період, протягом якого оператор системи розподілу зобов'язаний виконати заходи ІП (як правило, перший календарний рік прогнозного періоду ПРСР). </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Інші терміни, що використовуються в цьому Порядку, вживаються у значеннях, наведених у Законі України «Про ринок електричної енергії», Кодексі систем розподілу, затвердженому постановою НКРЕКП від 14 березня 2018 року № 310 (далі – КСР).</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1.3. Оператор системи розподілу зобов'язаний використовувати кошти, визначені як джерело фінансування ІП, виключно на її виконання відповідно до графіка виконання заходів по кварталах, визначеного ІП.</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1.4. Розгляду питання про схвалення ПРСР та ІП передують їх відкриті обговорення на місцях згідно з Порядком проведення відкритого обговорення про</w:t>
      </w:r>
      <w:r w:rsidR="00A74103" w:rsidRPr="00CF579D">
        <w:rPr>
          <w:sz w:val="28"/>
          <w:szCs w:val="28"/>
          <w:lang w:val="uk-UA"/>
        </w:rPr>
        <w:t>е</w:t>
      </w:r>
      <w:r w:rsidRPr="0068412E">
        <w:rPr>
          <w:sz w:val="28"/>
          <w:szCs w:val="28"/>
          <w:lang w:val="uk-UA"/>
        </w:rPr>
        <w:t>ктів рішень Національної комісії, що здійснює державне регулювання у сферах енергетики та комунальних послуг, затвердженим постановою НКРЕКП від 30 червня 2017 року № 866.</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1.5. Регулятор приймає рішення про схвалення ПРСР та ІП або внесення змін до них на засіданні, що проводиться у формі відкритого слухання, після розгляду та опрацювання Регулятором ПРСР та ІП або запропонованих змін до них та поданих матеріалів згідно з вимогами цього Порядку.</w:t>
      </w:r>
    </w:p>
    <w:p w:rsidR="006E569E" w:rsidRPr="0068412E" w:rsidRDefault="006E569E" w:rsidP="006E569E">
      <w:pPr>
        <w:pStyle w:val="3"/>
        <w:spacing w:before="0" w:beforeAutospacing="0" w:after="0" w:afterAutospacing="0"/>
        <w:ind w:firstLine="567"/>
        <w:jc w:val="center"/>
        <w:rPr>
          <w:rFonts w:eastAsia="Times New Roman"/>
          <w:sz w:val="28"/>
          <w:szCs w:val="28"/>
          <w:lang w:val="uk-UA"/>
        </w:rPr>
      </w:pPr>
    </w:p>
    <w:p w:rsidR="006E569E" w:rsidRPr="0068412E" w:rsidRDefault="006E569E" w:rsidP="006E569E">
      <w:pPr>
        <w:pStyle w:val="3"/>
        <w:spacing w:before="0" w:beforeAutospacing="0" w:after="0" w:afterAutospacing="0"/>
        <w:ind w:firstLine="567"/>
        <w:jc w:val="center"/>
        <w:rPr>
          <w:rFonts w:eastAsia="Times New Roman"/>
          <w:sz w:val="28"/>
          <w:szCs w:val="28"/>
          <w:lang w:val="uk-UA"/>
        </w:rPr>
      </w:pPr>
      <w:r w:rsidRPr="0068412E">
        <w:rPr>
          <w:rFonts w:eastAsia="Times New Roman"/>
          <w:sz w:val="28"/>
          <w:szCs w:val="28"/>
          <w:lang w:val="uk-UA"/>
        </w:rPr>
        <w:t>2. Вимоги до ПРСР та ІП</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2.1. Оператор системи розподілу розробляє ПРСР з дот</w:t>
      </w:r>
      <w:r w:rsidR="00D54FDC">
        <w:rPr>
          <w:sz w:val="28"/>
          <w:szCs w:val="28"/>
          <w:lang w:val="uk-UA"/>
        </w:rPr>
        <w:t>риманням вимог розділу III КСР,</w:t>
      </w:r>
      <w:r w:rsidRPr="0068412E">
        <w:rPr>
          <w:sz w:val="28"/>
          <w:szCs w:val="28"/>
          <w:lang w:val="uk-UA"/>
        </w:rPr>
        <w:t xml:space="preserve"> цього Порядку, протоколів нарад Регулятора щодо підходів до формування ПРСР на відповідний прогнозний період ПРСР та подає його Регулятору за формою, наведеною в додатку 1 до цього Порядку.</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2.2. ПРСР має містити, зокрема:</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1) інформацію </w:t>
      </w:r>
      <w:r w:rsidR="00653BE3" w:rsidRPr="00CF579D">
        <w:rPr>
          <w:sz w:val="28"/>
          <w:szCs w:val="28"/>
          <w:lang w:val="uk-UA"/>
        </w:rPr>
        <w:t>про</w:t>
      </w:r>
      <w:r w:rsidRPr="0068412E">
        <w:rPr>
          <w:sz w:val="28"/>
          <w:szCs w:val="28"/>
          <w:lang w:val="uk-UA"/>
        </w:rPr>
        <w:t xml:space="preserve"> обладнання оператора системи розподілу щодо показників SAIDI на початок базового періоду з урахуванням даних форми звітності № 11-НКРЕКП-якість-розподіл (квартальна) «Звіт щодо показників надійності електропостачання», затвердженої постановою НКРЕКП від 12 червня 2018 року № 374, відсортовану за показником SAIDI від найвищого до найнижчого, з визначенням переліку заходів для виконання цільового завдання щодо досягнення показника SAIDI у першому році прогнозного періоду ПРСР, розрахованого відповідно до Порядку встановлення (формування) тарифів на послуги з розподілу електричної енергії, затвердженого постановою НКРЕКП від 05 жовтня 2018 року № 1175;</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 запланований для виконання впродовж прогнозного періоду ПРСР перелік заходів з урахуванням інформації, визначеної в підпункті 1 цього пункту, та з урахуванням заходів з підвищення енергоефективності, передбачених Законом України «Про енергетичну ефективність»;</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3) інформацію щодо </w:t>
      </w:r>
      <w:proofErr w:type="spellStart"/>
      <w:r w:rsidRPr="0068412E">
        <w:rPr>
          <w:sz w:val="28"/>
          <w:szCs w:val="28"/>
          <w:lang w:val="uk-UA"/>
        </w:rPr>
        <w:t>проєктно</w:t>
      </w:r>
      <w:proofErr w:type="spellEnd"/>
      <w:r w:rsidRPr="0068412E">
        <w:rPr>
          <w:sz w:val="28"/>
          <w:szCs w:val="28"/>
          <w:lang w:val="uk-UA"/>
        </w:rPr>
        <w:t xml:space="preserve">-вишукувальних та будівельно-монтажних робіт для заходів, зазначених у підпункті 2 цього пункту (будівельно-монтажні роботи, як правило, виконуються в наступному році після </w:t>
      </w:r>
      <w:proofErr w:type="spellStart"/>
      <w:r w:rsidRPr="0068412E">
        <w:rPr>
          <w:sz w:val="28"/>
          <w:szCs w:val="28"/>
          <w:lang w:val="uk-UA"/>
        </w:rPr>
        <w:t>проєктно</w:t>
      </w:r>
      <w:proofErr w:type="spellEnd"/>
      <w:r w:rsidRPr="0068412E">
        <w:rPr>
          <w:sz w:val="28"/>
          <w:szCs w:val="28"/>
          <w:lang w:val="uk-UA"/>
        </w:rPr>
        <w:t>-вишукувальних робіт);</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4) перелік та технічні дані основного обладнання трансформаторних підстанцій 20 кВ та вище;</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5) перелік заходів щодо підвищення рівня напруги;</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6) пояснювальну записку з обґрунтуванням необхідності проведення робіт по кожному розділу ПРСР, яка, у тому числі повинна містити:</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мету, обґрунтування необхідності та доцільності виконання запланованих заходів (робіт) у прогнозному періоді ПРСР;</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посилання на нормативно-правові акти, які регламентують необхідність виконання таких заходів (робіт);</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інформацію про схвалену, затверджену, погоджену належним чином </w:t>
      </w:r>
      <w:proofErr w:type="spellStart"/>
      <w:r w:rsidRPr="0068412E">
        <w:rPr>
          <w:sz w:val="28"/>
          <w:szCs w:val="28"/>
          <w:lang w:val="uk-UA"/>
        </w:rPr>
        <w:t>проєктно</w:t>
      </w:r>
      <w:proofErr w:type="spellEnd"/>
      <w:r w:rsidRPr="0068412E">
        <w:rPr>
          <w:sz w:val="28"/>
          <w:szCs w:val="28"/>
          <w:lang w:val="uk-UA"/>
        </w:rPr>
        <w:t>-кошторисну документацію (за наявності);</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інформацію щодо проведення експертизи </w:t>
      </w:r>
      <w:proofErr w:type="spellStart"/>
      <w:r w:rsidRPr="0068412E">
        <w:rPr>
          <w:sz w:val="28"/>
          <w:szCs w:val="28"/>
          <w:lang w:val="uk-UA"/>
        </w:rPr>
        <w:t>проєктно</w:t>
      </w:r>
      <w:proofErr w:type="spellEnd"/>
      <w:r w:rsidRPr="0068412E">
        <w:rPr>
          <w:sz w:val="28"/>
          <w:szCs w:val="28"/>
          <w:lang w:val="uk-UA"/>
        </w:rPr>
        <w:t>-кошторисної документації (за наявності);</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інформацію щодо заходів (робіт) із зазначенням їх етапів (обсягів) виконання, що заплановані до виконання у прогнозному періоді ПРСР (по заходах, що мають перехідний характер, зазначаються етапи (обсяги) виконання за роками із урахуванням фактичного виконання).</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2.3. Інформація в ПРСР, ІП та звітах щодо їх виконання, викладена у числовому форматі, зазначається з точністю до двох цифр після коми, а якщо ціла частина числа дорівнює нулю – з точністю до двох значущих цифр після коми.</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CF579D"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2.4. До ПРСР (як правило, для заходів першого року прогнозного періоду ПРСР) додаються відповідні </w:t>
      </w:r>
      <w:r w:rsidRPr="00CF579D">
        <w:rPr>
          <w:sz w:val="28"/>
          <w:szCs w:val="28"/>
          <w:lang w:val="uk-UA"/>
        </w:rPr>
        <w:t>обґрунтову</w:t>
      </w:r>
      <w:r w:rsidR="00734C64" w:rsidRPr="00CF579D">
        <w:rPr>
          <w:sz w:val="28"/>
          <w:szCs w:val="28"/>
          <w:lang w:val="uk-UA"/>
        </w:rPr>
        <w:t>ючі</w:t>
      </w:r>
      <w:r w:rsidRPr="00CF579D">
        <w:rPr>
          <w:sz w:val="28"/>
          <w:szCs w:val="28"/>
          <w:lang w:val="uk-UA"/>
        </w:rPr>
        <w:t xml:space="preserve"> матеріали, що, зокрема, можуть містити акти, експертні звіти (висновки) щодо необхідності заміни відповідного обладнання, технічні паспорти, протоколи замірів (акти, відомості тощо), </w:t>
      </w:r>
      <w:proofErr w:type="spellStart"/>
      <w:r w:rsidRPr="00CF579D">
        <w:rPr>
          <w:sz w:val="28"/>
          <w:szCs w:val="28"/>
          <w:lang w:val="uk-UA"/>
        </w:rPr>
        <w:t>проєктну</w:t>
      </w:r>
      <w:proofErr w:type="spellEnd"/>
      <w:r w:rsidRPr="00CF579D">
        <w:rPr>
          <w:sz w:val="28"/>
          <w:szCs w:val="28"/>
          <w:lang w:val="uk-UA"/>
        </w:rPr>
        <w:t xml:space="preserve"> документацію.</w:t>
      </w:r>
    </w:p>
    <w:p w:rsidR="006E569E" w:rsidRPr="00CF579D"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CF579D">
        <w:rPr>
          <w:sz w:val="28"/>
          <w:szCs w:val="28"/>
          <w:lang w:val="uk-UA"/>
        </w:rPr>
        <w:t xml:space="preserve">2.5. Оператор системи розподілу розробляє ІП з урахуванням відповідного ПРСР, згідно з вимогами цього Порядку та протоколів нарад Регулятора щодо підходів до формування ІП на відповідний прогнозний період, та подає </w:t>
      </w:r>
      <w:r w:rsidR="007D14B7" w:rsidRPr="00CF579D">
        <w:rPr>
          <w:sz w:val="28"/>
          <w:szCs w:val="28"/>
          <w:lang w:val="uk-UA"/>
        </w:rPr>
        <w:t>її</w:t>
      </w:r>
      <w:r w:rsidRPr="00CF579D">
        <w:rPr>
          <w:sz w:val="28"/>
          <w:szCs w:val="28"/>
          <w:lang w:val="uk-UA"/>
        </w:rPr>
        <w:t xml:space="preserve"> Регулятору за формою, наведеною в додатку 2 до цього Порядку відповідно</w:t>
      </w:r>
      <w:r w:rsidRPr="0068412E">
        <w:rPr>
          <w:sz w:val="28"/>
          <w:szCs w:val="28"/>
          <w:lang w:val="uk-UA"/>
        </w:rPr>
        <w:t xml:space="preserve"> до затвердженого Регулятором графіка. </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2.6. Неподання або подання оператором системи розподілу ПРСР та/або ІП, що не відповідають вимогам цього Порядку та інших нормативно-правових актів, є порушенням Ліцензійних умов провадження господарської діяльності з розподілу електричної енергії, затверджених постановою НКРЕКП від 27 грудня 2017 року № 1470.</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2.7. Оператор системи розподілу формує джерела фінансування ПРСР та ІП з таких статей:</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амортизація;</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прибуток на виробничі інвестиції або прибуток (обов'язкові реінвестиції);</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запланований обсяг надходжень за </w:t>
      </w:r>
      <w:proofErr w:type="spellStart"/>
      <w:r w:rsidRPr="0068412E">
        <w:rPr>
          <w:sz w:val="28"/>
          <w:szCs w:val="28"/>
          <w:lang w:val="uk-UA"/>
        </w:rPr>
        <w:t>перетоки</w:t>
      </w:r>
      <w:proofErr w:type="spellEnd"/>
      <w:r w:rsidRPr="0068412E">
        <w:rPr>
          <w:sz w:val="28"/>
          <w:szCs w:val="28"/>
          <w:lang w:val="uk-UA"/>
        </w:rPr>
        <w:t xml:space="preserve"> реактивної електричної енергії;</w:t>
      </w:r>
    </w:p>
    <w:p w:rsidR="006E569E" w:rsidRPr="00CF579D"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частина від запланованого на прогнозний період обсягу прибутку, пов'язаного зі зменшенням фактичних технологічних витрат електричної енергії (для ліцензіатів, до яких застосовується метод</w:t>
      </w:r>
      <w:r w:rsidR="004B1775">
        <w:rPr>
          <w:sz w:val="28"/>
          <w:szCs w:val="28"/>
          <w:lang w:val="uk-UA"/>
        </w:rPr>
        <w:t xml:space="preserve">ологія </w:t>
      </w:r>
      <w:proofErr w:type="spellStart"/>
      <w:r w:rsidR="004B1775">
        <w:rPr>
          <w:sz w:val="28"/>
          <w:szCs w:val="28"/>
          <w:lang w:val="uk-UA"/>
        </w:rPr>
        <w:t>тарифоутворення</w:t>
      </w:r>
      <w:proofErr w:type="spellEnd"/>
      <w:r w:rsidR="004B1775">
        <w:rPr>
          <w:sz w:val="28"/>
          <w:szCs w:val="28"/>
          <w:lang w:val="uk-UA"/>
        </w:rPr>
        <w:t xml:space="preserve"> «витрати </w:t>
      </w:r>
      <w:r w:rsidRPr="0068412E">
        <w:rPr>
          <w:sz w:val="28"/>
          <w:szCs w:val="28"/>
          <w:lang w:val="uk-UA"/>
        </w:rPr>
        <w:t xml:space="preserve">+»), що виникають при її розподілі електричними мережами, порівняно з прогнозованими, розрахованого за фактичним балансом електричної енергії попереднього періоду та прогнозною ціною закупівлі технологічних витрат електричної енергії у прогнозному періоді. Фактичний баланс електричної енергії попереднього періоду розраховується відповідно до фактичних даних, наданих у формі звітності № 2а-НКРЕКП-розподіл електричної енергії (місячна) «Звітні дані про обсяги розподілу електричної енергії та технологічні витрати електричної енергії за 1 та 2 класами напруги», затвердженої постановою НКРЕКП </w:t>
      </w:r>
      <w:r w:rsidRPr="00CF579D">
        <w:rPr>
          <w:sz w:val="28"/>
          <w:szCs w:val="28"/>
          <w:lang w:val="uk-UA"/>
        </w:rPr>
        <w:t xml:space="preserve">від </w:t>
      </w:r>
      <w:r w:rsidR="006320B0" w:rsidRPr="00CF579D">
        <w:rPr>
          <w:sz w:val="28"/>
          <w:szCs w:val="28"/>
          <w:lang w:val="uk-UA"/>
        </w:rPr>
        <w:t>28 лютого 2019 року № 282</w:t>
      </w:r>
      <w:r w:rsidRPr="00CF579D">
        <w:rPr>
          <w:sz w:val="28"/>
          <w:szCs w:val="28"/>
          <w:lang w:val="uk-UA"/>
        </w:rPr>
        <w:t xml:space="preserve">, за друге півріччя року, який передує базовому та перше півріччя базового року (далі </w:t>
      </w:r>
      <w:r w:rsidR="004B1775" w:rsidRPr="00CF579D">
        <w:rPr>
          <w:sz w:val="28"/>
          <w:szCs w:val="28"/>
          <w:lang w:val="uk-UA"/>
        </w:rPr>
        <w:t>–</w:t>
      </w:r>
      <w:r w:rsidRPr="00CF579D">
        <w:rPr>
          <w:sz w:val="28"/>
          <w:szCs w:val="28"/>
          <w:lang w:val="uk-UA"/>
        </w:rPr>
        <w:t xml:space="preserve"> дохід від небалансу ТВЕ).</w:t>
      </w:r>
    </w:p>
    <w:p w:rsidR="006E569E" w:rsidRPr="0068412E" w:rsidRDefault="006E569E" w:rsidP="006E569E">
      <w:pPr>
        <w:pStyle w:val="a3"/>
        <w:spacing w:before="0" w:beforeAutospacing="0" w:after="0" w:afterAutospacing="0"/>
        <w:ind w:firstLine="567"/>
        <w:jc w:val="both"/>
        <w:rPr>
          <w:sz w:val="28"/>
          <w:szCs w:val="28"/>
          <w:lang w:val="uk-UA"/>
        </w:rPr>
      </w:pPr>
      <w:r w:rsidRPr="00CF579D">
        <w:rPr>
          <w:sz w:val="28"/>
          <w:szCs w:val="28"/>
          <w:lang w:val="uk-UA"/>
        </w:rPr>
        <w:t>Додатковими джерелами фінансування</w:t>
      </w:r>
      <w:r w:rsidRPr="0068412E">
        <w:rPr>
          <w:sz w:val="28"/>
          <w:szCs w:val="28"/>
          <w:lang w:val="uk-UA"/>
        </w:rPr>
        <w:t xml:space="preserve"> ІП можуть бути: прибуток (додаткові реінвестиції), плата за приєднання, залучені кошти (кредити, фінансова допомога), кошти, отримані від здійснення діяльності, пов'язаної та не пов'язаної з розподілом електричної енергії, дохід від небалансу ТВЕ та інші джерела відповідно до вимог чинного законодавства.</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trike/>
          <w:sz w:val="28"/>
          <w:szCs w:val="28"/>
          <w:lang w:val="uk-UA"/>
        </w:rPr>
      </w:pPr>
      <w:r w:rsidRPr="0068412E">
        <w:rPr>
          <w:sz w:val="28"/>
          <w:szCs w:val="28"/>
          <w:lang w:val="uk-UA"/>
        </w:rPr>
        <w:t xml:space="preserve">2.8. Оператор системи розподілу формує ІП відповідно до розділів, визначених цим Порядком, із зазначенням обсягу фінансування по кожному з розділів (без урахування податку на додану вартість (далі – ПДВ)). ІП має містити: </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1) інформацію про прогнозний загальний техніко-економічний стан оператора системи розподілу на дату закінчення чинної ІП з урахуванням виконання її заходів;</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 загальний перелік заходів по кожному розділу ІП, запланованих на прогнозний період;</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3) детальний перелік робіт, послуг, обладнання, матеріалів, апаратного та програмного забезпечення, запланованих для виконання або закупівлі у прогнозному періоді, з урахуванням наскрізної </w:t>
      </w:r>
      <w:proofErr w:type="spellStart"/>
      <w:r w:rsidRPr="0068412E">
        <w:rPr>
          <w:sz w:val="28"/>
          <w:szCs w:val="28"/>
          <w:lang w:val="uk-UA"/>
        </w:rPr>
        <w:t>пріоритезації</w:t>
      </w:r>
      <w:proofErr w:type="spellEnd"/>
      <w:r w:rsidRPr="0068412E">
        <w:rPr>
          <w:sz w:val="28"/>
          <w:szCs w:val="28"/>
          <w:lang w:val="uk-UA"/>
        </w:rPr>
        <w:t xml:space="preserve"> заходів у межах розділів ІП, з розбивкою на етапи (квартали) з фінансуванням відповідно до планових квартальних обсягів надходжень коштів. При визначенні </w:t>
      </w:r>
      <w:proofErr w:type="spellStart"/>
      <w:r w:rsidRPr="0068412E">
        <w:rPr>
          <w:sz w:val="28"/>
          <w:szCs w:val="28"/>
          <w:lang w:val="uk-UA"/>
        </w:rPr>
        <w:t>пріоритезації</w:t>
      </w:r>
      <w:proofErr w:type="spellEnd"/>
      <w:r w:rsidRPr="0068412E">
        <w:rPr>
          <w:sz w:val="28"/>
          <w:szCs w:val="28"/>
          <w:lang w:val="uk-UA"/>
        </w:rPr>
        <w:t xml:space="preserve"> заходів необхідно враховувати те, що </w:t>
      </w:r>
      <w:proofErr w:type="spellStart"/>
      <w:r w:rsidRPr="0068412E">
        <w:rPr>
          <w:sz w:val="28"/>
          <w:szCs w:val="28"/>
          <w:lang w:val="uk-UA"/>
        </w:rPr>
        <w:t>пріоритетнішим</w:t>
      </w:r>
      <w:proofErr w:type="spellEnd"/>
      <w:r w:rsidRPr="0068412E">
        <w:rPr>
          <w:sz w:val="28"/>
          <w:szCs w:val="28"/>
          <w:lang w:val="uk-UA"/>
        </w:rPr>
        <w:t xml:space="preserve"> є захід, виконання якого є важливішим та/або має більший вплив на забезпечення підвищення рівня надійності, безпеки, економічності, зниження технологічних витрат електричної енергії та поліпшення якості надання послуг з розподілу електричної енергії, та не враховувати заходи зі створення трансформаторної потужності, що включаються до ІП без зазначення конкретного місця встановлення (згідно з типовими </w:t>
      </w:r>
      <w:proofErr w:type="spellStart"/>
      <w:r w:rsidRPr="0068412E">
        <w:rPr>
          <w:sz w:val="28"/>
          <w:szCs w:val="28"/>
          <w:lang w:val="uk-UA"/>
        </w:rPr>
        <w:t>проєктами</w:t>
      </w:r>
      <w:proofErr w:type="spellEnd"/>
      <w:r w:rsidRPr="0068412E">
        <w:rPr>
          <w:sz w:val="28"/>
          <w:szCs w:val="28"/>
          <w:lang w:val="uk-UA"/>
        </w:rPr>
        <w:t xml:space="preserve">, блочно за відповідними </w:t>
      </w:r>
      <w:proofErr w:type="spellStart"/>
      <w:r w:rsidRPr="0068412E">
        <w:rPr>
          <w:sz w:val="28"/>
          <w:szCs w:val="28"/>
          <w:lang w:val="uk-UA"/>
        </w:rPr>
        <w:t>потужностями</w:t>
      </w:r>
      <w:proofErr w:type="spellEnd"/>
      <w:r w:rsidRPr="0068412E">
        <w:rPr>
          <w:sz w:val="28"/>
          <w:szCs w:val="28"/>
          <w:lang w:val="uk-UA"/>
        </w:rPr>
        <w:t xml:space="preserve"> з урахуванням статистичних даних тощо);</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4) пояснювальну записку з обґрунтуванням необхідності виконання заходів по кожному розділу ІП;</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5) джерела фінансування ІП;</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6) прогноз оператора системи розподілу щодо зниження технологічних витрат та втрат електричної енергії за результатами реалізації ІП.</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2.9. Пояснювальна записка до ІП повинна бути структурованою, сформованою відповідно до вимог цього Порядку та складатись із вступу та детального опису кожного заходу у розрізі розділів ІП.</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2.9.1. Вступ повинен містити:</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1) інформацію про проведення відкритого обговорення на місцях з посиланням на відповідний протокол, щодо відповідності заходів ІП поданому ПРСР та розробленому Плану заходів щодо підвищення достовірності даних для здійснення моніторингу якості послуг тощо;</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 інформацію (фактичні та заплановані рівні показників) щодо якості електропостачання (комерційна якість послуг, надійність (безперервність) та якість електроенергії) та заходів, направлених на її підвищення, із зазначенням місць розміщення пристроїв фіксації/аналізу показників якості електричної енергії та планів щодо їх встановлення;</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3) інформацію щодо технологічних порушень, що виникли у попередні періоди на обладнанні оператора системи розподілу та не усунуті станом на момент подання ІП на прогнозний період, із зазначенням організаційних причин виникнення зазначених порушень, зокрема, внаслідок помилкових дій персоналу. При цьому зазначаються заплановані до виконання роботи, зокрема заходи ІП на прогнозний період;</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4) інформацію щодо переліку об’єктів електромереж оператора системи розподілу з найбільшими показниками SAIDI з урахуванням вимог, визначених у цій главі, відсортовану за показником SAIDI від найвищого до найнижчого, з визначенням переліку заходів та термінів їх виконання для забезпечення зниження цих показників;</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5) інформацію щодо фактичних та прогнозних витрат електричної енергії в системі розподілу та заходів, направлених на їх зниження, за результатами реалізації ІП;</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6) інформацію щодо результатів виконання заходів на підставі розроблених у попередні періоди ТЕО (у тому числі з підвищення енергоефективності роботи розподільчих мереж/компенсації реактивної потужності) та заплановані заходи щодо подальшої їх реалізації з детальним графіком виконання цих заходів;</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7) інформацію щодо виконання оператором системи розподілу заходів у частині забезпечення необхідного рівня потужності кінцевих користувачів, з урахуванням створення резерву потужності для забезпечення перспективного зростання споживання відповідно до вимог чинних нормативних документів, зокрема ДБН, та заплановані заходи щодо подальшої їх реалізації з графіком виконання цих заходів;</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8) інформацію щодо впровадження, розвитку та модернізації вузлів та автоматизованих систем комерційного обліку електричної енергії оператора системи розподілу;</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9) обґрунтування </w:t>
      </w:r>
      <w:proofErr w:type="spellStart"/>
      <w:r w:rsidRPr="0068412E">
        <w:rPr>
          <w:sz w:val="28"/>
          <w:szCs w:val="28"/>
          <w:lang w:val="uk-UA"/>
        </w:rPr>
        <w:t>пріоритезації</w:t>
      </w:r>
      <w:proofErr w:type="spellEnd"/>
      <w:r w:rsidRPr="0068412E">
        <w:rPr>
          <w:sz w:val="28"/>
          <w:szCs w:val="28"/>
          <w:lang w:val="uk-UA"/>
        </w:rPr>
        <w:t xml:space="preserve"> заходів для включення до ІП та їх відповідність програмам/концепціям розвитку оператора системи розподілу;</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10) обґрунтування заходів, що передбачають підвищення рівня середньої напруги;</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11) інформацію щодо </w:t>
      </w:r>
      <w:proofErr w:type="spellStart"/>
      <w:r w:rsidRPr="0068412E">
        <w:rPr>
          <w:sz w:val="28"/>
          <w:szCs w:val="28"/>
          <w:lang w:val="uk-UA"/>
        </w:rPr>
        <w:t>проєктно</w:t>
      </w:r>
      <w:proofErr w:type="spellEnd"/>
      <w:r w:rsidRPr="0068412E">
        <w:rPr>
          <w:sz w:val="28"/>
          <w:szCs w:val="28"/>
          <w:lang w:val="uk-UA"/>
        </w:rPr>
        <w:t xml:space="preserve">-кошторисної документації, розробленої та нереалізованої у попередні періоди, та пропозиції щодо подальшої її реалізації. </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2.9.2. Детальний опис кожного заходу у розрізі розділів ІП має бути оформлений у вигляді таблиці 7 додатка 2 до цього Порядку та містити, зокрема, таку інформацію:</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1) назву та порядковий номер заходу ІП відповідно до таблиці 6 додатка 2 до цього Порядку. Назва заходу ІП повинна відповідати розробленій </w:t>
      </w:r>
      <w:proofErr w:type="spellStart"/>
      <w:r w:rsidRPr="0068412E">
        <w:rPr>
          <w:sz w:val="28"/>
          <w:szCs w:val="28"/>
          <w:lang w:val="uk-UA"/>
        </w:rPr>
        <w:t>проєктно</w:t>
      </w:r>
      <w:proofErr w:type="spellEnd"/>
      <w:r w:rsidRPr="0068412E">
        <w:rPr>
          <w:sz w:val="28"/>
          <w:szCs w:val="28"/>
          <w:lang w:val="uk-UA"/>
        </w:rPr>
        <w:t xml:space="preserve">-кошторисній документації (за наявності) та має містити характер дій, що плануються до виконання (будівництво, реконструкція, технічне переоснащення, розроблення </w:t>
      </w:r>
      <w:proofErr w:type="spellStart"/>
      <w:r w:rsidRPr="0068412E">
        <w:rPr>
          <w:sz w:val="28"/>
          <w:szCs w:val="28"/>
          <w:lang w:val="uk-UA"/>
        </w:rPr>
        <w:t>проєктно</w:t>
      </w:r>
      <w:proofErr w:type="spellEnd"/>
      <w:r w:rsidRPr="0068412E">
        <w:rPr>
          <w:sz w:val="28"/>
          <w:szCs w:val="28"/>
          <w:lang w:val="uk-UA"/>
        </w:rPr>
        <w:t>-кошторисної документації, улаштування, встановлення тощо);</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2) характер робіт, що плануються до виконання (будівництво, реконструкція, технічне переоснащення, розроблення </w:t>
      </w:r>
      <w:proofErr w:type="spellStart"/>
      <w:r w:rsidRPr="0068412E">
        <w:rPr>
          <w:sz w:val="28"/>
          <w:szCs w:val="28"/>
          <w:lang w:val="uk-UA"/>
        </w:rPr>
        <w:t>проєктно</w:t>
      </w:r>
      <w:proofErr w:type="spellEnd"/>
      <w:r w:rsidRPr="0068412E">
        <w:rPr>
          <w:sz w:val="28"/>
          <w:szCs w:val="28"/>
          <w:lang w:val="uk-UA"/>
        </w:rPr>
        <w:t>-кошторисної документації, закупівля тощо), та запланований термін виконання цього заходу;</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3) пріоритетність заходу в межах розділу ІП із зазначенням цільового показника, на який впливає виконання заходу;</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4) посилання на сторінку та пункт схваленого ПРСР, Плану заходів щодо підвищення достовірності</w:t>
      </w:r>
      <w:r w:rsidRPr="0068412E">
        <w:rPr>
          <w:lang w:val="uk-UA"/>
        </w:rPr>
        <w:t xml:space="preserve"> </w:t>
      </w:r>
      <w:r w:rsidRPr="0068412E">
        <w:rPr>
          <w:sz w:val="28"/>
          <w:szCs w:val="28"/>
          <w:lang w:val="uk-UA"/>
        </w:rPr>
        <w:t>даних для здійснення моніторингу якості послуг та інші документи (концепції, програми, плани, нормативно-правові акти тощо), що передбачають виконання заходу;</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5) посилання на </w:t>
      </w:r>
      <w:r w:rsidRPr="00CF579D">
        <w:rPr>
          <w:sz w:val="28"/>
          <w:szCs w:val="28"/>
          <w:lang w:val="uk-UA"/>
        </w:rPr>
        <w:t>обґрунтову</w:t>
      </w:r>
      <w:r w:rsidR="00F4195C" w:rsidRPr="00CF579D">
        <w:rPr>
          <w:sz w:val="28"/>
          <w:szCs w:val="28"/>
          <w:lang w:val="uk-UA"/>
        </w:rPr>
        <w:t>ючі</w:t>
      </w:r>
      <w:r w:rsidRPr="00CF579D">
        <w:rPr>
          <w:sz w:val="28"/>
          <w:szCs w:val="28"/>
          <w:lang w:val="uk-UA"/>
        </w:rPr>
        <w:t xml:space="preserve"> м</w:t>
      </w:r>
      <w:r w:rsidRPr="0068412E">
        <w:rPr>
          <w:sz w:val="28"/>
          <w:szCs w:val="28"/>
          <w:lang w:val="uk-UA"/>
        </w:rPr>
        <w:t>атеріали, що підтверджують необхідність виконання заходу, зокрема:</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акти, експертні звіти (висновки) щодо необхідності заміни відповідного обладнання, протоколи замірів (акти, відомості тощо), протоколи випробувань та вимірювань, розпорядчі документи органів державного нагляду/контролю та результати розгляду скарг, на підставі яких захід включається до ІП, тощо;</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технічне завдання на </w:t>
      </w:r>
      <w:proofErr w:type="spellStart"/>
      <w:r w:rsidRPr="0068412E">
        <w:rPr>
          <w:sz w:val="28"/>
          <w:szCs w:val="28"/>
          <w:lang w:val="uk-UA"/>
        </w:rPr>
        <w:t>проєктування</w:t>
      </w:r>
      <w:proofErr w:type="spellEnd"/>
      <w:r w:rsidRPr="0068412E">
        <w:rPr>
          <w:sz w:val="28"/>
          <w:szCs w:val="28"/>
          <w:lang w:val="uk-UA"/>
        </w:rPr>
        <w:t>, затверджене в установленому порядку;</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схвалену, затверджену, погоджену належним чином </w:t>
      </w:r>
      <w:proofErr w:type="spellStart"/>
      <w:r w:rsidRPr="0068412E">
        <w:rPr>
          <w:sz w:val="28"/>
          <w:szCs w:val="28"/>
          <w:lang w:val="uk-UA"/>
        </w:rPr>
        <w:t>проєктно</w:t>
      </w:r>
      <w:proofErr w:type="spellEnd"/>
      <w:r w:rsidRPr="0068412E">
        <w:rPr>
          <w:sz w:val="28"/>
          <w:szCs w:val="28"/>
          <w:lang w:val="uk-UA"/>
        </w:rPr>
        <w:t>-кошторисну документацію та відповідний наказ про її затвердження;</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експертний звіт з оцінки </w:t>
      </w:r>
      <w:proofErr w:type="spellStart"/>
      <w:r w:rsidRPr="0068412E">
        <w:rPr>
          <w:sz w:val="28"/>
          <w:szCs w:val="28"/>
          <w:lang w:val="uk-UA"/>
        </w:rPr>
        <w:t>проєктно</w:t>
      </w:r>
      <w:proofErr w:type="spellEnd"/>
      <w:r w:rsidRPr="0068412E">
        <w:rPr>
          <w:sz w:val="28"/>
          <w:szCs w:val="28"/>
          <w:lang w:val="uk-UA"/>
        </w:rPr>
        <w:t>-кошторисної документації;</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6) інформацію щодо існуючого технічного стану відповідних об'єктів та їх складових частин із зазначенням останньої дати проведення ремонтних робіт, терміну їх експлуатації, типу та характеристик згідно з технічними паспортами;</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7) обґрунтування необхідності та доцільності виконання заходу ІП із зазначенням очікуваного результату виконання цього заходу. До заходів ІП, за необхідності, мають бути додані схемні рішення, інші графічні та табличні матеріали, що підтверджують необхідність та доцільність виконання заходу;</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8) опис робіт із зазначенням фізичних обсягів та вартості, що заплановані до виконання у прогнозному періоді, та основних техніко-економічних показників </w:t>
      </w:r>
      <w:proofErr w:type="spellStart"/>
      <w:r w:rsidRPr="0068412E">
        <w:rPr>
          <w:sz w:val="28"/>
          <w:szCs w:val="28"/>
          <w:lang w:val="uk-UA"/>
        </w:rPr>
        <w:t>проєктів</w:t>
      </w:r>
      <w:proofErr w:type="spellEnd"/>
      <w:r w:rsidRPr="0068412E">
        <w:rPr>
          <w:sz w:val="28"/>
          <w:szCs w:val="28"/>
          <w:lang w:val="uk-UA"/>
        </w:rPr>
        <w:t xml:space="preserve"> (із зазначенням, зокрема, типу та кількості основного обладнання та матеріалів, що плануються до заміни/встановлення). По заходах, що передбачають демонтаж обладнання/матеріалів, необхідно зазначати інформацію щодо кількості обладнання/матеріалів, що підлягає демонтажу згідно з актами технічного стану, відповідно до розробленої </w:t>
      </w:r>
      <w:proofErr w:type="spellStart"/>
      <w:r w:rsidRPr="0068412E">
        <w:rPr>
          <w:sz w:val="28"/>
          <w:szCs w:val="28"/>
          <w:lang w:val="uk-UA"/>
        </w:rPr>
        <w:t>проєктно</w:t>
      </w:r>
      <w:proofErr w:type="spellEnd"/>
      <w:r w:rsidRPr="0068412E">
        <w:rPr>
          <w:sz w:val="28"/>
          <w:szCs w:val="28"/>
          <w:lang w:val="uk-UA"/>
        </w:rPr>
        <w:t xml:space="preserve">-кошторисної документації та кількості обладнання/матеріалів, що пропонується до встановлення на заміну демонтованих, із зазначенням інформації щодо подальшого застосування обладнання, що демонтується з причин, не пов’язаних із незадовільним технічним станом. По заходах, що мають перехідний характер, також зазначаються етапи виконання (план-графік, діаграма </w:t>
      </w:r>
      <w:proofErr w:type="spellStart"/>
      <w:r w:rsidRPr="0068412E">
        <w:rPr>
          <w:sz w:val="28"/>
          <w:szCs w:val="28"/>
          <w:lang w:val="uk-UA"/>
        </w:rPr>
        <w:t>Ганта</w:t>
      </w:r>
      <w:proofErr w:type="spellEnd"/>
      <w:r w:rsidRPr="0068412E">
        <w:rPr>
          <w:sz w:val="28"/>
          <w:szCs w:val="28"/>
          <w:lang w:val="uk-UA"/>
        </w:rPr>
        <w:t>), фізичні обсяги та фінансування по роках із урахуванням фактичного виконання);</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9) опис та розрахунок запланованого економічного ефекту від впровадження заходу (робіт) інвестиційної програми.</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2.10. Оператор системи розподілу додає до кожного заходу ІП </w:t>
      </w:r>
      <w:r w:rsidRPr="00CF579D">
        <w:rPr>
          <w:sz w:val="28"/>
          <w:szCs w:val="28"/>
          <w:lang w:val="uk-UA"/>
        </w:rPr>
        <w:t>обґрунтову</w:t>
      </w:r>
      <w:r w:rsidR="001D4DC2" w:rsidRPr="00CF579D">
        <w:rPr>
          <w:sz w:val="28"/>
          <w:szCs w:val="28"/>
          <w:lang w:val="uk-UA"/>
        </w:rPr>
        <w:t>ючі</w:t>
      </w:r>
      <w:r w:rsidRPr="00CF579D">
        <w:rPr>
          <w:sz w:val="28"/>
          <w:szCs w:val="28"/>
          <w:lang w:val="uk-UA"/>
        </w:rPr>
        <w:t xml:space="preserve"> м</w:t>
      </w:r>
      <w:r w:rsidRPr="0068412E">
        <w:rPr>
          <w:sz w:val="28"/>
          <w:szCs w:val="28"/>
          <w:lang w:val="uk-UA"/>
        </w:rPr>
        <w:t>атеріали, що, зокрема мають містити:</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1) </w:t>
      </w:r>
      <w:proofErr w:type="spellStart"/>
      <w:r w:rsidRPr="0068412E">
        <w:rPr>
          <w:sz w:val="28"/>
          <w:szCs w:val="28"/>
          <w:lang w:val="uk-UA"/>
        </w:rPr>
        <w:t>проєктно</w:t>
      </w:r>
      <w:proofErr w:type="spellEnd"/>
      <w:r w:rsidRPr="0068412E">
        <w:rPr>
          <w:sz w:val="28"/>
          <w:szCs w:val="28"/>
          <w:lang w:val="uk-UA"/>
        </w:rPr>
        <w:t xml:space="preserve">-кошторисну документацію з виконання відповідних робіт, розроблену та затверджену відповідно до вимог чинного законодавства. При цьому обсяги робіт та ресурсів (матеріалів, обладнання тощо) у кошторисній документації повинні бути підтверджені відповідними обсягами у затвердженій </w:t>
      </w:r>
      <w:proofErr w:type="spellStart"/>
      <w:r w:rsidRPr="0068412E">
        <w:rPr>
          <w:sz w:val="28"/>
          <w:szCs w:val="28"/>
          <w:lang w:val="uk-UA"/>
        </w:rPr>
        <w:t>проєктній</w:t>
      </w:r>
      <w:proofErr w:type="spellEnd"/>
      <w:r w:rsidRPr="0068412E">
        <w:rPr>
          <w:sz w:val="28"/>
          <w:szCs w:val="28"/>
          <w:lang w:val="uk-UA"/>
        </w:rPr>
        <w:t xml:space="preserve"> частині;</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2) експертні висновки щодо розгляду </w:t>
      </w:r>
      <w:proofErr w:type="spellStart"/>
      <w:r w:rsidRPr="0068412E">
        <w:rPr>
          <w:sz w:val="28"/>
          <w:szCs w:val="28"/>
          <w:lang w:val="uk-UA"/>
        </w:rPr>
        <w:t>проєктно</w:t>
      </w:r>
      <w:proofErr w:type="spellEnd"/>
      <w:r w:rsidRPr="0068412E">
        <w:rPr>
          <w:sz w:val="28"/>
          <w:szCs w:val="28"/>
          <w:lang w:val="uk-UA"/>
        </w:rPr>
        <w:t>-кошторисної документації відповідно до вимог чинного законодавства;</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3) накази про затвердження відповідної </w:t>
      </w:r>
      <w:proofErr w:type="spellStart"/>
      <w:r w:rsidRPr="0068412E">
        <w:rPr>
          <w:sz w:val="28"/>
          <w:szCs w:val="28"/>
          <w:lang w:val="uk-UA"/>
        </w:rPr>
        <w:t>проєктно</w:t>
      </w:r>
      <w:proofErr w:type="spellEnd"/>
      <w:r w:rsidRPr="0068412E">
        <w:rPr>
          <w:sz w:val="28"/>
          <w:szCs w:val="28"/>
          <w:lang w:val="uk-UA"/>
        </w:rPr>
        <w:t>-кошторисної документації;</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4) акти, експертні звіти (висновки) щодо необхідності заміни відповідного обладнання, технічні паспорти, протоколи замірів (акти, відомості тощо), протоколи випробувань та вимірювань, відповідні технічні завдання на </w:t>
      </w:r>
      <w:proofErr w:type="spellStart"/>
      <w:r w:rsidRPr="0068412E">
        <w:rPr>
          <w:sz w:val="28"/>
          <w:szCs w:val="28"/>
          <w:lang w:val="uk-UA"/>
        </w:rPr>
        <w:t>проєктування</w:t>
      </w:r>
      <w:proofErr w:type="spellEnd"/>
      <w:r w:rsidRPr="0068412E">
        <w:rPr>
          <w:sz w:val="28"/>
          <w:szCs w:val="28"/>
          <w:lang w:val="uk-UA"/>
        </w:rPr>
        <w:t>, затв</w:t>
      </w:r>
      <w:r w:rsidR="000C12BD">
        <w:rPr>
          <w:sz w:val="28"/>
          <w:szCs w:val="28"/>
          <w:lang w:val="uk-UA"/>
        </w:rPr>
        <w:t>ерджені в установленому порядку</w:t>
      </w:r>
      <w:r w:rsidRPr="0068412E">
        <w:rPr>
          <w:sz w:val="28"/>
          <w:szCs w:val="28"/>
          <w:lang w:val="uk-UA"/>
        </w:rPr>
        <w:t xml:space="preserve"> із зазначенням стадії </w:t>
      </w:r>
      <w:proofErr w:type="spellStart"/>
      <w:r w:rsidRPr="0068412E">
        <w:rPr>
          <w:sz w:val="28"/>
          <w:szCs w:val="28"/>
          <w:lang w:val="uk-UA"/>
        </w:rPr>
        <w:t>проєктування</w:t>
      </w:r>
      <w:proofErr w:type="spellEnd"/>
      <w:r w:rsidRPr="0068412E">
        <w:rPr>
          <w:sz w:val="28"/>
          <w:szCs w:val="28"/>
          <w:lang w:val="uk-UA"/>
        </w:rPr>
        <w:t xml:space="preserve"> (ТЕО, </w:t>
      </w:r>
      <w:proofErr w:type="spellStart"/>
      <w:r w:rsidRPr="0068412E">
        <w:rPr>
          <w:sz w:val="28"/>
          <w:szCs w:val="28"/>
          <w:lang w:val="uk-UA"/>
        </w:rPr>
        <w:t>проєкт</w:t>
      </w:r>
      <w:proofErr w:type="spellEnd"/>
      <w:r w:rsidRPr="0068412E">
        <w:rPr>
          <w:sz w:val="28"/>
          <w:szCs w:val="28"/>
          <w:lang w:val="uk-UA"/>
        </w:rPr>
        <w:t>, робочий проєкт тощо), та інші матеріали;</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5) цінові (комерційні) пропозиції (</w:t>
      </w:r>
      <w:proofErr w:type="spellStart"/>
      <w:r w:rsidRPr="0068412E">
        <w:rPr>
          <w:sz w:val="28"/>
          <w:szCs w:val="28"/>
          <w:lang w:val="uk-UA"/>
        </w:rPr>
        <w:t>прайси</w:t>
      </w:r>
      <w:proofErr w:type="spellEnd"/>
      <w:r w:rsidRPr="0068412E">
        <w:rPr>
          <w:sz w:val="28"/>
          <w:szCs w:val="28"/>
          <w:lang w:val="uk-UA"/>
        </w:rPr>
        <w:t>) виробників або їх офіційних представників в Україні, результати публічної закупівлі;</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6) відповідні програми/концепції розвитку, що містять перелік запланованих за роками заходів.</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Також до ІП додається зведений реєстр номенклатури обладнання та матеріалів (відповідно до довідника, оприлюдненого на офіційному вебсайті Регулятора), що заплановані для закупівлі протягом прогнозного періоду та/або фактично здійснені протягом базового періоду, з кількісними та вартісними показниками.</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2.11. При формуванні ІП на прогнозний період оператор системи розподілу повинен передбачити виконання перехідних заходів з попередніх періодів.</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Кількість перехідних заходів у складі ІП може бути, як правило, не більше трьох, за виключенням заходів, виконання яких протягом прогнозного періоду неможливо через режимні обмеження, що підтверджується наданням відповідних документів та розрахунків.</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2.12. Оператор системи розподілу може передбачити в ІП кошти для розробки </w:t>
      </w:r>
      <w:proofErr w:type="spellStart"/>
      <w:r w:rsidRPr="0068412E">
        <w:rPr>
          <w:sz w:val="28"/>
          <w:szCs w:val="28"/>
          <w:lang w:val="uk-UA"/>
        </w:rPr>
        <w:t>проєктів</w:t>
      </w:r>
      <w:proofErr w:type="spellEnd"/>
      <w:r w:rsidRPr="0068412E">
        <w:rPr>
          <w:sz w:val="28"/>
          <w:szCs w:val="28"/>
          <w:lang w:val="uk-UA"/>
        </w:rPr>
        <w:t xml:space="preserve"> на виконання робіт, що заплановані до реалізації в наступному календарному році. Вартість </w:t>
      </w:r>
      <w:proofErr w:type="spellStart"/>
      <w:r w:rsidRPr="0068412E">
        <w:rPr>
          <w:sz w:val="28"/>
          <w:szCs w:val="28"/>
          <w:lang w:val="uk-UA"/>
        </w:rPr>
        <w:t>проєктно</w:t>
      </w:r>
      <w:proofErr w:type="spellEnd"/>
      <w:r w:rsidRPr="0068412E">
        <w:rPr>
          <w:sz w:val="28"/>
          <w:szCs w:val="28"/>
          <w:lang w:val="uk-UA"/>
        </w:rPr>
        <w:t xml:space="preserve">-вишукувальних робіт визначається відповідно до чинних нормативно-правових актів та кошторисів на виконання цих </w:t>
      </w:r>
      <w:proofErr w:type="spellStart"/>
      <w:r w:rsidRPr="0068412E">
        <w:rPr>
          <w:sz w:val="28"/>
          <w:szCs w:val="28"/>
          <w:lang w:val="uk-UA"/>
        </w:rPr>
        <w:t>проєктно</w:t>
      </w:r>
      <w:proofErr w:type="spellEnd"/>
      <w:r w:rsidRPr="0068412E">
        <w:rPr>
          <w:sz w:val="28"/>
          <w:szCs w:val="28"/>
          <w:lang w:val="uk-UA"/>
        </w:rPr>
        <w:t>-вишукувальних робіт.</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2.13. Оператор системи розподілу визначає обсяги інвестицій виходячи з технічного стану основних фондів, підтвердженого технічним оглядом та відповідною технічною документацією, та інших активів оператора системи розподілу, принципів економічної доцільності запровадження відповідних заходів, а також з урахуванням впливів цих заходів на рівень тарифів на розподіл електричної енергії.</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2.14. Оператор системи розподілу повинен здійснювати планування фінансування розділів ІП з урахуванням, зокрема, необхідності забезпечення належного рівня якості, безпеки та надійності електропостачання на довгостроковий період, підвищення енергоефективності розподільних електричних мереж, з урахуванням вимог Закону України «Про енергетичну ефективність», управління попитом та можливостей використання розподіленої генерації, забезпечення </w:t>
      </w:r>
      <w:proofErr w:type="spellStart"/>
      <w:r w:rsidRPr="0068412E">
        <w:rPr>
          <w:sz w:val="28"/>
          <w:szCs w:val="28"/>
          <w:lang w:val="uk-UA"/>
        </w:rPr>
        <w:t>кібербезпеки</w:t>
      </w:r>
      <w:proofErr w:type="spellEnd"/>
      <w:r w:rsidRPr="0068412E">
        <w:rPr>
          <w:sz w:val="28"/>
          <w:szCs w:val="28"/>
          <w:lang w:val="uk-UA"/>
        </w:rPr>
        <w:t xml:space="preserve"> об'єктів системи розподілу, а також доцільності, необхідності та можливості використання установок зберігання енергії.</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Під час розробки </w:t>
      </w:r>
      <w:proofErr w:type="spellStart"/>
      <w:r w:rsidRPr="0068412E">
        <w:rPr>
          <w:sz w:val="28"/>
          <w:szCs w:val="28"/>
          <w:lang w:val="uk-UA"/>
        </w:rPr>
        <w:t>проєктно</w:t>
      </w:r>
      <w:proofErr w:type="spellEnd"/>
      <w:r w:rsidRPr="0068412E">
        <w:rPr>
          <w:sz w:val="28"/>
          <w:szCs w:val="28"/>
          <w:lang w:val="uk-UA"/>
        </w:rPr>
        <w:t>-кошторисної документації з будівництва електричних мереж оператор системи розподілу зобов'язаний визначати характеристики технічних засобів на вводі об'єкта побутового споживача, що обмежують розподіл електричної енергії споживачу у межах дозволеної до використання (договірної) потужності електроустановки, але не нижче величини, визначеної діючими Державними будівельними нормами «Проектування електрообладнання об'єктів цивільного призначення».</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2.15. Заходи з </w:t>
      </w:r>
      <w:proofErr w:type="spellStart"/>
      <w:r w:rsidRPr="0068412E">
        <w:rPr>
          <w:sz w:val="28"/>
          <w:szCs w:val="28"/>
          <w:lang w:val="uk-UA"/>
        </w:rPr>
        <w:t>проєктування</w:t>
      </w:r>
      <w:proofErr w:type="spellEnd"/>
      <w:r w:rsidRPr="0068412E">
        <w:rPr>
          <w:sz w:val="28"/>
          <w:szCs w:val="28"/>
          <w:lang w:val="uk-UA"/>
        </w:rPr>
        <w:t xml:space="preserve"> нового будівництва, реконструкції та технічного переоснащення електричних мереж 0,38 – 20 кВ мають бути включені до складу заходів ІП зі строком виконання I – III квартали прогнозного періоду та виконуватись відповідно до зазначених термінів.</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2.16. Заходи зі створення трансформаторної потужності рівня напруги 20, 10(6)/0,4 кВ для реалізації стандартних приєднань (якщо ця потужність не є складовою лінійної частини окремого приєднання) можуть бути включені до ІП та виконуватись згідно з вимогами цього Порядку незалежно від джерел фінансування відповідних заходів.</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2.17. Заходи з будівництва (нового будівництва, реконструкції, технічного переоснащення) об'єктів оператора системи розподілу можуть бути включені до ІП за наявності необхідних </w:t>
      </w:r>
      <w:proofErr w:type="spellStart"/>
      <w:r w:rsidRPr="00CF579D">
        <w:rPr>
          <w:sz w:val="28"/>
          <w:szCs w:val="28"/>
          <w:lang w:val="uk-UA"/>
        </w:rPr>
        <w:t>обґрунтову</w:t>
      </w:r>
      <w:r w:rsidR="000D6672" w:rsidRPr="00CF579D">
        <w:rPr>
          <w:sz w:val="28"/>
          <w:szCs w:val="28"/>
          <w:lang w:val="uk-UA"/>
        </w:rPr>
        <w:t>ючих</w:t>
      </w:r>
      <w:proofErr w:type="spellEnd"/>
      <w:r w:rsidRPr="00CF579D">
        <w:rPr>
          <w:sz w:val="28"/>
          <w:szCs w:val="28"/>
          <w:lang w:val="uk-UA"/>
        </w:rPr>
        <w:t xml:space="preserve"> ма</w:t>
      </w:r>
      <w:r w:rsidRPr="0068412E">
        <w:rPr>
          <w:sz w:val="28"/>
          <w:szCs w:val="28"/>
          <w:lang w:val="uk-UA"/>
        </w:rPr>
        <w:t xml:space="preserve">теріалів відповідно до пункту 2.10 цієї глави, зокрема </w:t>
      </w:r>
      <w:proofErr w:type="spellStart"/>
      <w:r w:rsidRPr="0068412E">
        <w:rPr>
          <w:sz w:val="28"/>
          <w:szCs w:val="28"/>
          <w:lang w:val="uk-UA"/>
        </w:rPr>
        <w:t>проєктно</w:t>
      </w:r>
      <w:proofErr w:type="spellEnd"/>
      <w:r w:rsidRPr="0068412E">
        <w:rPr>
          <w:sz w:val="28"/>
          <w:szCs w:val="28"/>
          <w:lang w:val="uk-UA"/>
        </w:rPr>
        <w:t>-кошторисної документації, розробленої відповідно до вимог чинних нормативно-правових актів і затвердженої в установленому порядку.</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2.18. Ціни </w:t>
      </w:r>
      <w:proofErr w:type="spellStart"/>
      <w:r w:rsidRPr="0068412E">
        <w:rPr>
          <w:sz w:val="28"/>
          <w:szCs w:val="28"/>
          <w:lang w:val="uk-UA"/>
        </w:rPr>
        <w:t>закупівель</w:t>
      </w:r>
      <w:proofErr w:type="spellEnd"/>
      <w:r w:rsidRPr="0068412E">
        <w:rPr>
          <w:sz w:val="28"/>
          <w:szCs w:val="28"/>
          <w:lang w:val="uk-UA"/>
        </w:rPr>
        <w:t xml:space="preserve">, що застосовує оператор системи розподілу при формуванні ІП, є орієнтовними. Остаточна ціна </w:t>
      </w:r>
      <w:proofErr w:type="spellStart"/>
      <w:r w:rsidRPr="0068412E">
        <w:rPr>
          <w:sz w:val="28"/>
          <w:szCs w:val="28"/>
          <w:lang w:val="uk-UA"/>
        </w:rPr>
        <w:t>закупівель</w:t>
      </w:r>
      <w:proofErr w:type="spellEnd"/>
      <w:r w:rsidRPr="0068412E">
        <w:rPr>
          <w:sz w:val="28"/>
          <w:szCs w:val="28"/>
          <w:lang w:val="uk-UA"/>
        </w:rPr>
        <w:t xml:space="preserve"> визначається оператором системи розподілу на конкурентних засадах відповідно до вимог чинного законодавства про здійснення </w:t>
      </w:r>
      <w:proofErr w:type="spellStart"/>
      <w:r w:rsidRPr="0068412E">
        <w:rPr>
          <w:sz w:val="28"/>
          <w:szCs w:val="28"/>
          <w:lang w:val="uk-UA"/>
        </w:rPr>
        <w:t>закупівель</w:t>
      </w:r>
      <w:proofErr w:type="spellEnd"/>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2.19. Регулятор здійснює розгляд та схвалення заходів ІП за розділами: впровадження та розвиток комерційного обліку електричної енергії; впровадження та розвиток автоматизованих систем диспетчерського управління (АСДУ); впровадження та розвиток інформаційних технологій; впровадження та розвиток систем зв'язку за наявності таких документів:</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відповідних розділів у ПРСР, що містять переліки запланованих за роками заходів та </w:t>
      </w:r>
      <w:proofErr w:type="spellStart"/>
      <w:r w:rsidRPr="0068412E">
        <w:rPr>
          <w:sz w:val="28"/>
          <w:szCs w:val="28"/>
          <w:lang w:val="uk-UA"/>
        </w:rPr>
        <w:t>проєктів</w:t>
      </w:r>
      <w:proofErr w:type="spellEnd"/>
      <w:r w:rsidRPr="0068412E">
        <w:rPr>
          <w:sz w:val="28"/>
          <w:szCs w:val="28"/>
          <w:lang w:val="uk-UA"/>
        </w:rPr>
        <w:t xml:space="preserve"> (у тому числі заходів з </w:t>
      </w:r>
      <w:proofErr w:type="spellStart"/>
      <w:r w:rsidRPr="0068412E">
        <w:rPr>
          <w:sz w:val="28"/>
          <w:szCs w:val="28"/>
          <w:lang w:val="uk-UA"/>
        </w:rPr>
        <w:t>кібербезпеки</w:t>
      </w:r>
      <w:proofErr w:type="spellEnd"/>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proofErr w:type="spellStart"/>
      <w:r w:rsidRPr="0068412E">
        <w:rPr>
          <w:sz w:val="28"/>
          <w:szCs w:val="28"/>
          <w:lang w:val="uk-UA"/>
        </w:rPr>
        <w:t>проєктно</w:t>
      </w:r>
      <w:proofErr w:type="spellEnd"/>
      <w:r w:rsidRPr="0068412E">
        <w:rPr>
          <w:sz w:val="28"/>
          <w:szCs w:val="28"/>
          <w:lang w:val="uk-UA"/>
        </w:rPr>
        <w:t xml:space="preserve">-кошторисної документації з виконання відповідних робіт, розробленої та затвердженої відповідно до вимог чинного законодавства. При цьому обсяги робіт та ресурсів (матеріалів, обладнання тощо) у кошторисній документації повинні бути підтверджені відповідними обсягами у затвердженій </w:t>
      </w:r>
      <w:proofErr w:type="spellStart"/>
      <w:r w:rsidRPr="0068412E">
        <w:rPr>
          <w:sz w:val="28"/>
          <w:szCs w:val="28"/>
          <w:lang w:val="uk-UA"/>
        </w:rPr>
        <w:t>проєктній</w:t>
      </w:r>
      <w:proofErr w:type="spellEnd"/>
      <w:r w:rsidRPr="0068412E">
        <w:rPr>
          <w:sz w:val="28"/>
          <w:szCs w:val="28"/>
          <w:lang w:val="uk-UA"/>
        </w:rPr>
        <w:t xml:space="preserve"> частині;</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наказів про затвердження відповідної </w:t>
      </w:r>
      <w:proofErr w:type="spellStart"/>
      <w:r w:rsidRPr="0068412E">
        <w:rPr>
          <w:sz w:val="28"/>
          <w:szCs w:val="28"/>
          <w:lang w:val="uk-UA"/>
        </w:rPr>
        <w:t>проєктно</w:t>
      </w:r>
      <w:proofErr w:type="spellEnd"/>
      <w:r w:rsidRPr="0068412E">
        <w:rPr>
          <w:sz w:val="28"/>
          <w:szCs w:val="28"/>
          <w:lang w:val="uk-UA"/>
        </w:rPr>
        <w:t>-кошторисної документації;</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експертних висновків щодо розгляду </w:t>
      </w:r>
      <w:proofErr w:type="spellStart"/>
      <w:r w:rsidRPr="0068412E">
        <w:rPr>
          <w:sz w:val="28"/>
          <w:szCs w:val="28"/>
          <w:lang w:val="uk-UA"/>
        </w:rPr>
        <w:t>проєктно</w:t>
      </w:r>
      <w:proofErr w:type="spellEnd"/>
      <w:r w:rsidRPr="0068412E">
        <w:rPr>
          <w:sz w:val="28"/>
          <w:szCs w:val="28"/>
          <w:lang w:val="uk-UA"/>
        </w:rPr>
        <w:t>-кошторисної документації відповідно до вимог чинного законодавства;</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дефектних актів, експертних звітів щодо необхідності заміни або модернізації відповідного обладнання та програмних засобів, відповідних технічних завдань на </w:t>
      </w:r>
      <w:proofErr w:type="spellStart"/>
      <w:r w:rsidRPr="0068412E">
        <w:rPr>
          <w:sz w:val="28"/>
          <w:szCs w:val="28"/>
          <w:lang w:val="uk-UA"/>
        </w:rPr>
        <w:t>проєктування</w:t>
      </w:r>
      <w:proofErr w:type="spellEnd"/>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результатів публічних </w:t>
      </w:r>
      <w:proofErr w:type="spellStart"/>
      <w:r w:rsidRPr="0068412E">
        <w:rPr>
          <w:sz w:val="28"/>
          <w:szCs w:val="28"/>
          <w:lang w:val="uk-UA"/>
        </w:rPr>
        <w:t>закупівель</w:t>
      </w:r>
      <w:proofErr w:type="spellEnd"/>
      <w:r w:rsidRPr="0068412E">
        <w:rPr>
          <w:sz w:val="28"/>
          <w:szCs w:val="28"/>
          <w:lang w:val="uk-UA"/>
        </w:rPr>
        <w:t>, цінових (комерційних) пропозицій (</w:t>
      </w:r>
      <w:proofErr w:type="spellStart"/>
      <w:r w:rsidRPr="0068412E">
        <w:rPr>
          <w:sz w:val="28"/>
          <w:szCs w:val="28"/>
          <w:lang w:val="uk-UA"/>
        </w:rPr>
        <w:t>прайсів</w:t>
      </w:r>
      <w:proofErr w:type="spellEnd"/>
      <w:r w:rsidRPr="0068412E">
        <w:rPr>
          <w:sz w:val="28"/>
          <w:szCs w:val="28"/>
          <w:lang w:val="uk-UA"/>
        </w:rPr>
        <w:t>) виробників або їх офіційних представників в Україні з вказанням каталожних номерів відповідного обладнання та програмного забезпечення;</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технічного завдання на впровадження та модернізацію автоматизованої системи комерційного обліку електричної енергії операторів систем розподілу, а також програму модернізації вузлів обліку електричної енергії по точках комерційного обліку всіх типів, по яких оператор системи розподілу є стороною, відповідальною за точку комерційного обліку, які погоджені Адміністратором комерційного обліку (НЕК «Укренерго»).</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2.20. Заходи, що передбачають закупівлю та впровадження програмного забезпечення (далі – ПЗ), придбання прав (ліцензій) на користування програмним забезпеченням можуть бути включені до ІП за умови, якщо:</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платіж за використання ПЗ (правом користування ним) є одноразовим, а ліцензія є безстроковою або довгостроковою (її строк використання перевищує один рік);</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на вже використовуване ПЗ встановлюється за доплату (не частіше ніж 1 раз на 5 років) оновлена версія ПЗ, здійснюється його поліпшення (модернізація);</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закупівля ПЗ здійснюється як невід’ємна складова частина обладнання;</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строк (термін) корисного використання програми (ліцензії) становить більше одного операційного циклу (1 року)</w:t>
      </w:r>
      <w:r w:rsidRPr="0068412E">
        <w:t xml:space="preserve"> </w:t>
      </w:r>
      <w:r w:rsidRPr="0068412E">
        <w:rPr>
          <w:sz w:val="28"/>
          <w:szCs w:val="28"/>
          <w:lang w:val="uk-UA"/>
        </w:rPr>
        <w:t xml:space="preserve">(за виключенням заходів </w:t>
      </w:r>
      <w:proofErr w:type="spellStart"/>
      <w:r w:rsidRPr="0068412E">
        <w:rPr>
          <w:sz w:val="28"/>
          <w:szCs w:val="28"/>
          <w:lang w:val="uk-UA"/>
        </w:rPr>
        <w:t>кібербезпеки</w:t>
      </w:r>
      <w:proofErr w:type="spellEnd"/>
      <w:r w:rsidRPr="0068412E">
        <w:rPr>
          <w:sz w:val="28"/>
          <w:szCs w:val="28"/>
          <w:lang w:val="uk-UA"/>
        </w:rPr>
        <w:t>);</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нове впровадження взамін існуючого ПЗ здійснюється не частіше ніж 1 раз на 10 років.</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До ІП оператора системи розподілу не можуть бути включені такі заходи: хмарні рішення (послуги), консалтингові послуги, технічна підтримка, послуги інтернету, послуги з оренди каналів зв’язку, підтримка доменного імені, ремонтні роботи для обслуговування обчислювальних </w:t>
      </w:r>
      <w:proofErr w:type="spellStart"/>
      <w:r w:rsidRPr="0068412E">
        <w:rPr>
          <w:sz w:val="28"/>
          <w:szCs w:val="28"/>
          <w:lang w:val="uk-UA"/>
        </w:rPr>
        <w:t>потужностей</w:t>
      </w:r>
      <w:proofErr w:type="spellEnd"/>
      <w:r w:rsidRPr="0068412E">
        <w:rPr>
          <w:sz w:val="28"/>
          <w:szCs w:val="28"/>
          <w:lang w:val="uk-UA"/>
        </w:rPr>
        <w:t xml:space="preserve">, комплектуючі для ремонту існуючої техніки, послуги підписки на використання ПЗ (за виключенням заходів </w:t>
      </w:r>
      <w:proofErr w:type="spellStart"/>
      <w:r w:rsidRPr="0068412E">
        <w:rPr>
          <w:sz w:val="28"/>
          <w:szCs w:val="28"/>
          <w:lang w:val="uk-UA"/>
        </w:rPr>
        <w:t>кібербезпеки</w:t>
      </w:r>
      <w:proofErr w:type="spellEnd"/>
      <w:r w:rsidRPr="0068412E">
        <w:rPr>
          <w:sz w:val="28"/>
          <w:szCs w:val="28"/>
          <w:lang w:val="uk-UA"/>
        </w:rPr>
        <w:t>) тощо.</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2.21. На титульній сторінці всіх примірників схваленої ІП оператор системи розподілу зазначає реквізити:</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документа(</w:t>
      </w:r>
      <w:proofErr w:type="spellStart"/>
      <w:r w:rsidRPr="0068412E">
        <w:rPr>
          <w:sz w:val="28"/>
          <w:szCs w:val="28"/>
          <w:lang w:val="uk-UA"/>
        </w:rPr>
        <w:t>ів</w:t>
      </w:r>
      <w:proofErr w:type="spellEnd"/>
      <w:r w:rsidRPr="0068412E">
        <w:rPr>
          <w:sz w:val="28"/>
          <w:szCs w:val="28"/>
          <w:lang w:val="uk-UA"/>
        </w:rPr>
        <w:t>), яким(и) ІП затверджена відповідно до статуту оператора системи розподілу;</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постанови Регулятора, якою схвалено ІП.</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Зазначені відмітки з реквізитами</w:t>
      </w:r>
      <w:r w:rsidRPr="0068412E">
        <w:rPr>
          <w:b/>
          <w:sz w:val="28"/>
          <w:szCs w:val="28"/>
          <w:lang w:val="uk-UA"/>
        </w:rPr>
        <w:t xml:space="preserve"> </w:t>
      </w:r>
      <w:r w:rsidRPr="0068412E">
        <w:rPr>
          <w:sz w:val="28"/>
          <w:szCs w:val="28"/>
          <w:lang w:val="uk-UA"/>
        </w:rPr>
        <w:t>підписує керівник оператора системи розподілу або уповноважена ним особа та скріплює відповідною печаткою (за наявності).</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Сторінки ІП повинні бути прошиті, прошнуровані, пронумеровані та скріплені підписом керівника оператора системи розподілу або уповноваженої ним особи та відповідною печаткою (за наявності).</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2.22. Матеріали, що подає оператор системи розподілу як обґрунтування ПРСР та ІП, повинні бути оформлені та затверджені належним чином відповідно до вимог чинного законодавства.</w:t>
      </w:r>
    </w:p>
    <w:p w:rsidR="006E569E" w:rsidRPr="0068412E" w:rsidRDefault="006E569E" w:rsidP="006E569E">
      <w:pPr>
        <w:pStyle w:val="3"/>
        <w:spacing w:before="0" w:beforeAutospacing="0" w:after="0" w:afterAutospacing="0"/>
        <w:ind w:firstLine="567"/>
        <w:jc w:val="center"/>
        <w:rPr>
          <w:rFonts w:eastAsia="Times New Roman"/>
          <w:sz w:val="28"/>
          <w:szCs w:val="28"/>
          <w:lang w:val="uk-UA"/>
        </w:rPr>
      </w:pPr>
    </w:p>
    <w:p w:rsidR="006E569E" w:rsidRPr="0068412E" w:rsidRDefault="006E569E" w:rsidP="006E569E">
      <w:pPr>
        <w:pStyle w:val="3"/>
        <w:spacing w:before="0" w:beforeAutospacing="0" w:after="0" w:afterAutospacing="0"/>
        <w:ind w:firstLine="567"/>
        <w:jc w:val="center"/>
        <w:rPr>
          <w:rFonts w:eastAsia="Times New Roman"/>
          <w:sz w:val="28"/>
          <w:szCs w:val="28"/>
          <w:lang w:val="uk-UA"/>
        </w:rPr>
      </w:pPr>
      <w:r w:rsidRPr="0068412E">
        <w:rPr>
          <w:rFonts w:eastAsia="Times New Roman"/>
          <w:sz w:val="28"/>
          <w:szCs w:val="28"/>
          <w:lang w:val="uk-UA"/>
        </w:rPr>
        <w:t>3. Порядок розгляду та схвалення ПРСР та ІП</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3.1. Оператор системи розподілу затверджує ІП у порядку, встановленому його установчими документами.</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3.2. Оператор системи розподілу подає Регулятору ІП та відповідні обґрунтову</w:t>
      </w:r>
      <w:r w:rsidR="000D6672" w:rsidRPr="00CF579D">
        <w:rPr>
          <w:sz w:val="28"/>
          <w:szCs w:val="28"/>
          <w:lang w:val="uk-UA"/>
        </w:rPr>
        <w:t>ючі</w:t>
      </w:r>
      <w:r w:rsidRPr="0068412E">
        <w:rPr>
          <w:sz w:val="28"/>
          <w:szCs w:val="28"/>
          <w:lang w:val="uk-UA"/>
        </w:rPr>
        <w:t xml:space="preserve"> матеріали, оформлені з урахуванням вимог цього Порядку, для опрацювання на офіційну електронну адресу із накладенням кваліфікованого електронного підпису та/або печатки в електронній формі та, за вимогою, на паперових носіях.</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Оператор системи розподілу подає ІП, оформлену та обґрунтовану з урахуванням вимог цього Порядку, до центрального органу виконавчої влади, що забезпечує формування та реалізацію державної політики в електроенергетичному комплексі, та центрального органу виконавчої влади, що реалізує державну політику у сфері нагляду (контролю) в галузі електроенергетики, з метою отримання висновків та пропозицій щодо технічних напрямків та рішень, передбачених ІП.</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Відповідні висновки оператор системи розподілу подає для опрацювання Регулятору.</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3.3. Регулятор розглядає ПРСР/ІП на предмет їх відповідності вимогам цього Порядку.</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У разі встановлення Регулятором невідповідності ПРСР/ІП вимогам цього Порядку в частині оформлення, затвердження та відповідного обґрунтування вони до розгляду не приймаються та повертаються на доопрацювання оператору системи розподілу.</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У разі наявності зауважень та пропозицій до поданих ПРСР/ІП Регулятор інформує про це оператора системи розподілу.</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Зокрема, у разі надання оператором системи розподілу недостовірної інформації щодо обґрунтування заходу ІП захід на вимогу Регулятора має бути виключений.</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3.4. Подані оператором системи розподілу протягом 10 робочих днів відповідні пропозиції, додаткові пояснення та обґрунтування до ПРСР/ІП, з урахуванням наданих Регулятором зауважень та пропозицій, повторно розглядаються Регулятором.</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3.5. У разі встановлення Регулятором відповідності ПРСР/ІП вимогам цього Порядку питання про їх схвалення виноситься на засідання Регулятора, що проводиться у формі відкритого слухання, у порядку, визначеному Регламентом Національної комісії, що здійснює державне регулювання у сферах енергетики та комунальних послуг, затвердженим постановою НКРЕКП від 06 грудня 2016 року № 2133. </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3.6. Після при</w:t>
      </w:r>
      <w:r w:rsidR="003657B3">
        <w:rPr>
          <w:sz w:val="28"/>
          <w:szCs w:val="28"/>
          <w:lang w:val="uk-UA"/>
        </w:rPr>
        <w:t>йняття рішення про схвалення ІП</w:t>
      </w:r>
      <w:r w:rsidRPr="0068412E">
        <w:rPr>
          <w:sz w:val="28"/>
          <w:szCs w:val="28"/>
          <w:lang w:val="uk-UA"/>
        </w:rPr>
        <w:t xml:space="preserve"> </w:t>
      </w:r>
      <w:r w:rsidRPr="00CF579D">
        <w:rPr>
          <w:sz w:val="28"/>
          <w:szCs w:val="28"/>
          <w:lang w:val="uk-UA"/>
        </w:rPr>
        <w:t>обґрунтову</w:t>
      </w:r>
      <w:r w:rsidR="003657B3" w:rsidRPr="00CF579D">
        <w:rPr>
          <w:sz w:val="28"/>
          <w:szCs w:val="28"/>
          <w:lang w:val="uk-UA"/>
        </w:rPr>
        <w:t>ючі</w:t>
      </w:r>
      <w:r w:rsidRPr="00CF579D">
        <w:rPr>
          <w:sz w:val="28"/>
          <w:szCs w:val="28"/>
          <w:lang w:val="uk-UA"/>
        </w:rPr>
        <w:t xml:space="preserve"> м</w:t>
      </w:r>
      <w:r w:rsidRPr="0068412E">
        <w:rPr>
          <w:sz w:val="28"/>
          <w:szCs w:val="28"/>
          <w:lang w:val="uk-UA"/>
        </w:rPr>
        <w:t xml:space="preserve">атеріали до неї, подані оператором системи розподілу, а також робочі примірники ІП повертаються оператору системи розподілу та </w:t>
      </w:r>
      <w:r w:rsidR="003657B3">
        <w:rPr>
          <w:sz w:val="28"/>
          <w:szCs w:val="28"/>
          <w:lang w:val="uk-UA"/>
        </w:rPr>
        <w:t>зберігаються в нього не менше 3 </w:t>
      </w:r>
      <w:r w:rsidRPr="0068412E">
        <w:rPr>
          <w:sz w:val="28"/>
          <w:szCs w:val="28"/>
          <w:lang w:val="uk-UA"/>
        </w:rPr>
        <w:t>років після закінчення строку дії відповідної ІП та мають бути надані Регулятору за його запитом для виконання покладених на нього завдань.</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3.7. Якщо під час розгляду Регулятором ІП виникають питання, що потребують проведення експертизи, розгляд ПРСР/ІП призупиняється на період, необхідний для проведення такої експертизи, про що Регулятор письмово повідомляє оператора системи розподілу протягом 5 днів з дня прийняття Регулятором рішення щодо проведення такої експертизи.</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У разі визнання Регулятором на засіданні, що проводиться у формі відкритого слухання, недостатності обґрунтування окремих розділів/заходів ПРСР/ІП Регулятор або оператор системи розподілу може ініціювати проведення експертизи зазначених розділів ПРСР/ІП, окремих заходів.</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За результатами експертизи спірні питання розглядаються на засіданні Регулятора.</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3.8. У разі визнання на засіданні Регулятора, що проводиться у формі відкритого слухання, заходів ПРСР/ІП необґрунтованими ці заходи оператору системи розподілу пропонується виключити, а кошти, передбачені на їх фінансування, можуть бути за пропозицією Регулятора</w:t>
      </w:r>
      <w:r w:rsidRPr="0068412E" w:rsidDel="00360F7B">
        <w:rPr>
          <w:sz w:val="28"/>
          <w:szCs w:val="28"/>
          <w:lang w:val="uk-UA"/>
        </w:rPr>
        <w:t xml:space="preserve"> </w:t>
      </w:r>
      <w:r w:rsidRPr="0068412E">
        <w:rPr>
          <w:sz w:val="28"/>
          <w:szCs w:val="28"/>
          <w:lang w:val="uk-UA"/>
        </w:rPr>
        <w:t>виключені зі структури тарифу або перерозподілені оператором системи розподілу між іншими розділами ПРСР/ІП.</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3.9. Оператор системи розподілу забезпечує достовірність інформації, наданої Регулятору у складі ПРСР, ІП, звітів щодо виконання ПРСР та ІП, </w:t>
      </w:r>
      <w:proofErr w:type="spellStart"/>
      <w:r w:rsidRPr="00CF579D">
        <w:rPr>
          <w:sz w:val="28"/>
          <w:szCs w:val="28"/>
          <w:lang w:val="uk-UA"/>
        </w:rPr>
        <w:t>обґрунтову</w:t>
      </w:r>
      <w:r w:rsidR="003657B3" w:rsidRPr="00CF579D">
        <w:rPr>
          <w:sz w:val="28"/>
          <w:szCs w:val="28"/>
          <w:lang w:val="uk-UA"/>
        </w:rPr>
        <w:t>ючих</w:t>
      </w:r>
      <w:proofErr w:type="spellEnd"/>
      <w:r w:rsidRPr="00CF579D">
        <w:rPr>
          <w:sz w:val="28"/>
          <w:szCs w:val="28"/>
          <w:lang w:val="uk-UA"/>
        </w:rPr>
        <w:t xml:space="preserve"> матеріалів</w:t>
      </w:r>
      <w:r w:rsidRPr="0068412E">
        <w:rPr>
          <w:sz w:val="28"/>
          <w:szCs w:val="28"/>
          <w:lang w:val="uk-UA"/>
        </w:rPr>
        <w:t xml:space="preserve"> до ПРСР та ІП, а також інформації, що надається у відповідь на окремі запити Регулятора тощо.</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3.10. Протягом 10 календарних днів з дня прийняття Регулятором рішення про схвалення ПРСР оператор системи розподілу подає схвалений Регулятором ПРСР у електронній формі (у файлах Word, Excel та </w:t>
      </w:r>
      <w:proofErr w:type="spellStart"/>
      <w:r w:rsidRPr="0068412E">
        <w:rPr>
          <w:sz w:val="28"/>
          <w:szCs w:val="28"/>
          <w:lang w:val="uk-UA"/>
        </w:rPr>
        <w:t>скан</w:t>
      </w:r>
      <w:proofErr w:type="spellEnd"/>
      <w:r w:rsidRPr="0068412E">
        <w:rPr>
          <w:sz w:val="28"/>
          <w:szCs w:val="28"/>
          <w:lang w:val="uk-UA"/>
        </w:rPr>
        <w:t xml:space="preserve">-копія у форматі </w:t>
      </w:r>
      <w:proofErr w:type="spellStart"/>
      <w:r w:rsidRPr="0068412E">
        <w:rPr>
          <w:sz w:val="28"/>
          <w:szCs w:val="28"/>
          <w:lang w:val="uk-UA"/>
        </w:rPr>
        <w:t>pdf</w:t>
      </w:r>
      <w:proofErr w:type="spellEnd"/>
      <w:r w:rsidRPr="0068412E">
        <w:rPr>
          <w:sz w:val="28"/>
          <w:szCs w:val="28"/>
          <w:lang w:val="uk-UA"/>
        </w:rPr>
        <w:t>) на електронну адресу Регулятора energo3@nerc.gov.ua та на офіційну адресу із накладенням кваліфікованого електронного підпису, а також на офіційну електронну адресу центрального органу виконавчої влади, що забезпечує формування та реалізацію державної політики в електроенергетичному комплексі,  центрального органу виконавчої влади, що реалізує державну політику у сфері нагляду (контролю) у галузі електроенергетики, та оператора системи передачі.</w:t>
      </w:r>
    </w:p>
    <w:p w:rsidR="006E569E" w:rsidRPr="0068412E" w:rsidRDefault="006E569E" w:rsidP="006E569E">
      <w:pPr>
        <w:pStyle w:val="a3"/>
        <w:spacing w:before="0" w:beforeAutospacing="0" w:after="0" w:afterAutospacing="0"/>
        <w:ind w:firstLine="567"/>
        <w:jc w:val="both"/>
        <w:rPr>
          <w:b/>
          <w:i/>
          <w:color w:val="FF0000"/>
          <w:sz w:val="28"/>
          <w:szCs w:val="28"/>
          <w:u w:val="single"/>
          <w:lang w:val="uk-UA"/>
        </w:rPr>
      </w:pPr>
      <w:r w:rsidRPr="0068412E">
        <w:rPr>
          <w:sz w:val="28"/>
          <w:szCs w:val="28"/>
          <w:lang w:val="uk-UA"/>
        </w:rPr>
        <w:t>Схвалену Регулятором ІП оператор системи розподілу оформлює у трьох примірниках і протягом 10 календарних днів з дня прийняття Регулятором рішення про схвалення ІП подає один примірник та його копію в електронній формі до центрального апарату Регулятора, другий примірник та його копію в електронній формі – до територіального органу Регулятора у відповідному регіоні, третій примірник залишається в оператора системи розподілу.</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Електронну форму схваленої Регулятором ІП оператор системи розподілу оприлюднює шляхом розміщення на своєму офіційному вебсайті в мережі Інтернет протягом 5 робочих днів з дня прийняття Регулятором рішення про схвалення ІП та зберігає на ньому протягом строку дії ІП та не менше 3 років після його закінчення.</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3.11. При виникненні потреби у виконанні робіт у зв'язку з особливими обставинами, яких оператор системи розподілу не міг передбачити, у тому числі робіт, пов'язаних з ліквідацією наслідків надзвичайних ситуацій, оператор системи розподілу має право за власною ініціативою, як правило, протягом місяця за підсумками першого та другого кварталу та/або не пізніше 30 вересня прогнозного періоду звернутися до Регулятора з пропозицією щодо внесення змін до схвалених ПРСР/ІП, оформлених та обґрунтованих відповідно до вимог цього Порядку.</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Регулятор розглядає зміни до ПРСР та ІП на загальних підставах відповідно до визначеної цим Порядком процедури розгляду та схвалення ПРСР/ІП. При цьому пояснювальна записка до запропонованих змін, зокрема, повинна містити обґрунтування необхідності коригування заходів, виключення та включення додаткових заходів до схвалених ПРСР/ІП.</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Питання про внесення змін до ПРСР/ІП Регулятор розглядає на засіданнях, які проводяться у формі відкритих слухань.</w:t>
      </w:r>
    </w:p>
    <w:p w:rsidR="006E569E" w:rsidRPr="0068412E" w:rsidRDefault="006E569E" w:rsidP="006E569E">
      <w:pPr>
        <w:pStyle w:val="3"/>
        <w:spacing w:before="0" w:beforeAutospacing="0" w:after="0" w:afterAutospacing="0"/>
        <w:ind w:firstLine="567"/>
        <w:jc w:val="center"/>
        <w:rPr>
          <w:rFonts w:eastAsia="Times New Roman"/>
          <w:sz w:val="28"/>
          <w:szCs w:val="28"/>
          <w:lang w:val="uk-UA"/>
        </w:rPr>
      </w:pPr>
    </w:p>
    <w:p w:rsidR="006E569E" w:rsidRPr="0068412E" w:rsidRDefault="006E569E" w:rsidP="006E569E">
      <w:pPr>
        <w:pStyle w:val="3"/>
        <w:spacing w:before="0" w:beforeAutospacing="0" w:after="0" w:afterAutospacing="0"/>
        <w:ind w:firstLine="567"/>
        <w:jc w:val="center"/>
        <w:rPr>
          <w:rFonts w:eastAsia="Times New Roman"/>
          <w:sz w:val="28"/>
          <w:szCs w:val="28"/>
          <w:lang w:val="uk-UA"/>
        </w:rPr>
      </w:pPr>
      <w:r w:rsidRPr="0068412E">
        <w:rPr>
          <w:rFonts w:eastAsia="Times New Roman"/>
          <w:sz w:val="28"/>
          <w:szCs w:val="28"/>
          <w:lang w:val="uk-UA"/>
        </w:rPr>
        <w:t>4. Виконання ІП</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4.1. Оператор системи розподілу зобов'язаний виконувати схвалену Регулятором </w:t>
      </w:r>
      <w:r w:rsidRPr="00CF579D">
        <w:rPr>
          <w:sz w:val="28"/>
          <w:szCs w:val="28"/>
          <w:lang w:val="uk-UA"/>
        </w:rPr>
        <w:t xml:space="preserve">ІП </w:t>
      </w:r>
      <w:r w:rsidR="003657B3" w:rsidRPr="00CF579D">
        <w:rPr>
          <w:sz w:val="28"/>
          <w:szCs w:val="28"/>
          <w:lang w:val="uk-UA"/>
        </w:rPr>
        <w:t>у</w:t>
      </w:r>
      <w:r w:rsidRPr="0068412E">
        <w:rPr>
          <w:sz w:val="28"/>
          <w:szCs w:val="28"/>
          <w:lang w:val="uk-UA"/>
        </w:rPr>
        <w:t xml:space="preserve"> повному обсязі відповідно до запланованих етапів, обсягів робіт у кількісному вираженні, джерел та обсягів фінансування у вартісному вираженні, у тому числі для заходів, які мають перехідний характер.</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4.2. Виконаними вважаються заходи ІП, щодо яких здійснено повне фінансування та активи по яких введені в експлуатацію у термін до 31 грудня прогнозного періоду відповідної ІП, що підтверджено такими документами:</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1) для матеріальних активів (у тому числі інших необоротних матеріальних активів):</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акт введення в експлуатацію основних засобів;</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акт приймання-здавання технічно переоснащених або замінених складових частин об'єктів електричних мереж;</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2) для нематеріальних активів:</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акт введення в господарський оборот об'єкта права інтелектуальної власності у складі нематеріальних активів.</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Заходи з розробки </w:t>
      </w:r>
      <w:proofErr w:type="spellStart"/>
      <w:r w:rsidRPr="0068412E">
        <w:rPr>
          <w:sz w:val="28"/>
          <w:szCs w:val="28"/>
          <w:lang w:val="uk-UA"/>
        </w:rPr>
        <w:t>проєктно</w:t>
      </w:r>
      <w:proofErr w:type="spellEnd"/>
      <w:r w:rsidRPr="0068412E">
        <w:rPr>
          <w:sz w:val="28"/>
          <w:szCs w:val="28"/>
          <w:lang w:val="uk-UA"/>
        </w:rPr>
        <w:t xml:space="preserve">-кошторисної документації вважаються виконаними протягом прогнозованого періоду, якщо за результатами їх виконання складено акт приймання-передачі виконаної </w:t>
      </w:r>
      <w:proofErr w:type="spellStart"/>
      <w:r w:rsidRPr="0068412E">
        <w:rPr>
          <w:sz w:val="28"/>
          <w:szCs w:val="28"/>
          <w:lang w:val="uk-UA"/>
        </w:rPr>
        <w:t>проєктно</w:t>
      </w:r>
      <w:proofErr w:type="spellEnd"/>
      <w:r w:rsidRPr="0068412E">
        <w:rPr>
          <w:sz w:val="28"/>
          <w:szCs w:val="28"/>
          <w:lang w:val="uk-UA"/>
        </w:rPr>
        <w:t>-кошторисної документації на об'єкт у термін до 31 грудня цього періоду та щодо яких здійснено повне фінансування.</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Оператори систем розподілу мають виконувати заходи ІП з дотриманням вимог законодавства у сфері регулювання містобудівної діяльності.</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Перехідні заходи ІП вважаються виконаними протягом прогнозованого періоду, якщо за результатами їх виконання складено акти виконаних робіт та/або акти приймання-передачі, здійснено оплату відповідно до цих актів на умовах, передбачених схваленою ІП.</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4.3. При неповному виконанні ІП за звітний період оператор системи розподілу надалі першочергово здійснює фінансування заходів з будівництва, технічного переоснащення і реконструкції електричних мереж та обладнання, заходів з виконання Плану заходів щодо забезпечення достовірності даних для здійснення моніторингу якості послуг і заходів з впровадження та розвитку комерційного обліку електричної енергії з обов'язковим урахуванням </w:t>
      </w:r>
      <w:proofErr w:type="spellStart"/>
      <w:r w:rsidRPr="0068412E">
        <w:rPr>
          <w:sz w:val="28"/>
          <w:szCs w:val="28"/>
          <w:lang w:val="uk-UA"/>
        </w:rPr>
        <w:t>пріоритезації</w:t>
      </w:r>
      <w:proofErr w:type="spellEnd"/>
      <w:r w:rsidRPr="0068412E">
        <w:rPr>
          <w:sz w:val="28"/>
          <w:szCs w:val="28"/>
          <w:lang w:val="uk-UA"/>
        </w:rPr>
        <w:t xml:space="preserve"> заходів.</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4.4. При зміні (збільшенні або зменшенні) вартості виконання заходів, передбачених схваленою ІП, до 5 % оператор системи розподілу може самостійно зробити перерозподіл фінансування між цими заходами в межах одного розділу за умови незмінності фізичних обсягів цих заходів.</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4.5. У випадку фактичного збільшення надходження коштів відповідно до визначених джерел фінансування ІП або наявності інших додаткових джерел оператор системи розподілу має ініціювати процедуру внесення відповідних змін до ІП згідно з цим Порядком у частині збільшення джерел фінансування та доповнення запланованих заходів.</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4.6. Профінансованими вважаються заходи ІП, щодо яких здійснено фактичну оплату грошовими коштами.</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4.7. У разі недофінансування заходів ІП базового періоду з причин, незалежних від оператора системи розподілу, він може продовжити фінансування цих заходів до 20 числа місяця, наступного після закінчення періоду дії цієї ІП, за рахунок коштів, отриманих як джерело фінансування ІП базового періоду.</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4.8. Об'єкти (заходи), що були профінансовані оператором системи розподілу, але не передбачені схваленою ІП або передбачені схваленою ІП у меншій кількості, не враховуються як виконання ІП, крім випадків відхилення не більше ніж ± 5 % від схвалених фізичних обсягів по лінійних об'єктах електричних мереж 0,4 – 20 кВ, з відповідним внесенням змін до </w:t>
      </w:r>
      <w:proofErr w:type="spellStart"/>
      <w:r w:rsidRPr="0068412E">
        <w:rPr>
          <w:sz w:val="28"/>
          <w:szCs w:val="28"/>
          <w:lang w:val="uk-UA"/>
        </w:rPr>
        <w:t>проєктно</w:t>
      </w:r>
      <w:proofErr w:type="spellEnd"/>
      <w:r w:rsidRPr="0068412E">
        <w:rPr>
          <w:sz w:val="28"/>
          <w:szCs w:val="28"/>
          <w:lang w:val="uk-UA"/>
        </w:rPr>
        <w:t>-кошторисної документації.</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4.9. Оператори систем розподілу при виконанні ІП зобов'язані проводити закупівлю нового сучасного високотехнологічного обладнання, виконаного із якісних матеріалів, що не було у використанні та щодо якого надаються гарантійні зобов'язання виробників або їх офіційних представників, крім випадків придбання цілісних майнових комплексів об'єктів електроенергетики при наданні належного обґрунтування.</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4.10. Оператори систем розподілу при виконанні ІП зобов'язані проводити закупівлю обладнання, матеріалів та послуг, що ма</w:t>
      </w:r>
      <w:r w:rsidR="003657B3">
        <w:rPr>
          <w:sz w:val="28"/>
          <w:szCs w:val="28"/>
          <w:lang w:val="uk-UA"/>
        </w:rPr>
        <w:t>ють параметри та характеристики</w:t>
      </w:r>
      <w:r w:rsidRPr="0068412E">
        <w:rPr>
          <w:sz w:val="28"/>
          <w:szCs w:val="28"/>
          <w:lang w:val="uk-UA"/>
        </w:rPr>
        <w:t xml:space="preserve"> аналогічні визначеним в ІП та відповідних </w:t>
      </w:r>
      <w:proofErr w:type="spellStart"/>
      <w:r w:rsidRPr="0068412E">
        <w:rPr>
          <w:sz w:val="28"/>
          <w:szCs w:val="28"/>
          <w:lang w:val="uk-UA"/>
        </w:rPr>
        <w:t>обґрунтову</w:t>
      </w:r>
      <w:r w:rsidR="003657B3" w:rsidRPr="00CF579D">
        <w:rPr>
          <w:sz w:val="28"/>
          <w:szCs w:val="28"/>
          <w:lang w:val="uk-UA"/>
        </w:rPr>
        <w:t>ючих</w:t>
      </w:r>
      <w:proofErr w:type="spellEnd"/>
      <w:r w:rsidRPr="0068412E">
        <w:rPr>
          <w:sz w:val="28"/>
          <w:szCs w:val="28"/>
          <w:lang w:val="uk-UA"/>
        </w:rPr>
        <w:t xml:space="preserve"> матеріалах до неї.</w:t>
      </w:r>
    </w:p>
    <w:p w:rsidR="006E569E" w:rsidRPr="0068412E" w:rsidRDefault="006E569E" w:rsidP="006E569E">
      <w:pPr>
        <w:pStyle w:val="3"/>
        <w:spacing w:before="0" w:beforeAutospacing="0" w:after="0" w:afterAutospacing="0"/>
        <w:ind w:firstLine="567"/>
        <w:jc w:val="center"/>
        <w:rPr>
          <w:rFonts w:eastAsia="Times New Roman"/>
          <w:sz w:val="28"/>
          <w:szCs w:val="28"/>
          <w:lang w:val="uk-UA"/>
        </w:rPr>
      </w:pPr>
    </w:p>
    <w:p w:rsidR="006E569E" w:rsidRPr="0068412E" w:rsidRDefault="006E569E" w:rsidP="006E569E">
      <w:pPr>
        <w:pStyle w:val="3"/>
        <w:spacing w:before="0" w:beforeAutospacing="0" w:after="0" w:afterAutospacing="0"/>
        <w:ind w:firstLine="567"/>
        <w:jc w:val="center"/>
        <w:rPr>
          <w:rFonts w:eastAsia="Times New Roman"/>
          <w:sz w:val="28"/>
          <w:szCs w:val="28"/>
          <w:lang w:val="uk-UA"/>
        </w:rPr>
      </w:pPr>
      <w:r w:rsidRPr="0068412E">
        <w:rPr>
          <w:rFonts w:eastAsia="Times New Roman"/>
          <w:sz w:val="28"/>
          <w:szCs w:val="28"/>
          <w:lang w:val="uk-UA"/>
        </w:rPr>
        <w:t>5. Порядок подання звітів щодо виконання ПРСР та ІП</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5.1. Оператор системи розподілу формує звіт щодо виконання ПРСР відповідно до вимог глави 3.6 розділу III КСР та додатка 3 до цього Порядку і подає його в електронній формі (у файлі Excel та </w:t>
      </w:r>
      <w:proofErr w:type="spellStart"/>
      <w:r w:rsidRPr="0068412E">
        <w:rPr>
          <w:sz w:val="28"/>
          <w:szCs w:val="28"/>
          <w:lang w:val="uk-UA"/>
        </w:rPr>
        <w:t>скан</w:t>
      </w:r>
      <w:proofErr w:type="spellEnd"/>
      <w:r w:rsidRPr="0068412E">
        <w:rPr>
          <w:sz w:val="28"/>
          <w:szCs w:val="28"/>
          <w:lang w:val="uk-UA"/>
        </w:rPr>
        <w:t xml:space="preserve">-копія у форматі </w:t>
      </w:r>
      <w:proofErr w:type="spellStart"/>
      <w:r w:rsidRPr="0068412E">
        <w:rPr>
          <w:sz w:val="28"/>
          <w:szCs w:val="28"/>
          <w:lang w:val="uk-UA"/>
        </w:rPr>
        <w:t>pdf</w:t>
      </w:r>
      <w:proofErr w:type="spellEnd"/>
      <w:r w:rsidRPr="0068412E">
        <w:rPr>
          <w:sz w:val="28"/>
          <w:szCs w:val="28"/>
          <w:lang w:val="uk-UA"/>
        </w:rPr>
        <w:t>) на електронну адресу Регулятора energo3@nerc.gov.ua та на офіційну адресу із накладенням кваліфікованого електронного підпису, а також на офіційну електронну адресу оператора системи передачі.</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У звіті щодо виконання ПРСР має бути відображена інформація щодо всіх заходів, запланованих схваленим Регулятором ПРСР, а також заходів з нового будівництва, реконструкції, технічного переоснащення об'єктів системи розподілу, розвитку основних фондів, активів оператора системи розподілу, що профінансовані оператором системи розподілу поза ПРСР, зокрема при виконанні заходів з приєднання.</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5.2. Оператор системи розподілу формує звіт щодо виконання ІП згідно з додатком 4 до цього Порядку і подає його в електронній формі (у форматі Excel та </w:t>
      </w:r>
      <w:proofErr w:type="spellStart"/>
      <w:r w:rsidRPr="0068412E">
        <w:rPr>
          <w:sz w:val="28"/>
          <w:szCs w:val="28"/>
          <w:lang w:val="uk-UA"/>
        </w:rPr>
        <w:t>скан</w:t>
      </w:r>
      <w:proofErr w:type="spellEnd"/>
      <w:r w:rsidRPr="0068412E">
        <w:rPr>
          <w:sz w:val="28"/>
          <w:szCs w:val="28"/>
          <w:lang w:val="uk-UA"/>
        </w:rPr>
        <w:t xml:space="preserve">-копія у форматі </w:t>
      </w:r>
      <w:proofErr w:type="spellStart"/>
      <w:r w:rsidRPr="0068412E">
        <w:rPr>
          <w:sz w:val="28"/>
          <w:szCs w:val="28"/>
          <w:lang w:val="uk-UA"/>
        </w:rPr>
        <w:t>pdf</w:t>
      </w:r>
      <w:proofErr w:type="spellEnd"/>
      <w:r w:rsidRPr="0068412E">
        <w:rPr>
          <w:sz w:val="28"/>
          <w:szCs w:val="28"/>
          <w:lang w:val="uk-UA"/>
        </w:rPr>
        <w:t>) на електронну адресу Регулятора energo1@nerc.gov.ua та на паперових носіях до центрального апарату Регулятора і територіального органу Регулятора у відповідному регіоні щокварталу та за підсумками року не пізніше 25 числа місяця, наступного за звітним періодом.</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Сторінки звіту щодо виконання ІП оператор системи розподілу нумерує, прошнуровує, кількість прошнурованих аркушів завіряє підписом керівника оператора системи розподілу або уповноваженої ним особи та скріплює відповідною печаткою (за наявності).</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 xml:space="preserve">У звіті щодо виконання </w:t>
      </w:r>
      <w:r w:rsidR="003657B3" w:rsidRPr="00CF579D">
        <w:rPr>
          <w:sz w:val="28"/>
          <w:szCs w:val="28"/>
          <w:lang w:val="uk-UA"/>
        </w:rPr>
        <w:t>ІП</w:t>
      </w:r>
      <w:r w:rsidRPr="00CF579D">
        <w:rPr>
          <w:sz w:val="28"/>
          <w:szCs w:val="28"/>
          <w:lang w:val="uk-UA"/>
        </w:rPr>
        <w:t xml:space="preserve"> оператор</w:t>
      </w:r>
      <w:r w:rsidRPr="0068412E">
        <w:rPr>
          <w:sz w:val="28"/>
          <w:szCs w:val="28"/>
          <w:lang w:val="uk-UA"/>
        </w:rPr>
        <w:t xml:space="preserve"> системи розподілу до кожного заходу зазначає відповідний ідентифікатор закупівлі у вигляді гіперпосилання, що має містит</w:t>
      </w:r>
      <w:r w:rsidR="003657B3">
        <w:rPr>
          <w:sz w:val="28"/>
          <w:szCs w:val="28"/>
          <w:lang w:val="uk-UA"/>
        </w:rPr>
        <w:t>и інформацію</w:t>
      </w:r>
      <w:r w:rsidRPr="0068412E">
        <w:rPr>
          <w:sz w:val="28"/>
          <w:szCs w:val="28"/>
          <w:lang w:val="uk-UA"/>
        </w:rPr>
        <w:t xml:space="preserve"> відповідно до пункту 3.4.12 глави 3.4 розділу ІІІ КСР.</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5.3. У разі неповного виконання ІП оператор системи розподілу додає до звіту пояснювальну записку щодо причин неповного виконання по кожному невиконаному заходу.</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5.4. Відповідальність за недостовірність даних, наданих у документах, зокрема щодо обґрунтування заходів ПРСР і ІП та звітів щодо їх виконання, несе оператор системи розподілу.</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Якщо оператор системи розподілу виявив у поданих звітах щодо виконання ПРСР та ІП помилку, він має письмово проінформувати про це Регулятора.</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Указана інформація буде перевірена Регулятором під час здійснення відповідного заходу державного контролю дотримання операторами систем розподілу ліцензійних умов з розподілу електричної енергії. У разі підтвердження такої інформації за результатами перевірки Регулятор у межах компетенції приймає відповідне рішення, а оператор системи розподілу зобов'язаний подати уточнений звіт.</w:t>
      </w: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Подання уточнених звітів в іншому випадку не допускається.</w:t>
      </w:r>
    </w:p>
    <w:p w:rsidR="006E569E" w:rsidRPr="0068412E" w:rsidRDefault="006E569E" w:rsidP="006E569E">
      <w:pPr>
        <w:pStyle w:val="a3"/>
        <w:spacing w:before="0" w:beforeAutospacing="0" w:after="0" w:afterAutospacing="0"/>
        <w:ind w:firstLine="567"/>
        <w:jc w:val="both"/>
        <w:rPr>
          <w:sz w:val="28"/>
          <w:szCs w:val="28"/>
          <w:lang w:val="uk-UA"/>
        </w:rPr>
      </w:pPr>
    </w:p>
    <w:p w:rsidR="006E569E" w:rsidRPr="0068412E"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5.5. Оператор системи розподілу оприлюднює електронну форму звіту щодо виконання ІП шляхом розміщення на своєму офіційному вебсайті в мережі Інтернет не пізніше 25 числа місяця, наступного за звітним періодом, та зберігає на ньому не менше 3 років.</w:t>
      </w:r>
    </w:p>
    <w:p w:rsidR="006E569E" w:rsidRPr="0068412E" w:rsidRDefault="006E569E" w:rsidP="006E569E">
      <w:pPr>
        <w:pStyle w:val="a3"/>
        <w:spacing w:before="0" w:beforeAutospacing="0" w:after="0" w:afterAutospacing="0"/>
        <w:ind w:firstLine="567"/>
        <w:jc w:val="both"/>
        <w:rPr>
          <w:sz w:val="28"/>
          <w:szCs w:val="28"/>
          <w:lang w:val="uk-UA"/>
        </w:rPr>
      </w:pPr>
    </w:p>
    <w:p w:rsidR="00092CF6" w:rsidRPr="00F25C81" w:rsidRDefault="006E569E" w:rsidP="006E569E">
      <w:pPr>
        <w:pStyle w:val="a3"/>
        <w:spacing w:before="0" w:beforeAutospacing="0" w:after="0" w:afterAutospacing="0"/>
        <w:ind w:firstLine="567"/>
        <w:jc w:val="both"/>
        <w:rPr>
          <w:sz w:val="28"/>
          <w:szCs w:val="28"/>
          <w:lang w:val="uk-UA"/>
        </w:rPr>
      </w:pPr>
      <w:r w:rsidRPr="0068412E">
        <w:rPr>
          <w:sz w:val="28"/>
          <w:szCs w:val="28"/>
          <w:lang w:val="uk-UA"/>
        </w:rPr>
        <w:t>5.6. Центральний апарат Регулятора та територіальні органи Регулятора у відповідному регіоні здійснюють контроль за виконанням оператором системи розподілу ПРСР та ІП шляхом аналізу звітів щодо виконання ПРСР та ІП і проведення планових та позапланових перевірок діяльності оператора системи розподілу.</w:t>
      </w:r>
    </w:p>
    <w:p w:rsidR="00092CF6" w:rsidRPr="00F25C81" w:rsidRDefault="00092CF6" w:rsidP="00092CF6">
      <w:pPr>
        <w:pStyle w:val="a3"/>
        <w:spacing w:before="0" w:beforeAutospacing="0" w:after="0" w:afterAutospacing="0"/>
        <w:ind w:firstLine="567"/>
        <w:jc w:val="both"/>
        <w:rPr>
          <w:sz w:val="28"/>
          <w:szCs w:val="28"/>
          <w:lang w:val="uk-UA"/>
        </w:rPr>
      </w:pPr>
      <w:r w:rsidRPr="00F25C81">
        <w:rPr>
          <w:sz w:val="28"/>
          <w:szCs w:val="28"/>
          <w:lang w:val="uk-UA"/>
        </w:rPr>
        <w:t> </w:t>
      </w:r>
    </w:p>
    <w:p w:rsidR="00092CF6" w:rsidRDefault="00092CF6" w:rsidP="00092CF6">
      <w:pPr>
        <w:pStyle w:val="a3"/>
        <w:spacing w:before="0" w:beforeAutospacing="0" w:after="0" w:afterAutospacing="0"/>
        <w:ind w:firstLine="567"/>
        <w:jc w:val="both"/>
        <w:rPr>
          <w:sz w:val="28"/>
          <w:szCs w:val="28"/>
          <w:lang w:val="uk-UA"/>
        </w:rPr>
      </w:pPr>
    </w:p>
    <w:p w:rsidR="00092CF6" w:rsidRPr="00F25C81" w:rsidRDefault="00092CF6" w:rsidP="00106B43">
      <w:pPr>
        <w:pStyle w:val="a3"/>
        <w:spacing w:before="0" w:beforeAutospacing="0" w:after="0" w:afterAutospacing="0"/>
        <w:jc w:val="both"/>
        <w:rPr>
          <w:sz w:val="28"/>
          <w:szCs w:val="28"/>
          <w:lang w:val="uk-UA"/>
        </w:rPr>
      </w:pPr>
    </w:p>
    <w:p w:rsidR="00943D68" w:rsidRPr="00943D68" w:rsidRDefault="00943D68" w:rsidP="00943D68">
      <w:pPr>
        <w:rPr>
          <w:rFonts w:eastAsiaTheme="minorHAnsi"/>
          <w:sz w:val="28"/>
          <w:szCs w:val="28"/>
          <w:lang w:val="uk-UA" w:eastAsia="en-US"/>
        </w:rPr>
      </w:pPr>
      <w:r w:rsidRPr="00943D68">
        <w:rPr>
          <w:rFonts w:eastAsiaTheme="minorHAnsi"/>
          <w:sz w:val="28"/>
          <w:szCs w:val="28"/>
          <w:lang w:val="uk-UA" w:eastAsia="en-US"/>
        </w:rPr>
        <w:t xml:space="preserve">Заступник директора департаменту – </w:t>
      </w:r>
    </w:p>
    <w:p w:rsidR="00943D68" w:rsidRPr="00943D68" w:rsidRDefault="00943D68" w:rsidP="00943D68">
      <w:pPr>
        <w:rPr>
          <w:rFonts w:eastAsiaTheme="minorHAnsi"/>
          <w:sz w:val="28"/>
          <w:szCs w:val="28"/>
          <w:lang w:val="uk-UA" w:eastAsia="en-US"/>
        </w:rPr>
      </w:pPr>
      <w:r w:rsidRPr="00943D68">
        <w:rPr>
          <w:rFonts w:eastAsiaTheme="minorHAnsi"/>
          <w:sz w:val="28"/>
          <w:szCs w:val="28"/>
          <w:lang w:val="uk-UA" w:eastAsia="en-US"/>
        </w:rPr>
        <w:t xml:space="preserve">начальник управління інвестиційної політики </w:t>
      </w:r>
    </w:p>
    <w:p w:rsidR="00943D68" w:rsidRPr="00943D68" w:rsidRDefault="00943D68" w:rsidP="00943D68">
      <w:pPr>
        <w:rPr>
          <w:rFonts w:eastAsiaTheme="minorHAnsi"/>
          <w:sz w:val="28"/>
          <w:szCs w:val="28"/>
          <w:lang w:val="uk-UA" w:eastAsia="en-US"/>
        </w:rPr>
      </w:pPr>
      <w:r w:rsidRPr="00943D68">
        <w:rPr>
          <w:rFonts w:eastAsiaTheme="minorHAnsi"/>
          <w:sz w:val="28"/>
          <w:szCs w:val="28"/>
          <w:lang w:val="uk-UA" w:eastAsia="en-US"/>
        </w:rPr>
        <w:t xml:space="preserve">та технічного розвитку Департаменту із </w:t>
      </w:r>
    </w:p>
    <w:p w:rsidR="00CE2CD5" w:rsidRPr="00381CD6" w:rsidRDefault="00943D68" w:rsidP="00381CD6">
      <w:pPr>
        <w:rPr>
          <w:rFonts w:eastAsiaTheme="minorHAnsi"/>
          <w:sz w:val="28"/>
          <w:szCs w:val="28"/>
          <w:lang w:val="uk-UA" w:eastAsia="en-US"/>
        </w:rPr>
      </w:pPr>
      <w:r w:rsidRPr="00943D68">
        <w:rPr>
          <w:rFonts w:eastAsiaTheme="minorHAnsi"/>
          <w:sz w:val="28"/>
          <w:szCs w:val="28"/>
          <w:lang w:val="uk-UA" w:eastAsia="en-US"/>
        </w:rPr>
        <w:t>регулювання відносин у сфері енергетики</w:t>
      </w:r>
      <w:r>
        <w:rPr>
          <w:rFonts w:eastAsiaTheme="minorHAnsi"/>
          <w:sz w:val="28"/>
          <w:szCs w:val="28"/>
          <w:lang w:val="uk-UA" w:eastAsia="en-US"/>
        </w:rPr>
        <w:tab/>
      </w:r>
      <w:r>
        <w:rPr>
          <w:rFonts w:eastAsiaTheme="minorHAnsi"/>
          <w:sz w:val="28"/>
          <w:szCs w:val="28"/>
          <w:lang w:val="uk-UA" w:eastAsia="en-US"/>
        </w:rPr>
        <w:tab/>
      </w:r>
      <w:r>
        <w:rPr>
          <w:rFonts w:eastAsiaTheme="minorHAnsi"/>
          <w:sz w:val="28"/>
          <w:szCs w:val="28"/>
          <w:lang w:val="uk-UA" w:eastAsia="en-US"/>
        </w:rPr>
        <w:tab/>
      </w:r>
      <w:r>
        <w:rPr>
          <w:rFonts w:eastAsiaTheme="minorHAnsi"/>
          <w:sz w:val="28"/>
          <w:szCs w:val="28"/>
          <w:lang w:val="uk-UA" w:eastAsia="en-US"/>
        </w:rPr>
        <w:tab/>
        <w:t>Ю</w:t>
      </w:r>
      <w:r w:rsidR="00092CF6" w:rsidRPr="00F25C81">
        <w:rPr>
          <w:rFonts w:eastAsiaTheme="minorHAnsi"/>
          <w:sz w:val="28"/>
          <w:szCs w:val="28"/>
          <w:lang w:val="uk-UA" w:eastAsia="en-US"/>
        </w:rPr>
        <w:t xml:space="preserve">. </w:t>
      </w:r>
      <w:proofErr w:type="spellStart"/>
      <w:r w:rsidR="00092CF6" w:rsidRPr="00F25C81">
        <w:rPr>
          <w:rFonts w:eastAsiaTheme="minorHAnsi"/>
          <w:sz w:val="28"/>
          <w:szCs w:val="28"/>
          <w:lang w:val="uk-UA" w:eastAsia="en-US"/>
        </w:rPr>
        <w:t>О</w:t>
      </w:r>
      <w:r>
        <w:rPr>
          <w:rFonts w:eastAsiaTheme="minorHAnsi"/>
          <w:sz w:val="28"/>
          <w:szCs w:val="28"/>
          <w:lang w:val="uk-UA" w:eastAsia="en-US"/>
        </w:rPr>
        <w:t>стап’юк</w:t>
      </w:r>
      <w:bookmarkStart w:id="0" w:name="_GoBack"/>
      <w:bookmarkEnd w:id="0"/>
      <w:proofErr w:type="spellEnd"/>
    </w:p>
    <w:sectPr w:rsidR="00CE2CD5" w:rsidRPr="00381CD6" w:rsidSect="00106B43">
      <w:headerReference w:type="default" r:id="rId8"/>
      <w:pgSz w:w="11906" w:h="16838"/>
      <w:pgMar w:top="1134" w:right="567" w:bottom="1135"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ACC" w:rsidRDefault="001B5ACC" w:rsidP="00E963A3">
      <w:r>
        <w:separator/>
      </w:r>
    </w:p>
  </w:endnote>
  <w:endnote w:type="continuationSeparator" w:id="0">
    <w:p w:rsidR="001B5ACC" w:rsidRDefault="001B5ACC" w:rsidP="00E96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ACC" w:rsidRDefault="001B5ACC" w:rsidP="00E963A3">
      <w:r>
        <w:separator/>
      </w:r>
    </w:p>
  </w:footnote>
  <w:footnote w:type="continuationSeparator" w:id="0">
    <w:p w:rsidR="001B5ACC" w:rsidRDefault="001B5ACC" w:rsidP="00E963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476428"/>
      <w:docPartObj>
        <w:docPartGallery w:val="Page Numbers (Top of Page)"/>
        <w:docPartUnique/>
      </w:docPartObj>
    </w:sdtPr>
    <w:sdtEndPr/>
    <w:sdtContent>
      <w:p w:rsidR="009627C9" w:rsidRDefault="009627C9">
        <w:pPr>
          <w:pStyle w:val="a6"/>
          <w:jc w:val="center"/>
        </w:pPr>
        <w:r>
          <w:fldChar w:fldCharType="begin"/>
        </w:r>
        <w:r>
          <w:instrText>PAGE   \* MERGEFORMAT</w:instrText>
        </w:r>
        <w:r>
          <w:fldChar w:fldCharType="separate"/>
        </w:r>
        <w:r w:rsidR="00381CD6" w:rsidRPr="00381CD6">
          <w:rPr>
            <w:noProof/>
            <w:lang w:val="uk-UA"/>
          </w:rPr>
          <w:t>17</w:t>
        </w:r>
        <w:r>
          <w:fldChar w:fldCharType="end"/>
        </w:r>
      </w:p>
    </w:sdtContent>
  </w:sdt>
  <w:p w:rsidR="009627C9" w:rsidRPr="009627C9" w:rsidRDefault="009627C9" w:rsidP="009627C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2A60A5"/>
    <w:multiLevelType w:val="hybridMultilevel"/>
    <w:tmpl w:val="064A9BC8"/>
    <w:lvl w:ilvl="0" w:tplc="58761752">
      <w:start w:val="2"/>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5F811023"/>
    <w:multiLevelType w:val="hybridMultilevel"/>
    <w:tmpl w:val="721638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677"/>
    <w:rsid w:val="000004BF"/>
    <w:rsid w:val="00006A10"/>
    <w:rsid w:val="00015DC2"/>
    <w:rsid w:val="00025356"/>
    <w:rsid w:val="0002733B"/>
    <w:rsid w:val="00033E79"/>
    <w:rsid w:val="000363AE"/>
    <w:rsid w:val="000408D2"/>
    <w:rsid w:val="00042E83"/>
    <w:rsid w:val="00044D86"/>
    <w:rsid w:val="00047777"/>
    <w:rsid w:val="0005719B"/>
    <w:rsid w:val="0006413C"/>
    <w:rsid w:val="00065E5B"/>
    <w:rsid w:val="000666B0"/>
    <w:rsid w:val="0007293B"/>
    <w:rsid w:val="00075387"/>
    <w:rsid w:val="000832DD"/>
    <w:rsid w:val="0009196A"/>
    <w:rsid w:val="00092CF6"/>
    <w:rsid w:val="00097364"/>
    <w:rsid w:val="000A273A"/>
    <w:rsid w:val="000A5FF5"/>
    <w:rsid w:val="000B12A7"/>
    <w:rsid w:val="000B6A2A"/>
    <w:rsid w:val="000C12BD"/>
    <w:rsid w:val="000C405D"/>
    <w:rsid w:val="000C4828"/>
    <w:rsid w:val="000D0FAB"/>
    <w:rsid w:val="000D2691"/>
    <w:rsid w:val="000D6672"/>
    <w:rsid w:val="000E5D85"/>
    <w:rsid w:val="000E6782"/>
    <w:rsid w:val="000E7160"/>
    <w:rsid w:val="00105294"/>
    <w:rsid w:val="001068F1"/>
    <w:rsid w:val="00106B43"/>
    <w:rsid w:val="00112CE3"/>
    <w:rsid w:val="001175FD"/>
    <w:rsid w:val="00120593"/>
    <w:rsid w:val="00121535"/>
    <w:rsid w:val="00123B28"/>
    <w:rsid w:val="00131D7E"/>
    <w:rsid w:val="001355F4"/>
    <w:rsid w:val="00151860"/>
    <w:rsid w:val="0015504F"/>
    <w:rsid w:val="001550DC"/>
    <w:rsid w:val="00166D5C"/>
    <w:rsid w:val="001711CF"/>
    <w:rsid w:val="00173734"/>
    <w:rsid w:val="001A1544"/>
    <w:rsid w:val="001A25E9"/>
    <w:rsid w:val="001A5EBC"/>
    <w:rsid w:val="001B5ACC"/>
    <w:rsid w:val="001B780C"/>
    <w:rsid w:val="001C6386"/>
    <w:rsid w:val="001C75C7"/>
    <w:rsid w:val="001D4DC2"/>
    <w:rsid w:val="00200116"/>
    <w:rsid w:val="00206251"/>
    <w:rsid w:val="00211284"/>
    <w:rsid w:val="00217C5F"/>
    <w:rsid w:val="00241CC5"/>
    <w:rsid w:val="00244102"/>
    <w:rsid w:val="00256CFF"/>
    <w:rsid w:val="00257F78"/>
    <w:rsid w:val="0026193C"/>
    <w:rsid w:val="0027724F"/>
    <w:rsid w:val="00282513"/>
    <w:rsid w:val="00284FC5"/>
    <w:rsid w:val="002A5CA2"/>
    <w:rsid w:val="002C6511"/>
    <w:rsid w:val="002E3860"/>
    <w:rsid w:val="002E42D2"/>
    <w:rsid w:val="002E76D1"/>
    <w:rsid w:val="002F3BFD"/>
    <w:rsid w:val="002F65A5"/>
    <w:rsid w:val="002F6EB3"/>
    <w:rsid w:val="002F711F"/>
    <w:rsid w:val="002F7DEE"/>
    <w:rsid w:val="00300E3A"/>
    <w:rsid w:val="00304003"/>
    <w:rsid w:val="00313981"/>
    <w:rsid w:val="00313E66"/>
    <w:rsid w:val="0031701E"/>
    <w:rsid w:val="003370D3"/>
    <w:rsid w:val="0034022D"/>
    <w:rsid w:val="00340EED"/>
    <w:rsid w:val="00350438"/>
    <w:rsid w:val="003572E9"/>
    <w:rsid w:val="00357935"/>
    <w:rsid w:val="003603A6"/>
    <w:rsid w:val="003657B3"/>
    <w:rsid w:val="00375AB1"/>
    <w:rsid w:val="00380BAC"/>
    <w:rsid w:val="00381CD6"/>
    <w:rsid w:val="0038633D"/>
    <w:rsid w:val="00387935"/>
    <w:rsid w:val="00387B4A"/>
    <w:rsid w:val="003917AE"/>
    <w:rsid w:val="0039711F"/>
    <w:rsid w:val="003A10E4"/>
    <w:rsid w:val="003A2BCF"/>
    <w:rsid w:val="003A58C3"/>
    <w:rsid w:val="003C29FE"/>
    <w:rsid w:val="003C6B82"/>
    <w:rsid w:val="003E4F50"/>
    <w:rsid w:val="003E7879"/>
    <w:rsid w:val="003F55C8"/>
    <w:rsid w:val="00411202"/>
    <w:rsid w:val="00414483"/>
    <w:rsid w:val="00420188"/>
    <w:rsid w:val="004265FE"/>
    <w:rsid w:val="004302DC"/>
    <w:rsid w:val="00432217"/>
    <w:rsid w:val="00451DD4"/>
    <w:rsid w:val="004566D6"/>
    <w:rsid w:val="0046682C"/>
    <w:rsid w:val="004728D9"/>
    <w:rsid w:val="0047642E"/>
    <w:rsid w:val="0048617E"/>
    <w:rsid w:val="00491D9C"/>
    <w:rsid w:val="004A6326"/>
    <w:rsid w:val="004B1775"/>
    <w:rsid w:val="004B33E4"/>
    <w:rsid w:val="004D29B4"/>
    <w:rsid w:val="004D2C85"/>
    <w:rsid w:val="004D43A3"/>
    <w:rsid w:val="004D7DB8"/>
    <w:rsid w:val="004E5334"/>
    <w:rsid w:val="004F20E8"/>
    <w:rsid w:val="004F466F"/>
    <w:rsid w:val="00505862"/>
    <w:rsid w:val="00530D69"/>
    <w:rsid w:val="00530F13"/>
    <w:rsid w:val="00544677"/>
    <w:rsid w:val="005451B6"/>
    <w:rsid w:val="00557813"/>
    <w:rsid w:val="00572208"/>
    <w:rsid w:val="00572700"/>
    <w:rsid w:val="00581334"/>
    <w:rsid w:val="005825BD"/>
    <w:rsid w:val="00595087"/>
    <w:rsid w:val="005A0CFC"/>
    <w:rsid w:val="005C1B5C"/>
    <w:rsid w:val="005C23F2"/>
    <w:rsid w:val="005D03FC"/>
    <w:rsid w:val="005D0462"/>
    <w:rsid w:val="005D5DD7"/>
    <w:rsid w:val="005E50DE"/>
    <w:rsid w:val="005F3D64"/>
    <w:rsid w:val="005F7D40"/>
    <w:rsid w:val="006024D0"/>
    <w:rsid w:val="00625AA3"/>
    <w:rsid w:val="006320B0"/>
    <w:rsid w:val="006349EA"/>
    <w:rsid w:val="00640571"/>
    <w:rsid w:val="006527AC"/>
    <w:rsid w:val="00653BE3"/>
    <w:rsid w:val="00666729"/>
    <w:rsid w:val="006768FE"/>
    <w:rsid w:val="006803A1"/>
    <w:rsid w:val="00685FAF"/>
    <w:rsid w:val="006A1646"/>
    <w:rsid w:val="006A1F20"/>
    <w:rsid w:val="006A3EB1"/>
    <w:rsid w:val="006A4523"/>
    <w:rsid w:val="006B5072"/>
    <w:rsid w:val="006E04D9"/>
    <w:rsid w:val="006E569E"/>
    <w:rsid w:val="006F58BC"/>
    <w:rsid w:val="006F77C6"/>
    <w:rsid w:val="007002CD"/>
    <w:rsid w:val="007070B1"/>
    <w:rsid w:val="00714F01"/>
    <w:rsid w:val="0071718B"/>
    <w:rsid w:val="00722502"/>
    <w:rsid w:val="0073165C"/>
    <w:rsid w:val="00732CDE"/>
    <w:rsid w:val="00734C64"/>
    <w:rsid w:val="00743CED"/>
    <w:rsid w:val="0076045D"/>
    <w:rsid w:val="00770F99"/>
    <w:rsid w:val="0078341C"/>
    <w:rsid w:val="00783908"/>
    <w:rsid w:val="0079060C"/>
    <w:rsid w:val="00790C69"/>
    <w:rsid w:val="00796654"/>
    <w:rsid w:val="00796803"/>
    <w:rsid w:val="007C22E0"/>
    <w:rsid w:val="007C40BC"/>
    <w:rsid w:val="007D14B7"/>
    <w:rsid w:val="007D2359"/>
    <w:rsid w:val="007D4E84"/>
    <w:rsid w:val="007D5A0C"/>
    <w:rsid w:val="007E60F1"/>
    <w:rsid w:val="00800CAC"/>
    <w:rsid w:val="00801E03"/>
    <w:rsid w:val="00802D18"/>
    <w:rsid w:val="00803A4C"/>
    <w:rsid w:val="0080487A"/>
    <w:rsid w:val="00805DC0"/>
    <w:rsid w:val="008063F8"/>
    <w:rsid w:val="00812169"/>
    <w:rsid w:val="0081220A"/>
    <w:rsid w:val="008177BF"/>
    <w:rsid w:val="0083619D"/>
    <w:rsid w:val="00842B60"/>
    <w:rsid w:val="00844F0F"/>
    <w:rsid w:val="00861C4B"/>
    <w:rsid w:val="008642BF"/>
    <w:rsid w:val="008754AE"/>
    <w:rsid w:val="008922EA"/>
    <w:rsid w:val="008A0BE6"/>
    <w:rsid w:val="008A322D"/>
    <w:rsid w:val="008B10AD"/>
    <w:rsid w:val="008D6F06"/>
    <w:rsid w:val="008F015E"/>
    <w:rsid w:val="008F7EB4"/>
    <w:rsid w:val="00900ADF"/>
    <w:rsid w:val="00901A75"/>
    <w:rsid w:val="00912D90"/>
    <w:rsid w:val="00913A6F"/>
    <w:rsid w:val="0093773B"/>
    <w:rsid w:val="00943D68"/>
    <w:rsid w:val="00951489"/>
    <w:rsid w:val="009627C9"/>
    <w:rsid w:val="009760A3"/>
    <w:rsid w:val="0098071F"/>
    <w:rsid w:val="00986319"/>
    <w:rsid w:val="00994CCA"/>
    <w:rsid w:val="009F0B47"/>
    <w:rsid w:val="00A01D0F"/>
    <w:rsid w:val="00A10D6B"/>
    <w:rsid w:val="00A23CC6"/>
    <w:rsid w:val="00A26D3C"/>
    <w:rsid w:val="00A64F81"/>
    <w:rsid w:val="00A7351B"/>
    <w:rsid w:val="00A74103"/>
    <w:rsid w:val="00A75773"/>
    <w:rsid w:val="00A91B4D"/>
    <w:rsid w:val="00A93BB4"/>
    <w:rsid w:val="00A94D4F"/>
    <w:rsid w:val="00AA38E8"/>
    <w:rsid w:val="00AA41A6"/>
    <w:rsid w:val="00AA478F"/>
    <w:rsid w:val="00AB38D8"/>
    <w:rsid w:val="00AB3C84"/>
    <w:rsid w:val="00AD0620"/>
    <w:rsid w:val="00AD0F56"/>
    <w:rsid w:val="00AD7160"/>
    <w:rsid w:val="00AF120D"/>
    <w:rsid w:val="00AF2BB0"/>
    <w:rsid w:val="00AF4891"/>
    <w:rsid w:val="00B2473D"/>
    <w:rsid w:val="00B248D7"/>
    <w:rsid w:val="00B24CB4"/>
    <w:rsid w:val="00B259C6"/>
    <w:rsid w:val="00B309DC"/>
    <w:rsid w:val="00B30A0C"/>
    <w:rsid w:val="00B4087C"/>
    <w:rsid w:val="00B70084"/>
    <w:rsid w:val="00B75C37"/>
    <w:rsid w:val="00B76D47"/>
    <w:rsid w:val="00B82419"/>
    <w:rsid w:val="00BA0491"/>
    <w:rsid w:val="00BB100F"/>
    <w:rsid w:val="00BC47E4"/>
    <w:rsid w:val="00BC74B1"/>
    <w:rsid w:val="00BE4AF5"/>
    <w:rsid w:val="00BE5C0A"/>
    <w:rsid w:val="00BF2083"/>
    <w:rsid w:val="00BF60E6"/>
    <w:rsid w:val="00C158D7"/>
    <w:rsid w:val="00C2715A"/>
    <w:rsid w:val="00C276C3"/>
    <w:rsid w:val="00C4321D"/>
    <w:rsid w:val="00C50B02"/>
    <w:rsid w:val="00C55CAD"/>
    <w:rsid w:val="00C64150"/>
    <w:rsid w:val="00C70A7A"/>
    <w:rsid w:val="00C741DF"/>
    <w:rsid w:val="00C74A65"/>
    <w:rsid w:val="00C80466"/>
    <w:rsid w:val="00C81BC6"/>
    <w:rsid w:val="00C92CF0"/>
    <w:rsid w:val="00CA6C77"/>
    <w:rsid w:val="00CB4D7E"/>
    <w:rsid w:val="00CC1EC2"/>
    <w:rsid w:val="00CC21C6"/>
    <w:rsid w:val="00CC66CA"/>
    <w:rsid w:val="00CE2CD5"/>
    <w:rsid w:val="00CE30F0"/>
    <w:rsid w:val="00CF03B6"/>
    <w:rsid w:val="00CF579D"/>
    <w:rsid w:val="00D1461B"/>
    <w:rsid w:val="00D1612A"/>
    <w:rsid w:val="00D33EC3"/>
    <w:rsid w:val="00D41023"/>
    <w:rsid w:val="00D51C0E"/>
    <w:rsid w:val="00D5255D"/>
    <w:rsid w:val="00D5355A"/>
    <w:rsid w:val="00D54FDC"/>
    <w:rsid w:val="00D55FBA"/>
    <w:rsid w:val="00D61737"/>
    <w:rsid w:val="00D65EE1"/>
    <w:rsid w:val="00D67A8B"/>
    <w:rsid w:val="00D70706"/>
    <w:rsid w:val="00D7194B"/>
    <w:rsid w:val="00D857F7"/>
    <w:rsid w:val="00D86B43"/>
    <w:rsid w:val="00D86BE2"/>
    <w:rsid w:val="00D8737C"/>
    <w:rsid w:val="00D87512"/>
    <w:rsid w:val="00D91945"/>
    <w:rsid w:val="00D969E3"/>
    <w:rsid w:val="00DA0348"/>
    <w:rsid w:val="00DA3025"/>
    <w:rsid w:val="00DA6330"/>
    <w:rsid w:val="00DB0E17"/>
    <w:rsid w:val="00DB1745"/>
    <w:rsid w:val="00DC0FF7"/>
    <w:rsid w:val="00DC2252"/>
    <w:rsid w:val="00DC41BA"/>
    <w:rsid w:val="00DD77D9"/>
    <w:rsid w:val="00DF038A"/>
    <w:rsid w:val="00E0131E"/>
    <w:rsid w:val="00E07D25"/>
    <w:rsid w:val="00E10F72"/>
    <w:rsid w:val="00E17F33"/>
    <w:rsid w:val="00E46028"/>
    <w:rsid w:val="00E50760"/>
    <w:rsid w:val="00E52413"/>
    <w:rsid w:val="00E6477D"/>
    <w:rsid w:val="00E71AB3"/>
    <w:rsid w:val="00E73C71"/>
    <w:rsid w:val="00E76021"/>
    <w:rsid w:val="00E90820"/>
    <w:rsid w:val="00E9121B"/>
    <w:rsid w:val="00E913E9"/>
    <w:rsid w:val="00E949F2"/>
    <w:rsid w:val="00E963A3"/>
    <w:rsid w:val="00EB1133"/>
    <w:rsid w:val="00EB162E"/>
    <w:rsid w:val="00EC1178"/>
    <w:rsid w:val="00EC5D00"/>
    <w:rsid w:val="00EC7223"/>
    <w:rsid w:val="00ED28A0"/>
    <w:rsid w:val="00ED4C6A"/>
    <w:rsid w:val="00EE39D7"/>
    <w:rsid w:val="00EF0CF6"/>
    <w:rsid w:val="00EF78CB"/>
    <w:rsid w:val="00F00F37"/>
    <w:rsid w:val="00F04C13"/>
    <w:rsid w:val="00F11FD7"/>
    <w:rsid w:val="00F131B0"/>
    <w:rsid w:val="00F13C5A"/>
    <w:rsid w:val="00F14868"/>
    <w:rsid w:val="00F27CF3"/>
    <w:rsid w:val="00F309BF"/>
    <w:rsid w:val="00F3129A"/>
    <w:rsid w:val="00F33D99"/>
    <w:rsid w:val="00F4195C"/>
    <w:rsid w:val="00F47F67"/>
    <w:rsid w:val="00F52C40"/>
    <w:rsid w:val="00F7211F"/>
    <w:rsid w:val="00F7305A"/>
    <w:rsid w:val="00F75E3A"/>
    <w:rsid w:val="00F76BC3"/>
    <w:rsid w:val="00F80449"/>
    <w:rsid w:val="00F90460"/>
    <w:rsid w:val="00F95ABB"/>
    <w:rsid w:val="00FA111D"/>
    <w:rsid w:val="00FB0962"/>
    <w:rsid w:val="00FB2CF5"/>
    <w:rsid w:val="00FD2A29"/>
    <w:rsid w:val="00FD6EAA"/>
    <w:rsid w:val="00FE3519"/>
    <w:rsid w:val="00FE6D22"/>
    <w:rsid w:val="00FF0B61"/>
    <w:rsid w:val="00FF7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627A910"/>
  <w15:chartTrackingRefBased/>
  <w15:docId w15:val="{1EF23215-EE59-4A1F-8F3D-D9D803F1C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color w:val="1F3763" w:themeColor="accent1" w:themeShade="7F"/>
      <w:sz w:val="24"/>
      <w:szCs w:val="24"/>
    </w:rPr>
  </w:style>
  <w:style w:type="paragraph" w:styleId="a4">
    <w:name w:val="Body Text Indent"/>
    <w:basedOn w:val="a"/>
    <w:link w:val="a5"/>
    <w:uiPriority w:val="99"/>
    <w:unhideWhenUsed/>
    <w:rsid w:val="00CC21C6"/>
    <w:pPr>
      <w:spacing w:after="120"/>
      <w:ind w:left="283"/>
    </w:pPr>
  </w:style>
  <w:style w:type="character" w:customStyle="1" w:styleId="a5">
    <w:name w:val="Основний текст з відступом Знак"/>
    <w:basedOn w:val="a0"/>
    <w:link w:val="a4"/>
    <w:uiPriority w:val="99"/>
    <w:rsid w:val="00CC21C6"/>
    <w:rPr>
      <w:rFonts w:eastAsiaTheme="minorEastAsia"/>
      <w:sz w:val="24"/>
      <w:szCs w:val="24"/>
    </w:rPr>
  </w:style>
  <w:style w:type="paragraph" w:styleId="a6">
    <w:name w:val="header"/>
    <w:basedOn w:val="a"/>
    <w:link w:val="a7"/>
    <w:uiPriority w:val="99"/>
    <w:unhideWhenUsed/>
    <w:rsid w:val="00E963A3"/>
    <w:pPr>
      <w:tabs>
        <w:tab w:val="center" w:pos="4819"/>
        <w:tab w:val="right" w:pos="9639"/>
      </w:tabs>
    </w:pPr>
  </w:style>
  <w:style w:type="character" w:customStyle="1" w:styleId="a7">
    <w:name w:val="Верхній колонтитул Знак"/>
    <w:basedOn w:val="a0"/>
    <w:link w:val="a6"/>
    <w:uiPriority w:val="99"/>
    <w:rsid w:val="00E963A3"/>
    <w:rPr>
      <w:rFonts w:eastAsiaTheme="minorEastAsia"/>
      <w:sz w:val="24"/>
      <w:szCs w:val="24"/>
    </w:rPr>
  </w:style>
  <w:style w:type="paragraph" w:styleId="a8">
    <w:name w:val="footer"/>
    <w:basedOn w:val="a"/>
    <w:link w:val="a9"/>
    <w:uiPriority w:val="99"/>
    <w:unhideWhenUsed/>
    <w:rsid w:val="00E963A3"/>
    <w:pPr>
      <w:tabs>
        <w:tab w:val="center" w:pos="4819"/>
        <w:tab w:val="right" w:pos="9639"/>
      </w:tabs>
    </w:pPr>
  </w:style>
  <w:style w:type="character" w:customStyle="1" w:styleId="a9">
    <w:name w:val="Нижній колонтитул Знак"/>
    <w:basedOn w:val="a0"/>
    <w:link w:val="a8"/>
    <w:uiPriority w:val="99"/>
    <w:rsid w:val="00E963A3"/>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34225-C014-4755-A299-164663646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302</TotalTime>
  <Pages>17</Pages>
  <Words>25410</Words>
  <Characters>14484</Characters>
  <Application>Microsoft Office Word</Application>
  <DocSecurity>0</DocSecurity>
  <Lines>120</Lines>
  <Paragraphs>79</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Мар'яна Харченко</dc:creator>
  <cp:keywords/>
  <dc:description/>
  <cp:lastModifiedBy>Мар'яна Харченко</cp:lastModifiedBy>
  <cp:revision>118</cp:revision>
  <dcterms:created xsi:type="dcterms:W3CDTF">2023-01-16T11:11:00Z</dcterms:created>
  <dcterms:modified xsi:type="dcterms:W3CDTF">2023-01-30T09:42:00Z</dcterms:modified>
</cp:coreProperties>
</file>