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 w:rsidRPr="00D80629">
        <w:rPr>
          <w:b/>
          <w:sz w:val="28"/>
          <w:szCs w:val="28"/>
        </w:rPr>
        <w:t xml:space="preserve">АНАЛІЗ ВПЛИВУ </w:t>
      </w: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проєкту рішення НКРЕКП, що має ознаки регуляторного акта, - постанови НКРЕКП «Про затвердження Змін до деяких постанов Національної комісії, що здійснює державне регулювання у сферах енергетики та комунальних послуг»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D80629" w:rsidRDefault="00C007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Визначення проблеми</w:t>
      </w:r>
    </w:p>
    <w:p w:rsidR="003F7AFE" w:rsidRPr="00D80629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E53E75" w:rsidRPr="00D80629" w:rsidRDefault="00C0078B" w:rsidP="00D87A9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Згідно з частиною другою статті 2 Закону України «Про ринок електричної енергії» </w:t>
      </w:r>
      <w:r w:rsidR="00B75601" w:rsidRPr="00D80629">
        <w:rPr>
          <w:rFonts w:eastAsiaTheme="minorHAnsi"/>
          <w:position w:val="0"/>
          <w:sz w:val="28"/>
          <w:szCs w:val="28"/>
          <w:lang w:eastAsia="en-US"/>
        </w:rPr>
        <w:t>(далі – Закон</w:t>
      </w:r>
      <w:r w:rsidR="00873446" w:rsidRPr="00D80629">
        <w:rPr>
          <w:rFonts w:eastAsiaTheme="minorHAnsi"/>
          <w:position w:val="0"/>
          <w:sz w:val="28"/>
          <w:szCs w:val="28"/>
          <w:lang w:eastAsia="en-US"/>
        </w:rPr>
        <w:t xml:space="preserve"> про ринок</w:t>
      </w:r>
      <w:r w:rsidR="00B75601" w:rsidRPr="00D80629">
        <w:rPr>
          <w:rFonts w:eastAsiaTheme="minorHAnsi"/>
          <w:position w:val="0"/>
          <w:sz w:val="28"/>
          <w:szCs w:val="28"/>
          <w:lang w:eastAsia="en-US"/>
        </w:rPr>
        <w:t xml:space="preserve">)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>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 та правилами ринку «на добу наперед» та внутрішньодобового ринку.</w:t>
      </w:r>
      <w:r w:rsidR="00E53E75" w:rsidRPr="00D80629">
        <w:rPr>
          <w:rFonts w:eastAsiaTheme="minorHAnsi"/>
          <w:position w:val="0"/>
          <w:sz w:val="28"/>
          <w:szCs w:val="28"/>
          <w:lang w:eastAsia="en-US"/>
        </w:rPr>
        <w:t xml:space="preserve"> Правила ринку розробляються і адмініструються оператором системи передачі та затверджуються Регулятором.</w:t>
      </w:r>
      <w:bookmarkStart w:id="1" w:name="n125"/>
      <w:bookmarkEnd w:id="1"/>
      <w:r w:rsidR="00E53E75" w:rsidRPr="00D80629">
        <w:rPr>
          <w:rFonts w:eastAsiaTheme="minorHAnsi"/>
          <w:position w:val="0"/>
          <w:sz w:val="28"/>
          <w:szCs w:val="28"/>
          <w:lang w:eastAsia="en-US"/>
        </w:rPr>
        <w:t xml:space="preserve"> Правила ринку «на добу наперед» та внутрішньодобового ринку розробляються і адмініструються оператором ринку та затверджуються Регулятором. </w:t>
      </w:r>
    </w:p>
    <w:p w:rsidR="00E53E75" w:rsidRPr="00D80629" w:rsidRDefault="00E53E75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Згідно </w:t>
      </w:r>
      <w:r w:rsidR="0018007D" w:rsidRPr="00D80629">
        <w:rPr>
          <w:rFonts w:eastAsiaTheme="minorHAnsi"/>
          <w:position w:val="0"/>
          <w:sz w:val="28"/>
          <w:szCs w:val="28"/>
          <w:lang w:eastAsia="en-US"/>
        </w:rPr>
        <w:t>з</w:t>
      </w:r>
      <w:r w:rsidR="00DC28B7">
        <w:rPr>
          <w:rFonts w:eastAsiaTheme="minorHAnsi"/>
          <w:position w:val="0"/>
          <w:sz w:val="28"/>
          <w:szCs w:val="28"/>
          <w:lang w:eastAsia="en-US"/>
        </w:rPr>
        <w:t xml:space="preserve"> положеннями</w:t>
      </w:r>
      <w:r w:rsidR="00DC28B7" w:rsidRPr="00D80629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C28B7" w:rsidRPr="00D80629">
        <w:rPr>
          <w:rFonts w:eastAsiaTheme="minorHAnsi"/>
          <w:position w:val="0"/>
          <w:sz w:val="28"/>
          <w:szCs w:val="28"/>
          <w:lang w:val="ru-RU" w:eastAsia="en-US"/>
        </w:rPr>
        <w:t>Закон</w:t>
      </w:r>
      <w:r w:rsidR="00DC28B7">
        <w:rPr>
          <w:rFonts w:eastAsiaTheme="minorHAnsi"/>
          <w:position w:val="0"/>
          <w:sz w:val="28"/>
          <w:szCs w:val="28"/>
          <w:lang w:val="ru-RU" w:eastAsia="en-US"/>
        </w:rPr>
        <w:t>у</w:t>
      </w:r>
      <w:r w:rsidR="00DC28B7" w:rsidRPr="00D80629">
        <w:rPr>
          <w:rFonts w:eastAsiaTheme="minorHAnsi"/>
          <w:position w:val="0"/>
          <w:sz w:val="28"/>
          <w:szCs w:val="28"/>
          <w:lang w:val="ru-RU" w:eastAsia="en-US"/>
        </w:rPr>
        <w:t xml:space="preserve"> </w:t>
      </w:r>
      <w:r w:rsidR="00873446" w:rsidRPr="00D80629">
        <w:rPr>
          <w:rFonts w:eastAsiaTheme="minorHAnsi"/>
          <w:position w:val="0"/>
          <w:sz w:val="28"/>
          <w:szCs w:val="28"/>
          <w:lang w:val="ru-RU" w:eastAsia="en-US"/>
        </w:rPr>
        <w:t xml:space="preserve">про </w:t>
      </w:r>
      <w:proofErr w:type="spellStart"/>
      <w:r w:rsidR="00873446" w:rsidRPr="00D80629">
        <w:rPr>
          <w:rFonts w:eastAsiaTheme="minorHAnsi"/>
          <w:position w:val="0"/>
          <w:sz w:val="28"/>
          <w:szCs w:val="28"/>
          <w:lang w:val="ru-RU" w:eastAsia="en-US"/>
        </w:rPr>
        <w:t>ринок</w:t>
      </w:r>
      <w:proofErr w:type="spellEnd"/>
      <w:r w:rsidR="00CF758B" w:rsidRPr="00D80629">
        <w:rPr>
          <w:rFonts w:eastAsiaTheme="minorHAnsi"/>
          <w:position w:val="0"/>
          <w:sz w:val="28"/>
          <w:szCs w:val="28"/>
          <w:lang w:val="ru-RU" w:eastAsia="en-US"/>
        </w:rPr>
        <w:t xml:space="preserve"> та</w:t>
      </w:r>
      <w:r w:rsidR="00CF758B" w:rsidRPr="00D80629" w:rsidDel="0018007D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C28B7" w:rsidRPr="00D80629">
        <w:rPr>
          <w:rFonts w:eastAsiaTheme="minorHAnsi"/>
          <w:position w:val="0"/>
          <w:sz w:val="28"/>
          <w:szCs w:val="28"/>
          <w:lang w:eastAsia="en-US"/>
        </w:rPr>
        <w:t>Закон</w:t>
      </w:r>
      <w:r w:rsidR="00DC28B7">
        <w:rPr>
          <w:rFonts w:eastAsiaTheme="minorHAnsi"/>
          <w:position w:val="0"/>
          <w:sz w:val="28"/>
          <w:szCs w:val="28"/>
          <w:lang w:eastAsia="en-US"/>
        </w:rPr>
        <w:t>у</w:t>
      </w:r>
      <w:r w:rsidR="00DC28B7" w:rsidRPr="00D80629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зокрема правила ринку, правила ринку «на добу наперед» та внутрішньодобового ринку та зміни до них. </w:t>
      </w:r>
    </w:p>
    <w:p w:rsidR="00ED2DF1" w:rsidRPr="00D80629" w:rsidRDefault="00ED2DF1" w:rsidP="00ED2DF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НЕК «УКРЕНЕРГО» та АТ «ОПЕРАТОР РИНКУ», працюючи в умовах військової агресії російської федерації, неодноразово стикалися з проблемами, що ускладнювали забезпечення вчасної реєстрації двосторонніх договорів, у строки, визначені Правилами ринку, затвердженими постановою НКРЕКП від 14.03.2018 № 307 (далі – Правила ринку), а також організації та проведення регулярних торгів на ринку «на добу наперед» (далі – РДН) та внутрішньодобовому ринку (далі – ВДР) у строки, визначені відповідно до Правил ринку «на добу наперед» та внутрішньодобового ринку, затверджених постановою НКРЕКП від 14.03.2018 № 308 (далі – Правила РДН/ВДР). </w:t>
      </w:r>
    </w:p>
    <w:p w:rsidR="00ED2DF1" w:rsidRPr="00D80629" w:rsidRDefault="00ED2DF1" w:rsidP="00ED2DF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З метою регулярного щоденного забезпечення організації та проведення торгів на РДН та ВДР АТ «ОПЕРАТОР РИНКУ» розроблено та надано НКРЕКП пропозиції щодо внесення змін до Правил РДН/ВДР та Правил ринку, зокрема в частині подовження </w:t>
      </w:r>
      <w:r w:rsidR="00E239A8" w:rsidRPr="00D80629">
        <w:rPr>
          <w:rFonts w:eastAsiaTheme="minorHAnsi"/>
          <w:position w:val="0"/>
          <w:sz w:val="28"/>
          <w:szCs w:val="28"/>
          <w:lang w:eastAsia="en-US"/>
        </w:rPr>
        <w:t xml:space="preserve">оператором ринку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>часових меж, встановлених для перенесення часу «закриття воріт РДН» та відповідно початку торгів на ВДР (листи від 14.11.2022 № 01-42/1520 та від 05.12.2022 № 01-42/1604).</w:t>
      </w:r>
    </w:p>
    <w:p w:rsidR="00ED2DF1" w:rsidRPr="00D80629" w:rsidRDefault="00ED2DF1" w:rsidP="00ED2DF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Водночас, з метою забезпечення </w:t>
      </w:r>
      <w:r w:rsidR="00E239A8" w:rsidRPr="00D80629">
        <w:rPr>
          <w:sz w:val="28"/>
          <w:szCs w:val="28"/>
        </w:rPr>
        <w:t xml:space="preserve">оператором системи передачі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>можливості перенесення часу закриття воріт для реєстрації обсягів за двосторонніми договорами, Регулятором розроблено проєкт змін до Правил ринку.</w:t>
      </w:r>
    </w:p>
    <w:p w:rsidR="00ED2DF1" w:rsidRPr="00D80629" w:rsidRDefault="00ED2DF1" w:rsidP="00ED2DF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br w:type="column"/>
      </w:r>
    </w:p>
    <w:p w:rsidR="00071079" w:rsidRPr="00D80629" w:rsidRDefault="00C0078B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4D6C22" w:rsidRPr="00D8062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Ні</w:t>
            </w:r>
          </w:p>
        </w:tc>
      </w:tr>
      <w:tr w:rsidR="004D6C22" w:rsidRPr="00D8062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  <w:tr w:rsidR="004D6C22" w:rsidRPr="00D8062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  <w:tr w:rsidR="00071079" w:rsidRPr="00D8062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Так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</w:tbl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ІІ. Цілі державного регулювання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ED2DF1" w:rsidRPr="00D80629" w:rsidRDefault="00FE7184" w:rsidP="00ED2DF1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вдосконалення положень </w:t>
      </w:r>
      <w:r w:rsidR="001F2A92" w:rsidRPr="00D80629">
        <w:rPr>
          <w:rFonts w:eastAsiaTheme="minorHAnsi"/>
          <w:position w:val="0"/>
          <w:sz w:val="28"/>
          <w:szCs w:val="28"/>
          <w:lang w:eastAsia="en-US"/>
        </w:rPr>
        <w:t xml:space="preserve">Правил ринку </w:t>
      </w:r>
      <w:r w:rsidR="00ED2DF1" w:rsidRPr="00D80629">
        <w:rPr>
          <w:sz w:val="28"/>
          <w:szCs w:val="28"/>
        </w:rPr>
        <w:t>у частині можливості оператора системи передачі змінювати час закриття воріт для реєстрації обсягів купівлі та продажу електричної енергії за двосторонніми договорами,</w:t>
      </w:r>
      <w:r w:rsidR="00ED2DF1" w:rsidRPr="00D80629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1F2A92" w:rsidRPr="00D80629">
        <w:rPr>
          <w:rFonts w:eastAsiaTheme="minorHAnsi"/>
          <w:position w:val="0"/>
          <w:sz w:val="28"/>
          <w:szCs w:val="28"/>
          <w:lang w:eastAsia="en-US"/>
        </w:rPr>
        <w:t>та Правил РДН/ВДР</w:t>
      </w:r>
      <w:r w:rsidR="00B0792C" w:rsidRPr="00D80629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ED2DF1" w:rsidRPr="00D80629">
        <w:rPr>
          <w:sz w:val="28"/>
          <w:szCs w:val="28"/>
        </w:rPr>
        <w:t xml:space="preserve">у частині подовження </w:t>
      </w:r>
      <w:r w:rsidR="00E239A8" w:rsidRPr="00D80629">
        <w:rPr>
          <w:sz w:val="28"/>
          <w:szCs w:val="28"/>
        </w:rPr>
        <w:t xml:space="preserve">оператором ринку </w:t>
      </w:r>
      <w:r w:rsidR="00ED2DF1" w:rsidRPr="00D80629">
        <w:rPr>
          <w:sz w:val="28"/>
          <w:szCs w:val="28"/>
        </w:rPr>
        <w:t>часових меж, встановлених для перенесення часу «закриття воріт РДН» та відповідно початку торгів на ВДР</w:t>
      </w:r>
      <w:r w:rsidR="008919C4" w:rsidRPr="00D80629">
        <w:rPr>
          <w:sz w:val="28"/>
          <w:szCs w:val="28"/>
          <w:lang w:val="ru-RU"/>
        </w:rPr>
        <w:t>,</w:t>
      </w:r>
      <w:r w:rsidR="009472C0" w:rsidRPr="00D80629">
        <w:rPr>
          <w:sz w:val="28"/>
          <w:szCs w:val="28"/>
        </w:rPr>
        <w:t xml:space="preserve"> у випадку виникнення позаштатних ситуацій.</w:t>
      </w:r>
    </w:p>
    <w:p w:rsidR="00071079" w:rsidRPr="00D80629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071079" w:rsidRPr="00D80629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D80629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345"/>
      </w:tblGrid>
      <w:tr w:rsidR="004D6C22" w:rsidRPr="00D80629">
        <w:trPr>
          <w:trHeight w:val="241"/>
        </w:trPr>
        <w:tc>
          <w:tcPr>
            <w:tcW w:w="315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345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Опис альтернативи</w:t>
            </w:r>
          </w:p>
        </w:tc>
      </w:tr>
      <w:tr w:rsidR="004D6C22" w:rsidRPr="00D80629">
        <w:tc>
          <w:tcPr>
            <w:tcW w:w="315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345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Залишити без змін Правила ринку та Правила РДН/ВДР.</w:t>
            </w:r>
          </w:p>
        </w:tc>
      </w:tr>
      <w:tr w:rsidR="004D6C22" w:rsidRPr="00D80629">
        <w:tc>
          <w:tcPr>
            <w:tcW w:w="315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6345" w:type="dxa"/>
          </w:tcPr>
          <w:p w:rsidR="00071079" w:rsidRPr="00D80629" w:rsidRDefault="00C0078B" w:rsidP="00710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</w:t>
            </w:r>
            <w:r w:rsidR="00710B5D" w:rsidRPr="00D80629">
              <w:rPr>
                <w:sz w:val="22"/>
                <w:szCs w:val="22"/>
              </w:rPr>
              <w:t>ти</w:t>
            </w:r>
            <w:r w:rsidRPr="00D80629">
              <w:rPr>
                <w:sz w:val="22"/>
                <w:szCs w:val="22"/>
              </w:rPr>
              <w:t xml:space="preserve"> змін</w:t>
            </w:r>
            <w:r w:rsidR="00710B5D" w:rsidRPr="00D80629">
              <w:rPr>
                <w:sz w:val="22"/>
                <w:szCs w:val="22"/>
              </w:rPr>
              <w:t>и</w:t>
            </w:r>
            <w:r w:rsidRPr="00D80629">
              <w:rPr>
                <w:sz w:val="22"/>
                <w:szCs w:val="22"/>
              </w:rPr>
              <w:t xml:space="preserve"> до Правил ринку та Правил РДН/ВДР.</w:t>
            </w:r>
          </w:p>
        </w:tc>
      </w:tr>
      <w:tr w:rsidR="004D6C22" w:rsidRPr="00D80629">
        <w:tc>
          <w:tcPr>
            <w:tcW w:w="315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6345" w:type="dxa"/>
          </w:tcPr>
          <w:p w:rsidR="00071079" w:rsidRPr="00D80629" w:rsidRDefault="00C0078B" w:rsidP="0094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Визна</w:t>
            </w:r>
            <w:r w:rsidR="00710B5D" w:rsidRPr="00D80629">
              <w:rPr>
                <w:sz w:val="22"/>
                <w:szCs w:val="22"/>
              </w:rPr>
              <w:t>ти</w:t>
            </w:r>
            <w:r w:rsidRPr="00D80629">
              <w:rPr>
                <w:sz w:val="22"/>
                <w:szCs w:val="22"/>
              </w:rPr>
              <w:t xml:space="preserve"> такими, що втратили чинність, Правила ринку та Правила РДН/ВДР та прийнят</w:t>
            </w:r>
            <w:r w:rsidR="00710B5D" w:rsidRPr="00D80629">
              <w:rPr>
                <w:sz w:val="22"/>
                <w:szCs w:val="22"/>
              </w:rPr>
              <w:t>и</w:t>
            </w:r>
            <w:r w:rsidRPr="00D80629">
              <w:rPr>
                <w:sz w:val="22"/>
                <w:szCs w:val="22"/>
              </w:rPr>
              <w:t xml:space="preserve"> нов</w:t>
            </w:r>
            <w:r w:rsidR="009472C0" w:rsidRPr="00D80629">
              <w:rPr>
                <w:sz w:val="22"/>
                <w:szCs w:val="22"/>
              </w:rPr>
              <w:t xml:space="preserve">ий </w:t>
            </w:r>
            <w:r w:rsidRPr="00D80629">
              <w:rPr>
                <w:sz w:val="22"/>
                <w:szCs w:val="22"/>
              </w:rPr>
              <w:t>регуляторн</w:t>
            </w:r>
            <w:r w:rsidR="009472C0" w:rsidRPr="00D80629">
              <w:rPr>
                <w:sz w:val="22"/>
                <w:szCs w:val="22"/>
              </w:rPr>
              <w:t>ий</w:t>
            </w:r>
            <w:r w:rsidRPr="00D80629">
              <w:rPr>
                <w:sz w:val="22"/>
                <w:szCs w:val="22"/>
              </w:rPr>
              <w:t xml:space="preserve"> акт</w:t>
            </w:r>
            <w:r w:rsidR="00B93F7F" w:rsidRPr="00D80629">
              <w:rPr>
                <w:sz w:val="22"/>
                <w:szCs w:val="22"/>
              </w:rPr>
              <w:t>.</w:t>
            </w:r>
          </w:p>
        </w:tc>
      </w:tr>
    </w:tbl>
    <w:p w:rsidR="002A7B61" w:rsidRPr="00D80629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вибраних альтернативних способів досягнення цілей</w:t>
      </w:r>
    </w:p>
    <w:p w:rsidR="00071079" w:rsidRPr="00D80629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>
        <w:trPr>
          <w:trHeight w:val="1070"/>
        </w:trPr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EC3627" w:rsidRPr="00D80629" w:rsidRDefault="00A665D9" w:rsidP="00325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D80629">
              <w:rPr>
                <w:sz w:val="22"/>
                <w:szCs w:val="22"/>
              </w:rPr>
              <w:t xml:space="preserve">Порушення </w:t>
            </w:r>
            <w:r w:rsidR="00146E12" w:rsidRPr="00D80629">
              <w:rPr>
                <w:sz w:val="22"/>
                <w:szCs w:val="22"/>
              </w:rPr>
              <w:t>належного</w:t>
            </w:r>
            <w:r w:rsidRPr="00D80629">
              <w:rPr>
                <w:sz w:val="22"/>
                <w:szCs w:val="22"/>
              </w:rPr>
              <w:t xml:space="preserve"> функціонування окремих сегментів ринку електричної енергії </w:t>
            </w:r>
            <w:r w:rsidR="008919C4" w:rsidRPr="00D80629">
              <w:rPr>
                <w:sz w:val="22"/>
                <w:szCs w:val="22"/>
              </w:rPr>
              <w:t>у випадку виникнення позаштатних ситуацій</w:t>
            </w:r>
            <w:r w:rsidR="008919C4" w:rsidRPr="00D80629">
              <w:rPr>
                <w:sz w:val="22"/>
                <w:szCs w:val="22"/>
                <w:lang w:val="ru-RU"/>
              </w:rPr>
              <w:t>.</w:t>
            </w: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:rsidR="00071079" w:rsidRPr="00D80629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395" w:type="dxa"/>
          </w:tcPr>
          <w:p w:rsidR="00EC3627" w:rsidRPr="00D80629" w:rsidRDefault="00146E12" w:rsidP="00146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D80629">
              <w:rPr>
                <w:sz w:val="22"/>
                <w:szCs w:val="22"/>
              </w:rPr>
              <w:t>Забезпечення належного функціонування окремих сегментів ринку електричної енергії</w:t>
            </w:r>
            <w:r w:rsidR="00A665D9" w:rsidRPr="00D80629">
              <w:rPr>
                <w:sz w:val="22"/>
                <w:szCs w:val="22"/>
              </w:rPr>
              <w:t xml:space="preserve"> </w:t>
            </w:r>
            <w:r w:rsidR="008919C4" w:rsidRPr="00D80629">
              <w:rPr>
                <w:sz w:val="22"/>
                <w:szCs w:val="22"/>
              </w:rPr>
              <w:t>у випадку виникнення позаштатних ситуацій</w:t>
            </w:r>
            <w:r w:rsidR="008919C4" w:rsidRPr="00D80629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Захід є надмірним</w:t>
            </w:r>
          </w:p>
        </w:tc>
      </w:tr>
    </w:tbl>
    <w:p w:rsidR="00071079" w:rsidRPr="00D80629" w:rsidRDefault="00C0078B" w:rsidP="00D806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lastRenderedPageBreak/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</w:tr>
      <w:tr w:rsidR="004D6C22" w:rsidRPr="00D80629">
        <w:trPr>
          <w:trHeight w:val="986"/>
        </w:trPr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D80629">
        <w:trPr>
          <w:trHeight w:val="986"/>
        </w:trPr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</w:tr>
    </w:tbl>
    <w:p w:rsidR="00071079" w:rsidRPr="00D80629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D80629" w:rsidRDefault="00C0078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  <w:p w:rsidR="00071079" w:rsidRPr="00D80629" w:rsidRDefault="00071079" w:rsidP="00A665D9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71079" w:rsidRPr="00D80629" w:rsidRDefault="00AC0F7B" w:rsidP="00AC0F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</w:t>
            </w:r>
            <w:r w:rsidR="00594EAE" w:rsidRPr="00D80629">
              <w:rPr>
                <w:sz w:val="22"/>
                <w:szCs w:val="22"/>
              </w:rPr>
              <w:t xml:space="preserve">орушення </w:t>
            </w:r>
            <w:r w:rsidR="00A665D9" w:rsidRPr="00D80629">
              <w:rPr>
                <w:sz w:val="22"/>
                <w:szCs w:val="22"/>
              </w:rPr>
              <w:t>належн</w:t>
            </w:r>
            <w:r w:rsidR="00594EAE" w:rsidRPr="00D80629">
              <w:rPr>
                <w:sz w:val="22"/>
                <w:szCs w:val="22"/>
              </w:rPr>
              <w:t>ого</w:t>
            </w:r>
            <w:r w:rsidR="00A665D9" w:rsidRPr="00D80629">
              <w:rPr>
                <w:sz w:val="22"/>
                <w:szCs w:val="22"/>
              </w:rPr>
              <w:t xml:space="preserve"> функціонування процесу реєстрації обсягів купівлі та продажу електричної енергії за двосторонніми договорами та проведення торгів на РДН та на ВДР</w:t>
            </w:r>
            <w:r w:rsidRPr="00D80629">
              <w:rPr>
                <w:sz w:val="22"/>
                <w:szCs w:val="22"/>
              </w:rPr>
              <w:t xml:space="preserve"> у випадку</w:t>
            </w:r>
            <w:r w:rsidR="00933338">
              <w:rPr>
                <w:sz w:val="22"/>
                <w:szCs w:val="22"/>
              </w:rPr>
              <w:t xml:space="preserve"> виникнення</w:t>
            </w:r>
            <w:r w:rsidRPr="00D80629">
              <w:rPr>
                <w:sz w:val="22"/>
                <w:szCs w:val="22"/>
              </w:rPr>
              <w:t xml:space="preserve"> позаштатних ситуацій</w:t>
            </w:r>
            <w:r w:rsidR="00A665D9" w:rsidRPr="00D80629">
              <w:rPr>
                <w:sz w:val="22"/>
                <w:szCs w:val="22"/>
              </w:rPr>
              <w:t>.</w:t>
            </w:r>
          </w:p>
        </w:tc>
      </w:tr>
      <w:tr w:rsidR="004D6C22" w:rsidRPr="00D80629">
        <w:trPr>
          <w:trHeight w:val="701"/>
        </w:trPr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Унесення змін до чинного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регуляторного акта</w:t>
            </w:r>
          </w:p>
        </w:tc>
        <w:tc>
          <w:tcPr>
            <w:tcW w:w="4395" w:type="dxa"/>
          </w:tcPr>
          <w:p w:rsidR="00A665D9" w:rsidRPr="00D80629" w:rsidRDefault="00C0078B" w:rsidP="007F2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Зміни забезпечать </w:t>
            </w:r>
            <w:r w:rsidR="00A665D9" w:rsidRPr="00D80629">
              <w:rPr>
                <w:sz w:val="22"/>
                <w:szCs w:val="22"/>
              </w:rPr>
              <w:t>належне функціонування процесу реєстрації обсягів купівлі та продажу електричної енергії за двосторонніми договорами та проведення торгів на РДН та на ВДР</w:t>
            </w:r>
            <w:r w:rsidR="00AC0F7B" w:rsidRPr="00D80629">
              <w:rPr>
                <w:sz w:val="22"/>
                <w:szCs w:val="22"/>
              </w:rPr>
              <w:t xml:space="preserve"> у випадку </w:t>
            </w:r>
            <w:r w:rsidR="00933338">
              <w:rPr>
                <w:sz w:val="22"/>
                <w:szCs w:val="22"/>
              </w:rPr>
              <w:t>виникнення</w:t>
            </w:r>
            <w:r w:rsidR="00933338" w:rsidRPr="00D80629">
              <w:rPr>
                <w:sz w:val="22"/>
                <w:szCs w:val="22"/>
              </w:rPr>
              <w:t xml:space="preserve"> </w:t>
            </w:r>
            <w:r w:rsidR="00AC0F7B" w:rsidRPr="00D80629">
              <w:rPr>
                <w:sz w:val="22"/>
                <w:szCs w:val="22"/>
              </w:rPr>
              <w:t>позаштатних ситуацій</w:t>
            </w:r>
            <w:r w:rsidR="00A665D9" w:rsidRPr="00D80629">
              <w:rPr>
                <w:sz w:val="22"/>
                <w:szCs w:val="22"/>
              </w:rPr>
              <w:t>.</w:t>
            </w:r>
          </w:p>
          <w:p w:rsidR="003F435B" w:rsidRPr="00D80629" w:rsidRDefault="003F435B" w:rsidP="007F2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D6C22" w:rsidRPr="00D80629">
        <w:trPr>
          <w:trHeight w:val="701"/>
        </w:trPr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Захід є надмірним</w:t>
            </w:r>
          </w:p>
        </w:tc>
      </w:tr>
    </w:tbl>
    <w:p w:rsidR="00071079" w:rsidRPr="00D80629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D80629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:rsidR="00071079" w:rsidRPr="00D80629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4D6C22" w:rsidRPr="00D80629">
        <w:tc>
          <w:tcPr>
            <w:tcW w:w="3686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Бал результативності (за чотирибальною системою оцінки)</w:t>
            </w:r>
          </w:p>
        </w:tc>
        <w:tc>
          <w:tcPr>
            <w:tcW w:w="340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D80629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4D6C22" w:rsidRPr="00D80629">
        <w:trPr>
          <w:trHeight w:val="854"/>
        </w:trPr>
        <w:tc>
          <w:tcPr>
            <w:tcW w:w="3686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1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Не забезпечує досягнення поставленої цілі. </w:t>
            </w:r>
          </w:p>
        </w:tc>
      </w:tr>
      <w:tr w:rsidR="004D6C22" w:rsidRPr="00D80629">
        <w:trPr>
          <w:trHeight w:val="1263"/>
        </w:trPr>
        <w:tc>
          <w:tcPr>
            <w:tcW w:w="3686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D80629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2410" w:type="dxa"/>
          </w:tcPr>
          <w:p w:rsidR="00071079" w:rsidRPr="00D80629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Дозволяє вирішити питання найбільш ефективним шляхом.</w:t>
            </w:r>
          </w:p>
        </w:tc>
      </w:tr>
      <w:tr w:rsidR="004D6C22" w:rsidRPr="00D80629">
        <w:trPr>
          <w:trHeight w:val="998"/>
        </w:trPr>
        <w:tc>
          <w:tcPr>
            <w:tcW w:w="3686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lastRenderedPageBreak/>
              <w:t xml:space="preserve">Альтернатива 3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Захід є надмірним.</w:t>
            </w:r>
          </w:p>
        </w:tc>
      </w:tr>
    </w:tbl>
    <w:p w:rsidR="00071079" w:rsidRPr="00D80629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4D6C22" w:rsidRPr="00D80629">
        <w:tc>
          <w:tcPr>
            <w:tcW w:w="1843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D80629">
        <w:trPr>
          <w:trHeight w:val="1859"/>
        </w:trPr>
        <w:tc>
          <w:tcPr>
            <w:tcW w:w="184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6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 не дозволяє вирішити поставлену задачу.</w:t>
            </w:r>
          </w:p>
        </w:tc>
      </w:tr>
      <w:tr w:rsidR="004D6C22" w:rsidRPr="00D80629">
        <w:trPr>
          <w:trHeight w:val="1930"/>
        </w:trPr>
        <w:tc>
          <w:tcPr>
            <w:tcW w:w="184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3686" w:type="dxa"/>
          </w:tcPr>
          <w:p w:rsidR="00A665D9" w:rsidRPr="00D80629" w:rsidRDefault="00C0078B" w:rsidP="00B5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Реалізація регуляторного акта дозволить </w:t>
            </w:r>
            <w:r w:rsidR="00A665D9" w:rsidRPr="00D80629">
              <w:rPr>
                <w:sz w:val="22"/>
                <w:szCs w:val="22"/>
              </w:rPr>
              <w:t>забезпечить можливість належного функціонування процесу реєстрації обсягів купівлі та продажу електричної енергії за двосторонніми договорами та проведення торгів на РДН та на ВДР</w:t>
            </w:r>
            <w:r w:rsidR="00933338">
              <w:rPr>
                <w:sz w:val="22"/>
                <w:szCs w:val="22"/>
              </w:rPr>
              <w:t xml:space="preserve"> </w:t>
            </w:r>
            <w:r w:rsidR="00933338" w:rsidRPr="00D80629">
              <w:rPr>
                <w:sz w:val="22"/>
                <w:szCs w:val="22"/>
              </w:rPr>
              <w:t>у випадку</w:t>
            </w:r>
            <w:r w:rsidR="00933338">
              <w:rPr>
                <w:sz w:val="22"/>
                <w:szCs w:val="22"/>
              </w:rPr>
              <w:t xml:space="preserve"> виникнення</w:t>
            </w:r>
            <w:r w:rsidR="00933338" w:rsidRPr="00D80629">
              <w:rPr>
                <w:sz w:val="22"/>
                <w:szCs w:val="22"/>
              </w:rPr>
              <w:t xml:space="preserve"> позаштатних ситуацій</w:t>
            </w:r>
            <w:r w:rsidR="00A665D9" w:rsidRPr="00D80629">
              <w:rPr>
                <w:sz w:val="22"/>
                <w:szCs w:val="22"/>
              </w:rPr>
              <w:t>.</w:t>
            </w:r>
          </w:p>
          <w:p w:rsidR="00DC1F97" w:rsidRPr="00D80629" w:rsidRDefault="00DC1F97" w:rsidP="00B5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 дозволить досягнути задекларованих цілей повною мірою.</w:t>
            </w:r>
          </w:p>
        </w:tc>
      </w:tr>
      <w:tr w:rsidR="004D6C22" w:rsidRPr="00D80629">
        <w:trPr>
          <w:trHeight w:val="2022"/>
        </w:trPr>
        <w:tc>
          <w:tcPr>
            <w:tcW w:w="1843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686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:rsidR="00071079" w:rsidRPr="00D80629" w:rsidRDefault="00A665D9" w:rsidP="00A66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3 не дозволяє вирішити поставлену задачу.</w:t>
            </w:r>
          </w:p>
        </w:tc>
      </w:tr>
    </w:tbl>
    <w:p w:rsidR="00B027BF" w:rsidRPr="00D80629" w:rsidRDefault="00B027BF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4D6C22" w:rsidRPr="00D80629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DC1F97" w:rsidRPr="00D80629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D6C22" w:rsidRPr="00D80629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</w:tc>
      </w:tr>
    </w:tbl>
    <w:p w:rsidR="008919C4" w:rsidRPr="00D80629" w:rsidRDefault="008919C4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8919C4" w:rsidRPr="00D80629" w:rsidRDefault="008919C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0"/>
        <w:textDirection w:val="lrTb"/>
        <w:textAlignment w:val="auto"/>
        <w:outlineLvl w:val="9"/>
        <w:rPr>
          <w:sz w:val="28"/>
          <w:szCs w:val="28"/>
        </w:rPr>
      </w:pPr>
      <w:r w:rsidRPr="00D80629">
        <w:rPr>
          <w:sz w:val="28"/>
          <w:szCs w:val="28"/>
        </w:rPr>
        <w:br w:type="page"/>
      </w:r>
    </w:p>
    <w:p w:rsidR="00071079" w:rsidRPr="00D80629" w:rsidRDefault="00071079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5B6024" w:rsidRPr="00D80629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val="ru-RU" w:eastAsia="en-US"/>
        </w:rPr>
      </w:pPr>
    </w:p>
    <w:p w:rsidR="009472C0" w:rsidRPr="00D80629" w:rsidRDefault="005B6024" w:rsidP="009472C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Розв’язання визначеної проблеми буде досягнуто шляхом прийняття регуляторного акта, що передбачає внесення змін до Правил ринку </w:t>
      </w:r>
      <w:r w:rsidR="00F567B0" w:rsidRPr="00D80629">
        <w:rPr>
          <w:sz w:val="28"/>
          <w:szCs w:val="28"/>
        </w:rPr>
        <w:t xml:space="preserve">у частині </w:t>
      </w:r>
      <w:r w:rsidR="00933338">
        <w:rPr>
          <w:sz w:val="28"/>
          <w:szCs w:val="28"/>
        </w:rPr>
        <w:t>забезпечення права</w:t>
      </w:r>
      <w:r w:rsidR="00933338" w:rsidRPr="00D80629">
        <w:rPr>
          <w:sz w:val="28"/>
          <w:szCs w:val="28"/>
        </w:rPr>
        <w:t xml:space="preserve"> </w:t>
      </w:r>
      <w:r w:rsidR="00F567B0" w:rsidRPr="00D80629">
        <w:rPr>
          <w:sz w:val="28"/>
          <w:szCs w:val="28"/>
        </w:rPr>
        <w:t>оператора системи передачі змінювати час закриття воріт для реєстрації обсягів купівлі та продажу електричної енергії за двосторонніми договорами,</w:t>
      </w:r>
      <w:r w:rsidR="00F567B0" w:rsidRPr="00D80629">
        <w:rPr>
          <w:rFonts w:eastAsiaTheme="minorHAnsi"/>
          <w:position w:val="0"/>
          <w:sz w:val="28"/>
          <w:szCs w:val="28"/>
          <w:lang w:eastAsia="en-US"/>
        </w:rPr>
        <w:t xml:space="preserve"> та Правил РДН/ВДР </w:t>
      </w:r>
      <w:r w:rsidR="00F567B0" w:rsidRPr="00D80629">
        <w:rPr>
          <w:sz w:val="28"/>
          <w:szCs w:val="28"/>
        </w:rPr>
        <w:t>у частині подовження</w:t>
      </w:r>
      <w:r w:rsidR="00594EAE" w:rsidRPr="00D80629">
        <w:rPr>
          <w:sz w:val="28"/>
          <w:szCs w:val="28"/>
        </w:rPr>
        <w:t xml:space="preserve"> оператором ринку</w:t>
      </w:r>
      <w:r w:rsidR="00F567B0" w:rsidRPr="00D80629">
        <w:rPr>
          <w:sz w:val="28"/>
          <w:szCs w:val="28"/>
        </w:rPr>
        <w:t xml:space="preserve"> часових меж, встановлених для перенесення часу «закриття воріт РДН» та відповідно початку торгів на ВДР</w:t>
      </w:r>
      <w:r w:rsidR="009472C0" w:rsidRPr="00D80629">
        <w:rPr>
          <w:sz w:val="28"/>
          <w:szCs w:val="28"/>
        </w:rPr>
        <w:t xml:space="preserve"> у випадку виникнення позаштатних ситуацій.</w:t>
      </w:r>
    </w:p>
    <w:p w:rsidR="005B6024" w:rsidRPr="00D80629" w:rsidRDefault="005B602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Впливу зовнішніх факторів, що можуть негативно позначитись на виконання вимог регуляторного акта, не очікується.</w:t>
      </w:r>
    </w:p>
    <w:p w:rsidR="005B6024" w:rsidRPr="00D80629" w:rsidRDefault="005B602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DF19B7" w:rsidRPr="00D80629" w:rsidRDefault="005B602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Функції в частині здійснення державного контролю та нагляду за додержанням вимог акта будуть здійснюватись державними органами, яким, відповідно до законодавства, надані такі повноваження.</w:t>
      </w:r>
    </w:p>
    <w:p w:rsidR="00CB3F33" w:rsidRPr="00D80629" w:rsidRDefault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D80629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071079" w:rsidRPr="00D80629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D80629" w:rsidRDefault="00C0078B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Строк дії акта необмежений. Він може бути змінений у разі внесення відповідних змін до законодавства або за пропозиціями сторін у порядку, передбаченому законодавством.</w:t>
      </w:r>
    </w:p>
    <w:p w:rsidR="008919C4" w:rsidRPr="00D80629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071079" w:rsidRPr="00D80629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2" w:name="_heading=h.30j0zll" w:colFirst="0" w:colLast="0"/>
      <w:bookmarkEnd w:id="2"/>
    </w:p>
    <w:p w:rsidR="00071079" w:rsidRPr="00D80629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Після набрання чинності регуляторним актом, його результативність визначатиметься такими показниками:</w:t>
      </w:r>
    </w:p>
    <w:p w:rsidR="00071079" w:rsidRPr="00D80629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дія акта не передбачає надходжень та/або видатків з/до державного та місцевих бюджетів і державних цільових фондів, пов’язаних з дією акта;</w:t>
      </w:r>
    </w:p>
    <w:p w:rsidR="00071079" w:rsidRPr="00D80629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кількість суб'єктів господарювання та/або фізичних осіб, на яких поширюватиметься дія акта, – суб’єкти господарювання, що провадять діяльність у сферах енергетики та комунальних послуг;</w:t>
      </w:r>
    </w:p>
    <w:p w:rsidR="00071079" w:rsidRPr="00D80629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рівень поінформованості суб'єктів господарювання та/або фізичних осіб з основних положень акта – середній. 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«Про затвердження Змін до постанов Національної комісії, що здійснює державне регулювання у сферах енергетики та комунальних послуг», що має ознаки регуляторного акта, разом з матеріалами, що обґрунтовують необхідність його прийняття, та аналізом впливу оприлюднено на офіційному вебсайті НКРЕКП в мережі Інтернет: </w:t>
      </w:r>
      <w:hyperlink r:id="rId7">
        <w:r w:rsidRPr="00D80629">
          <w:rPr>
            <w:rFonts w:eastAsiaTheme="minorHAnsi"/>
            <w:position w:val="0"/>
            <w:sz w:val="28"/>
            <w:szCs w:val="28"/>
            <w:lang w:eastAsia="en-US"/>
          </w:rPr>
          <w:t>http://nerc.gov.ua</w:t>
        </w:r>
      </w:hyperlink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 з метою одержання зауважень і пропозицій від інших органів державної влад</w:t>
      </w:r>
      <w:bookmarkStart w:id="3" w:name="_GoBack"/>
      <w:bookmarkEnd w:id="3"/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и, фізичних та юридичних осіб, їх об'єднань та інших заінтересованих осіб. НКРЕКП у межах компетенції надає необхідні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lastRenderedPageBreak/>
        <w:t xml:space="preserve">роз’яснення щодо норм регуляторного акта і надаватиме роз’яснення щодо застосування акта, який буде </w:t>
      </w:r>
      <w:r w:rsidR="007D47DE" w:rsidRPr="00D80629">
        <w:rPr>
          <w:rFonts w:eastAsiaTheme="minorHAnsi"/>
          <w:position w:val="0"/>
          <w:sz w:val="28"/>
          <w:szCs w:val="28"/>
          <w:lang w:eastAsia="en-US"/>
        </w:rPr>
        <w:t xml:space="preserve">оприлюднено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>на офіційному вебсайті НКРЕКП після його прийняття.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VІII. Очікувані результати прийняття регуляторного акта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7A31A4" w:rsidRPr="00D80629" w:rsidRDefault="00FD0924" w:rsidP="00B5530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D80629">
        <w:rPr>
          <w:sz w:val="28"/>
          <w:szCs w:val="28"/>
        </w:rPr>
        <w:t>Очікуваним результатом п</w:t>
      </w:r>
      <w:r w:rsidR="00C0078B" w:rsidRPr="00D80629">
        <w:rPr>
          <w:sz w:val="28"/>
          <w:szCs w:val="28"/>
        </w:rPr>
        <w:t xml:space="preserve">рийняття регуляторного акта </w:t>
      </w:r>
      <w:r w:rsidRPr="00D80629">
        <w:rPr>
          <w:sz w:val="28"/>
          <w:szCs w:val="28"/>
        </w:rPr>
        <w:t xml:space="preserve">є </w:t>
      </w:r>
      <w:r w:rsidR="00CB3F33" w:rsidRPr="00D80629">
        <w:rPr>
          <w:sz w:val="28"/>
          <w:szCs w:val="28"/>
        </w:rPr>
        <w:t>комплексн</w:t>
      </w:r>
      <w:r w:rsidRPr="00D80629">
        <w:rPr>
          <w:sz w:val="28"/>
          <w:szCs w:val="28"/>
        </w:rPr>
        <w:t>е</w:t>
      </w:r>
      <w:r w:rsidR="00CB3F33" w:rsidRPr="00D80629">
        <w:rPr>
          <w:sz w:val="28"/>
          <w:szCs w:val="28"/>
        </w:rPr>
        <w:t xml:space="preserve"> виріш</w:t>
      </w:r>
      <w:r w:rsidRPr="00D80629">
        <w:rPr>
          <w:sz w:val="28"/>
          <w:szCs w:val="28"/>
        </w:rPr>
        <w:t>ення</w:t>
      </w:r>
      <w:r w:rsidR="00CB3F33" w:rsidRPr="00D80629">
        <w:rPr>
          <w:sz w:val="28"/>
          <w:szCs w:val="28"/>
        </w:rPr>
        <w:t xml:space="preserve"> </w:t>
      </w:r>
      <w:r w:rsidR="00A665D9" w:rsidRPr="00D80629">
        <w:rPr>
          <w:sz w:val="28"/>
          <w:szCs w:val="28"/>
        </w:rPr>
        <w:t xml:space="preserve">проблем, які ускладнюють організацію та забезпечення </w:t>
      </w:r>
      <w:r w:rsidR="00594EAE" w:rsidRPr="00D80629">
        <w:rPr>
          <w:sz w:val="28"/>
          <w:szCs w:val="28"/>
        </w:rPr>
        <w:t xml:space="preserve">оператором системи передачі </w:t>
      </w:r>
      <w:r w:rsidR="00A665D9" w:rsidRPr="00D80629">
        <w:rPr>
          <w:sz w:val="28"/>
          <w:szCs w:val="28"/>
        </w:rPr>
        <w:t xml:space="preserve">реєстрації обсягів купівлі та продажу електричної енергії за двосторонніми договорами та проведення </w:t>
      </w:r>
      <w:r w:rsidR="00594EAE" w:rsidRPr="00D80629">
        <w:rPr>
          <w:sz w:val="28"/>
          <w:szCs w:val="28"/>
        </w:rPr>
        <w:t xml:space="preserve">оператором ринку </w:t>
      </w:r>
      <w:r w:rsidR="00A665D9" w:rsidRPr="00D80629">
        <w:rPr>
          <w:sz w:val="28"/>
          <w:szCs w:val="28"/>
        </w:rPr>
        <w:t>торгів на РДН та на ВДР</w:t>
      </w:r>
      <w:r w:rsidR="009472C0" w:rsidRPr="00D80629">
        <w:rPr>
          <w:sz w:val="28"/>
          <w:szCs w:val="28"/>
        </w:rPr>
        <w:t xml:space="preserve"> у випадку виникнення позаштатних ситуацій.</w:t>
      </w:r>
    </w:p>
    <w:p w:rsidR="004D6C22" w:rsidRPr="00D80629" w:rsidRDefault="004D6C2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4D6C22" w:rsidRPr="00D80629" w:rsidRDefault="004D6C2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4D6C22" w:rsidRDefault="00C0078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both"/>
        <w:rPr>
          <w:rFonts w:ascii="Arial" w:eastAsia="Arial" w:hAnsi="Arial" w:cs="Arial"/>
          <w:i/>
          <w:sz w:val="28"/>
          <w:szCs w:val="28"/>
        </w:rPr>
      </w:pPr>
      <w:r w:rsidRPr="00D80629">
        <w:rPr>
          <w:sz w:val="28"/>
          <w:szCs w:val="28"/>
        </w:rPr>
        <w:t xml:space="preserve">Голова НКРЕКП </w:t>
      </w:r>
      <w:r w:rsidRPr="00D80629">
        <w:rPr>
          <w:sz w:val="28"/>
          <w:szCs w:val="28"/>
        </w:rPr>
        <w:tab/>
        <w:t>К</w:t>
      </w:r>
      <w:r w:rsidR="004D6C22" w:rsidRPr="00D80629">
        <w:rPr>
          <w:sz w:val="28"/>
          <w:szCs w:val="28"/>
        </w:rPr>
        <w:t>. </w:t>
      </w:r>
      <w:r w:rsidR="00C64D8B" w:rsidRPr="00D80629">
        <w:rPr>
          <w:sz w:val="28"/>
          <w:szCs w:val="28"/>
        </w:rPr>
        <w:t>У</w:t>
      </w:r>
      <w:r w:rsidR="004D6C22" w:rsidRPr="00D80629">
        <w:rPr>
          <w:sz w:val="28"/>
          <w:szCs w:val="28"/>
        </w:rPr>
        <w:t>щаповський</w:t>
      </w:r>
    </w:p>
    <w:sectPr w:rsidR="00071079" w:rsidRPr="004D6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426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FC3" w:rsidRDefault="003A1FC3">
      <w:pPr>
        <w:spacing w:line="240" w:lineRule="auto"/>
        <w:ind w:left="0" w:hanging="2"/>
      </w:pPr>
      <w:r>
        <w:separator/>
      </w:r>
    </w:p>
  </w:endnote>
  <w:endnote w:type="continuationSeparator" w:id="0">
    <w:p w:rsidR="003A1FC3" w:rsidRDefault="003A1FC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FC3" w:rsidRDefault="003A1FC3">
      <w:pPr>
        <w:spacing w:line="240" w:lineRule="auto"/>
        <w:ind w:left="0" w:hanging="2"/>
      </w:pPr>
      <w:r>
        <w:separator/>
      </w:r>
    </w:p>
  </w:footnote>
  <w:footnote w:type="continuationSeparator" w:id="0">
    <w:p w:rsidR="003A1FC3" w:rsidRDefault="003A1FC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079" w:rsidRPr="00EC626B" w:rsidRDefault="00071079" w:rsidP="00EC626B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79"/>
    <w:rsid w:val="00010280"/>
    <w:rsid w:val="00066D44"/>
    <w:rsid w:val="00071079"/>
    <w:rsid w:val="00146743"/>
    <w:rsid w:val="00146E12"/>
    <w:rsid w:val="00161139"/>
    <w:rsid w:val="0018007D"/>
    <w:rsid w:val="001A1FB0"/>
    <w:rsid w:val="001F2A92"/>
    <w:rsid w:val="00220E37"/>
    <w:rsid w:val="00251931"/>
    <w:rsid w:val="002937EA"/>
    <w:rsid w:val="002944F7"/>
    <w:rsid w:val="002A7B61"/>
    <w:rsid w:val="002C1F90"/>
    <w:rsid w:val="003258D2"/>
    <w:rsid w:val="00346CC2"/>
    <w:rsid w:val="00354800"/>
    <w:rsid w:val="0035616B"/>
    <w:rsid w:val="00360BB7"/>
    <w:rsid w:val="00391C8A"/>
    <w:rsid w:val="003A1FC3"/>
    <w:rsid w:val="003F435B"/>
    <w:rsid w:val="003F7AFE"/>
    <w:rsid w:val="00427719"/>
    <w:rsid w:val="00427B79"/>
    <w:rsid w:val="0046681D"/>
    <w:rsid w:val="00483377"/>
    <w:rsid w:val="004915AD"/>
    <w:rsid w:val="004B1D9C"/>
    <w:rsid w:val="004C2146"/>
    <w:rsid w:val="004D670E"/>
    <w:rsid w:val="004D6C22"/>
    <w:rsid w:val="005100F5"/>
    <w:rsid w:val="005148FC"/>
    <w:rsid w:val="00515399"/>
    <w:rsid w:val="00565386"/>
    <w:rsid w:val="00585AEF"/>
    <w:rsid w:val="00594EAE"/>
    <w:rsid w:val="005A6128"/>
    <w:rsid w:val="005B6024"/>
    <w:rsid w:val="005C4B95"/>
    <w:rsid w:val="006015E9"/>
    <w:rsid w:val="00602C68"/>
    <w:rsid w:val="006B3412"/>
    <w:rsid w:val="006D7CA4"/>
    <w:rsid w:val="00710B5D"/>
    <w:rsid w:val="00730590"/>
    <w:rsid w:val="007458FF"/>
    <w:rsid w:val="007615E6"/>
    <w:rsid w:val="00775799"/>
    <w:rsid w:val="007A292B"/>
    <w:rsid w:val="007A31A4"/>
    <w:rsid w:val="007A3DC9"/>
    <w:rsid w:val="007C5A60"/>
    <w:rsid w:val="007D3B5F"/>
    <w:rsid w:val="007D47DE"/>
    <w:rsid w:val="007F2851"/>
    <w:rsid w:val="00815056"/>
    <w:rsid w:val="00817FFD"/>
    <w:rsid w:val="00873446"/>
    <w:rsid w:val="008919C4"/>
    <w:rsid w:val="009021EA"/>
    <w:rsid w:val="00905A1E"/>
    <w:rsid w:val="0092321F"/>
    <w:rsid w:val="00930437"/>
    <w:rsid w:val="00933338"/>
    <w:rsid w:val="00943944"/>
    <w:rsid w:val="009472C0"/>
    <w:rsid w:val="009754B3"/>
    <w:rsid w:val="009B6A10"/>
    <w:rsid w:val="009B6AFA"/>
    <w:rsid w:val="00A10463"/>
    <w:rsid w:val="00A46C14"/>
    <w:rsid w:val="00A57A1B"/>
    <w:rsid w:val="00A665D9"/>
    <w:rsid w:val="00AB1458"/>
    <w:rsid w:val="00AC0F7B"/>
    <w:rsid w:val="00AC5660"/>
    <w:rsid w:val="00B027BF"/>
    <w:rsid w:val="00B0792C"/>
    <w:rsid w:val="00B1100C"/>
    <w:rsid w:val="00B42C88"/>
    <w:rsid w:val="00B55302"/>
    <w:rsid w:val="00B75601"/>
    <w:rsid w:val="00B83ADC"/>
    <w:rsid w:val="00B86672"/>
    <w:rsid w:val="00B93F7F"/>
    <w:rsid w:val="00BD0B38"/>
    <w:rsid w:val="00C0078B"/>
    <w:rsid w:val="00C12F50"/>
    <w:rsid w:val="00C601FF"/>
    <w:rsid w:val="00C64D8B"/>
    <w:rsid w:val="00C91934"/>
    <w:rsid w:val="00C95826"/>
    <w:rsid w:val="00CA1163"/>
    <w:rsid w:val="00CB3F33"/>
    <w:rsid w:val="00CC538F"/>
    <w:rsid w:val="00CF1F1B"/>
    <w:rsid w:val="00CF2970"/>
    <w:rsid w:val="00CF758B"/>
    <w:rsid w:val="00D355F4"/>
    <w:rsid w:val="00D44C89"/>
    <w:rsid w:val="00D47212"/>
    <w:rsid w:val="00D765B0"/>
    <w:rsid w:val="00D80629"/>
    <w:rsid w:val="00D87A9B"/>
    <w:rsid w:val="00D91A43"/>
    <w:rsid w:val="00D94801"/>
    <w:rsid w:val="00DC1F97"/>
    <w:rsid w:val="00DC28B7"/>
    <w:rsid w:val="00DD0B19"/>
    <w:rsid w:val="00DF19B7"/>
    <w:rsid w:val="00DF43A7"/>
    <w:rsid w:val="00E239A8"/>
    <w:rsid w:val="00E2792D"/>
    <w:rsid w:val="00E374CE"/>
    <w:rsid w:val="00E53E75"/>
    <w:rsid w:val="00E73E21"/>
    <w:rsid w:val="00E86D86"/>
    <w:rsid w:val="00EC3627"/>
    <w:rsid w:val="00EC626B"/>
    <w:rsid w:val="00ED2DF1"/>
    <w:rsid w:val="00EE22B3"/>
    <w:rsid w:val="00EE5760"/>
    <w:rsid w:val="00F567B0"/>
    <w:rsid w:val="00F6417D"/>
    <w:rsid w:val="00F908BA"/>
    <w:rsid w:val="00FD0924"/>
    <w:rsid w:val="00FD6A13"/>
    <w:rsid w:val="00FE297D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472C0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erc.gov.u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6769</Words>
  <Characters>3859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2023-01-17T15:26:00Z</dcterms:created>
  <dcterms:modified xsi:type="dcterms:W3CDTF">2023-01-17T15:26:00Z</dcterms:modified>
</cp:coreProperties>
</file>