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0C8" w:rsidRDefault="005A40C8" w:rsidP="003B79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9AF" w:rsidRPr="003B79AF" w:rsidRDefault="003B79AF" w:rsidP="005A40C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9AF">
        <w:rPr>
          <w:rFonts w:ascii="Times New Roman" w:hAnsi="Times New Roman" w:cs="Times New Roman"/>
          <w:b/>
          <w:sz w:val="28"/>
          <w:szCs w:val="28"/>
        </w:rPr>
        <w:t xml:space="preserve">ПОРІВНЯЛЬНА ТАБЛИЦЯ </w:t>
      </w:r>
    </w:p>
    <w:p w:rsidR="003B79AF" w:rsidRDefault="003B79AF" w:rsidP="005A40C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9AF">
        <w:rPr>
          <w:rFonts w:ascii="Times New Roman" w:hAnsi="Times New Roman" w:cs="Times New Roman"/>
          <w:b/>
          <w:sz w:val="28"/>
          <w:szCs w:val="28"/>
        </w:rPr>
        <w:t xml:space="preserve">до проєкту постанови НКРЕКП «Про </w:t>
      </w:r>
      <w:r w:rsidR="00EF4334">
        <w:rPr>
          <w:rFonts w:ascii="Times New Roman" w:hAnsi="Times New Roman" w:cs="Times New Roman"/>
          <w:b/>
          <w:sz w:val="28"/>
          <w:szCs w:val="28"/>
        </w:rPr>
        <w:t>внесення з</w:t>
      </w:r>
      <w:r w:rsidRPr="003B79AF">
        <w:rPr>
          <w:rFonts w:ascii="Times New Roman" w:hAnsi="Times New Roman" w:cs="Times New Roman"/>
          <w:b/>
          <w:sz w:val="28"/>
          <w:szCs w:val="28"/>
        </w:rPr>
        <w:t>мін до Порядку розроблення, затвердження, погодження, схвалення та виконання інвестиційних програм суб’єктів господарювання у сфері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послуг», що має ознаки регуляторного акта</w:t>
      </w:r>
    </w:p>
    <w:p w:rsidR="003B79AF" w:rsidRDefault="003B79AF" w:rsidP="003B79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40C8" w:rsidRPr="003B79AF" w:rsidRDefault="005A40C8" w:rsidP="003B79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15"/>
        <w:gridCol w:w="7428"/>
      </w:tblGrid>
      <w:tr w:rsidR="00755E8A" w:rsidRPr="00755E8A" w:rsidTr="005A40C8">
        <w:trPr>
          <w:trHeight w:val="417"/>
        </w:trPr>
        <w:tc>
          <w:tcPr>
            <w:tcW w:w="7563" w:type="dxa"/>
          </w:tcPr>
          <w:p w:rsidR="00276278" w:rsidRPr="00C2083D" w:rsidRDefault="003B79AF" w:rsidP="00A33483">
            <w:pPr>
              <w:ind w:firstLine="5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83D">
              <w:rPr>
                <w:rFonts w:ascii="Times New Roman" w:hAnsi="Times New Roman" w:cs="Times New Roman"/>
                <w:b/>
                <w:sz w:val="26"/>
                <w:szCs w:val="26"/>
              </w:rPr>
              <w:t>Чинна редакція</w:t>
            </w:r>
          </w:p>
        </w:tc>
        <w:tc>
          <w:tcPr>
            <w:tcW w:w="7563" w:type="dxa"/>
          </w:tcPr>
          <w:p w:rsidR="00276278" w:rsidRPr="00C2083D" w:rsidRDefault="003B79AF" w:rsidP="003B79AF">
            <w:pPr>
              <w:ind w:firstLine="5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83D">
              <w:rPr>
                <w:rFonts w:ascii="Times New Roman" w:hAnsi="Times New Roman" w:cs="Times New Roman"/>
                <w:b/>
                <w:sz w:val="26"/>
                <w:szCs w:val="26"/>
              </w:rPr>
              <w:t>Редакція зі змінами</w:t>
            </w:r>
          </w:p>
        </w:tc>
      </w:tr>
      <w:tr w:rsidR="00711E3E" w:rsidRPr="00755E8A" w:rsidTr="005A40C8">
        <w:trPr>
          <w:trHeight w:val="409"/>
        </w:trPr>
        <w:tc>
          <w:tcPr>
            <w:tcW w:w="7563" w:type="dxa"/>
          </w:tcPr>
          <w:p w:rsidR="00711E3E" w:rsidRPr="00012EA3" w:rsidRDefault="00C2083D" w:rsidP="00C2083D">
            <w:pPr>
              <w:ind w:firstLine="56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2EA3">
              <w:rPr>
                <w:rFonts w:ascii="Times New Roman" w:hAnsi="Times New Roman" w:cs="Times New Roman"/>
                <w:b/>
                <w:sz w:val="26"/>
                <w:szCs w:val="26"/>
              </w:rPr>
              <w:t>1. Загальні положення</w:t>
            </w:r>
          </w:p>
        </w:tc>
        <w:tc>
          <w:tcPr>
            <w:tcW w:w="7563" w:type="dxa"/>
          </w:tcPr>
          <w:p w:rsidR="00711E3E" w:rsidRPr="00C2083D" w:rsidRDefault="00C2083D" w:rsidP="00C2083D">
            <w:pPr>
              <w:ind w:firstLine="56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083D">
              <w:rPr>
                <w:rFonts w:ascii="Times New Roman" w:hAnsi="Times New Roman" w:cs="Times New Roman"/>
                <w:b/>
                <w:sz w:val="26"/>
                <w:szCs w:val="26"/>
              </w:rPr>
              <w:t>1. Загальні положення</w:t>
            </w:r>
          </w:p>
        </w:tc>
      </w:tr>
      <w:tr w:rsidR="00711E3E" w:rsidRPr="00755E8A" w:rsidTr="005A40C8">
        <w:trPr>
          <w:trHeight w:val="5249"/>
        </w:trPr>
        <w:tc>
          <w:tcPr>
            <w:tcW w:w="7563" w:type="dxa"/>
            <w:shd w:val="clear" w:color="auto" w:fill="auto"/>
          </w:tcPr>
          <w:p w:rsidR="00C2083D" w:rsidRPr="0069246D" w:rsidRDefault="00C2083D" w:rsidP="00885D44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69246D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1.3. У цьому Порядку терміни вживаються в таких значеннях:</w:t>
            </w:r>
          </w:p>
          <w:p w:rsidR="00885D44" w:rsidRPr="0069246D" w:rsidRDefault="00885D44" w:rsidP="00885D44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69246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…</w:t>
            </w:r>
          </w:p>
          <w:p w:rsidR="00885D44" w:rsidRDefault="00166946" w:rsidP="0069246D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69246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Інші терміни в цьому Порядку вживаються у значеннях, наведених у законах України «Про Національну комісію, що здійснює державне регулювання у сферах енергетики та комунальних послуг», «Про теплопостачання» та інших нормативно-правових актах у сфері теплопостачання.</w:t>
            </w:r>
          </w:p>
          <w:p w:rsidR="0069246D" w:rsidRDefault="0069246D" w:rsidP="0069246D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  <w:p w:rsidR="0069246D" w:rsidRDefault="0069246D" w:rsidP="0069246D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…</w:t>
            </w:r>
          </w:p>
          <w:p w:rsidR="0069246D" w:rsidRDefault="00581956" w:rsidP="0069246D">
            <w:pPr>
              <w:ind w:firstLine="708"/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п</w:t>
            </w:r>
            <w:r w:rsidR="0069246D" w:rsidRPr="0069246D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ункт відсутній</w:t>
            </w:r>
          </w:p>
          <w:p w:rsidR="0069246D" w:rsidRDefault="0069246D" w:rsidP="0069246D">
            <w:pPr>
              <w:ind w:firstLine="708"/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</w:p>
          <w:p w:rsidR="0069246D" w:rsidRDefault="0069246D" w:rsidP="0069246D">
            <w:pPr>
              <w:ind w:firstLine="708"/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</w:p>
          <w:p w:rsidR="0069246D" w:rsidRDefault="0069246D" w:rsidP="0069246D">
            <w:pPr>
              <w:ind w:firstLine="708"/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</w:p>
          <w:p w:rsidR="0069246D" w:rsidRDefault="0069246D" w:rsidP="0069246D">
            <w:pPr>
              <w:ind w:firstLine="708"/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</w:p>
          <w:p w:rsidR="0069246D" w:rsidRPr="0069246D" w:rsidRDefault="0069246D" w:rsidP="0069246D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69246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…</w:t>
            </w:r>
          </w:p>
        </w:tc>
        <w:tc>
          <w:tcPr>
            <w:tcW w:w="7563" w:type="dxa"/>
          </w:tcPr>
          <w:p w:rsidR="00C2083D" w:rsidRDefault="00C2083D" w:rsidP="00711E3E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C2083D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1.3. У цьому Порядку терміни вживаються в таких значеннях:</w:t>
            </w:r>
          </w:p>
          <w:p w:rsidR="0069246D" w:rsidRDefault="0069246D" w:rsidP="00711E3E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…</w:t>
            </w:r>
          </w:p>
          <w:p w:rsidR="00885D44" w:rsidRDefault="00166946" w:rsidP="0069246D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2083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Інші терміни в цьому Порядку вживаються у значеннях, наведених у законах України «Про Національну комісію, що здійснює державне регулювання у сферах енергетики та комунальних послуг», «Про теплопостачання»</w:t>
            </w:r>
            <w:r w:rsidRPr="00757DD7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,</w:t>
            </w:r>
            <w:r w:rsidRPr="00C2083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r w:rsidRPr="00C2083D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«Про енергетичну ефективність»</w:t>
            </w:r>
            <w:r w:rsidRPr="00C2083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та інших нормативно-правових актах у сфері теплопостачання.</w:t>
            </w:r>
          </w:p>
          <w:p w:rsidR="0069246D" w:rsidRDefault="0069246D" w:rsidP="0069246D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…</w:t>
            </w:r>
          </w:p>
          <w:p w:rsidR="0069246D" w:rsidRPr="00081034" w:rsidRDefault="0069246D" w:rsidP="0069246D">
            <w:pPr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  <w:r w:rsidRPr="0065346C">
              <w:rPr>
                <w:rFonts w:ascii="Times New Roman" w:hAnsi="Times New Roman" w:cs="Times New Roman"/>
                <w:b/>
                <w:sz w:val="26"/>
                <w:szCs w:val="26"/>
              </w:rPr>
              <w:t>1.6</w:t>
            </w:r>
            <w:r w:rsidRPr="0069246D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Pr="0065346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081034" w:rsidRPr="00081034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Пріоритет для включення до інвестиційних програм/планів розвитку надається заходам, результатом реалізації яких є підвищення енергетичної ефективності, виходячи з технічної можливості та економічної доцільності їх запровадження.</w:t>
            </w:r>
          </w:p>
          <w:p w:rsidR="0069246D" w:rsidRPr="0069246D" w:rsidRDefault="0069246D" w:rsidP="0069246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246D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69246D" w:rsidRPr="0069246D" w:rsidRDefault="0069246D" w:rsidP="0069246D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</w:tc>
      </w:tr>
      <w:tr w:rsidR="00711E3E" w:rsidRPr="00755E8A" w:rsidTr="005A40C8">
        <w:trPr>
          <w:trHeight w:val="415"/>
        </w:trPr>
        <w:tc>
          <w:tcPr>
            <w:tcW w:w="7563" w:type="dxa"/>
          </w:tcPr>
          <w:p w:rsidR="00711E3E" w:rsidRPr="00C2083D" w:rsidRDefault="00711E3E" w:rsidP="00711E3E">
            <w:pPr>
              <w:ind w:firstLine="596"/>
              <w:jc w:val="both"/>
              <w:rPr>
                <w:sz w:val="26"/>
                <w:szCs w:val="26"/>
              </w:rPr>
            </w:pPr>
            <w:r w:rsidRPr="00C208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lastRenderedPageBreak/>
              <w:t>2. Розроблення інвестиційної програми</w:t>
            </w:r>
          </w:p>
        </w:tc>
        <w:tc>
          <w:tcPr>
            <w:tcW w:w="7563" w:type="dxa"/>
          </w:tcPr>
          <w:p w:rsidR="00711E3E" w:rsidRPr="00C2083D" w:rsidRDefault="00711E3E" w:rsidP="00711E3E">
            <w:pPr>
              <w:ind w:firstLine="404"/>
              <w:jc w:val="both"/>
              <w:rPr>
                <w:sz w:val="26"/>
                <w:szCs w:val="26"/>
              </w:rPr>
            </w:pPr>
            <w:r w:rsidRPr="00C208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2. Розроблення інвестиційної програми</w:t>
            </w:r>
          </w:p>
        </w:tc>
      </w:tr>
      <w:tr w:rsidR="00711E3E" w:rsidRPr="00755E8A" w:rsidTr="001C5876">
        <w:trPr>
          <w:trHeight w:val="2688"/>
        </w:trPr>
        <w:tc>
          <w:tcPr>
            <w:tcW w:w="7563" w:type="dxa"/>
          </w:tcPr>
          <w:p w:rsidR="00757DD7" w:rsidRPr="00480C5D" w:rsidRDefault="00757DD7" w:rsidP="00757DD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  <w:r w:rsidRPr="00480C5D">
              <w:rPr>
                <w:color w:val="000000" w:themeColor="text1"/>
                <w:sz w:val="26"/>
                <w:szCs w:val="26"/>
              </w:rPr>
              <w:t>2.2. Інвестиційна програма на планований період формується відповідно до вимог цього Порядку із зазначенням обсягів та джерел фінансування заходів (без урахування податку на додану вартість (далі - ПДВ)) і має містити:</w:t>
            </w:r>
          </w:p>
          <w:p w:rsidR="00302FF7" w:rsidRPr="00302FF7" w:rsidRDefault="00302FF7" w:rsidP="001C587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…</w:t>
            </w:r>
          </w:p>
          <w:p w:rsidR="00703723" w:rsidRPr="00C2083D" w:rsidRDefault="00FE0EFB" w:rsidP="001C587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  <w:r w:rsidRPr="00C2083D">
              <w:rPr>
                <w:color w:val="000000" w:themeColor="text1"/>
                <w:sz w:val="26"/>
                <w:szCs w:val="26"/>
              </w:rPr>
              <w:t>9</w:t>
            </w:r>
            <w:r w:rsidR="00703723" w:rsidRPr="00C2083D">
              <w:rPr>
                <w:color w:val="000000" w:themeColor="text1"/>
                <w:sz w:val="26"/>
                <w:szCs w:val="26"/>
              </w:rPr>
              <w:t>) зобов’язання ліцензіата щодо досягнення очікуваних результатів реалізації інвестиційної програми, зокрема щодо:</w:t>
            </w:r>
          </w:p>
          <w:p w:rsidR="00703723" w:rsidRPr="00C2083D" w:rsidRDefault="00703723" w:rsidP="001C587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  <w:bookmarkStart w:id="0" w:name="n194"/>
            <w:bookmarkEnd w:id="0"/>
            <w:r w:rsidRPr="00C2083D">
              <w:rPr>
                <w:color w:val="000000" w:themeColor="text1"/>
                <w:sz w:val="26"/>
                <w:szCs w:val="26"/>
              </w:rPr>
              <w:t xml:space="preserve">зниження питомих витрат, а також втрат </w:t>
            </w:r>
            <w:r w:rsidRPr="00BD3737">
              <w:rPr>
                <w:color w:val="000000" w:themeColor="text1"/>
                <w:sz w:val="26"/>
                <w:szCs w:val="26"/>
              </w:rPr>
              <w:t>ресурсів</w:t>
            </w:r>
            <w:r w:rsidRPr="00C2083D">
              <w:rPr>
                <w:color w:val="000000" w:themeColor="text1"/>
                <w:sz w:val="26"/>
                <w:szCs w:val="26"/>
              </w:rPr>
              <w:t>;</w:t>
            </w:r>
          </w:p>
          <w:p w:rsidR="00703723" w:rsidRDefault="00703723" w:rsidP="001C587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  <w:bookmarkStart w:id="1" w:name="n195"/>
            <w:bookmarkEnd w:id="1"/>
            <w:r w:rsidRPr="00C2083D">
              <w:rPr>
                <w:color w:val="000000" w:themeColor="text1"/>
                <w:sz w:val="26"/>
                <w:szCs w:val="26"/>
              </w:rPr>
              <w:t>забезпечення технологічного обліку ресурсів;</w:t>
            </w:r>
          </w:p>
          <w:p w:rsidR="00480C5D" w:rsidRPr="00480C5D" w:rsidRDefault="00480C5D" w:rsidP="00480C5D">
            <w:pPr>
              <w:ind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  <w:r w:rsidRPr="00480C5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  <w:t>забезпечення комерційного обліку теплової енергії;</w:t>
            </w:r>
          </w:p>
          <w:p w:rsidR="00703723" w:rsidRPr="00C2083D" w:rsidRDefault="00703723" w:rsidP="001C587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  <w:bookmarkStart w:id="2" w:name="n196"/>
            <w:bookmarkEnd w:id="2"/>
            <w:r w:rsidRPr="00C2083D">
              <w:rPr>
                <w:color w:val="000000" w:themeColor="text1"/>
                <w:sz w:val="26"/>
                <w:szCs w:val="26"/>
              </w:rPr>
              <w:t>підвищення якості, надійності та безпеки виробництва, транспортування, постачання теплової енергії;</w:t>
            </w:r>
          </w:p>
          <w:p w:rsidR="00703723" w:rsidRPr="00C2083D" w:rsidRDefault="00703723" w:rsidP="001C587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  <w:bookmarkStart w:id="3" w:name="n197"/>
            <w:bookmarkEnd w:id="3"/>
            <w:r w:rsidRPr="00C2083D">
              <w:rPr>
                <w:color w:val="000000" w:themeColor="text1"/>
                <w:sz w:val="26"/>
                <w:szCs w:val="26"/>
              </w:rPr>
              <w:t>підвищення екологічної безпеки та охорони навколишнього середовища;</w:t>
            </w:r>
          </w:p>
          <w:p w:rsidR="00220454" w:rsidRDefault="00E97343" w:rsidP="00220454">
            <w:pPr>
              <w:ind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  <w:r w:rsidRPr="00C2083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  <w:t xml:space="preserve">… </w:t>
            </w:r>
          </w:p>
          <w:p w:rsidR="00220454" w:rsidRPr="00702332" w:rsidRDefault="00220454" w:rsidP="00220454">
            <w:pPr>
              <w:ind w:firstLine="454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uk-UA"/>
              </w:rPr>
            </w:pPr>
            <w:r w:rsidRPr="0070233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uk-UA"/>
              </w:rPr>
              <w:t>пункт відсутній</w:t>
            </w:r>
          </w:p>
          <w:p w:rsidR="00E97343" w:rsidRPr="00C2083D" w:rsidRDefault="00E97343" w:rsidP="001C5876">
            <w:pPr>
              <w:ind w:firstLine="59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</w:p>
        </w:tc>
        <w:tc>
          <w:tcPr>
            <w:tcW w:w="7563" w:type="dxa"/>
          </w:tcPr>
          <w:p w:rsidR="00757DD7" w:rsidRPr="00757DD7" w:rsidRDefault="00757DD7" w:rsidP="001C587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6"/>
                <w:szCs w:val="26"/>
              </w:rPr>
            </w:pPr>
            <w:r w:rsidRPr="00757DD7">
              <w:rPr>
                <w:sz w:val="26"/>
                <w:szCs w:val="26"/>
                <w:shd w:val="clear" w:color="auto" w:fill="FFFFFF"/>
              </w:rPr>
              <w:t>2.2. Інвестиційна програма на планований період формується відповідно до вимог цього Порядку із зазначенням обсягів та джерел фінансування заходів (без урахування податку на додану вартість (далі - ПДВ)) і має містити:</w:t>
            </w:r>
          </w:p>
          <w:p w:rsidR="00302FF7" w:rsidRDefault="00302FF7" w:rsidP="001C587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…</w:t>
            </w:r>
          </w:p>
          <w:p w:rsidR="00FE0EFB" w:rsidRPr="00C2083D" w:rsidRDefault="00FE0EFB" w:rsidP="001C587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  <w:r w:rsidRPr="00C2083D">
              <w:rPr>
                <w:color w:val="000000" w:themeColor="text1"/>
                <w:sz w:val="26"/>
                <w:szCs w:val="26"/>
              </w:rPr>
              <w:t>9) зобов’язання ліцензіата щодо досягнення очікуваних результатів реалізації інвестиційної програми, зокрема щодо:</w:t>
            </w:r>
          </w:p>
          <w:p w:rsidR="00FE0EFB" w:rsidRPr="00C2083D" w:rsidRDefault="00FE0EFB" w:rsidP="001C587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  <w:r w:rsidRPr="00C2083D">
              <w:rPr>
                <w:color w:val="000000" w:themeColor="text1"/>
                <w:sz w:val="26"/>
                <w:szCs w:val="26"/>
              </w:rPr>
              <w:t xml:space="preserve">зниження питомих витрат, а також втрат </w:t>
            </w:r>
            <w:r w:rsidR="007155FC" w:rsidRPr="00C2083D">
              <w:rPr>
                <w:b/>
                <w:color w:val="000000" w:themeColor="text1"/>
                <w:sz w:val="26"/>
                <w:szCs w:val="26"/>
              </w:rPr>
              <w:t>енергії</w:t>
            </w:r>
            <w:r w:rsidRPr="00B33D02">
              <w:rPr>
                <w:color w:val="000000" w:themeColor="text1"/>
                <w:sz w:val="26"/>
                <w:szCs w:val="26"/>
              </w:rPr>
              <w:t>;</w:t>
            </w:r>
          </w:p>
          <w:p w:rsidR="00FE0EFB" w:rsidRDefault="00FE0EFB" w:rsidP="001C587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  <w:r w:rsidRPr="00C2083D">
              <w:rPr>
                <w:color w:val="000000" w:themeColor="text1"/>
                <w:sz w:val="26"/>
                <w:szCs w:val="26"/>
              </w:rPr>
              <w:t>забезпечення технологічного обліку ресурсів;</w:t>
            </w:r>
          </w:p>
          <w:p w:rsidR="00480C5D" w:rsidRPr="00480C5D" w:rsidRDefault="00480C5D" w:rsidP="00480C5D">
            <w:pPr>
              <w:ind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  <w:r w:rsidRPr="00480C5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  <w:t>забезпечення комерційного обліку теплової енергії;</w:t>
            </w:r>
          </w:p>
          <w:p w:rsidR="00FE0EFB" w:rsidRPr="00C2083D" w:rsidRDefault="00FE0EFB" w:rsidP="001C587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  <w:r w:rsidRPr="00C2083D">
              <w:rPr>
                <w:color w:val="000000" w:themeColor="text1"/>
                <w:sz w:val="26"/>
                <w:szCs w:val="26"/>
              </w:rPr>
              <w:t>підвищення якості, надійності та безпеки виробництва, транспортування, постачання теплової енергії;</w:t>
            </w:r>
          </w:p>
          <w:p w:rsidR="00FE0EFB" w:rsidRPr="00C2083D" w:rsidRDefault="00FE0EFB" w:rsidP="001C587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  <w:r w:rsidRPr="00C2083D">
              <w:rPr>
                <w:color w:val="000000" w:themeColor="text1"/>
                <w:sz w:val="26"/>
                <w:szCs w:val="26"/>
              </w:rPr>
              <w:t>підвищення екологічної безпеки та охорони навколишнього середовища;</w:t>
            </w:r>
          </w:p>
          <w:p w:rsidR="00220454" w:rsidRDefault="00E97343" w:rsidP="001C5876">
            <w:pPr>
              <w:ind w:firstLine="59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  <w:r w:rsidRPr="00C2083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  <w:t xml:space="preserve">… </w:t>
            </w:r>
          </w:p>
          <w:p w:rsidR="00E97343" w:rsidRDefault="00220454" w:rsidP="0028485B">
            <w:pPr>
              <w:ind w:firstLine="402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246D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uk-UA"/>
              </w:rPr>
              <w:t xml:space="preserve">2.11. </w:t>
            </w:r>
            <w:r w:rsidRPr="0069246D">
              <w:rPr>
                <w:rFonts w:ascii="Times New Roman" w:hAnsi="Times New Roman" w:cs="Times New Roman"/>
                <w:b/>
                <w:sz w:val="26"/>
                <w:szCs w:val="26"/>
              </w:rPr>
              <w:t>При плануванні заходів інвестиційної програми необхідно враховувати заходи з підвищення енергоефективності, передбачені </w:t>
            </w:r>
            <w:hyperlink r:id="rId6" w:tgtFrame="_blank" w:history="1">
              <w:r w:rsidRPr="0069246D">
                <w:rPr>
                  <w:rFonts w:ascii="Times New Roman" w:hAnsi="Times New Roman" w:cs="Times New Roman"/>
                  <w:b/>
                  <w:sz w:val="26"/>
                  <w:szCs w:val="26"/>
                </w:rPr>
                <w:t>Законом України</w:t>
              </w:r>
            </w:hyperlink>
            <w:r w:rsidRPr="0069246D">
              <w:rPr>
                <w:rFonts w:ascii="Times New Roman" w:hAnsi="Times New Roman" w:cs="Times New Roman"/>
                <w:b/>
                <w:sz w:val="26"/>
                <w:szCs w:val="26"/>
              </w:rPr>
              <w:t> «Про енергетичну ефективність».</w:t>
            </w:r>
          </w:p>
          <w:p w:rsidR="00EE7610" w:rsidRPr="00C2083D" w:rsidRDefault="00EE7610" w:rsidP="001C5876">
            <w:pPr>
              <w:ind w:firstLine="596"/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E57D50" w:rsidRPr="00755E8A" w:rsidTr="004319A3">
        <w:trPr>
          <w:trHeight w:val="379"/>
        </w:trPr>
        <w:tc>
          <w:tcPr>
            <w:tcW w:w="7563" w:type="dxa"/>
          </w:tcPr>
          <w:p w:rsidR="00E57D50" w:rsidRPr="00E57D50" w:rsidRDefault="00E57D50" w:rsidP="004319A3">
            <w:pPr>
              <w:ind w:firstLine="45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50">
              <w:rPr>
                <w:rFonts w:ascii="Times New Roman" w:hAnsi="Times New Roman" w:cs="Times New Roman"/>
                <w:b/>
                <w:sz w:val="26"/>
                <w:szCs w:val="26"/>
              </w:rPr>
              <w:t>3. Затвердження та погодження інвестиційної програми</w:t>
            </w:r>
          </w:p>
        </w:tc>
        <w:tc>
          <w:tcPr>
            <w:tcW w:w="7563" w:type="dxa"/>
          </w:tcPr>
          <w:p w:rsidR="00E57D50" w:rsidRPr="00E57D50" w:rsidRDefault="00E57D50" w:rsidP="004319A3">
            <w:pPr>
              <w:ind w:firstLine="402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7D50">
              <w:rPr>
                <w:rFonts w:ascii="Times New Roman" w:hAnsi="Times New Roman" w:cs="Times New Roman"/>
                <w:b/>
                <w:sz w:val="26"/>
                <w:szCs w:val="26"/>
              </w:rPr>
              <w:t>3. Затвердження та погодження інвестиційної програми</w:t>
            </w:r>
          </w:p>
        </w:tc>
      </w:tr>
      <w:tr w:rsidR="00E57D50" w:rsidRPr="00755E8A" w:rsidTr="008A07EB">
        <w:trPr>
          <w:trHeight w:val="210"/>
        </w:trPr>
        <w:tc>
          <w:tcPr>
            <w:tcW w:w="7563" w:type="dxa"/>
          </w:tcPr>
          <w:p w:rsidR="00E57D50" w:rsidRPr="00802988" w:rsidRDefault="00E57D50" w:rsidP="00802988">
            <w:pPr>
              <w:ind w:firstLine="5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2988">
              <w:rPr>
                <w:rFonts w:ascii="Times New Roman" w:hAnsi="Times New Roman" w:cs="Times New Roman"/>
                <w:sz w:val="26"/>
                <w:szCs w:val="26"/>
              </w:rPr>
              <w:t>3.1. Розроблена з дотриманням вимог цього Порядку та з урахуванням прийнятих рішень про врахування поданих пропозицій відповідно до пункту 1.6 глави 1 цього Порядку інвестиційна програма на планований період щодо об’єктів теплопостачання затверджується ліцензіатом згідно з його установчими документами.</w:t>
            </w:r>
          </w:p>
          <w:p w:rsidR="00E57D50" w:rsidRDefault="00E57D50" w:rsidP="00802988">
            <w:pPr>
              <w:ind w:firstLine="5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2988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  <w:p w:rsidR="004319A3" w:rsidRPr="00C2083D" w:rsidRDefault="004319A3" w:rsidP="00802988">
            <w:pPr>
              <w:ind w:firstLine="596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7563" w:type="dxa"/>
          </w:tcPr>
          <w:p w:rsidR="00E57D50" w:rsidRPr="00802988" w:rsidRDefault="00E57D50" w:rsidP="0028485B">
            <w:pPr>
              <w:ind w:firstLine="40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2988">
              <w:rPr>
                <w:rFonts w:ascii="Times New Roman" w:hAnsi="Times New Roman" w:cs="Times New Roman"/>
                <w:sz w:val="26"/>
                <w:szCs w:val="26"/>
              </w:rPr>
              <w:t>3.1. Розроблена з дотриманням вимог цього Порядку та з урахуванням прийнятих рішень про врахування поданих пропозицій відповідно до пункту </w:t>
            </w:r>
            <w:r w:rsidRPr="0080298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1.7 </w:t>
            </w:r>
            <w:r w:rsidRPr="00802988">
              <w:rPr>
                <w:rFonts w:ascii="Times New Roman" w:hAnsi="Times New Roman" w:cs="Times New Roman"/>
                <w:sz w:val="26"/>
                <w:szCs w:val="26"/>
              </w:rPr>
              <w:t>глави 1 цього Порядку інвестиційна програма на планований період щодо об’єктів теплопостачання затверджується ліцензіатом згідно з його установчими документами.</w:t>
            </w:r>
          </w:p>
          <w:p w:rsidR="00EE7610" w:rsidRPr="00B8348E" w:rsidRDefault="00E57D50" w:rsidP="00B8348E">
            <w:pPr>
              <w:ind w:firstLine="5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761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</w:tr>
      <w:tr w:rsidR="008A07EB" w:rsidRPr="00755E8A" w:rsidTr="00EE7610">
        <w:trPr>
          <w:trHeight w:val="415"/>
        </w:trPr>
        <w:tc>
          <w:tcPr>
            <w:tcW w:w="7563" w:type="dxa"/>
          </w:tcPr>
          <w:p w:rsidR="008A07EB" w:rsidRPr="00C2083D" w:rsidRDefault="008A07EB" w:rsidP="008A07EB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C2083D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lastRenderedPageBreak/>
              <w:t>5. Внесення змін до інвестиційної програми</w:t>
            </w:r>
          </w:p>
        </w:tc>
        <w:tc>
          <w:tcPr>
            <w:tcW w:w="7563" w:type="dxa"/>
          </w:tcPr>
          <w:p w:rsidR="008A07EB" w:rsidRPr="00C2083D" w:rsidRDefault="008A07EB" w:rsidP="008A07EB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C2083D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5. Внесення змін до інвестиційної програми</w:t>
            </w:r>
          </w:p>
        </w:tc>
      </w:tr>
      <w:tr w:rsidR="008A07EB" w:rsidRPr="00755E8A" w:rsidTr="00276278">
        <w:trPr>
          <w:trHeight w:val="690"/>
        </w:trPr>
        <w:tc>
          <w:tcPr>
            <w:tcW w:w="7563" w:type="dxa"/>
          </w:tcPr>
          <w:p w:rsidR="008A07EB" w:rsidRPr="00C2083D" w:rsidRDefault="008A07EB" w:rsidP="00711E3E">
            <w:pPr>
              <w:ind w:firstLine="5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083D">
              <w:rPr>
                <w:rFonts w:ascii="Times New Roman" w:hAnsi="Times New Roman" w:cs="Times New Roman"/>
                <w:sz w:val="26"/>
                <w:szCs w:val="26"/>
              </w:rPr>
              <w:t>5.1. У разі виникнення потреби у виконанні робіт, здійсненні закупівлі у зв'язку з особливими економічними, технічними та іншими обставинами, яких ліцензіат не міг передбачити, у тому числі робіт, пов'язаних з ліквідацією наслідків надзвичайних ситуацій, ліцензіат має право протягом планованого періоду звернутися до НКРЕКП із заявою щодо внесення змін до інвестиційної програми з наданням відповідного обґрунтування.</w:t>
            </w:r>
          </w:p>
          <w:p w:rsidR="001C5876" w:rsidRPr="00C2083D" w:rsidRDefault="001C5876" w:rsidP="00711E3E">
            <w:pPr>
              <w:ind w:firstLine="5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5876" w:rsidRPr="00C2083D" w:rsidRDefault="001C5876" w:rsidP="001C5876">
            <w:pPr>
              <w:ind w:firstLine="454"/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  <w:r w:rsidRPr="00C2083D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абзац</w:t>
            </w:r>
            <w:r w:rsidR="00C13411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и</w:t>
            </w:r>
            <w:r w:rsidRPr="00C2083D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 xml:space="preserve"> відсутні</w:t>
            </w:r>
          </w:p>
          <w:p w:rsidR="001C5876" w:rsidRPr="00C2083D" w:rsidRDefault="001C5876" w:rsidP="00711E3E">
            <w:pPr>
              <w:ind w:firstLine="59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uk-UA"/>
              </w:rPr>
            </w:pPr>
          </w:p>
          <w:p w:rsidR="001C5876" w:rsidRPr="00C2083D" w:rsidRDefault="001C5876" w:rsidP="00711E3E">
            <w:pPr>
              <w:ind w:firstLine="59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uk-UA"/>
              </w:rPr>
            </w:pPr>
          </w:p>
          <w:p w:rsidR="001C5876" w:rsidRPr="00C2083D" w:rsidRDefault="001C5876" w:rsidP="00711E3E">
            <w:pPr>
              <w:ind w:firstLine="59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uk-UA"/>
              </w:rPr>
            </w:pPr>
          </w:p>
          <w:p w:rsidR="001C5876" w:rsidRPr="00C2083D" w:rsidRDefault="001C5876" w:rsidP="00711E3E">
            <w:pPr>
              <w:ind w:firstLine="59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uk-UA"/>
              </w:rPr>
            </w:pPr>
          </w:p>
          <w:p w:rsidR="001C5876" w:rsidRPr="00C2083D" w:rsidRDefault="001C5876" w:rsidP="00711E3E">
            <w:pPr>
              <w:ind w:firstLine="59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uk-UA"/>
              </w:rPr>
            </w:pPr>
          </w:p>
          <w:p w:rsidR="001C5876" w:rsidRPr="00C2083D" w:rsidRDefault="001C5876" w:rsidP="00711E3E">
            <w:pPr>
              <w:ind w:firstLine="59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uk-UA"/>
              </w:rPr>
            </w:pPr>
          </w:p>
          <w:p w:rsidR="001C5876" w:rsidRPr="00C2083D" w:rsidRDefault="001C5876" w:rsidP="00711E3E">
            <w:pPr>
              <w:ind w:firstLine="59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uk-UA"/>
              </w:rPr>
            </w:pPr>
          </w:p>
          <w:p w:rsidR="00C2083D" w:rsidRDefault="00C2083D" w:rsidP="008029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</w:p>
          <w:p w:rsidR="0067489E" w:rsidRDefault="0067489E" w:rsidP="008029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</w:p>
          <w:p w:rsidR="001C5876" w:rsidRPr="00C2083D" w:rsidRDefault="001C5876" w:rsidP="00711E3E">
            <w:pPr>
              <w:ind w:firstLine="59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  <w:r w:rsidRPr="00C2083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  <w:t xml:space="preserve">… </w:t>
            </w:r>
          </w:p>
        </w:tc>
        <w:tc>
          <w:tcPr>
            <w:tcW w:w="7563" w:type="dxa"/>
          </w:tcPr>
          <w:p w:rsidR="001C5876" w:rsidRPr="00C2083D" w:rsidRDefault="001C5876" w:rsidP="001C5876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083D">
              <w:rPr>
                <w:rFonts w:ascii="Times New Roman" w:hAnsi="Times New Roman" w:cs="Times New Roman"/>
                <w:sz w:val="26"/>
                <w:szCs w:val="26"/>
              </w:rPr>
              <w:t>5.1. У разі виникнення потреби у виконанні робіт, здійсненні закупівлі у зв'язку з особливими економічними, технічними та іншими обставинами, яких ліцензіат не міг передбачити, у тому числі робіт, пов'язаних з ліквідацією наслідків надзвичайних ситуацій, ліцензіат має право протягом планованого періоду звернутися до НКРЕКП із заявою щодо внесення змін до інвестиційної програми з  наданням відповідного обґрунтування.</w:t>
            </w:r>
          </w:p>
          <w:p w:rsidR="001C5876" w:rsidRPr="00C2083D" w:rsidRDefault="001C5876" w:rsidP="002B2402">
            <w:pPr>
              <w:pStyle w:val="rvps6"/>
              <w:shd w:val="clear" w:color="auto" w:fill="FFFFFF"/>
              <w:spacing w:before="0" w:beforeAutospacing="0" w:after="160" w:afterAutospacing="0"/>
              <w:ind w:left="29" w:firstLine="517"/>
              <w:contextualSpacing/>
              <w:jc w:val="both"/>
              <w:rPr>
                <w:rStyle w:val="rvts23"/>
                <w:b/>
                <w:bCs/>
                <w:sz w:val="26"/>
                <w:szCs w:val="26"/>
                <w:lang w:val="uk-UA"/>
              </w:rPr>
            </w:pPr>
            <w:r w:rsidRPr="00C2083D">
              <w:rPr>
                <w:rStyle w:val="rvts23"/>
                <w:b/>
                <w:bCs/>
                <w:sz w:val="26"/>
                <w:szCs w:val="26"/>
                <w:lang w:val="uk-UA"/>
              </w:rPr>
              <w:t>Крім того, підставами для внесення змін до інвестиційної програми можуть бути зміни:</w:t>
            </w:r>
          </w:p>
          <w:p w:rsidR="001C5876" w:rsidRPr="00C2083D" w:rsidRDefault="001C5876" w:rsidP="002B2402">
            <w:pPr>
              <w:pStyle w:val="rvps6"/>
              <w:shd w:val="clear" w:color="auto" w:fill="FFFFFF"/>
              <w:spacing w:before="0" w:beforeAutospacing="0" w:after="160" w:afterAutospacing="0"/>
              <w:ind w:left="-120" w:firstLine="666"/>
              <w:contextualSpacing/>
              <w:jc w:val="both"/>
              <w:rPr>
                <w:rStyle w:val="rvts23"/>
                <w:b/>
                <w:bCs/>
                <w:sz w:val="26"/>
                <w:szCs w:val="26"/>
                <w:lang w:val="uk-UA"/>
              </w:rPr>
            </w:pPr>
            <w:r w:rsidRPr="00C2083D">
              <w:rPr>
                <w:rStyle w:val="rvts23"/>
                <w:b/>
                <w:bCs/>
                <w:sz w:val="26"/>
                <w:szCs w:val="26"/>
                <w:lang w:val="uk-UA"/>
              </w:rPr>
              <w:t>обсягу фінансування інвестиційної програми в розрізі джерел;</w:t>
            </w:r>
          </w:p>
          <w:p w:rsidR="001C5876" w:rsidRPr="00C2083D" w:rsidRDefault="001C5876" w:rsidP="002B2402">
            <w:pPr>
              <w:pStyle w:val="rvps6"/>
              <w:shd w:val="clear" w:color="auto" w:fill="FFFFFF"/>
              <w:spacing w:before="0" w:beforeAutospacing="0" w:after="160" w:afterAutospacing="0"/>
              <w:ind w:left="-120" w:firstLine="666"/>
              <w:contextualSpacing/>
              <w:jc w:val="both"/>
              <w:rPr>
                <w:rStyle w:val="rvts23"/>
                <w:b/>
                <w:bCs/>
                <w:sz w:val="26"/>
                <w:szCs w:val="26"/>
                <w:lang w:val="uk-UA"/>
              </w:rPr>
            </w:pPr>
            <w:r w:rsidRPr="00C2083D">
              <w:rPr>
                <w:rStyle w:val="rvts23"/>
                <w:b/>
                <w:bCs/>
                <w:sz w:val="26"/>
                <w:szCs w:val="26"/>
                <w:lang w:val="uk-UA"/>
              </w:rPr>
              <w:t>джерел фінансування заходів;</w:t>
            </w:r>
          </w:p>
          <w:p w:rsidR="001C5876" w:rsidRPr="00C2083D" w:rsidRDefault="001C5876" w:rsidP="002B2402">
            <w:pPr>
              <w:pStyle w:val="rvps6"/>
              <w:shd w:val="clear" w:color="auto" w:fill="FFFFFF"/>
              <w:spacing w:before="0" w:beforeAutospacing="0" w:after="160" w:afterAutospacing="0"/>
              <w:ind w:left="29" w:firstLine="517"/>
              <w:contextualSpacing/>
              <w:jc w:val="both"/>
              <w:rPr>
                <w:rStyle w:val="rvts23"/>
                <w:b/>
                <w:bCs/>
                <w:sz w:val="26"/>
                <w:szCs w:val="26"/>
                <w:lang w:val="uk-UA"/>
              </w:rPr>
            </w:pPr>
            <w:r w:rsidRPr="00C2083D">
              <w:rPr>
                <w:rStyle w:val="rvts23"/>
                <w:b/>
                <w:bCs/>
                <w:sz w:val="26"/>
                <w:szCs w:val="26"/>
                <w:lang w:val="uk-UA"/>
              </w:rPr>
              <w:t xml:space="preserve">вартості </w:t>
            </w:r>
            <w:r w:rsidR="00C25453">
              <w:rPr>
                <w:rStyle w:val="rvts23"/>
                <w:b/>
                <w:bCs/>
                <w:sz w:val="26"/>
                <w:szCs w:val="26"/>
                <w:lang w:val="en-US"/>
              </w:rPr>
              <w:t>(</w:t>
            </w:r>
            <w:r w:rsidRPr="00C2083D">
              <w:rPr>
                <w:rStyle w:val="rvts23"/>
                <w:b/>
                <w:bCs/>
                <w:sz w:val="26"/>
                <w:szCs w:val="26"/>
                <w:lang w:val="uk-UA"/>
              </w:rPr>
              <w:t xml:space="preserve">більше ніж на 3 </w:t>
            </w:r>
            <w:bookmarkStart w:id="4" w:name="_GoBack"/>
            <w:bookmarkEnd w:id="4"/>
            <w:r w:rsidRPr="00C2083D">
              <w:rPr>
                <w:rStyle w:val="rvts23"/>
                <w:b/>
                <w:bCs/>
                <w:sz w:val="26"/>
                <w:szCs w:val="26"/>
                <w:lang w:val="uk-UA"/>
              </w:rPr>
              <w:t>%</w:t>
            </w:r>
            <w:r w:rsidR="00C25453">
              <w:rPr>
                <w:rStyle w:val="rvts23"/>
                <w:b/>
                <w:bCs/>
                <w:sz w:val="26"/>
                <w:szCs w:val="26"/>
                <w:lang w:val="en-US"/>
              </w:rPr>
              <w:t>)</w:t>
            </w:r>
            <w:r w:rsidRPr="00C2083D">
              <w:rPr>
                <w:rStyle w:val="rvts23"/>
                <w:b/>
                <w:bCs/>
                <w:sz w:val="26"/>
                <w:szCs w:val="26"/>
                <w:lang w:val="uk-UA"/>
              </w:rPr>
              <w:t xml:space="preserve"> та складу робіт, матеріалів і обладнання (у тому числі за результатами проведення процедури закупівлі відповідно до вимог Закону України «Про публічні закупівлі»), способу виконання робіт у межах одного заходу.</w:t>
            </w:r>
          </w:p>
          <w:p w:rsidR="001C5876" w:rsidRPr="00C2083D" w:rsidRDefault="001C5876" w:rsidP="001C5876">
            <w:pPr>
              <w:pStyle w:val="rvps6"/>
              <w:shd w:val="clear" w:color="auto" w:fill="FFFFFF"/>
              <w:spacing w:before="0" w:beforeAutospacing="0" w:after="160" w:afterAutospacing="0"/>
              <w:ind w:left="29"/>
              <w:contextualSpacing/>
              <w:jc w:val="both"/>
              <w:rPr>
                <w:rStyle w:val="rvts23"/>
                <w:b/>
                <w:bCs/>
                <w:sz w:val="26"/>
                <w:szCs w:val="26"/>
                <w:lang w:val="uk-UA"/>
              </w:rPr>
            </w:pPr>
          </w:p>
          <w:p w:rsidR="001C5876" w:rsidRPr="00C2083D" w:rsidRDefault="001C5876" w:rsidP="001C5876">
            <w:pPr>
              <w:pStyle w:val="rvps6"/>
              <w:shd w:val="clear" w:color="auto" w:fill="FFFFFF"/>
              <w:spacing w:before="0" w:beforeAutospacing="0" w:after="160" w:afterAutospacing="0"/>
              <w:ind w:left="29" w:firstLine="517"/>
              <w:contextualSpacing/>
              <w:jc w:val="both"/>
              <w:rPr>
                <w:bCs/>
                <w:sz w:val="26"/>
                <w:szCs w:val="26"/>
                <w:lang w:val="uk-UA"/>
              </w:rPr>
            </w:pPr>
            <w:r w:rsidRPr="00C2083D">
              <w:rPr>
                <w:rStyle w:val="rvts23"/>
                <w:bCs/>
                <w:sz w:val="26"/>
                <w:szCs w:val="26"/>
                <w:lang w:val="uk-UA"/>
              </w:rPr>
              <w:t>…</w:t>
            </w:r>
          </w:p>
        </w:tc>
      </w:tr>
    </w:tbl>
    <w:p w:rsidR="00E12E20" w:rsidRDefault="00E12E20"/>
    <w:p w:rsidR="003C378A" w:rsidRDefault="003C378A"/>
    <w:p w:rsidR="001B6773" w:rsidRPr="003C378A" w:rsidRDefault="001B6773" w:rsidP="001B6773">
      <w:pPr>
        <w:pStyle w:val="3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3C378A">
        <w:rPr>
          <w:b w:val="0"/>
          <w:sz w:val="28"/>
          <w:szCs w:val="28"/>
          <w:lang w:val="uk-UA"/>
        </w:rPr>
        <w:t>Директор Департаменту із регулювання</w:t>
      </w:r>
    </w:p>
    <w:p w:rsidR="001B6773" w:rsidRPr="003C378A" w:rsidRDefault="001B6773" w:rsidP="001B6773">
      <w:pPr>
        <w:pStyle w:val="3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3C378A">
        <w:rPr>
          <w:b w:val="0"/>
          <w:sz w:val="28"/>
          <w:szCs w:val="28"/>
          <w:lang w:val="uk-UA"/>
        </w:rPr>
        <w:t>відносин у сферах теплопостачання</w:t>
      </w:r>
      <w:r w:rsidRPr="003C378A">
        <w:rPr>
          <w:rFonts w:eastAsia="Courier New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Pr="003C378A">
        <w:rPr>
          <w:b w:val="0"/>
          <w:sz w:val="28"/>
          <w:szCs w:val="28"/>
          <w:lang w:val="uk-UA"/>
        </w:rPr>
        <w:t>та</w:t>
      </w:r>
    </w:p>
    <w:p w:rsidR="001B6773" w:rsidRPr="003C378A" w:rsidRDefault="001B6773" w:rsidP="001B6773">
      <w:pPr>
        <w:pStyle w:val="3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3C378A">
        <w:rPr>
          <w:b w:val="0"/>
          <w:sz w:val="28"/>
          <w:szCs w:val="28"/>
          <w:lang w:val="uk-UA"/>
        </w:rPr>
        <w:t xml:space="preserve">забезпечення енергетичної ефективності </w:t>
      </w:r>
    </w:p>
    <w:p w:rsidR="001B6773" w:rsidRPr="003C378A" w:rsidRDefault="001B6773" w:rsidP="001B6773">
      <w:pPr>
        <w:rPr>
          <w:rFonts w:ascii="Times New Roman" w:hAnsi="Times New Roman" w:cs="Times New Roman"/>
        </w:rPr>
      </w:pPr>
      <w:r w:rsidRPr="003C378A">
        <w:rPr>
          <w:rFonts w:ascii="Times New Roman" w:hAnsi="Times New Roman" w:cs="Times New Roman"/>
          <w:sz w:val="28"/>
          <w:szCs w:val="28"/>
        </w:rPr>
        <w:t>в галузях енергетики та комунальних послуг</w:t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 xml:space="preserve">Р. </w:t>
      </w:r>
      <w:r w:rsidRPr="003C378A">
        <w:rPr>
          <w:rFonts w:ascii="Times New Roman" w:hAnsi="Times New Roman" w:cs="Times New Roman"/>
          <w:color w:val="000000"/>
          <w:sz w:val="28"/>
          <w:szCs w:val="28"/>
        </w:rPr>
        <w:t>Овчаренко</w:t>
      </w:r>
    </w:p>
    <w:sectPr w:rsidR="001B6773" w:rsidRPr="003C378A" w:rsidSect="005A40C8">
      <w:headerReference w:type="default" r:id="rId7"/>
      <w:footerReference w:type="default" r:id="rId8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9D4" w:rsidRDefault="006C69D4" w:rsidP="00DA308A">
      <w:pPr>
        <w:spacing w:after="0" w:line="240" w:lineRule="auto"/>
      </w:pPr>
      <w:r>
        <w:separator/>
      </w:r>
    </w:p>
  </w:endnote>
  <w:endnote w:type="continuationSeparator" w:id="0">
    <w:p w:rsidR="006C69D4" w:rsidRDefault="006C69D4" w:rsidP="00DA3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08A" w:rsidRDefault="00DA308A">
    <w:pPr>
      <w:pStyle w:val="a7"/>
      <w:jc w:val="right"/>
    </w:pPr>
  </w:p>
  <w:p w:rsidR="00DA308A" w:rsidRDefault="00DA308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9D4" w:rsidRDefault="006C69D4" w:rsidP="00DA308A">
      <w:pPr>
        <w:spacing w:after="0" w:line="240" w:lineRule="auto"/>
      </w:pPr>
      <w:r>
        <w:separator/>
      </w:r>
    </w:p>
  </w:footnote>
  <w:footnote w:type="continuationSeparator" w:id="0">
    <w:p w:rsidR="006C69D4" w:rsidRDefault="006C69D4" w:rsidP="00DA30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53715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17847" w:rsidRPr="00B17847" w:rsidRDefault="00B1784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178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78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78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545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178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17847" w:rsidRPr="00B17847" w:rsidRDefault="00B17847">
    <w:pPr>
      <w:pStyle w:val="a5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278"/>
    <w:rsid w:val="00004DB6"/>
    <w:rsid w:val="00012EA3"/>
    <w:rsid w:val="00050D6C"/>
    <w:rsid w:val="00065619"/>
    <w:rsid w:val="00081034"/>
    <w:rsid w:val="000B4EB2"/>
    <w:rsid w:val="000F16AF"/>
    <w:rsid w:val="000F61A1"/>
    <w:rsid w:val="000F61D1"/>
    <w:rsid w:val="0010036E"/>
    <w:rsid w:val="001074B7"/>
    <w:rsid w:val="00125ED4"/>
    <w:rsid w:val="001379B7"/>
    <w:rsid w:val="001459C7"/>
    <w:rsid w:val="0014609F"/>
    <w:rsid w:val="00156E86"/>
    <w:rsid w:val="00166946"/>
    <w:rsid w:val="00191459"/>
    <w:rsid w:val="001B6773"/>
    <w:rsid w:val="001C5876"/>
    <w:rsid w:val="001D6218"/>
    <w:rsid w:val="00220454"/>
    <w:rsid w:val="00252C23"/>
    <w:rsid w:val="002645D8"/>
    <w:rsid w:val="002731CF"/>
    <w:rsid w:val="00276278"/>
    <w:rsid w:val="002835A5"/>
    <w:rsid w:val="0028485B"/>
    <w:rsid w:val="00293136"/>
    <w:rsid w:val="002B2402"/>
    <w:rsid w:val="002D11DB"/>
    <w:rsid w:val="00302FF7"/>
    <w:rsid w:val="003127E9"/>
    <w:rsid w:val="00312CB3"/>
    <w:rsid w:val="00314C28"/>
    <w:rsid w:val="00321C19"/>
    <w:rsid w:val="003833EA"/>
    <w:rsid w:val="003872AF"/>
    <w:rsid w:val="003928DF"/>
    <w:rsid w:val="003B79AF"/>
    <w:rsid w:val="003C1D6A"/>
    <w:rsid w:val="003C378A"/>
    <w:rsid w:val="003E74D8"/>
    <w:rsid w:val="004069AC"/>
    <w:rsid w:val="004319A3"/>
    <w:rsid w:val="00446BCE"/>
    <w:rsid w:val="00474766"/>
    <w:rsid w:val="00480C5D"/>
    <w:rsid w:val="004877B4"/>
    <w:rsid w:val="004E78C7"/>
    <w:rsid w:val="00500459"/>
    <w:rsid w:val="00536E6E"/>
    <w:rsid w:val="0057325C"/>
    <w:rsid w:val="00581956"/>
    <w:rsid w:val="00592DDF"/>
    <w:rsid w:val="005A40C8"/>
    <w:rsid w:val="005B46EC"/>
    <w:rsid w:val="00615C62"/>
    <w:rsid w:val="0064077A"/>
    <w:rsid w:val="00644B99"/>
    <w:rsid w:val="0065346C"/>
    <w:rsid w:val="00673467"/>
    <w:rsid w:val="0067489E"/>
    <w:rsid w:val="0069246D"/>
    <w:rsid w:val="006C534E"/>
    <w:rsid w:val="006C69D4"/>
    <w:rsid w:val="006C7A27"/>
    <w:rsid w:val="006F3992"/>
    <w:rsid w:val="00702332"/>
    <w:rsid w:val="00702E33"/>
    <w:rsid w:val="00703723"/>
    <w:rsid w:val="00710D82"/>
    <w:rsid w:val="00711E3E"/>
    <w:rsid w:val="007155FC"/>
    <w:rsid w:val="0072375F"/>
    <w:rsid w:val="007469BC"/>
    <w:rsid w:val="00755E8A"/>
    <w:rsid w:val="00757DD7"/>
    <w:rsid w:val="00781F87"/>
    <w:rsid w:val="007A13F9"/>
    <w:rsid w:val="007A411E"/>
    <w:rsid w:val="007B0096"/>
    <w:rsid w:val="007E3A7F"/>
    <w:rsid w:val="007E49CB"/>
    <w:rsid w:val="007F35C2"/>
    <w:rsid w:val="00802988"/>
    <w:rsid w:val="00825AFF"/>
    <w:rsid w:val="00832500"/>
    <w:rsid w:val="00843194"/>
    <w:rsid w:val="008466D7"/>
    <w:rsid w:val="0086239F"/>
    <w:rsid w:val="008859E5"/>
    <w:rsid w:val="00885D44"/>
    <w:rsid w:val="008A0271"/>
    <w:rsid w:val="008A07EB"/>
    <w:rsid w:val="008C21EF"/>
    <w:rsid w:val="008C7B43"/>
    <w:rsid w:val="00983CAB"/>
    <w:rsid w:val="00986D37"/>
    <w:rsid w:val="00987898"/>
    <w:rsid w:val="00990DCB"/>
    <w:rsid w:val="009A1B40"/>
    <w:rsid w:val="009D4B68"/>
    <w:rsid w:val="009F504D"/>
    <w:rsid w:val="00A106DC"/>
    <w:rsid w:val="00A125B7"/>
    <w:rsid w:val="00A33483"/>
    <w:rsid w:val="00A63F6E"/>
    <w:rsid w:val="00A87238"/>
    <w:rsid w:val="00AA3517"/>
    <w:rsid w:val="00AB2334"/>
    <w:rsid w:val="00AE0214"/>
    <w:rsid w:val="00B05F15"/>
    <w:rsid w:val="00B17847"/>
    <w:rsid w:val="00B26A5E"/>
    <w:rsid w:val="00B33D02"/>
    <w:rsid w:val="00B8348E"/>
    <w:rsid w:val="00B9588F"/>
    <w:rsid w:val="00BA34ED"/>
    <w:rsid w:val="00BC40FA"/>
    <w:rsid w:val="00BD3737"/>
    <w:rsid w:val="00BF70A4"/>
    <w:rsid w:val="00C13411"/>
    <w:rsid w:val="00C13666"/>
    <w:rsid w:val="00C16DAA"/>
    <w:rsid w:val="00C2083D"/>
    <w:rsid w:val="00C25453"/>
    <w:rsid w:val="00C3659A"/>
    <w:rsid w:val="00C815E1"/>
    <w:rsid w:val="00C93253"/>
    <w:rsid w:val="00CB2F60"/>
    <w:rsid w:val="00CC0D5B"/>
    <w:rsid w:val="00D02A5E"/>
    <w:rsid w:val="00D14519"/>
    <w:rsid w:val="00D5468A"/>
    <w:rsid w:val="00DA0081"/>
    <w:rsid w:val="00DA18C4"/>
    <w:rsid w:val="00DA308A"/>
    <w:rsid w:val="00DF495A"/>
    <w:rsid w:val="00DF74CB"/>
    <w:rsid w:val="00E12E20"/>
    <w:rsid w:val="00E40747"/>
    <w:rsid w:val="00E5351F"/>
    <w:rsid w:val="00E57D50"/>
    <w:rsid w:val="00E97343"/>
    <w:rsid w:val="00EB3741"/>
    <w:rsid w:val="00ED1ACD"/>
    <w:rsid w:val="00EE7610"/>
    <w:rsid w:val="00EE7E63"/>
    <w:rsid w:val="00EF4334"/>
    <w:rsid w:val="00F3350B"/>
    <w:rsid w:val="00F4057F"/>
    <w:rsid w:val="00F6026F"/>
    <w:rsid w:val="00F67BB2"/>
    <w:rsid w:val="00F7423B"/>
    <w:rsid w:val="00F74D9D"/>
    <w:rsid w:val="00F92415"/>
    <w:rsid w:val="00FA3E99"/>
    <w:rsid w:val="00FB0651"/>
    <w:rsid w:val="00FD4687"/>
    <w:rsid w:val="00FD6662"/>
    <w:rsid w:val="00FE0EFB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6B07D-5D01-47E1-AD5A-B8E5A48A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1B67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6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276278"/>
  </w:style>
  <w:style w:type="character" w:styleId="a4">
    <w:name w:val="Hyperlink"/>
    <w:basedOn w:val="a0"/>
    <w:uiPriority w:val="99"/>
    <w:semiHidden/>
    <w:unhideWhenUsed/>
    <w:rsid w:val="002645D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DA30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A308A"/>
  </w:style>
  <w:style w:type="paragraph" w:styleId="a7">
    <w:name w:val="footer"/>
    <w:basedOn w:val="a"/>
    <w:link w:val="a8"/>
    <w:uiPriority w:val="99"/>
    <w:unhideWhenUsed/>
    <w:rsid w:val="00DA30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A308A"/>
  </w:style>
  <w:style w:type="paragraph" w:customStyle="1" w:styleId="rvps2">
    <w:name w:val="rvps2"/>
    <w:basedOn w:val="a"/>
    <w:rsid w:val="00703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List Paragraph"/>
    <w:basedOn w:val="a"/>
    <w:uiPriority w:val="34"/>
    <w:qFormat/>
    <w:rsid w:val="00166946"/>
    <w:pPr>
      <w:ind w:left="720"/>
      <w:contextualSpacing/>
    </w:pPr>
  </w:style>
  <w:style w:type="paragraph" w:customStyle="1" w:styleId="rvps6">
    <w:name w:val="rvps6"/>
    <w:basedOn w:val="a"/>
    <w:rsid w:val="001C5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1B6773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7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rada/show/1818-2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3</Pages>
  <Words>3400</Words>
  <Characters>1939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Ходаковська Ірина Анатоліївна</dc:creator>
  <cp:keywords/>
  <dc:description/>
  <cp:lastModifiedBy>Олег Талимончик</cp:lastModifiedBy>
  <cp:revision>55</cp:revision>
  <cp:lastPrinted>2021-11-23T12:42:00Z</cp:lastPrinted>
  <dcterms:created xsi:type="dcterms:W3CDTF">2021-06-02T06:04:00Z</dcterms:created>
  <dcterms:modified xsi:type="dcterms:W3CDTF">2022-12-08T11:11:00Z</dcterms:modified>
</cp:coreProperties>
</file>